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32021" w14:textId="6367B1BC" w:rsidR="000D1508" w:rsidRPr="009B7B68" w:rsidRDefault="009B7B6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2"/>
          <w:szCs w:val="32"/>
        </w:rPr>
      </w:pPr>
      <w:r w:rsidRPr="009B7B68">
        <w:rPr>
          <w:rFonts w:ascii="Times New Roman" w:eastAsia="Times New Roman" w:hAnsi="Times New Roman" w:cs="Times New Roman"/>
          <w:b/>
          <w:bCs/>
          <w:noProof/>
          <w:sz w:val="32"/>
          <w:szCs w:val="32"/>
        </w:rPr>
        <w:drawing>
          <wp:inline distT="0" distB="0" distL="0" distR="0" wp14:anchorId="45D4C9FE" wp14:editId="61004BC5">
            <wp:extent cx="1810385" cy="725170"/>
            <wp:effectExtent l="0" t="0" r="0" b="0"/>
            <wp:docPr id="624058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334623D"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2"/>
          <w:szCs w:val="32"/>
        </w:rPr>
      </w:pPr>
    </w:p>
    <w:p w14:paraId="7BA9863D"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2"/>
          <w:szCs w:val="32"/>
        </w:rPr>
      </w:pPr>
    </w:p>
    <w:p w14:paraId="318FC853"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b/>
          <w:bCs/>
          <w:sz w:val="32"/>
          <w:szCs w:val="32"/>
        </w:rPr>
      </w:pPr>
      <w:r w:rsidRPr="009B7B68">
        <w:rPr>
          <w:rFonts w:ascii="Times New Roman" w:eastAsia="Times New Roman" w:hAnsi="Times New Roman" w:cs="Times New Roman"/>
          <w:b/>
          <w:bCs/>
          <w:sz w:val="32"/>
          <w:szCs w:val="32"/>
        </w:rPr>
        <w:t>BSc (Hons) Health and Social Care</w:t>
      </w:r>
    </w:p>
    <w:p w14:paraId="7404DCDC"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0"/>
          <w:szCs w:val="30"/>
        </w:rPr>
      </w:pPr>
    </w:p>
    <w:p w14:paraId="7999D369"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b/>
          <w:bCs/>
          <w:sz w:val="30"/>
          <w:szCs w:val="30"/>
        </w:rPr>
      </w:pPr>
      <w:r w:rsidRPr="009B7B68">
        <w:rPr>
          <w:rFonts w:ascii="Times New Roman" w:eastAsia="Times New Roman" w:hAnsi="Times New Roman" w:cs="Times New Roman"/>
          <w:b/>
          <w:bCs/>
          <w:sz w:val="30"/>
          <w:szCs w:val="30"/>
        </w:rPr>
        <w:t>BMHP5014- Changemakers: Creativity and Value Creation</w:t>
      </w:r>
    </w:p>
    <w:p w14:paraId="1D506E24"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0"/>
          <w:szCs w:val="30"/>
        </w:rPr>
      </w:pPr>
    </w:p>
    <w:p w14:paraId="319E0C75"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0"/>
          <w:szCs w:val="30"/>
        </w:rPr>
      </w:pPr>
    </w:p>
    <w:p w14:paraId="1750B2E2"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30"/>
          <w:szCs w:val="30"/>
        </w:rPr>
      </w:pPr>
    </w:p>
    <w:p w14:paraId="0DEB3B6E"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b/>
          <w:bCs/>
          <w:sz w:val="28"/>
          <w:szCs w:val="28"/>
        </w:rPr>
      </w:pPr>
      <w:r w:rsidRPr="009B7B68">
        <w:rPr>
          <w:rFonts w:ascii="Times New Roman" w:eastAsia="Times New Roman" w:hAnsi="Times New Roman" w:cs="Times New Roman"/>
          <w:b/>
          <w:bCs/>
          <w:sz w:val="28"/>
          <w:szCs w:val="28"/>
        </w:rPr>
        <w:t>Component 1: Online portfolio of set exercises</w:t>
      </w:r>
    </w:p>
    <w:p w14:paraId="1453AEB3"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p>
    <w:p w14:paraId="6961C44B"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p>
    <w:p w14:paraId="66B46515" w14:textId="77777777" w:rsidR="000D1508" w:rsidRPr="009B7B68" w:rsidRDefault="000D150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p>
    <w:p w14:paraId="14BB8543" w14:textId="77777777" w:rsidR="009B7B68" w:rsidRPr="009B7B68" w:rsidRDefault="009B7B68" w:rsidP="009B7B6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p>
    <w:p w14:paraId="78F40A51" w14:textId="30FA3F6A" w:rsidR="009B7B68" w:rsidRPr="009B7B68" w:rsidRDefault="009B7B68" w:rsidP="009B7B6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r w:rsidRPr="009B7B68">
        <w:rPr>
          <w:rFonts w:ascii="Times New Roman" w:eastAsia="Times New Roman" w:hAnsi="Times New Roman" w:cs="Times New Roman"/>
          <w:b/>
          <w:bCs/>
          <w:sz w:val="24"/>
          <w:szCs w:val="24"/>
        </w:rPr>
        <w:t>Student Name: Angel</w:t>
      </w:r>
      <w:r w:rsidR="00C25D2F">
        <w:rPr>
          <w:rFonts w:ascii="Times New Roman" w:eastAsia="Times New Roman" w:hAnsi="Times New Roman" w:cs="Times New Roman"/>
          <w:b/>
          <w:bCs/>
          <w:sz w:val="24"/>
          <w:szCs w:val="24"/>
        </w:rPr>
        <w:t>a Otilia</w:t>
      </w:r>
      <w:r w:rsidRPr="009B7B68">
        <w:rPr>
          <w:rFonts w:ascii="Times New Roman" w:eastAsia="Times New Roman" w:hAnsi="Times New Roman" w:cs="Times New Roman"/>
          <w:b/>
          <w:bCs/>
          <w:sz w:val="24"/>
          <w:szCs w:val="24"/>
        </w:rPr>
        <w:t xml:space="preserve"> Feher</w:t>
      </w:r>
    </w:p>
    <w:p w14:paraId="3196CFCA" w14:textId="453CC15B" w:rsidR="000D1508" w:rsidRPr="009B7B68" w:rsidRDefault="009B7B68" w:rsidP="009B7B68">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r w:rsidRPr="009B7B68">
        <w:rPr>
          <w:rFonts w:ascii="Times New Roman" w:eastAsia="Times New Roman" w:hAnsi="Times New Roman" w:cs="Times New Roman"/>
          <w:b/>
          <w:bCs/>
          <w:sz w:val="24"/>
          <w:szCs w:val="24"/>
        </w:rPr>
        <w:t>Student ID: 2335802</w:t>
      </w:r>
    </w:p>
    <w:p w14:paraId="1AFA67EA" w14:textId="77777777" w:rsidR="000D1508" w:rsidRPr="009B7B68" w:rsidRDefault="000D1508">
      <w:pPr>
        <w:pBdr>
          <w:top w:val="nil"/>
          <w:left w:val="nil"/>
          <w:bottom w:val="nil"/>
          <w:right w:val="nil"/>
          <w:between w:val="nil"/>
        </w:pBdr>
        <w:spacing w:before="120" w:after="120" w:line="360" w:lineRule="auto"/>
        <w:jc w:val="both"/>
        <w:rPr>
          <w:rFonts w:ascii="Times New Roman" w:eastAsia="Times New Roman" w:hAnsi="Times New Roman" w:cs="Times New Roman"/>
          <w:b/>
          <w:bCs/>
          <w:sz w:val="24"/>
          <w:szCs w:val="24"/>
        </w:rPr>
      </w:pPr>
    </w:p>
    <w:p w14:paraId="13712B4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br w:type="page"/>
      </w:r>
    </w:p>
    <w:p w14:paraId="779680F5" w14:textId="77777777" w:rsidR="000D1508" w:rsidRPr="009B7B68" w:rsidRDefault="00AF3AF0" w:rsidP="00CE1EDE">
      <w:pPr>
        <w:keepNext/>
        <w:keepLines/>
        <w:pBdr>
          <w:top w:val="nil"/>
          <w:left w:val="nil"/>
          <w:bottom w:val="nil"/>
          <w:right w:val="nil"/>
          <w:between w:val="nil"/>
        </w:pBdr>
        <w:spacing w:before="120" w:after="120" w:line="360" w:lineRule="auto"/>
        <w:jc w:val="center"/>
        <w:rPr>
          <w:rFonts w:ascii="Times New Roman" w:eastAsia="Calibri" w:hAnsi="Times New Roman" w:cs="Times New Roman"/>
          <w:b/>
          <w:bCs/>
          <w:sz w:val="24"/>
          <w:szCs w:val="24"/>
        </w:rPr>
      </w:pPr>
      <w:bookmarkStart w:id="0" w:name="_heading=h.wv2u98vwed5z" w:colFirst="0" w:colLast="0"/>
      <w:bookmarkEnd w:id="0"/>
      <w:r w:rsidRPr="009B7B68">
        <w:rPr>
          <w:rFonts w:ascii="Times New Roman" w:eastAsia="Times New Roman" w:hAnsi="Times New Roman" w:cs="Times New Roman"/>
          <w:b/>
          <w:bCs/>
          <w:sz w:val="24"/>
          <w:szCs w:val="24"/>
        </w:rPr>
        <w:lastRenderedPageBreak/>
        <w:t>Table of Contents</w:t>
      </w:r>
    </w:p>
    <w:sdt>
      <w:sdtPr>
        <w:rPr>
          <w:rFonts w:ascii="Times New Roman" w:hAnsi="Times New Roman" w:cs="Times New Roman"/>
          <w:sz w:val="24"/>
          <w:szCs w:val="24"/>
        </w:rPr>
        <w:id w:val="-1730668215"/>
        <w:docPartObj>
          <w:docPartGallery w:val="Table of Contents"/>
          <w:docPartUnique/>
        </w:docPartObj>
      </w:sdtPr>
      <w:sdtEndPr/>
      <w:sdtContent>
        <w:p w14:paraId="63DE375B" w14:textId="77777777" w:rsidR="000E2147" w:rsidRPr="009B7B68" w:rsidRDefault="00AF3AF0"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9B7B68">
            <w:rPr>
              <w:rFonts w:ascii="Times New Roman" w:hAnsi="Times New Roman" w:cs="Times New Roman"/>
              <w:sz w:val="24"/>
              <w:szCs w:val="24"/>
            </w:rPr>
            <w:fldChar w:fldCharType="begin"/>
          </w:r>
          <w:r w:rsidRPr="009B7B68">
            <w:rPr>
              <w:rFonts w:ascii="Times New Roman" w:hAnsi="Times New Roman" w:cs="Times New Roman"/>
              <w:sz w:val="24"/>
              <w:szCs w:val="24"/>
            </w:rPr>
            <w:instrText xml:space="preserve"> TOC \h \u \z \t "Heading 1,1,Heading 2,2,Heading 3,3,"</w:instrText>
          </w:r>
          <w:r w:rsidRPr="009B7B68">
            <w:rPr>
              <w:rFonts w:ascii="Times New Roman" w:hAnsi="Times New Roman" w:cs="Times New Roman"/>
              <w:sz w:val="24"/>
              <w:szCs w:val="24"/>
            </w:rPr>
            <w:fldChar w:fldCharType="separate"/>
          </w:r>
          <w:hyperlink w:anchor="_Toc215505842" w:history="1">
            <w:r w:rsidR="000E2147" w:rsidRPr="009B7B68">
              <w:rPr>
                <w:rStyle w:val="Hyperlink"/>
                <w:rFonts w:ascii="Times New Roman" w:hAnsi="Times New Roman" w:cs="Times New Roman"/>
                <w:noProof/>
                <w:color w:val="auto"/>
                <w:sz w:val="24"/>
                <w:szCs w:val="24"/>
              </w:rPr>
              <w:t>Task 1: Defining Key Concepts in Practice</w:t>
            </w:r>
            <w:r w:rsidR="000E2147" w:rsidRPr="009B7B68">
              <w:rPr>
                <w:rFonts w:ascii="Times New Roman" w:hAnsi="Times New Roman" w:cs="Times New Roman"/>
                <w:noProof/>
                <w:webHidden/>
                <w:sz w:val="24"/>
                <w:szCs w:val="24"/>
              </w:rPr>
              <w:tab/>
            </w:r>
            <w:r w:rsidR="000E2147" w:rsidRPr="009B7B68">
              <w:rPr>
                <w:rFonts w:ascii="Times New Roman" w:hAnsi="Times New Roman" w:cs="Times New Roman"/>
                <w:noProof/>
                <w:webHidden/>
                <w:sz w:val="24"/>
                <w:szCs w:val="24"/>
              </w:rPr>
              <w:fldChar w:fldCharType="begin"/>
            </w:r>
            <w:r w:rsidR="000E2147" w:rsidRPr="009B7B68">
              <w:rPr>
                <w:rFonts w:ascii="Times New Roman" w:hAnsi="Times New Roman" w:cs="Times New Roman"/>
                <w:noProof/>
                <w:webHidden/>
                <w:sz w:val="24"/>
                <w:szCs w:val="24"/>
              </w:rPr>
              <w:instrText xml:space="preserve"> PAGEREF _Toc215505842 \h </w:instrText>
            </w:r>
            <w:r w:rsidR="000E2147" w:rsidRPr="009B7B68">
              <w:rPr>
                <w:rFonts w:ascii="Times New Roman" w:hAnsi="Times New Roman" w:cs="Times New Roman"/>
                <w:noProof/>
                <w:webHidden/>
                <w:sz w:val="24"/>
                <w:szCs w:val="24"/>
              </w:rPr>
            </w:r>
            <w:r w:rsidR="000E2147" w:rsidRPr="009B7B68">
              <w:rPr>
                <w:rFonts w:ascii="Times New Roman" w:hAnsi="Times New Roman" w:cs="Times New Roman"/>
                <w:noProof/>
                <w:webHidden/>
                <w:sz w:val="24"/>
                <w:szCs w:val="24"/>
              </w:rPr>
              <w:fldChar w:fldCharType="separate"/>
            </w:r>
            <w:r w:rsidR="000E2147" w:rsidRPr="009B7B68">
              <w:rPr>
                <w:rFonts w:ascii="Times New Roman" w:hAnsi="Times New Roman" w:cs="Times New Roman"/>
                <w:noProof/>
                <w:webHidden/>
                <w:sz w:val="24"/>
                <w:szCs w:val="24"/>
              </w:rPr>
              <w:t>2</w:t>
            </w:r>
            <w:r w:rsidR="000E2147" w:rsidRPr="009B7B68">
              <w:rPr>
                <w:rFonts w:ascii="Times New Roman" w:hAnsi="Times New Roman" w:cs="Times New Roman"/>
                <w:noProof/>
                <w:webHidden/>
                <w:sz w:val="24"/>
                <w:szCs w:val="24"/>
              </w:rPr>
              <w:fldChar w:fldCharType="end"/>
            </w:r>
          </w:hyperlink>
        </w:p>
        <w:p w14:paraId="5EFE7DBE"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3" w:history="1">
            <w:r w:rsidRPr="009B7B68">
              <w:rPr>
                <w:rStyle w:val="Hyperlink"/>
                <w:rFonts w:ascii="Times New Roman" w:hAnsi="Times New Roman" w:cs="Times New Roman"/>
                <w:noProof/>
                <w:color w:val="auto"/>
                <w:sz w:val="24"/>
                <w:szCs w:val="24"/>
              </w:rPr>
              <w:t>Task 2: Mind Map</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_Toc215505843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3</w:t>
            </w:r>
            <w:r w:rsidRPr="009B7B68">
              <w:rPr>
                <w:rFonts w:ascii="Times New Roman" w:hAnsi="Times New Roman" w:cs="Times New Roman"/>
                <w:noProof/>
                <w:webHidden/>
                <w:sz w:val="24"/>
                <w:szCs w:val="24"/>
              </w:rPr>
              <w:fldChar w:fldCharType="end"/>
            </w:r>
          </w:hyperlink>
        </w:p>
        <w:p w14:paraId="642ABA23"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4" w:history="1">
            <w:r w:rsidRPr="009B7B68">
              <w:rPr>
                <w:rStyle w:val="Hyperlink"/>
                <w:rFonts w:ascii="Times New Roman" w:hAnsi="Times New Roman" w:cs="Times New Roman"/>
                <w:noProof/>
                <w:color w:val="auto"/>
                <w:sz w:val="24"/>
                <w:szCs w:val="24"/>
              </w:rPr>
              <w:t>Task 3: Self-Reflection of Group Activity</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_Toc215505844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5</w:t>
            </w:r>
            <w:r w:rsidRPr="009B7B68">
              <w:rPr>
                <w:rFonts w:ascii="Times New Roman" w:hAnsi="Times New Roman" w:cs="Times New Roman"/>
                <w:noProof/>
                <w:webHidden/>
                <w:sz w:val="24"/>
                <w:szCs w:val="24"/>
              </w:rPr>
              <w:fldChar w:fldCharType="end"/>
            </w:r>
          </w:hyperlink>
        </w:p>
        <w:p w14:paraId="5633C1EE"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5" w:history="1">
            <w:r w:rsidRPr="009B7B68">
              <w:rPr>
                <w:rStyle w:val="Hyperlink"/>
                <w:rFonts w:ascii="Times New Roman" w:hAnsi="Times New Roman" w:cs="Times New Roman"/>
                <w:noProof/>
                <w:color w:val="auto"/>
                <w:sz w:val="24"/>
                <w:szCs w:val="24"/>
              </w:rPr>
              <w:t>Task 4: Case Study Analysis of a UK Innovation</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_Toc215505845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6</w:t>
            </w:r>
            <w:r w:rsidRPr="009B7B68">
              <w:rPr>
                <w:rFonts w:ascii="Times New Roman" w:hAnsi="Times New Roman" w:cs="Times New Roman"/>
                <w:noProof/>
                <w:webHidden/>
                <w:sz w:val="24"/>
                <w:szCs w:val="24"/>
              </w:rPr>
              <w:fldChar w:fldCharType="end"/>
            </w:r>
          </w:hyperlink>
        </w:p>
        <w:p w14:paraId="1AA3B2E9"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6" w:history="1">
            <w:r w:rsidRPr="009B7B68">
              <w:rPr>
                <w:rStyle w:val="Hyperlink"/>
                <w:rFonts w:ascii="Times New Roman" w:hAnsi="Times New Roman" w:cs="Times New Roman"/>
                <w:noProof/>
                <w:color w:val="auto"/>
                <w:sz w:val="24"/>
                <w:szCs w:val="24"/>
              </w:rPr>
              <w:t>Task 5: Research Task</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_Toc215505846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6</w:t>
            </w:r>
            <w:r w:rsidRPr="009B7B68">
              <w:rPr>
                <w:rFonts w:ascii="Times New Roman" w:hAnsi="Times New Roman" w:cs="Times New Roman"/>
                <w:noProof/>
                <w:webHidden/>
                <w:sz w:val="24"/>
                <w:szCs w:val="24"/>
              </w:rPr>
              <w:fldChar w:fldCharType="end"/>
            </w:r>
          </w:hyperlink>
        </w:p>
        <w:p w14:paraId="15135A42"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7" w:history="1">
            <w:r w:rsidRPr="009B7B68">
              <w:rPr>
                <w:rStyle w:val="Hyperlink"/>
                <w:rFonts w:ascii="Times New Roman" w:hAnsi="Times New Roman" w:cs="Times New Roman"/>
                <w:noProof/>
                <w:color w:val="auto"/>
                <w:sz w:val="24"/>
                <w:szCs w:val="24"/>
              </w:rPr>
              <w:t>Task 6: Exploring Digital Innovation in Health and Social Care</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_Toc215505847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7</w:t>
            </w:r>
            <w:r w:rsidRPr="009B7B68">
              <w:rPr>
                <w:rFonts w:ascii="Times New Roman" w:hAnsi="Times New Roman" w:cs="Times New Roman"/>
                <w:noProof/>
                <w:webHidden/>
                <w:sz w:val="24"/>
                <w:szCs w:val="24"/>
              </w:rPr>
              <w:fldChar w:fldCharType="end"/>
            </w:r>
          </w:hyperlink>
        </w:p>
        <w:p w14:paraId="227A3FA4"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8" w:history="1">
            <w:r w:rsidRPr="009B7B68">
              <w:rPr>
                <w:rStyle w:val="Hyperlink"/>
                <w:rFonts w:ascii="Times New Roman" w:hAnsi="Times New Roman" w:cs="Times New Roman"/>
                <w:noProof/>
                <w:color w:val="auto"/>
                <w:sz w:val="24"/>
                <w:szCs w:val="24"/>
              </w:rPr>
              <w:t>Task 7: Understanding the NHS Leadership Framework</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_Toc215505848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8</w:t>
            </w:r>
            <w:r w:rsidRPr="009B7B68">
              <w:rPr>
                <w:rFonts w:ascii="Times New Roman" w:hAnsi="Times New Roman" w:cs="Times New Roman"/>
                <w:noProof/>
                <w:webHidden/>
                <w:sz w:val="24"/>
                <w:szCs w:val="24"/>
              </w:rPr>
              <w:fldChar w:fldCharType="end"/>
            </w:r>
          </w:hyperlink>
        </w:p>
        <w:p w14:paraId="46E829C1"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49" w:history="1">
            <w:r w:rsidRPr="009B7B68">
              <w:rPr>
                <w:rStyle w:val="Hyperlink"/>
                <w:rFonts w:ascii="Times New Roman" w:hAnsi="Times New Roman" w:cs="Times New Roman"/>
                <w:noProof/>
                <w:color w:val="auto"/>
                <w:sz w:val="24"/>
                <w:szCs w:val="24"/>
              </w:rPr>
              <w:t>Task 8: Self-Reflection Journal Entry</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_Toc215505849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9</w:t>
            </w:r>
            <w:r w:rsidRPr="009B7B68">
              <w:rPr>
                <w:rFonts w:ascii="Times New Roman" w:hAnsi="Times New Roman" w:cs="Times New Roman"/>
                <w:noProof/>
                <w:webHidden/>
                <w:sz w:val="24"/>
                <w:szCs w:val="24"/>
              </w:rPr>
              <w:fldChar w:fldCharType="end"/>
            </w:r>
          </w:hyperlink>
        </w:p>
        <w:p w14:paraId="5396AD46" w14:textId="77777777" w:rsidR="000E2147" w:rsidRPr="009B7B68" w:rsidRDefault="000E2147" w:rsidP="000E2147">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505850" w:history="1">
            <w:r w:rsidRPr="009B7B68">
              <w:rPr>
                <w:rStyle w:val="Hyperlink"/>
                <w:rFonts w:ascii="Times New Roman" w:hAnsi="Times New Roman" w:cs="Times New Roman"/>
                <w:noProof/>
                <w:color w:val="auto"/>
                <w:sz w:val="24"/>
                <w:szCs w:val="24"/>
              </w:rPr>
              <w:t>References</w:t>
            </w:r>
            <w:r w:rsidRPr="009B7B68">
              <w:rPr>
                <w:rFonts w:ascii="Times New Roman" w:hAnsi="Times New Roman" w:cs="Times New Roman"/>
                <w:noProof/>
                <w:webHidden/>
                <w:sz w:val="24"/>
                <w:szCs w:val="24"/>
              </w:rPr>
              <w:tab/>
            </w:r>
            <w:r w:rsidRPr="009B7B68">
              <w:rPr>
                <w:rFonts w:ascii="Times New Roman" w:hAnsi="Times New Roman" w:cs="Times New Roman"/>
                <w:noProof/>
                <w:webHidden/>
                <w:sz w:val="24"/>
                <w:szCs w:val="24"/>
              </w:rPr>
              <w:fldChar w:fldCharType="begin"/>
            </w:r>
            <w:r w:rsidRPr="009B7B68">
              <w:rPr>
                <w:rFonts w:ascii="Times New Roman" w:hAnsi="Times New Roman" w:cs="Times New Roman"/>
                <w:noProof/>
                <w:webHidden/>
                <w:sz w:val="24"/>
                <w:szCs w:val="24"/>
              </w:rPr>
              <w:instrText xml:space="preserve"> PAGEREF _Toc215505850 \h </w:instrText>
            </w:r>
            <w:r w:rsidRPr="009B7B68">
              <w:rPr>
                <w:rFonts w:ascii="Times New Roman" w:hAnsi="Times New Roman" w:cs="Times New Roman"/>
                <w:noProof/>
                <w:webHidden/>
                <w:sz w:val="24"/>
                <w:szCs w:val="24"/>
              </w:rPr>
            </w:r>
            <w:r w:rsidRPr="009B7B68">
              <w:rPr>
                <w:rFonts w:ascii="Times New Roman" w:hAnsi="Times New Roman" w:cs="Times New Roman"/>
                <w:noProof/>
                <w:webHidden/>
                <w:sz w:val="24"/>
                <w:szCs w:val="24"/>
              </w:rPr>
              <w:fldChar w:fldCharType="separate"/>
            </w:r>
            <w:r w:rsidRPr="009B7B68">
              <w:rPr>
                <w:rFonts w:ascii="Times New Roman" w:hAnsi="Times New Roman" w:cs="Times New Roman"/>
                <w:noProof/>
                <w:webHidden/>
                <w:sz w:val="24"/>
                <w:szCs w:val="24"/>
              </w:rPr>
              <w:t>11</w:t>
            </w:r>
            <w:r w:rsidRPr="009B7B68">
              <w:rPr>
                <w:rFonts w:ascii="Times New Roman" w:hAnsi="Times New Roman" w:cs="Times New Roman"/>
                <w:noProof/>
                <w:webHidden/>
                <w:sz w:val="24"/>
                <w:szCs w:val="24"/>
              </w:rPr>
              <w:fldChar w:fldCharType="end"/>
            </w:r>
          </w:hyperlink>
        </w:p>
        <w:p w14:paraId="5682404D" w14:textId="77777777" w:rsidR="000D1508" w:rsidRPr="009B7B68" w:rsidRDefault="00AF3AF0" w:rsidP="000E2147">
          <w:pPr>
            <w:spacing w:before="120" w:after="120" w:line="360" w:lineRule="auto"/>
            <w:jc w:val="both"/>
            <w:rPr>
              <w:rFonts w:ascii="Times New Roman" w:hAnsi="Times New Roman" w:cs="Times New Roman"/>
              <w:sz w:val="24"/>
              <w:szCs w:val="24"/>
            </w:rPr>
          </w:pPr>
          <w:r w:rsidRPr="009B7B68">
            <w:rPr>
              <w:rFonts w:ascii="Times New Roman" w:hAnsi="Times New Roman" w:cs="Times New Roman"/>
              <w:sz w:val="24"/>
              <w:szCs w:val="24"/>
            </w:rPr>
            <w:fldChar w:fldCharType="end"/>
          </w:r>
        </w:p>
      </w:sdtContent>
    </w:sdt>
    <w:p w14:paraId="5DE9BD10" w14:textId="77777777" w:rsidR="000D1508" w:rsidRPr="009B7B68" w:rsidRDefault="00AF3AF0" w:rsidP="00CE1EDE">
      <w:pPr>
        <w:spacing w:before="120" w:after="120" w:line="360" w:lineRule="auto"/>
        <w:jc w:val="both"/>
        <w:rPr>
          <w:rFonts w:ascii="Times New Roman" w:eastAsia="Times New Roman" w:hAnsi="Times New Roman" w:cs="Times New Roman"/>
          <w:b/>
          <w:bCs/>
          <w:sz w:val="24"/>
          <w:szCs w:val="24"/>
        </w:rPr>
      </w:pPr>
      <w:r w:rsidRPr="009B7B68">
        <w:rPr>
          <w:rFonts w:ascii="Times New Roman" w:hAnsi="Times New Roman" w:cs="Times New Roman"/>
          <w:sz w:val="24"/>
          <w:szCs w:val="24"/>
        </w:rPr>
        <w:br w:type="page"/>
      </w:r>
    </w:p>
    <w:p w14:paraId="6B06E8A6" w14:textId="77777777" w:rsidR="000D1508" w:rsidRPr="009B7B68" w:rsidRDefault="00AF3AF0">
      <w:pPr>
        <w:pStyle w:val="Heading1"/>
        <w:rPr>
          <w:color w:val="auto"/>
          <w:highlight w:val="white"/>
        </w:rPr>
      </w:pPr>
      <w:bookmarkStart w:id="1" w:name="_Toc215505842"/>
      <w:r w:rsidRPr="009B7B68">
        <w:rPr>
          <w:color w:val="auto"/>
        </w:rPr>
        <w:lastRenderedPageBreak/>
        <w:t>Task 1: Defining Key Concepts in Practic</w:t>
      </w:r>
      <w:r w:rsidR="00775BA3" w:rsidRPr="009B7B68">
        <w:rPr>
          <w:color w:val="auto"/>
        </w:rPr>
        <w:t>e</w:t>
      </w:r>
      <w:bookmarkEnd w:id="1"/>
      <w:r w:rsidR="00775BA3" w:rsidRPr="009B7B68">
        <w:rPr>
          <w:color w:val="auto"/>
        </w:rPr>
        <w:t xml:space="preserve"> </w:t>
      </w:r>
    </w:p>
    <w:p w14:paraId="03182058"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 xml:space="preserve">Innovation </w:t>
      </w:r>
    </w:p>
    <w:p w14:paraId="4F9D8325"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Innovation is regarded as the introduction and consideration of new or developed ideas in regard to specific services, methods, </w:t>
      </w:r>
      <w:r w:rsidR="00391FE0" w:rsidRPr="009B7B68">
        <w:rPr>
          <w:rFonts w:ascii="Times New Roman" w:eastAsia="Times New Roman" w:hAnsi="Times New Roman" w:cs="Times New Roman"/>
          <w:sz w:val="24"/>
          <w:szCs w:val="24"/>
        </w:rPr>
        <w:t>products,</w:t>
      </w:r>
      <w:r w:rsidRPr="009B7B68">
        <w:rPr>
          <w:rFonts w:ascii="Times New Roman" w:eastAsia="Times New Roman" w:hAnsi="Times New Roman" w:cs="Times New Roman"/>
          <w:sz w:val="24"/>
          <w:szCs w:val="24"/>
        </w:rPr>
        <w:t xml:space="preserve"> and technologies that upgrade the quality, efficiency, sustainability, safety, as well as affordability of health care (Stasevych and Zvarych, 2023). For instance, ‘innovation in healthcare includes the formation of any discoveries. The tele-monitoring positively impacts the organisation through </w:t>
      </w:r>
      <w:r w:rsidRPr="009B7B68">
        <w:rPr>
          <w:rFonts w:ascii="Times New Roman" w:eastAsia="Times New Roman" w:hAnsi="Times New Roman" w:cs="Times New Roman"/>
          <w:i/>
          <w:iCs/>
          <w:sz w:val="24"/>
          <w:szCs w:val="24"/>
        </w:rPr>
        <w:t>improved self-care</w:t>
      </w:r>
      <w:r w:rsidRPr="009B7B68">
        <w:rPr>
          <w:rFonts w:ascii="Times New Roman" w:eastAsia="Times New Roman" w:hAnsi="Times New Roman" w:cs="Times New Roman"/>
          <w:sz w:val="24"/>
          <w:szCs w:val="24"/>
        </w:rPr>
        <w:t xml:space="preserve">, </w:t>
      </w:r>
      <w:r w:rsidRPr="009B7B68">
        <w:rPr>
          <w:rFonts w:ascii="Times New Roman" w:eastAsia="Times New Roman" w:hAnsi="Times New Roman" w:cs="Times New Roman"/>
          <w:i/>
          <w:iCs/>
          <w:sz w:val="24"/>
          <w:szCs w:val="24"/>
        </w:rPr>
        <w:t>optimised communication</w:t>
      </w:r>
      <w:r w:rsidRPr="009B7B68">
        <w:rPr>
          <w:rFonts w:ascii="Times New Roman" w:eastAsia="Times New Roman" w:hAnsi="Times New Roman" w:cs="Times New Roman"/>
          <w:sz w:val="24"/>
          <w:szCs w:val="24"/>
        </w:rPr>
        <w:t xml:space="preserve"> and </w:t>
      </w:r>
      <w:r w:rsidRPr="009B7B68">
        <w:rPr>
          <w:rFonts w:ascii="Times New Roman" w:eastAsia="Times New Roman" w:hAnsi="Times New Roman" w:cs="Times New Roman"/>
          <w:i/>
          <w:iCs/>
          <w:sz w:val="24"/>
          <w:szCs w:val="24"/>
        </w:rPr>
        <w:t>facilitating the health trend visualisation</w:t>
      </w:r>
      <w:r w:rsidRPr="009B7B68">
        <w:rPr>
          <w:rFonts w:ascii="Times New Roman" w:eastAsia="Times New Roman" w:hAnsi="Times New Roman" w:cs="Times New Roman"/>
          <w:sz w:val="24"/>
          <w:szCs w:val="24"/>
        </w:rPr>
        <w:t xml:space="preserve"> by providing a clear view of patients’ health (Nhs.uk, 2025). In contrast, it has some limitations in the organisation, such as increasing the workload for employees, developing anxiety in </w:t>
      </w:r>
      <w:r w:rsidR="00437278" w:rsidRPr="009B7B68">
        <w:rPr>
          <w:rFonts w:ascii="Times New Roman" w:eastAsia="Times New Roman" w:hAnsi="Times New Roman" w:cs="Times New Roman"/>
          <w:sz w:val="24"/>
          <w:szCs w:val="24"/>
        </w:rPr>
        <w:t>patients,</w:t>
      </w:r>
      <w:r w:rsidRPr="009B7B68">
        <w:rPr>
          <w:rFonts w:ascii="Times New Roman" w:eastAsia="Times New Roman" w:hAnsi="Times New Roman" w:cs="Times New Roman"/>
          <w:sz w:val="24"/>
          <w:szCs w:val="24"/>
        </w:rPr>
        <w:t xml:space="preserve"> and posing data privacy concerns related to the accuracy of data collected through tele-monitoring devices. This new method develops access, minimises travel burden, and upgrades patient outcomes (Creber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2023). </w:t>
      </w:r>
    </w:p>
    <w:p w14:paraId="68BCFE9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Creativity</w:t>
      </w:r>
    </w:p>
    <w:p w14:paraId="35805AD3"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Creativity is stated as the capability to form novel and useful approaches, which generally function as the precursor to innovation (Flessa and Huebner, 2021). For example, creativity in health-professional practice is regarded as the capability to formulate and form novel and useful ideas to mitigate the prevailing issues. In a health-care setting, a nurse devising a new way to interact with discharge instructions using a ‘pictograph’ summary for low-literacy patients reflects the example of creativity as a useful process to support development (Cheng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2023).</w:t>
      </w:r>
    </w:p>
    <w:p w14:paraId="18291451"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Value creation</w:t>
      </w:r>
    </w:p>
    <w:p w14:paraId="7AFD1BB9"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Value creation is regarded as the method of changing resources into key assets that have exceeded perceived value for stakeholders and customers (Solakis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2022). In healthcare, value creation is reflected through collaborative methods, including patient-provider collaboration</w:t>
      </w:r>
      <w:r w:rsidR="000D3406" w:rsidRPr="009B7B68">
        <w:rPr>
          <w:rFonts w:ascii="Times New Roman" w:eastAsia="Times New Roman" w:hAnsi="Times New Roman" w:cs="Times New Roman"/>
          <w:sz w:val="24"/>
          <w:szCs w:val="24"/>
        </w:rPr>
        <w:t>.</w:t>
      </w:r>
    </w:p>
    <w:p w14:paraId="5B1D802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Change</w:t>
      </w:r>
    </w:p>
    <w:p w14:paraId="15CAC41F"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Change within professional settings incorporates shifting behaviours, culture, and structures to adapt to new issues or develop performance (Alvesson and Sveningsson, 2024). In the context of Lewin’s Change Model, which defines three stages for the successful implementation of the change process, including </w:t>
      </w:r>
      <w:r w:rsidRPr="009B7B68">
        <w:rPr>
          <w:rFonts w:ascii="Times New Roman" w:eastAsia="Times New Roman" w:hAnsi="Times New Roman" w:cs="Times New Roman"/>
          <w:i/>
          <w:iCs/>
          <w:sz w:val="24"/>
          <w:szCs w:val="24"/>
        </w:rPr>
        <w:t xml:space="preserve">unfreeze, change </w:t>
      </w:r>
      <w:r w:rsidRPr="009B7B68">
        <w:rPr>
          <w:rFonts w:ascii="Times New Roman" w:eastAsia="Times New Roman" w:hAnsi="Times New Roman" w:cs="Times New Roman"/>
          <w:sz w:val="24"/>
          <w:szCs w:val="24"/>
        </w:rPr>
        <w:t xml:space="preserve">and </w:t>
      </w:r>
      <w:r w:rsidRPr="009B7B68">
        <w:rPr>
          <w:rFonts w:ascii="Times New Roman" w:eastAsia="Times New Roman" w:hAnsi="Times New Roman" w:cs="Times New Roman"/>
          <w:i/>
          <w:iCs/>
          <w:sz w:val="24"/>
          <w:szCs w:val="24"/>
        </w:rPr>
        <w:t xml:space="preserve">refreeze </w:t>
      </w:r>
      <w:r w:rsidRPr="009B7B68">
        <w:rPr>
          <w:rFonts w:ascii="Times New Roman" w:eastAsia="Times New Roman" w:hAnsi="Times New Roman" w:cs="Times New Roman"/>
          <w:sz w:val="24"/>
          <w:szCs w:val="24"/>
        </w:rPr>
        <w:t xml:space="preserve">(Burnes, 2020). The NHS applied changes regarding innovation and creativity, complying with this model. In the unfreeze stage, </w:t>
      </w:r>
      <w:r w:rsidRPr="009B7B68">
        <w:rPr>
          <w:rFonts w:ascii="Times New Roman" w:eastAsia="Times New Roman" w:hAnsi="Times New Roman" w:cs="Times New Roman"/>
          <w:sz w:val="24"/>
          <w:szCs w:val="24"/>
        </w:rPr>
        <w:lastRenderedPageBreak/>
        <w:t>NHS identifies the need for change regarding the system drivers and project and performance management and communicates the changes with employees and involves various stakeholders like clinicians and managers. In the refreeze stage, NHS empowers the action and provides training and support for the successful application of the changes. The refreeze stage within the NHS complies with reinforcing new behaviours and anchors the changes with new policies and procedures (Nhs.uk, 2025). For instance, a hospital ward incorporating a new electronic health record workflow, giving training to employees, engaging leadership.</w:t>
      </w:r>
    </w:p>
    <w:p w14:paraId="1ED28C37" w14:textId="77777777" w:rsidR="000D1508" w:rsidRPr="009B7B68" w:rsidRDefault="00AF3AF0">
      <w:pPr>
        <w:pStyle w:val="Heading1"/>
        <w:rPr>
          <w:color w:val="auto"/>
        </w:rPr>
      </w:pPr>
      <w:bookmarkStart w:id="2" w:name="_Toc215505843"/>
      <w:r w:rsidRPr="009B7B68">
        <w:rPr>
          <w:color w:val="auto"/>
        </w:rPr>
        <w:t>Task 2: Mind Map</w:t>
      </w:r>
      <w:bookmarkEnd w:id="2"/>
    </w:p>
    <w:p w14:paraId="0E59E13E"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w:t>
      </w:r>
      <w:r w:rsidRPr="009B7B68">
        <w:rPr>
          <w:rFonts w:ascii="Times New Roman" w:eastAsia="Times New Roman" w:hAnsi="Times New Roman" w:cs="Times New Roman"/>
          <w:i/>
          <w:iCs/>
          <w:sz w:val="24"/>
          <w:szCs w:val="24"/>
        </w:rPr>
        <w:t xml:space="preserve">Triple Aim Framework </w:t>
      </w:r>
      <w:r w:rsidRPr="009B7B68">
        <w:rPr>
          <w:rFonts w:ascii="Times New Roman" w:eastAsia="Times New Roman" w:hAnsi="Times New Roman" w:cs="Times New Roman"/>
          <w:sz w:val="24"/>
          <w:szCs w:val="24"/>
        </w:rPr>
        <w:t>refers to the model for enhancing the health system performances by stimulating three goals, including</w:t>
      </w:r>
      <w:r w:rsidRPr="009B7B68">
        <w:rPr>
          <w:rFonts w:ascii="Times New Roman" w:eastAsia="Times New Roman" w:hAnsi="Times New Roman" w:cs="Times New Roman"/>
          <w:i/>
          <w:iCs/>
          <w:sz w:val="24"/>
          <w:szCs w:val="24"/>
        </w:rPr>
        <w:t xml:space="preserve"> optimised patient care, enhanced health of populations </w:t>
      </w:r>
      <w:r w:rsidRPr="009B7B68">
        <w:rPr>
          <w:rFonts w:ascii="Times New Roman" w:eastAsia="Times New Roman" w:hAnsi="Times New Roman" w:cs="Times New Roman"/>
          <w:sz w:val="24"/>
          <w:szCs w:val="24"/>
        </w:rPr>
        <w:t xml:space="preserve">and </w:t>
      </w:r>
      <w:r w:rsidRPr="009B7B68">
        <w:rPr>
          <w:rFonts w:ascii="Times New Roman" w:eastAsia="Times New Roman" w:hAnsi="Times New Roman" w:cs="Times New Roman"/>
          <w:i/>
          <w:iCs/>
          <w:sz w:val="24"/>
          <w:szCs w:val="24"/>
        </w:rPr>
        <w:t>reducing the costs</w:t>
      </w:r>
      <w:r w:rsidRPr="009B7B68">
        <w:rPr>
          <w:rFonts w:ascii="Times New Roman" w:eastAsia="Times New Roman" w:hAnsi="Times New Roman" w:cs="Times New Roman"/>
          <w:sz w:val="24"/>
          <w:szCs w:val="24"/>
        </w:rPr>
        <w:t xml:space="preserve"> (Kokko, 2022). In this regard, the tele</w:t>
      </w:r>
      <w:r w:rsidR="00300851" w:rsidRPr="009B7B68">
        <w:rPr>
          <w:rFonts w:ascii="Times New Roman" w:eastAsia="Times New Roman" w:hAnsi="Times New Roman" w:cs="Times New Roman"/>
          <w:sz w:val="24"/>
          <w:szCs w:val="24"/>
        </w:rPr>
        <w:t>-</w:t>
      </w:r>
      <w:r w:rsidRPr="009B7B68">
        <w:rPr>
          <w:rFonts w:ascii="Times New Roman" w:eastAsia="Times New Roman" w:hAnsi="Times New Roman" w:cs="Times New Roman"/>
          <w:sz w:val="24"/>
          <w:szCs w:val="24"/>
        </w:rPr>
        <w:t xml:space="preserve">monitoring aligns with the national policy goals and facilitates innovative solutions through optimised access and convenience, greater patient engagement and enhanced quality and satisfaction.  Moreover, the innovative approaches facilitate the proactive disease </w:t>
      </w:r>
      <w:r w:rsidR="00300851" w:rsidRPr="009B7B68">
        <w:rPr>
          <w:rFonts w:ascii="Times New Roman" w:eastAsia="Times New Roman" w:hAnsi="Times New Roman" w:cs="Times New Roman"/>
          <w:sz w:val="24"/>
          <w:szCs w:val="24"/>
        </w:rPr>
        <w:t>management</w:t>
      </w:r>
      <w:r w:rsidRPr="009B7B68">
        <w:rPr>
          <w:rFonts w:ascii="Times New Roman" w:eastAsia="Times New Roman" w:hAnsi="Times New Roman" w:cs="Times New Roman"/>
          <w:sz w:val="24"/>
          <w:szCs w:val="24"/>
        </w:rPr>
        <w:t xml:space="preserve">, reduce readmissions and reduce the overall financial burdens by preventing costly hospital stays and emergency interventions. As a result, it directly impacts the optimisation of the health of populations and the reduction in the per capita costs. One of the concerning ‘health and social care issues’ is the increasing pressure of chronic diseases like ‘cardiovascular disease (CVD)’ and ‘chronic obstructive pulmonary disease (COPD)’, which has resulted in a huge rate of deaths globally. In the UK, around 15 million individuals are living with one or more long-term issues, and this costs around 70% of healthcare budgets (Creber </w:t>
      </w:r>
      <w:r w:rsidRPr="009B7B68">
        <w:rPr>
          <w:rFonts w:ascii="Times New Roman" w:eastAsia="Times New Roman" w:hAnsi="Times New Roman" w:cs="Times New Roman"/>
          <w:i/>
          <w:iCs/>
          <w:sz w:val="24"/>
          <w:szCs w:val="24"/>
        </w:rPr>
        <w:t xml:space="preserve">et al. </w:t>
      </w:r>
      <w:r w:rsidR="00746036" w:rsidRPr="009B7B68">
        <w:rPr>
          <w:rFonts w:ascii="Times New Roman" w:eastAsia="Times New Roman" w:hAnsi="Times New Roman" w:cs="Times New Roman"/>
          <w:sz w:val="24"/>
          <w:szCs w:val="24"/>
        </w:rPr>
        <w:t>2023).</w:t>
      </w:r>
    </w:p>
    <w:p w14:paraId="2922B109"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9B7B68">
        <w:rPr>
          <w:rFonts w:ascii="Times New Roman" w:eastAsia="Times New Roman" w:hAnsi="Times New Roman" w:cs="Times New Roman"/>
          <w:noProof/>
          <w:sz w:val="24"/>
          <w:szCs w:val="24"/>
          <w:lang w:val="en-IN" w:eastAsia="en-IN"/>
        </w:rPr>
        <w:drawing>
          <wp:inline distT="114300" distB="114300" distL="114300" distR="114300" wp14:anchorId="5B127E9B" wp14:editId="6F8FE516">
            <wp:extent cx="4743450" cy="2495550"/>
            <wp:effectExtent l="19050" t="19050" r="19050" b="1905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49443" cy="2498703"/>
                    </a:xfrm>
                    <a:prstGeom prst="rect">
                      <a:avLst/>
                    </a:prstGeom>
                    <a:ln w="25400">
                      <a:solidFill>
                        <a:srgbClr val="000000"/>
                      </a:solidFill>
                      <a:prstDash val="solid"/>
                    </a:ln>
                  </pic:spPr>
                </pic:pic>
              </a:graphicData>
            </a:graphic>
          </wp:inline>
        </w:drawing>
      </w:r>
    </w:p>
    <w:p w14:paraId="32EE71E0"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b/>
          <w:bCs/>
          <w:sz w:val="24"/>
          <w:szCs w:val="24"/>
        </w:rPr>
      </w:pPr>
      <w:r w:rsidRPr="009B7B68">
        <w:rPr>
          <w:rFonts w:ascii="Times New Roman" w:eastAsia="Times New Roman" w:hAnsi="Times New Roman" w:cs="Times New Roman"/>
          <w:b/>
          <w:bCs/>
          <w:sz w:val="24"/>
          <w:szCs w:val="24"/>
        </w:rPr>
        <w:lastRenderedPageBreak/>
        <w:t>Figure 1: Mind Map</w:t>
      </w:r>
    </w:p>
    <w:p w14:paraId="00935C6B" w14:textId="77777777" w:rsidR="000D1508" w:rsidRPr="009B7B68" w:rsidRDefault="00AF3AF0">
      <w:pPr>
        <w:pBdr>
          <w:top w:val="nil"/>
          <w:left w:val="nil"/>
          <w:bottom w:val="nil"/>
          <w:right w:val="nil"/>
          <w:between w:val="nil"/>
        </w:pBdr>
        <w:spacing w:before="120" w:after="120" w:line="360" w:lineRule="auto"/>
        <w:jc w:val="center"/>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(Source: Self-Developed)</w:t>
      </w:r>
    </w:p>
    <w:p w14:paraId="304D37A2"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mind map demonstrates the relationship of the increasing burden of chronic diseases with its key components, including innovation, issues and stakeholders involved and benefits and outcomes. Moreover, it depicts that the collaborative approaches of these four elements pose the integration of cloud-based processing, which reduces the burdens of hospital administrators. </w:t>
      </w:r>
    </w:p>
    <w:p w14:paraId="1D5C15A0" w14:textId="77777777" w:rsidR="000D1508" w:rsidRPr="009B7B68" w:rsidRDefault="00AF3AF0">
      <w:pPr>
        <w:pStyle w:val="Heading1"/>
        <w:rPr>
          <w:color w:val="auto"/>
        </w:rPr>
      </w:pPr>
      <w:bookmarkStart w:id="3" w:name="_heading=h.dtwmbv2qp2yl" w:colFirst="0" w:colLast="0"/>
      <w:bookmarkEnd w:id="3"/>
      <w:r w:rsidRPr="009B7B68">
        <w:rPr>
          <w:color w:val="auto"/>
        </w:rPr>
        <w:br w:type="page"/>
      </w:r>
      <w:bookmarkStart w:id="4" w:name="_Toc215505844"/>
      <w:r w:rsidRPr="009B7B68">
        <w:rPr>
          <w:color w:val="auto"/>
        </w:rPr>
        <w:lastRenderedPageBreak/>
        <w:t>Task 3: Self-Reflection of Group Activity</w:t>
      </w:r>
      <w:bookmarkEnd w:id="4"/>
    </w:p>
    <w:p w14:paraId="70B65CF2"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i/>
          <w:iCs/>
          <w:sz w:val="24"/>
          <w:szCs w:val="24"/>
          <w:u w:val="single"/>
        </w:rPr>
      </w:pPr>
      <w:r w:rsidRPr="009B7B68">
        <w:rPr>
          <w:rFonts w:ascii="Times New Roman" w:eastAsia="Times New Roman" w:hAnsi="Times New Roman" w:cs="Times New Roman"/>
          <w:i/>
          <w:iCs/>
          <w:sz w:val="24"/>
          <w:szCs w:val="24"/>
          <w:u w:val="single"/>
        </w:rPr>
        <w:t xml:space="preserve">Driscoll's reflective model </w:t>
      </w:r>
    </w:p>
    <w:p w14:paraId="1F18B2DB"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Driscoll's reflective model is a well-structured three-stage framework for reflection of core experiences based on what, so what and now what. In addition, the concerned model guides through the description of experiences, examines its importance and plans for future actions to achieve personal and professional growth (Golaghaie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2019). In this regard, personal reflection on the convergent thinking process is described below. </w:t>
      </w:r>
    </w:p>
    <w:p w14:paraId="11922BE4"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i/>
          <w:iCs/>
          <w:sz w:val="24"/>
          <w:szCs w:val="24"/>
        </w:rPr>
      </w:pPr>
      <w:r w:rsidRPr="009B7B68">
        <w:rPr>
          <w:rFonts w:ascii="Times New Roman" w:eastAsia="Times New Roman" w:hAnsi="Times New Roman" w:cs="Times New Roman"/>
          <w:i/>
          <w:iCs/>
          <w:sz w:val="24"/>
          <w:szCs w:val="24"/>
        </w:rPr>
        <w:t>What?</w:t>
      </w:r>
    </w:p>
    <w:p w14:paraId="2FAA8360"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Convergent thinking focuses on evaluating an idea to acquire a logical solution, while divergent thinking incorporates forming diverse creative ideas without immediate judgment (Thomas, 2024). It will influence my future professional practice through enhanced decision-making and facilitating problem-solving skills without fail. </w:t>
      </w:r>
    </w:p>
    <w:p w14:paraId="3B7EC088"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i/>
          <w:iCs/>
          <w:sz w:val="24"/>
          <w:szCs w:val="24"/>
        </w:rPr>
      </w:pPr>
      <w:r w:rsidRPr="009B7B68">
        <w:rPr>
          <w:rFonts w:ascii="Times New Roman" w:eastAsia="Times New Roman" w:hAnsi="Times New Roman" w:cs="Times New Roman"/>
          <w:i/>
          <w:iCs/>
          <w:sz w:val="24"/>
          <w:szCs w:val="24"/>
        </w:rPr>
        <w:t xml:space="preserve">So what? </w:t>
      </w:r>
    </w:p>
    <w:p w14:paraId="08AD0643"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I have clearly recognised that my main intention was to reflect the connection with convergent thinking, as I emphasise gathering more practical details when researching health issues and its solutions</w:t>
      </w:r>
      <w:r w:rsidR="00C85793" w:rsidRPr="009B7B68">
        <w:rPr>
          <w:rFonts w:ascii="Times New Roman" w:eastAsia="Times New Roman" w:hAnsi="Times New Roman" w:cs="Times New Roman"/>
          <w:sz w:val="24"/>
          <w:szCs w:val="24"/>
        </w:rPr>
        <w:t xml:space="preserve">. </w:t>
      </w:r>
      <w:r w:rsidRPr="009B7B68">
        <w:rPr>
          <w:rFonts w:ascii="Times New Roman" w:eastAsia="Times New Roman" w:hAnsi="Times New Roman" w:cs="Times New Roman"/>
          <w:sz w:val="24"/>
          <w:szCs w:val="24"/>
        </w:rPr>
        <w:t xml:space="preserve">The inclusion of convergent thinking will develop my expertise and knowledge and provide me with clarification, precision and accuracy. </w:t>
      </w:r>
    </w:p>
    <w:p w14:paraId="70D5FE8C"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i/>
          <w:iCs/>
          <w:sz w:val="24"/>
          <w:szCs w:val="24"/>
        </w:rPr>
      </w:pPr>
      <w:r w:rsidRPr="009B7B68">
        <w:rPr>
          <w:rFonts w:ascii="Times New Roman" w:eastAsia="Times New Roman" w:hAnsi="Times New Roman" w:cs="Times New Roman"/>
          <w:i/>
          <w:iCs/>
          <w:sz w:val="24"/>
          <w:szCs w:val="24"/>
        </w:rPr>
        <w:t xml:space="preserve">Now what? </w:t>
      </w:r>
    </w:p>
    <w:p w14:paraId="5C932244"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In regard to the future approach, there is a need to form an accurate balance </w:t>
      </w:r>
      <w:r w:rsidR="006D528F" w:rsidRPr="009B7B68">
        <w:rPr>
          <w:rFonts w:ascii="Times New Roman" w:eastAsia="Times New Roman" w:hAnsi="Times New Roman" w:cs="Times New Roman"/>
          <w:sz w:val="24"/>
          <w:szCs w:val="24"/>
        </w:rPr>
        <w:t>between both thinking processes</w:t>
      </w:r>
      <w:r w:rsidRPr="009B7B68">
        <w:rPr>
          <w:rFonts w:ascii="Times New Roman" w:eastAsia="Times New Roman" w:hAnsi="Times New Roman" w:cs="Times New Roman"/>
          <w:sz w:val="24"/>
          <w:szCs w:val="24"/>
        </w:rPr>
        <w:t xml:space="preserve">. Moreover, I need to focus more on the different approaches of convergent thinking that will directly impact my efficiency in risk mitigation and the execution of things successfully. </w:t>
      </w:r>
    </w:p>
    <w:p w14:paraId="139669A4"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concerned reflection will positively contribute towards my leadership approaches and creative problem-solving based on the </w:t>
      </w:r>
      <w:r w:rsidRPr="009B7B68">
        <w:rPr>
          <w:rFonts w:ascii="Times New Roman" w:eastAsia="Times New Roman" w:hAnsi="Times New Roman" w:cs="Times New Roman"/>
          <w:i/>
          <w:iCs/>
          <w:sz w:val="24"/>
          <w:szCs w:val="24"/>
        </w:rPr>
        <w:t>Wallas' 4-stage model</w:t>
      </w:r>
      <w:r w:rsidRPr="009B7B68">
        <w:rPr>
          <w:rFonts w:ascii="Times New Roman" w:eastAsia="Times New Roman" w:hAnsi="Times New Roman" w:cs="Times New Roman"/>
          <w:sz w:val="24"/>
          <w:szCs w:val="24"/>
        </w:rPr>
        <w:t xml:space="preserve">. The model refers to the creative process that explains preparation, incubation, illumination and verification that outlines the stages of developing creative ideas and application of the solution without fail (Erickson-Klein, 2021). In this regard, the collaborative inputs improved the team's creativity through the shared knowledge and diverse perspectives, continuous varied processing, collective breakthroughs and robust feedback, which covers all four stages of the creative process. As a result, it replicates that the </w:t>
      </w:r>
      <w:r w:rsidRPr="009B7B68">
        <w:rPr>
          <w:rFonts w:ascii="Times New Roman" w:eastAsia="Times New Roman" w:hAnsi="Times New Roman" w:cs="Times New Roman"/>
          <w:sz w:val="24"/>
          <w:szCs w:val="24"/>
        </w:rPr>
        <w:lastRenderedPageBreak/>
        <w:t xml:space="preserve">reflection will contribute to my leadership approaches in health and social care through integrating knowledge, determining knowledge gaps and promoting a continuous learning process for me. </w:t>
      </w:r>
    </w:p>
    <w:p w14:paraId="0C5F7161" w14:textId="77777777" w:rsidR="000D1508" w:rsidRPr="009B7B68" w:rsidRDefault="00AF3AF0">
      <w:pPr>
        <w:pStyle w:val="Heading1"/>
        <w:rPr>
          <w:color w:val="auto"/>
        </w:rPr>
      </w:pPr>
      <w:bookmarkStart w:id="5" w:name="_Toc215505845"/>
      <w:r w:rsidRPr="009B7B68">
        <w:rPr>
          <w:color w:val="auto"/>
        </w:rPr>
        <w:t>Task 4: Case Study Analysis of a UK Innovation</w:t>
      </w:r>
      <w:bookmarkEnd w:id="5"/>
    </w:p>
    <w:p w14:paraId="448D3D93"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One significant innovation within the NHS is the ‘NHS Remote Monitoring Service’, which is being developed to support patients suffering from chronic conditions like diabetes, COPD, as well as heart failure (Köhler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2024). Moreover, the </w:t>
      </w:r>
      <w:r w:rsidRPr="009B7B68">
        <w:rPr>
          <w:rFonts w:ascii="Times New Roman" w:eastAsia="Times New Roman" w:hAnsi="Times New Roman" w:cs="Times New Roman"/>
          <w:i/>
          <w:iCs/>
          <w:sz w:val="24"/>
          <w:szCs w:val="24"/>
        </w:rPr>
        <w:t xml:space="preserve">NHS Long Term Plan (2019) </w:t>
      </w:r>
      <w:r w:rsidRPr="009B7B68">
        <w:rPr>
          <w:rFonts w:ascii="Times New Roman" w:eastAsia="Times New Roman" w:hAnsi="Times New Roman" w:cs="Times New Roman"/>
          <w:sz w:val="24"/>
          <w:szCs w:val="24"/>
        </w:rPr>
        <w:t>outlines improving healthcare quality, integrating advanced technologies like genetic testing and online GP options, and supporting staff to bring better future outcomes (Nhs.uk, 2019). The plans of the organisation show the inclusion of innovative approaches that benefit the firm and pose some challenges as well. Some key challenges associated with the innovative approaches are data privacy issues and complexities in the application of advanced technologies. For instance, diverse individuals suffering from ‘Chronic Obstructive Pulmonary Disease (COPD)’ within Bradford District and Craven are supported in managing many of these issues from the comfort of their individual home, with life-changing assurance and help from a nurse-focused digital service (Nhs.uk, 2025).</w:t>
      </w:r>
    </w:p>
    <w:p w14:paraId="7980181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consideration of </w:t>
      </w:r>
      <w:r w:rsidRPr="009B7B68">
        <w:rPr>
          <w:rFonts w:ascii="Times New Roman" w:eastAsia="Times New Roman" w:hAnsi="Times New Roman" w:cs="Times New Roman"/>
          <w:i/>
          <w:iCs/>
          <w:sz w:val="24"/>
          <w:szCs w:val="24"/>
        </w:rPr>
        <w:t xml:space="preserve">Davidoff Quality Improvement (QI) </w:t>
      </w:r>
      <w:r w:rsidRPr="009B7B68">
        <w:rPr>
          <w:rFonts w:ascii="Times New Roman" w:eastAsia="Times New Roman" w:hAnsi="Times New Roman" w:cs="Times New Roman"/>
          <w:sz w:val="24"/>
          <w:szCs w:val="24"/>
        </w:rPr>
        <w:t>that defines the efforts of healthcare professionals to make innovative changes that will lead to better patient outcomes, system performance and instigate the professional development (Comfere</w:t>
      </w:r>
      <w:r w:rsidRPr="009B7B68">
        <w:rPr>
          <w:rFonts w:ascii="Times New Roman" w:eastAsia="Times New Roman" w:hAnsi="Times New Roman" w:cs="Times New Roman"/>
          <w:i/>
          <w:iCs/>
          <w:sz w:val="24"/>
          <w:szCs w:val="24"/>
        </w:rPr>
        <w:t xml:space="preserve"> et al.</w:t>
      </w:r>
      <w:r w:rsidRPr="009B7B68">
        <w:rPr>
          <w:rFonts w:ascii="Times New Roman" w:eastAsia="Times New Roman" w:hAnsi="Times New Roman" w:cs="Times New Roman"/>
          <w:sz w:val="24"/>
          <w:szCs w:val="24"/>
        </w:rPr>
        <w:t xml:space="preserve"> 2020). It shows the structured innovation which complies with appreciating variations, experiential learning and recognising the problem to deliver solutions. The concerned innovation reveals about leadership and system change within the organisation through visionary direction, building empowerment and trust and ensuring the adaptability and resilience. </w:t>
      </w:r>
    </w:p>
    <w:p w14:paraId="42298645" w14:textId="77777777" w:rsidR="000D1508" w:rsidRPr="009B7B68" w:rsidRDefault="00AF3AF0">
      <w:pPr>
        <w:pStyle w:val="Heading1"/>
        <w:rPr>
          <w:color w:val="auto"/>
        </w:rPr>
      </w:pPr>
      <w:bookmarkStart w:id="6" w:name="_Toc215505846"/>
      <w:r w:rsidRPr="009B7B68">
        <w:rPr>
          <w:color w:val="auto"/>
        </w:rPr>
        <w:t>Task 5: Research Task</w:t>
      </w:r>
      <w:bookmarkEnd w:id="6"/>
      <w:r w:rsidRPr="009B7B68">
        <w:rPr>
          <w:color w:val="auto"/>
        </w:rPr>
        <w:t xml:space="preserve"> </w:t>
      </w:r>
    </w:p>
    <w:p w14:paraId="4E10E367"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i/>
          <w:iCs/>
          <w:sz w:val="24"/>
          <w:szCs w:val="24"/>
        </w:rPr>
        <w:t>Staff burnout</w:t>
      </w:r>
      <w:r w:rsidRPr="009B7B68">
        <w:rPr>
          <w:rFonts w:ascii="Times New Roman" w:eastAsia="Times New Roman" w:hAnsi="Times New Roman" w:cs="Times New Roman"/>
          <w:sz w:val="24"/>
          <w:szCs w:val="24"/>
        </w:rPr>
        <w:t xml:space="preserve"> in the health and social care sector in the UK is a major problem and the government of the country is also working on this issue. </w:t>
      </w:r>
    </w:p>
    <w:p w14:paraId="78F0B431"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w:t>
      </w:r>
      <w:r w:rsidRPr="009B7B68">
        <w:rPr>
          <w:rFonts w:ascii="Times New Roman" w:eastAsia="Times New Roman" w:hAnsi="Times New Roman" w:cs="Times New Roman"/>
          <w:i/>
          <w:iCs/>
          <w:sz w:val="24"/>
          <w:szCs w:val="24"/>
        </w:rPr>
        <w:t>Maslach Burnout Theory</w:t>
      </w:r>
      <w:r w:rsidRPr="009B7B68">
        <w:rPr>
          <w:rFonts w:ascii="Times New Roman" w:eastAsia="Times New Roman" w:hAnsi="Times New Roman" w:cs="Times New Roman"/>
          <w:sz w:val="24"/>
          <w:szCs w:val="24"/>
        </w:rPr>
        <w:t xml:space="preserve"> proposes that burnout takes place in a three-dimensional syndrome that consists of</w:t>
      </w:r>
      <w:r w:rsidRPr="009B7B68">
        <w:rPr>
          <w:rFonts w:ascii="Times New Roman" w:eastAsia="Times New Roman" w:hAnsi="Times New Roman" w:cs="Times New Roman"/>
          <w:i/>
          <w:iCs/>
          <w:sz w:val="24"/>
          <w:szCs w:val="24"/>
        </w:rPr>
        <w:t xml:space="preserve"> emotional exhaustion, depersonalisation </w:t>
      </w:r>
      <w:r w:rsidRPr="009B7B68">
        <w:rPr>
          <w:rFonts w:ascii="Times New Roman" w:eastAsia="Times New Roman" w:hAnsi="Times New Roman" w:cs="Times New Roman"/>
          <w:sz w:val="24"/>
          <w:szCs w:val="24"/>
        </w:rPr>
        <w:t>and</w:t>
      </w:r>
      <w:r w:rsidRPr="009B7B68">
        <w:rPr>
          <w:rFonts w:ascii="Times New Roman" w:eastAsia="Times New Roman" w:hAnsi="Times New Roman" w:cs="Times New Roman"/>
          <w:i/>
          <w:iCs/>
          <w:sz w:val="24"/>
          <w:szCs w:val="24"/>
        </w:rPr>
        <w:t xml:space="preserve"> reduced personal accomplishments </w:t>
      </w:r>
      <w:r w:rsidRPr="009B7B68">
        <w:rPr>
          <w:rFonts w:ascii="Times New Roman" w:eastAsia="Times New Roman" w:hAnsi="Times New Roman" w:cs="Times New Roman"/>
          <w:sz w:val="24"/>
          <w:szCs w:val="24"/>
        </w:rPr>
        <w:t xml:space="preserve">(Baugh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2020)</w:t>
      </w:r>
      <w:r w:rsidRPr="009B7B68">
        <w:rPr>
          <w:rFonts w:ascii="Times New Roman" w:eastAsia="Times New Roman" w:hAnsi="Times New Roman" w:cs="Times New Roman"/>
          <w:i/>
          <w:iCs/>
          <w:sz w:val="24"/>
          <w:szCs w:val="24"/>
        </w:rPr>
        <w:t xml:space="preserve">. </w:t>
      </w:r>
      <w:r w:rsidRPr="009B7B68">
        <w:rPr>
          <w:rFonts w:ascii="Times New Roman" w:eastAsia="Times New Roman" w:hAnsi="Times New Roman" w:cs="Times New Roman"/>
          <w:sz w:val="24"/>
          <w:szCs w:val="24"/>
        </w:rPr>
        <w:t xml:space="preserve">In addition, the theory posits that the burnout of employees is caused by the significant workload, lack of sufficient support, inadequate rewards and a lack of positive </w:t>
      </w:r>
      <w:r w:rsidRPr="009B7B68">
        <w:rPr>
          <w:rFonts w:ascii="Times New Roman" w:eastAsia="Times New Roman" w:hAnsi="Times New Roman" w:cs="Times New Roman"/>
          <w:sz w:val="24"/>
          <w:szCs w:val="24"/>
        </w:rPr>
        <w:lastRenderedPageBreak/>
        <w:t>connections. In the context of UK health professionals, the main causes of employee burnout are irregular hours, psychological stress and understaffing. According to recent research, it has been discovered that the issue of staff burnout within the NHS is putting the safety of patients at risk, as per medical professionals, because of the staff shortage in this sector and the improper functioning of the</w:t>
      </w:r>
      <w:r w:rsidR="009C0CCF" w:rsidRPr="009B7B68">
        <w:rPr>
          <w:rFonts w:ascii="Times New Roman" w:eastAsia="Times New Roman" w:hAnsi="Times New Roman" w:cs="Times New Roman"/>
          <w:sz w:val="24"/>
          <w:szCs w:val="24"/>
        </w:rPr>
        <w:t xml:space="preserve"> key services (Campbell, 2021).</w:t>
      </w:r>
    </w:p>
    <w:p w14:paraId="453DAA78"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Employee burnout has some negative implications on the organisation, such as reducing job performance, negative health behaviours, physical and emotional exhaustion and lowering the quality of work. In the aspect of </w:t>
      </w:r>
      <w:r w:rsidRPr="009B7B68">
        <w:rPr>
          <w:rFonts w:ascii="Times New Roman" w:eastAsia="Times New Roman" w:hAnsi="Times New Roman" w:cs="Times New Roman"/>
          <w:i/>
          <w:iCs/>
          <w:sz w:val="24"/>
          <w:szCs w:val="24"/>
        </w:rPr>
        <w:t xml:space="preserve">NHS People Plan </w:t>
      </w:r>
      <w:r w:rsidRPr="009B7B68">
        <w:rPr>
          <w:rFonts w:ascii="Times New Roman" w:eastAsia="Times New Roman" w:hAnsi="Times New Roman" w:cs="Times New Roman"/>
          <w:sz w:val="24"/>
          <w:szCs w:val="24"/>
        </w:rPr>
        <w:t xml:space="preserve">that sets out practical actions for employees and fosters a culture of inclusion and belonging, as well as action to grow its workforce, and provide training to the people (Nhs.uk, 2020). In order to resolve the issue, the government of the country has come forward by providing an additional support of £92 billion and giving councils £4.6billion, so they can fulfil the additional demands of health and social care (Campbell, 2021). It represents the government's response towards tackling issues regarding employee burnout and positively contributing towards the address of the issues. </w:t>
      </w:r>
    </w:p>
    <w:p w14:paraId="69C1A25F"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During the time of COVID-19, a significant mental burden was created on the healthcare staff, due to which the frontline operating workers had experienced the highest level of mental stress and burnout (Agata </w:t>
      </w:r>
      <w:r w:rsidRPr="009B7B68">
        <w:rPr>
          <w:rFonts w:ascii="Times New Roman" w:eastAsia="Times New Roman" w:hAnsi="Times New Roman" w:cs="Times New Roman"/>
          <w:i/>
          <w:iCs/>
          <w:sz w:val="24"/>
          <w:szCs w:val="24"/>
        </w:rPr>
        <w:t xml:space="preserve">et al. </w:t>
      </w:r>
      <w:r w:rsidR="00B02A89" w:rsidRPr="009B7B68">
        <w:rPr>
          <w:rFonts w:ascii="Times New Roman" w:eastAsia="Times New Roman" w:hAnsi="Times New Roman" w:cs="Times New Roman"/>
          <w:sz w:val="24"/>
          <w:szCs w:val="24"/>
        </w:rPr>
        <w:t>2023)</w:t>
      </w:r>
      <w:r w:rsidRPr="009B7B68">
        <w:rPr>
          <w:rFonts w:ascii="Times New Roman" w:eastAsia="Times New Roman" w:hAnsi="Times New Roman" w:cs="Times New Roman"/>
          <w:sz w:val="24"/>
          <w:szCs w:val="24"/>
        </w:rPr>
        <w:t xml:space="preserve">. </w:t>
      </w:r>
    </w:p>
    <w:p w14:paraId="447EFC1D" w14:textId="77777777" w:rsidR="000D1508" w:rsidRPr="009B7B68" w:rsidRDefault="00AF3AF0">
      <w:pPr>
        <w:pStyle w:val="Heading1"/>
        <w:rPr>
          <w:color w:val="auto"/>
        </w:rPr>
      </w:pPr>
      <w:bookmarkStart w:id="7" w:name="_Toc215505847"/>
      <w:r w:rsidRPr="009B7B68">
        <w:rPr>
          <w:color w:val="auto"/>
        </w:rPr>
        <w:t>Task 6: Exploring Digital Innovation in Health and Social Care</w:t>
      </w:r>
      <w:bookmarkEnd w:id="7"/>
    </w:p>
    <w:p w14:paraId="569ACA10"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 xml:space="preserve">1. Benefit of utilising wearable health technologies </w:t>
      </w:r>
    </w:p>
    <w:p w14:paraId="0B46A660" w14:textId="77777777" w:rsidR="000D3406"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The</w:t>
      </w:r>
      <w:r w:rsidRPr="009B7B68">
        <w:rPr>
          <w:rFonts w:ascii="Times New Roman" w:eastAsia="Times New Roman" w:hAnsi="Times New Roman" w:cs="Times New Roman"/>
          <w:i/>
          <w:iCs/>
          <w:sz w:val="24"/>
          <w:szCs w:val="24"/>
        </w:rPr>
        <w:t xml:space="preserve"> Technology Acceptance Model (TAM)</w:t>
      </w:r>
      <w:r w:rsidRPr="009B7B68">
        <w:rPr>
          <w:rFonts w:ascii="Times New Roman" w:eastAsia="Times New Roman" w:hAnsi="Times New Roman" w:cs="Times New Roman"/>
          <w:sz w:val="24"/>
          <w:szCs w:val="24"/>
        </w:rPr>
        <w:t xml:space="preserve"> elaborates on how users come to accept and use new technology by focusing on two components, including the perceived usefulness and perceived ease of use (Natasia </w:t>
      </w:r>
      <w:r w:rsidRPr="009B7B68">
        <w:rPr>
          <w:rFonts w:ascii="Times New Roman" w:eastAsia="Times New Roman" w:hAnsi="Times New Roman" w:cs="Times New Roman"/>
          <w:i/>
          <w:iCs/>
          <w:sz w:val="24"/>
          <w:szCs w:val="24"/>
        </w:rPr>
        <w:t>et al.</w:t>
      </w:r>
      <w:r w:rsidRPr="009B7B68">
        <w:rPr>
          <w:rFonts w:ascii="Times New Roman" w:eastAsia="Times New Roman" w:hAnsi="Times New Roman" w:cs="Times New Roman"/>
          <w:sz w:val="24"/>
          <w:szCs w:val="24"/>
        </w:rPr>
        <w:t xml:space="preserve"> 2022). It states that the model helps organisations to develop a digital strategy to ensure the user’s compatibility and its adoption rate. It impacts organisations through predicting the technology adoption, driving digital transformation and designing the information technology design. ‘Wearable health technologies’, incorporating smartwatches along with fitness trackers, help in giving ongoing monitoring of signs such as heart rate, activity range, and sleep patterns. One major significance of such a role is dealing with chronic situations like hypertension or diabetes via acquiring real-time data tracking and on-time warning alerts. For instance, the Apple Watch ECG feature helps in reco</w:t>
      </w:r>
      <w:r w:rsidR="00057524" w:rsidRPr="009B7B68">
        <w:rPr>
          <w:rFonts w:ascii="Times New Roman" w:eastAsia="Times New Roman" w:hAnsi="Times New Roman" w:cs="Times New Roman"/>
          <w:sz w:val="24"/>
          <w:szCs w:val="24"/>
        </w:rPr>
        <w:t>gnising irregular heart rhythms</w:t>
      </w:r>
      <w:r w:rsidRPr="009B7B68">
        <w:rPr>
          <w:rFonts w:ascii="Times New Roman" w:eastAsia="Times New Roman" w:hAnsi="Times New Roman" w:cs="Times New Roman"/>
          <w:sz w:val="24"/>
          <w:szCs w:val="24"/>
        </w:rPr>
        <w:t xml:space="preserve">. In the aspect of the ECG app, it supports recording heartbeat by utilising the electrical heart sensor installed within Apple Watch </w:t>
      </w:r>
      <w:r w:rsidRPr="009B7B68">
        <w:rPr>
          <w:rFonts w:ascii="Times New Roman" w:eastAsia="Times New Roman" w:hAnsi="Times New Roman" w:cs="Times New Roman"/>
          <w:sz w:val="24"/>
          <w:szCs w:val="24"/>
        </w:rPr>
        <w:lastRenderedPageBreak/>
        <w:t xml:space="preserve">Series 4and determines ‘the recording for atrial fibrillation (AFib)’, a kind of irregular rhythm (Support.apple, 2025). </w:t>
      </w:r>
    </w:p>
    <w:p w14:paraId="30696D32" w14:textId="77777777" w:rsidR="000D1508" w:rsidRPr="009B7B68" w:rsidRDefault="00AF3AF0">
      <w:pPr>
        <w:pBdr>
          <w:top w:val="nil"/>
          <w:left w:val="nil"/>
          <w:bottom w:val="nil"/>
          <w:right w:val="nil"/>
          <w:between w:val="nil"/>
        </w:pBdr>
        <w:spacing w:before="120" w:after="120" w:line="360" w:lineRule="auto"/>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2. Role of AI-powered chatbots in supporting mental health care, along with a benefit</w:t>
      </w:r>
    </w:p>
    <w:p w14:paraId="578ED31B"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The AI-powered chatbots provide 24/7 support in the mental health care services of the UK through accessibility, scalability, and anonymity in identifying early symptoms of distress and offer supports like guided exercises or cognitive behavioural therapy (CBT) (Wah, 2025). On the other hand, the AI-powered chatbots harm the consumer experience and make it complex for consumers to interact with the technologies smoothly. Moreover, the AI-powered chatbots incorporate with high adaptability, enhance access to mental health support and offer personalised experiences, whereas the manual process needs constant updates and is no</w:t>
      </w:r>
      <w:r w:rsidR="00EE223A" w:rsidRPr="009B7B68">
        <w:rPr>
          <w:rFonts w:ascii="Times New Roman" w:eastAsia="Times New Roman" w:hAnsi="Times New Roman" w:cs="Times New Roman"/>
          <w:sz w:val="24"/>
          <w:szCs w:val="24"/>
        </w:rPr>
        <w:t xml:space="preserve">t personalised (Nhs.uk, 2025). </w:t>
      </w:r>
    </w:p>
    <w:p w14:paraId="1D4598A3"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b/>
          <w:bCs/>
          <w:i/>
          <w:iCs/>
          <w:sz w:val="24"/>
          <w:szCs w:val="24"/>
          <w:u w:val="single"/>
        </w:rPr>
      </w:pPr>
      <w:r w:rsidRPr="009B7B68">
        <w:rPr>
          <w:rFonts w:ascii="Times New Roman" w:eastAsia="Times New Roman" w:hAnsi="Times New Roman" w:cs="Times New Roman"/>
          <w:b/>
          <w:bCs/>
          <w:i/>
          <w:iCs/>
          <w:sz w:val="24"/>
          <w:szCs w:val="24"/>
          <w:u w:val="single"/>
        </w:rPr>
        <w:t>3. Role of electronic health records (EHRs) in improving communication and collaboration between healthcare providers</w:t>
      </w:r>
    </w:p>
    <w:p w14:paraId="11FD794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EHRs develop the communication and collaboration levels between the healthcare providers by providing a centralised and practical resource of patient information which are accessible to all the healthcare team members, regardless of their locations (Robertson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2022). </w:t>
      </w:r>
    </w:p>
    <w:p w14:paraId="4422B7B7" w14:textId="77777777" w:rsidR="000D1508" w:rsidRPr="009B7B68" w:rsidRDefault="00AF3AF0">
      <w:pPr>
        <w:pStyle w:val="Heading1"/>
        <w:rPr>
          <w:color w:val="auto"/>
        </w:rPr>
      </w:pPr>
      <w:bookmarkStart w:id="8" w:name="_Toc215505848"/>
      <w:r w:rsidRPr="009B7B68">
        <w:rPr>
          <w:color w:val="auto"/>
        </w:rPr>
        <w:t>Task 7: Understanding the NHS Leadership Framework</w:t>
      </w:r>
      <w:bookmarkEnd w:id="8"/>
    </w:p>
    <w:p w14:paraId="02EECB4A"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leadership framework at the NHS encompasses various principles across different services and ensures consistency in the service delivery process. As per the views of Jackson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(2021), the leadership principles allow a healthcare provider to maintain a consistent delivery of services while emphasising shared responsibility of the staff. The </w:t>
      </w:r>
      <w:r w:rsidRPr="009B7B68">
        <w:rPr>
          <w:rFonts w:ascii="Times New Roman" w:eastAsia="Times New Roman" w:hAnsi="Times New Roman" w:cs="Times New Roman"/>
          <w:i/>
          <w:iCs/>
          <w:sz w:val="24"/>
          <w:szCs w:val="24"/>
        </w:rPr>
        <w:t>purpose</w:t>
      </w:r>
      <w:r w:rsidRPr="009B7B68">
        <w:rPr>
          <w:rFonts w:ascii="Times New Roman" w:eastAsia="Times New Roman" w:hAnsi="Times New Roman" w:cs="Times New Roman"/>
          <w:sz w:val="24"/>
          <w:szCs w:val="24"/>
        </w:rPr>
        <w:t xml:space="preserve"> of the NHS leadership framework is to offer positive outcomes in terms of healthcare services and make a significant transformation in people’s lives, with a focus on</w:t>
      </w:r>
      <w:r w:rsidRPr="009B7B68">
        <w:rPr>
          <w:rFonts w:ascii="Times New Roman" w:eastAsia="Times New Roman" w:hAnsi="Times New Roman" w:cs="Times New Roman"/>
          <w:i/>
          <w:iCs/>
          <w:sz w:val="24"/>
          <w:szCs w:val="24"/>
        </w:rPr>
        <w:t xml:space="preserve"> capacity development</w:t>
      </w:r>
      <w:r w:rsidRPr="009B7B68">
        <w:rPr>
          <w:rFonts w:ascii="Times New Roman" w:eastAsia="Times New Roman" w:hAnsi="Times New Roman" w:cs="Times New Roman"/>
          <w:sz w:val="24"/>
          <w:szCs w:val="24"/>
        </w:rPr>
        <w:t xml:space="preserve"> for the staff in both the clinical and non-clinical functions. The leadership </w:t>
      </w:r>
      <w:r w:rsidRPr="009B7B68">
        <w:rPr>
          <w:rFonts w:ascii="Times New Roman" w:eastAsia="Times New Roman" w:hAnsi="Times New Roman" w:cs="Times New Roman"/>
          <w:i/>
          <w:iCs/>
          <w:sz w:val="24"/>
          <w:szCs w:val="24"/>
        </w:rPr>
        <w:t xml:space="preserve">evaluates information </w:t>
      </w:r>
      <w:r w:rsidRPr="009B7B68">
        <w:rPr>
          <w:rFonts w:ascii="Times New Roman" w:eastAsia="Times New Roman" w:hAnsi="Times New Roman" w:cs="Times New Roman"/>
          <w:sz w:val="24"/>
          <w:szCs w:val="24"/>
        </w:rPr>
        <w:t>and shapes the decision-making process, leading t</w:t>
      </w:r>
      <w:r w:rsidR="000D3406" w:rsidRPr="009B7B68">
        <w:rPr>
          <w:rFonts w:ascii="Times New Roman" w:eastAsia="Times New Roman" w:hAnsi="Times New Roman" w:cs="Times New Roman"/>
          <w:sz w:val="24"/>
          <w:szCs w:val="24"/>
        </w:rPr>
        <w:t xml:space="preserve">o higher employee productivity </w:t>
      </w:r>
      <w:r w:rsidRPr="009B7B68">
        <w:rPr>
          <w:rFonts w:ascii="Times New Roman" w:eastAsia="Times New Roman" w:hAnsi="Times New Roman" w:cs="Times New Roman"/>
          <w:sz w:val="24"/>
          <w:szCs w:val="24"/>
        </w:rPr>
        <w:t xml:space="preserve">(NHS, 2024). </w:t>
      </w:r>
    </w:p>
    <w:p w14:paraId="1DF98743"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The leadership of the NHS </w:t>
      </w:r>
      <w:r w:rsidRPr="009B7B68">
        <w:rPr>
          <w:rFonts w:ascii="Times New Roman" w:eastAsia="Times New Roman" w:hAnsi="Times New Roman" w:cs="Times New Roman"/>
          <w:i/>
          <w:iCs/>
          <w:sz w:val="24"/>
          <w:szCs w:val="24"/>
        </w:rPr>
        <w:t xml:space="preserve">promotes innovation </w:t>
      </w:r>
      <w:r w:rsidRPr="009B7B68">
        <w:rPr>
          <w:rFonts w:ascii="Times New Roman" w:eastAsia="Times New Roman" w:hAnsi="Times New Roman" w:cs="Times New Roman"/>
          <w:sz w:val="24"/>
          <w:szCs w:val="24"/>
        </w:rPr>
        <w:t xml:space="preserve">to overcome major challenges and bring accuracy and speed in various processes of healthcare services. For instance, the transformational leaders motivate teams to bring a change to the existing scenario, thereby improving the services. In this regard, the leadership approaches of the organisation comply with the transformational leadership </w:t>
      </w:r>
      <w:r w:rsidRPr="009B7B68">
        <w:rPr>
          <w:rFonts w:ascii="Times New Roman" w:eastAsia="Times New Roman" w:hAnsi="Times New Roman" w:cs="Times New Roman"/>
          <w:sz w:val="24"/>
          <w:szCs w:val="24"/>
        </w:rPr>
        <w:lastRenderedPageBreak/>
        <w:t xml:space="preserve">theory that brings the idealised influence and inspirational motivation among employees. Based on the views of Hilton </w:t>
      </w:r>
      <w:r w:rsidRPr="009B7B68">
        <w:rPr>
          <w:rFonts w:ascii="Times New Roman" w:eastAsia="Times New Roman" w:hAnsi="Times New Roman" w:cs="Times New Roman"/>
          <w:i/>
          <w:iCs/>
          <w:sz w:val="24"/>
          <w:szCs w:val="24"/>
        </w:rPr>
        <w:t xml:space="preserve">et al. </w:t>
      </w:r>
      <w:r w:rsidRPr="009B7B68">
        <w:rPr>
          <w:rFonts w:ascii="Times New Roman" w:eastAsia="Times New Roman" w:hAnsi="Times New Roman" w:cs="Times New Roman"/>
          <w:sz w:val="24"/>
          <w:szCs w:val="24"/>
        </w:rPr>
        <w:t xml:space="preserve">(2023), </w:t>
      </w:r>
      <w:r w:rsidRPr="009B7B68">
        <w:rPr>
          <w:rFonts w:ascii="Times New Roman" w:eastAsia="Times New Roman" w:hAnsi="Times New Roman" w:cs="Times New Roman"/>
          <w:i/>
          <w:iCs/>
          <w:sz w:val="24"/>
          <w:szCs w:val="24"/>
        </w:rPr>
        <w:t>transformational leadership</w:t>
      </w:r>
      <w:r w:rsidRPr="009B7B68">
        <w:rPr>
          <w:rFonts w:ascii="Times New Roman" w:eastAsia="Times New Roman" w:hAnsi="Times New Roman" w:cs="Times New Roman"/>
          <w:sz w:val="24"/>
          <w:szCs w:val="24"/>
        </w:rPr>
        <w:t xml:space="preserve"> in an organisation inspires the staff to reach a common goal and contribute to organisational efficiency. </w:t>
      </w:r>
    </w:p>
    <w:p w14:paraId="08C6E3B9"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NHS emphasises its leadership Academy’s nine dimensions of the healthcare leadership model that comply with </w:t>
      </w:r>
      <w:r w:rsidRPr="009B7B68">
        <w:rPr>
          <w:rFonts w:ascii="Times New Roman" w:eastAsia="Times New Roman" w:hAnsi="Times New Roman" w:cs="Times New Roman"/>
          <w:i/>
          <w:iCs/>
          <w:sz w:val="24"/>
          <w:szCs w:val="24"/>
        </w:rPr>
        <w:t xml:space="preserve">inspiring shared purpose, connecting service, leading with care, evaluating information, sharing the vision, holding the account, engaging the team, developing capability and influencing results. </w:t>
      </w:r>
      <w:r w:rsidRPr="009B7B68">
        <w:rPr>
          <w:rFonts w:ascii="Times New Roman" w:eastAsia="Times New Roman" w:hAnsi="Times New Roman" w:cs="Times New Roman"/>
          <w:sz w:val="24"/>
          <w:szCs w:val="24"/>
        </w:rPr>
        <w:t xml:space="preserve">The collective of these nine dimensions inspires the shared purpose and builds an inclusive culture to drive positive change and facilitate healthcare services (Nhs.uk, 2025). At the NHS, the leaders may inspire employees to integrate creativity in the utilisation of technological systems and tackle the staff shortage issues and the rising number of patients. The digital transformation may allow employees to use AI for early detection of illness and improve service outcomes. At the same time, the technology-led services may reduce patient wait times and relieve the pressure on the staff. </w:t>
      </w:r>
    </w:p>
    <w:p w14:paraId="511AD42C" w14:textId="77777777" w:rsidR="000D1508" w:rsidRPr="009B7B68" w:rsidRDefault="00AF3AF0">
      <w:pPr>
        <w:pStyle w:val="Heading1"/>
        <w:rPr>
          <w:color w:val="auto"/>
        </w:rPr>
      </w:pPr>
      <w:bookmarkStart w:id="9" w:name="_Toc215505849"/>
      <w:r w:rsidRPr="009B7B68">
        <w:rPr>
          <w:color w:val="auto"/>
        </w:rPr>
        <w:t>Task 8: Self-Reflection Journal Entry</w:t>
      </w:r>
      <w:bookmarkEnd w:id="9"/>
    </w:p>
    <w:p w14:paraId="0D4A7D05"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rPr>
        <w:t xml:space="preserve">My reflective journal entry on creative and value creation in health and social care is being structured using the three competencies of model of Schon. This framework allows me to analyse ways my perspective has evolved from a simple view of Inventiveness in terms of becoming a more nuanced understanding of innovation within a complex system. </w:t>
      </w:r>
    </w:p>
    <w:p w14:paraId="7DAAE4E8"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u w:val="single"/>
        </w:rPr>
        <w:t>Reflection in Action</w:t>
      </w:r>
      <w:r w:rsidRPr="009B7B68">
        <w:rPr>
          <w:rFonts w:ascii="Times New Roman" w:eastAsia="Times New Roman" w:hAnsi="Times New Roman" w:cs="Times New Roman"/>
          <w:sz w:val="24"/>
          <w:szCs w:val="24"/>
        </w:rPr>
        <w:t>:  My beginning, pre-module perception of creativity in health and social care was quite restricted. I am associated with primarily associated with radical, technological-driven breakthroughs. As I have discussed examples of incremental improvements, my perspective was immediately challenged. One case of the NHS involved a team of nurses who redesigned the ward layout and shift handover process to improve patient safety and communication.</w:t>
      </w:r>
    </w:p>
    <w:p w14:paraId="201C8C0C" w14:textId="77777777" w:rsidR="000D1508" w:rsidRPr="009B7B68" w:rsidRDefault="00AF3AF0">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r w:rsidRPr="009B7B68">
        <w:rPr>
          <w:rFonts w:ascii="Times New Roman" w:eastAsia="Times New Roman" w:hAnsi="Times New Roman" w:cs="Times New Roman"/>
          <w:sz w:val="24"/>
          <w:szCs w:val="24"/>
          <w:u w:val="single"/>
        </w:rPr>
        <w:t>Reflection on Action</w:t>
      </w:r>
      <w:r w:rsidRPr="009B7B68">
        <w:rPr>
          <w:rFonts w:ascii="Times New Roman" w:eastAsia="Times New Roman" w:hAnsi="Times New Roman" w:cs="Times New Roman"/>
          <w:sz w:val="24"/>
          <w:szCs w:val="24"/>
        </w:rPr>
        <w:t>: The focus of the module on involving patients and their families is redesigning service revealed that value is not solely defined by clinical outcomes. I have examined the interconnectedness of different departments and individuals within the NHS which highlighting that value is often created at the intersections of different roles. My perspective on value creation has evolved from a simple output metric to a holistic consideration of a multi-dimensional value proposition.</w:t>
      </w:r>
    </w:p>
    <w:p w14:paraId="02357444" w14:textId="77777777" w:rsidR="000D1508" w:rsidRPr="009B7B68" w:rsidRDefault="00AF3AF0">
      <w:pPr>
        <w:spacing w:before="120" w:after="120" w:line="360" w:lineRule="auto"/>
        <w:jc w:val="both"/>
        <w:rPr>
          <w:rFonts w:ascii="Times New Roman" w:eastAsia="Times New Roman" w:hAnsi="Times New Roman" w:cs="Times New Roman"/>
          <w:sz w:val="24"/>
          <w:szCs w:val="24"/>
        </w:rPr>
      </w:pPr>
      <w:bookmarkStart w:id="10" w:name="_heading=h.mxh7rqni5t5c" w:colFirst="0" w:colLast="0"/>
      <w:bookmarkEnd w:id="10"/>
      <w:r w:rsidRPr="009B7B68">
        <w:rPr>
          <w:rFonts w:ascii="Times New Roman" w:eastAsia="Times New Roman" w:hAnsi="Times New Roman" w:cs="Times New Roman"/>
          <w:i/>
          <w:iCs/>
          <w:sz w:val="24"/>
          <w:szCs w:val="24"/>
        </w:rPr>
        <w:lastRenderedPageBreak/>
        <w:t xml:space="preserve">Mezirow’s Transformative Learning </w:t>
      </w:r>
      <w:r w:rsidRPr="009B7B68">
        <w:rPr>
          <w:rFonts w:ascii="Times New Roman" w:eastAsia="Times New Roman" w:hAnsi="Times New Roman" w:cs="Times New Roman"/>
          <w:sz w:val="24"/>
          <w:szCs w:val="24"/>
        </w:rPr>
        <w:t>derives the way adults learn and fundamentally change their beliefs, worldviews and perspectives through diverse experiences and assumptions (Hoggan and Kloubert, 2020). The theory complies with the development of new perspectives and the assessment of distinct assumptions. In my context, the personal reflection poses an effective future practice through creative leadership, collaborative approaches, and facilitating evidence-based improvement. Moreover, the self-reflection helps in examining and articulating skills effectively, fostering continuous learning and skill development and focuses on adaptability and proactivity that positively support my leadership approaches while working as a health professional. In relation to this, I will actively seek out and value the perspectives of colleagues from different disciplines and hierarchical levels in any future team setting. I will advocate for including end-users by ensuring that creative efforts generate valuable, user-centred alternatives rather than technically clever ones.</w:t>
      </w:r>
      <w:r w:rsidRPr="009B7B68">
        <w:br w:type="page"/>
      </w:r>
    </w:p>
    <w:p w14:paraId="57BA0841" w14:textId="77777777" w:rsidR="000D1508" w:rsidRPr="009B7B68" w:rsidRDefault="00AF3AF0">
      <w:pPr>
        <w:pStyle w:val="Heading1"/>
        <w:rPr>
          <w:color w:val="auto"/>
        </w:rPr>
      </w:pPr>
      <w:bookmarkStart w:id="11" w:name="_Toc215505850"/>
      <w:r w:rsidRPr="009B7B68">
        <w:rPr>
          <w:color w:val="auto"/>
        </w:rPr>
        <w:lastRenderedPageBreak/>
        <w:t>References</w:t>
      </w:r>
      <w:bookmarkEnd w:id="11"/>
      <w:r w:rsidRPr="009B7B68">
        <w:rPr>
          <w:color w:val="auto"/>
        </w:rPr>
        <w:t xml:space="preserve"> </w:t>
      </w:r>
    </w:p>
    <w:p w14:paraId="37F577C8"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Agata, S. et al. (2023) ‘Prevalence of burnout among healthcare professionals during the COVID-19 pandemic and associated factors – a scoping review’, </w:t>
      </w:r>
      <w:r w:rsidRPr="00552DDA">
        <w:rPr>
          <w:rFonts w:ascii="Times New Roman" w:eastAsia="Times New Roman" w:hAnsi="Times New Roman" w:cs="Times New Roman"/>
          <w:i/>
          <w:iCs/>
          <w:sz w:val="24"/>
          <w:szCs w:val="24"/>
        </w:rPr>
        <w:t>International Journal of Occupational Medicine and Environmental Health</w:t>
      </w:r>
      <w:r w:rsidRPr="00552DDA">
        <w:rPr>
          <w:rFonts w:ascii="Times New Roman" w:eastAsia="Times New Roman" w:hAnsi="Times New Roman" w:cs="Times New Roman"/>
          <w:sz w:val="24"/>
          <w:szCs w:val="24"/>
        </w:rPr>
        <w:t xml:space="preserve">, 36(1), pp. 1–38. Available at: </w:t>
      </w:r>
      <w:hyperlink r:id="rId9" w:tgtFrame="_new" w:history="1">
        <w:r w:rsidRPr="00552DDA">
          <w:rPr>
            <w:rFonts w:ascii="Times New Roman" w:eastAsia="Times New Roman" w:hAnsi="Times New Roman" w:cs="Times New Roman"/>
            <w:color w:val="0000FF"/>
            <w:sz w:val="24"/>
            <w:szCs w:val="24"/>
            <w:u w:val="single"/>
          </w:rPr>
          <w:t>https://pmc.ncbi.nlm.nih.gov/articles/PMC10464746/pdf/ijomeh-36-21.pdf</w:t>
        </w:r>
      </w:hyperlink>
    </w:p>
    <w:p w14:paraId="5F010686"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Alvesson, M. and Sveningsson, S. (2024) </w:t>
      </w:r>
      <w:r w:rsidRPr="00552DDA">
        <w:rPr>
          <w:rFonts w:ascii="Times New Roman" w:eastAsia="Times New Roman" w:hAnsi="Times New Roman" w:cs="Times New Roman"/>
          <w:i/>
          <w:iCs/>
          <w:sz w:val="24"/>
          <w:szCs w:val="24"/>
        </w:rPr>
        <w:t>Changing organizational culture: Cultural change work in progress</w:t>
      </w:r>
      <w:r w:rsidRPr="00552DDA">
        <w:rPr>
          <w:rFonts w:ascii="Times New Roman" w:eastAsia="Times New Roman" w:hAnsi="Times New Roman" w:cs="Times New Roman"/>
          <w:sz w:val="24"/>
          <w:szCs w:val="24"/>
        </w:rPr>
        <w:t xml:space="preserve">. Routledge. Available at: </w:t>
      </w:r>
      <w:hyperlink r:id="rId10" w:tgtFrame="_new" w:history="1">
        <w:r w:rsidRPr="00552DDA">
          <w:rPr>
            <w:rFonts w:ascii="Times New Roman" w:eastAsia="Times New Roman" w:hAnsi="Times New Roman" w:cs="Times New Roman"/>
            <w:color w:val="0000FF"/>
            <w:sz w:val="24"/>
            <w:szCs w:val="24"/>
            <w:u w:val="single"/>
          </w:rPr>
          <w:t>https://knowledgehub.ghamfin.org/wp-content/uploads/2024/06/Changing-Organizational-Culture_-Cultural-Change-Work-in-Progress.pdf</w:t>
        </w:r>
      </w:hyperlink>
    </w:p>
    <w:p w14:paraId="45643ED6"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Baugh, J.J. et al. (2020) ‘Beyond the Maslach burnout inventory: addressing emergency medicine burnout with Maslach's full theory’, </w:t>
      </w:r>
      <w:r w:rsidRPr="00552DDA">
        <w:rPr>
          <w:rFonts w:ascii="Times New Roman" w:eastAsia="Times New Roman" w:hAnsi="Times New Roman" w:cs="Times New Roman"/>
          <w:i/>
          <w:iCs/>
          <w:sz w:val="24"/>
          <w:szCs w:val="24"/>
        </w:rPr>
        <w:t>JACEP Open</w:t>
      </w:r>
      <w:r w:rsidRPr="00552DDA">
        <w:rPr>
          <w:rFonts w:ascii="Times New Roman" w:eastAsia="Times New Roman" w:hAnsi="Times New Roman" w:cs="Times New Roman"/>
          <w:sz w:val="24"/>
          <w:szCs w:val="24"/>
        </w:rPr>
        <w:t xml:space="preserve">, 1(5), pp. 1044–1049. Available at: </w:t>
      </w:r>
      <w:hyperlink r:id="rId11" w:tgtFrame="_new" w:history="1">
        <w:r w:rsidRPr="00552DDA">
          <w:rPr>
            <w:rFonts w:ascii="Times New Roman" w:eastAsia="Times New Roman" w:hAnsi="Times New Roman" w:cs="Times New Roman"/>
            <w:color w:val="0000FF"/>
            <w:sz w:val="24"/>
            <w:szCs w:val="24"/>
            <w:u w:val="single"/>
          </w:rPr>
          <w:t>https://doi.org/10.1002/emp2.12101</w:t>
        </w:r>
      </w:hyperlink>
    </w:p>
    <w:p w14:paraId="31CB70C2"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Burnes, B. (2020) ‘The origins of Lewin’s three-step model of change’, </w:t>
      </w:r>
      <w:r w:rsidRPr="00552DDA">
        <w:rPr>
          <w:rFonts w:ascii="Times New Roman" w:eastAsia="Times New Roman" w:hAnsi="Times New Roman" w:cs="Times New Roman"/>
          <w:i/>
          <w:iCs/>
          <w:sz w:val="24"/>
          <w:szCs w:val="24"/>
        </w:rPr>
        <w:t xml:space="preserve">The Journal of Applied </w:t>
      </w:r>
      <w:proofErr w:type="spellStart"/>
      <w:r w:rsidRPr="00552DDA">
        <w:rPr>
          <w:rFonts w:ascii="Times New Roman" w:eastAsia="Times New Roman" w:hAnsi="Times New Roman" w:cs="Times New Roman"/>
          <w:i/>
          <w:iCs/>
          <w:sz w:val="24"/>
          <w:szCs w:val="24"/>
        </w:rPr>
        <w:t>Behavioral</w:t>
      </w:r>
      <w:proofErr w:type="spellEnd"/>
      <w:r w:rsidRPr="00552DDA">
        <w:rPr>
          <w:rFonts w:ascii="Times New Roman" w:eastAsia="Times New Roman" w:hAnsi="Times New Roman" w:cs="Times New Roman"/>
          <w:i/>
          <w:iCs/>
          <w:sz w:val="24"/>
          <w:szCs w:val="24"/>
        </w:rPr>
        <w:t xml:space="preserve"> Science</w:t>
      </w:r>
      <w:r w:rsidRPr="00552DDA">
        <w:rPr>
          <w:rFonts w:ascii="Times New Roman" w:eastAsia="Times New Roman" w:hAnsi="Times New Roman" w:cs="Times New Roman"/>
          <w:sz w:val="24"/>
          <w:szCs w:val="24"/>
        </w:rPr>
        <w:t xml:space="preserve">, 56(1), pp. 32–59. Available at: </w:t>
      </w:r>
      <w:hyperlink r:id="rId12" w:tgtFrame="_new" w:history="1">
        <w:r w:rsidRPr="00552DDA">
          <w:rPr>
            <w:rFonts w:ascii="Times New Roman" w:eastAsia="Times New Roman" w:hAnsi="Times New Roman" w:cs="Times New Roman"/>
            <w:color w:val="0000FF"/>
            <w:sz w:val="24"/>
            <w:szCs w:val="24"/>
            <w:u w:val="single"/>
          </w:rPr>
          <w:t>https://journals.sagepub.com/doi/abs/10.1177/0021886319892685</w:t>
        </w:r>
      </w:hyperlink>
    </w:p>
    <w:p w14:paraId="64B19439"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Campbell, D. (2021) </w:t>
      </w:r>
      <w:r w:rsidRPr="00552DDA">
        <w:rPr>
          <w:rFonts w:ascii="Times New Roman" w:eastAsia="Times New Roman" w:hAnsi="Times New Roman" w:cs="Times New Roman"/>
          <w:i/>
          <w:iCs/>
          <w:sz w:val="24"/>
          <w:szCs w:val="24"/>
        </w:rPr>
        <w:t>Staff burnout in health and social care putting safety at risk, say MPs</w:t>
      </w:r>
      <w:r w:rsidRPr="00552DDA">
        <w:rPr>
          <w:rFonts w:ascii="Times New Roman" w:eastAsia="Times New Roman" w:hAnsi="Times New Roman" w:cs="Times New Roman"/>
          <w:sz w:val="24"/>
          <w:szCs w:val="24"/>
        </w:rPr>
        <w:t xml:space="preserve">. Available at: </w:t>
      </w:r>
      <w:hyperlink r:id="rId13" w:tgtFrame="_new" w:history="1">
        <w:r w:rsidRPr="00552DDA">
          <w:rPr>
            <w:rFonts w:ascii="Times New Roman" w:eastAsia="Times New Roman" w:hAnsi="Times New Roman" w:cs="Times New Roman"/>
            <w:color w:val="0000FF"/>
            <w:sz w:val="24"/>
            <w:szCs w:val="24"/>
            <w:u w:val="single"/>
          </w:rPr>
          <w:t>https://www.theguardian.com/society/2021/jun/08/staff-burnout-in-health-and-social-care-putting-safety-at-risk-say-mps</w:t>
        </w:r>
      </w:hyperlink>
      <w:r w:rsidRPr="00552DDA">
        <w:rPr>
          <w:rFonts w:ascii="Times New Roman" w:eastAsia="Times New Roman" w:hAnsi="Times New Roman" w:cs="Times New Roman"/>
          <w:sz w:val="24"/>
          <w:szCs w:val="24"/>
        </w:rPr>
        <w:t xml:space="preserve"> (Accessed: 27 October 2025).</w:t>
      </w:r>
    </w:p>
    <w:p w14:paraId="0B902F11"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Cheng, G.Z. et al. (2023) ‘Using the teach-back method to improve postpartum maternal-infant health among women with limited maternal health literacy: a randomized controlled study’, </w:t>
      </w:r>
      <w:r w:rsidRPr="00552DDA">
        <w:rPr>
          <w:rFonts w:ascii="Times New Roman" w:eastAsia="Times New Roman" w:hAnsi="Times New Roman" w:cs="Times New Roman"/>
          <w:i/>
          <w:iCs/>
          <w:sz w:val="24"/>
          <w:szCs w:val="24"/>
        </w:rPr>
        <w:t>BMC Pregnancy and Childbirth</w:t>
      </w:r>
      <w:r w:rsidRPr="00552DDA">
        <w:rPr>
          <w:rFonts w:ascii="Times New Roman" w:eastAsia="Times New Roman" w:hAnsi="Times New Roman" w:cs="Times New Roman"/>
          <w:sz w:val="24"/>
          <w:szCs w:val="24"/>
        </w:rPr>
        <w:t>, 23(1), p. 13.</w:t>
      </w:r>
    </w:p>
    <w:p w14:paraId="356A6948"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t>Comfere</w:t>
      </w:r>
      <w:proofErr w:type="spellEnd"/>
      <w:r w:rsidRPr="00552DDA">
        <w:rPr>
          <w:rFonts w:ascii="Times New Roman" w:eastAsia="Times New Roman" w:hAnsi="Times New Roman" w:cs="Times New Roman"/>
          <w:sz w:val="24"/>
          <w:szCs w:val="24"/>
        </w:rPr>
        <w:t xml:space="preserve">, N.I., Matulis III, J.C. and </w:t>
      </w:r>
      <w:proofErr w:type="spellStart"/>
      <w:r w:rsidRPr="00552DDA">
        <w:rPr>
          <w:rFonts w:ascii="Times New Roman" w:eastAsia="Times New Roman" w:hAnsi="Times New Roman" w:cs="Times New Roman"/>
          <w:sz w:val="24"/>
          <w:szCs w:val="24"/>
        </w:rPr>
        <w:t>O’Horo</w:t>
      </w:r>
      <w:proofErr w:type="spellEnd"/>
      <w:r w:rsidRPr="00552DDA">
        <w:rPr>
          <w:rFonts w:ascii="Times New Roman" w:eastAsia="Times New Roman" w:hAnsi="Times New Roman" w:cs="Times New Roman"/>
          <w:sz w:val="24"/>
          <w:szCs w:val="24"/>
        </w:rPr>
        <w:t xml:space="preserve">, J.C. (2020) ‘Quality improvement and healthcare: The Mayo Clinic Quality Academy experience’, </w:t>
      </w:r>
      <w:r w:rsidRPr="00552DDA">
        <w:rPr>
          <w:rFonts w:ascii="Times New Roman" w:eastAsia="Times New Roman" w:hAnsi="Times New Roman" w:cs="Times New Roman"/>
          <w:i/>
          <w:iCs/>
          <w:sz w:val="24"/>
          <w:szCs w:val="24"/>
        </w:rPr>
        <w:t>Journal of Clinical Tuberculosis and Other Mycobacterial Diseases</w:t>
      </w:r>
      <w:r w:rsidRPr="00552DDA">
        <w:rPr>
          <w:rFonts w:ascii="Times New Roman" w:eastAsia="Times New Roman" w:hAnsi="Times New Roman" w:cs="Times New Roman"/>
          <w:sz w:val="24"/>
          <w:szCs w:val="24"/>
        </w:rPr>
        <w:t xml:space="preserve">, 20, p. 100170. Available at: </w:t>
      </w:r>
      <w:hyperlink r:id="rId14" w:tgtFrame="_new" w:history="1">
        <w:r w:rsidRPr="00552DDA">
          <w:rPr>
            <w:rFonts w:ascii="Times New Roman" w:eastAsia="Times New Roman" w:hAnsi="Times New Roman" w:cs="Times New Roman"/>
            <w:color w:val="0000FF"/>
            <w:sz w:val="24"/>
            <w:szCs w:val="24"/>
            <w:u w:val="single"/>
          </w:rPr>
          <w:t>https://pmc.ncbi.nlm.nih.gov/articles/PMC7306605/</w:t>
        </w:r>
      </w:hyperlink>
    </w:p>
    <w:p w14:paraId="4E55BB48"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t>Creber</w:t>
      </w:r>
      <w:proofErr w:type="spellEnd"/>
      <w:r w:rsidRPr="00552DDA">
        <w:rPr>
          <w:rFonts w:ascii="Times New Roman" w:eastAsia="Times New Roman" w:hAnsi="Times New Roman" w:cs="Times New Roman"/>
          <w:sz w:val="24"/>
          <w:szCs w:val="24"/>
        </w:rPr>
        <w:t xml:space="preserve">, A. et al. (2023) ‘Use of telemonitoring in patient self-management of chronic disease: a qualitative meta-synthesis’, </w:t>
      </w:r>
      <w:r w:rsidRPr="00552DDA">
        <w:rPr>
          <w:rFonts w:ascii="Times New Roman" w:eastAsia="Times New Roman" w:hAnsi="Times New Roman" w:cs="Times New Roman"/>
          <w:i/>
          <w:iCs/>
          <w:sz w:val="24"/>
          <w:szCs w:val="24"/>
        </w:rPr>
        <w:t>BMC Cardiovascular Disorders</w:t>
      </w:r>
      <w:r w:rsidRPr="00552DDA">
        <w:rPr>
          <w:rFonts w:ascii="Times New Roman" w:eastAsia="Times New Roman" w:hAnsi="Times New Roman" w:cs="Times New Roman"/>
          <w:sz w:val="24"/>
          <w:szCs w:val="24"/>
        </w:rPr>
        <w:t xml:space="preserve">, 23(1), p. 469. Available at: </w:t>
      </w:r>
      <w:hyperlink r:id="rId15" w:tgtFrame="_new" w:history="1">
        <w:r w:rsidRPr="00552DDA">
          <w:rPr>
            <w:rFonts w:ascii="Times New Roman" w:eastAsia="Times New Roman" w:hAnsi="Times New Roman" w:cs="Times New Roman"/>
            <w:color w:val="0000FF"/>
            <w:sz w:val="24"/>
            <w:szCs w:val="24"/>
            <w:u w:val="single"/>
          </w:rPr>
          <w:t>https://link.springer.com/content/pdf/10.1186/s12872-023-03486-3.pdf</w:t>
        </w:r>
      </w:hyperlink>
    </w:p>
    <w:p w14:paraId="49FEA7FA"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Erickson-Klein, R. (2021) ‘Onward: The future orientation of constructive memory’, </w:t>
      </w:r>
      <w:r w:rsidRPr="00552DDA">
        <w:rPr>
          <w:rFonts w:ascii="Times New Roman" w:eastAsia="Times New Roman" w:hAnsi="Times New Roman" w:cs="Times New Roman"/>
          <w:i/>
          <w:iCs/>
          <w:sz w:val="24"/>
          <w:szCs w:val="24"/>
        </w:rPr>
        <w:t>American Journal of Clinical Hypnosis</w:t>
      </w:r>
      <w:r w:rsidRPr="00552DDA">
        <w:rPr>
          <w:rFonts w:ascii="Times New Roman" w:eastAsia="Times New Roman" w:hAnsi="Times New Roman" w:cs="Times New Roman"/>
          <w:sz w:val="24"/>
          <w:szCs w:val="24"/>
        </w:rPr>
        <w:t xml:space="preserve">, 64(2), pp. 98–109. Available at: </w:t>
      </w:r>
      <w:hyperlink r:id="rId16" w:tgtFrame="_new" w:history="1">
        <w:r w:rsidRPr="00552DDA">
          <w:rPr>
            <w:rFonts w:ascii="Times New Roman" w:eastAsia="Times New Roman" w:hAnsi="Times New Roman" w:cs="Times New Roman"/>
            <w:color w:val="0000FF"/>
            <w:sz w:val="24"/>
            <w:szCs w:val="24"/>
            <w:u w:val="single"/>
          </w:rPr>
          <w:t>https://www.tandfonline.com/doi/abs/10.1080/00029157.2021.1941744</w:t>
        </w:r>
      </w:hyperlink>
    </w:p>
    <w:p w14:paraId="497EEE19"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t>Flessa</w:t>
      </w:r>
      <w:proofErr w:type="spellEnd"/>
      <w:r w:rsidRPr="00552DDA">
        <w:rPr>
          <w:rFonts w:ascii="Times New Roman" w:eastAsia="Times New Roman" w:hAnsi="Times New Roman" w:cs="Times New Roman"/>
          <w:sz w:val="24"/>
          <w:szCs w:val="24"/>
        </w:rPr>
        <w:t xml:space="preserve">, S. and Huebner, C. (2021) ‘Innovations in health care — a conceptual framework’, </w:t>
      </w:r>
      <w:r w:rsidRPr="00552DDA">
        <w:rPr>
          <w:rFonts w:ascii="Times New Roman" w:eastAsia="Times New Roman" w:hAnsi="Times New Roman" w:cs="Times New Roman"/>
          <w:i/>
          <w:iCs/>
          <w:sz w:val="24"/>
          <w:szCs w:val="24"/>
        </w:rPr>
        <w:t>International Journal of Environmental Research and Public Health</w:t>
      </w:r>
      <w:r w:rsidRPr="00552DDA">
        <w:rPr>
          <w:rFonts w:ascii="Times New Roman" w:eastAsia="Times New Roman" w:hAnsi="Times New Roman" w:cs="Times New Roman"/>
          <w:sz w:val="24"/>
          <w:szCs w:val="24"/>
        </w:rPr>
        <w:t xml:space="preserve">, 18(19), p. 10026. Available at: </w:t>
      </w:r>
      <w:hyperlink r:id="rId17" w:tgtFrame="_new" w:history="1">
        <w:r w:rsidRPr="00552DDA">
          <w:rPr>
            <w:rFonts w:ascii="Times New Roman" w:eastAsia="Times New Roman" w:hAnsi="Times New Roman" w:cs="Times New Roman"/>
            <w:color w:val="0000FF"/>
            <w:sz w:val="24"/>
            <w:szCs w:val="24"/>
            <w:u w:val="single"/>
          </w:rPr>
          <w:t>https://www.mdpi.com/1660-4601/18/19/10026</w:t>
        </w:r>
      </w:hyperlink>
    </w:p>
    <w:p w14:paraId="25810B7A"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lastRenderedPageBreak/>
        <w:t>Golaghaie</w:t>
      </w:r>
      <w:proofErr w:type="spellEnd"/>
      <w:r w:rsidRPr="00552DDA">
        <w:rPr>
          <w:rFonts w:ascii="Times New Roman" w:eastAsia="Times New Roman" w:hAnsi="Times New Roman" w:cs="Times New Roman"/>
          <w:sz w:val="24"/>
          <w:szCs w:val="24"/>
        </w:rPr>
        <w:t xml:space="preserve">, F. et al. (2019) ‘Integrating case-based learning with collective reflection: outcomes of inter-professional continuing education’, </w:t>
      </w:r>
      <w:r w:rsidRPr="00552DDA">
        <w:rPr>
          <w:rFonts w:ascii="Times New Roman" w:eastAsia="Times New Roman" w:hAnsi="Times New Roman" w:cs="Times New Roman"/>
          <w:i/>
          <w:iCs/>
          <w:sz w:val="24"/>
          <w:szCs w:val="24"/>
        </w:rPr>
        <w:t>Reflective Practice</w:t>
      </w:r>
      <w:r w:rsidRPr="00552DDA">
        <w:rPr>
          <w:rFonts w:ascii="Times New Roman" w:eastAsia="Times New Roman" w:hAnsi="Times New Roman" w:cs="Times New Roman"/>
          <w:sz w:val="24"/>
          <w:szCs w:val="24"/>
        </w:rPr>
        <w:t xml:space="preserve">, 20(1), pp. 42–55. Available at: </w:t>
      </w:r>
      <w:hyperlink r:id="rId18" w:tgtFrame="_new" w:history="1">
        <w:r w:rsidRPr="00552DDA">
          <w:rPr>
            <w:rFonts w:ascii="Times New Roman" w:eastAsia="Times New Roman" w:hAnsi="Times New Roman" w:cs="Times New Roman"/>
            <w:color w:val="0000FF"/>
            <w:sz w:val="24"/>
            <w:szCs w:val="24"/>
            <w:u w:val="single"/>
          </w:rPr>
          <w:t>https://www.tandfonline.com/doi/abs/10.1080/14623943.2018.1539660</w:t>
        </w:r>
      </w:hyperlink>
    </w:p>
    <w:p w14:paraId="62A20B5A"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Hilton, S.K. et al. (2023) ‘Dimensions of transformational leadership and organizational performance: the mediating effect of job satisfaction’, </w:t>
      </w:r>
      <w:r w:rsidRPr="00552DDA">
        <w:rPr>
          <w:rFonts w:ascii="Times New Roman" w:eastAsia="Times New Roman" w:hAnsi="Times New Roman" w:cs="Times New Roman"/>
          <w:i/>
          <w:iCs/>
          <w:sz w:val="24"/>
          <w:szCs w:val="24"/>
        </w:rPr>
        <w:t>Management Research Review</w:t>
      </w:r>
      <w:r w:rsidRPr="00552DDA">
        <w:rPr>
          <w:rFonts w:ascii="Times New Roman" w:eastAsia="Times New Roman" w:hAnsi="Times New Roman" w:cs="Times New Roman"/>
          <w:sz w:val="24"/>
          <w:szCs w:val="24"/>
        </w:rPr>
        <w:t xml:space="preserve">, 46(1), pp. 1–19. Available at: </w:t>
      </w:r>
      <w:hyperlink r:id="rId19" w:tgtFrame="_new" w:history="1">
        <w:r w:rsidRPr="00552DDA">
          <w:rPr>
            <w:rFonts w:ascii="Times New Roman" w:eastAsia="Times New Roman" w:hAnsi="Times New Roman" w:cs="Times New Roman"/>
            <w:color w:val="0000FF"/>
            <w:sz w:val="24"/>
            <w:szCs w:val="24"/>
            <w:u w:val="single"/>
          </w:rPr>
          <w:t>https://www.researchgate.net/</w:t>
        </w:r>
      </w:hyperlink>
      <w:r w:rsidRPr="00552DDA">
        <w:rPr>
          <w:rFonts w:ascii="Times New Roman" w:eastAsia="Times New Roman" w:hAnsi="Times New Roman" w:cs="Times New Roman"/>
          <w:sz w:val="24"/>
          <w:szCs w:val="24"/>
        </w:rPr>
        <w:t>...</w:t>
      </w:r>
    </w:p>
    <w:p w14:paraId="7D9A7932"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Hoggan, C. and </w:t>
      </w:r>
      <w:proofErr w:type="spellStart"/>
      <w:r w:rsidRPr="00552DDA">
        <w:rPr>
          <w:rFonts w:ascii="Times New Roman" w:eastAsia="Times New Roman" w:hAnsi="Times New Roman" w:cs="Times New Roman"/>
          <w:sz w:val="24"/>
          <w:szCs w:val="24"/>
        </w:rPr>
        <w:t>Kloubert</w:t>
      </w:r>
      <w:proofErr w:type="spellEnd"/>
      <w:r w:rsidRPr="00552DDA">
        <w:rPr>
          <w:rFonts w:ascii="Times New Roman" w:eastAsia="Times New Roman" w:hAnsi="Times New Roman" w:cs="Times New Roman"/>
          <w:sz w:val="24"/>
          <w:szCs w:val="24"/>
        </w:rPr>
        <w:t xml:space="preserve">, T. (2020) ‘Transformative learning in theory and practice’, </w:t>
      </w:r>
      <w:r w:rsidRPr="00552DDA">
        <w:rPr>
          <w:rFonts w:ascii="Times New Roman" w:eastAsia="Times New Roman" w:hAnsi="Times New Roman" w:cs="Times New Roman"/>
          <w:i/>
          <w:iCs/>
          <w:sz w:val="24"/>
          <w:szCs w:val="24"/>
        </w:rPr>
        <w:t>Adult Education Quarterly</w:t>
      </w:r>
      <w:r w:rsidRPr="00552DDA">
        <w:rPr>
          <w:rFonts w:ascii="Times New Roman" w:eastAsia="Times New Roman" w:hAnsi="Times New Roman" w:cs="Times New Roman"/>
          <w:sz w:val="24"/>
          <w:szCs w:val="24"/>
        </w:rPr>
        <w:t xml:space="preserve">, 70(3), pp. 295–307. Available at: </w:t>
      </w:r>
      <w:hyperlink r:id="rId20" w:tgtFrame="_new" w:history="1">
        <w:r w:rsidRPr="00552DDA">
          <w:rPr>
            <w:rFonts w:ascii="Times New Roman" w:eastAsia="Times New Roman" w:hAnsi="Times New Roman" w:cs="Times New Roman"/>
            <w:color w:val="0000FF"/>
            <w:sz w:val="24"/>
            <w:szCs w:val="24"/>
            <w:u w:val="single"/>
          </w:rPr>
          <w:t>https://journals.sagepub.com/doi/abs/10.1177/0741713620918510</w:t>
        </w:r>
      </w:hyperlink>
    </w:p>
    <w:p w14:paraId="2A287CE2"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Jackson, C. et al. (2021) ‘Strengthening nursing, midwifery and allied health professional leadership in the UK – a realist evaluation’, </w:t>
      </w:r>
      <w:r w:rsidRPr="00552DDA">
        <w:rPr>
          <w:rFonts w:ascii="Times New Roman" w:eastAsia="Times New Roman" w:hAnsi="Times New Roman" w:cs="Times New Roman"/>
          <w:i/>
          <w:iCs/>
          <w:sz w:val="24"/>
          <w:szCs w:val="24"/>
        </w:rPr>
        <w:t>Leadership in Health Services</w:t>
      </w:r>
      <w:r w:rsidRPr="00552DDA">
        <w:rPr>
          <w:rFonts w:ascii="Times New Roman" w:eastAsia="Times New Roman" w:hAnsi="Times New Roman" w:cs="Times New Roman"/>
          <w:sz w:val="24"/>
          <w:szCs w:val="24"/>
        </w:rPr>
        <w:t xml:space="preserve">, 34(4), pp. 392–453. Available at: </w:t>
      </w:r>
      <w:hyperlink r:id="rId21" w:tgtFrame="_new" w:history="1">
        <w:r w:rsidRPr="00552DDA">
          <w:rPr>
            <w:rFonts w:ascii="Times New Roman" w:eastAsia="Times New Roman" w:hAnsi="Times New Roman" w:cs="Times New Roman"/>
            <w:color w:val="0000FF"/>
            <w:sz w:val="24"/>
            <w:szCs w:val="24"/>
            <w:u w:val="single"/>
          </w:rPr>
          <w:t>https://pure.ulster.ac.uk/files/92603992/Accepted_Manuscript.PDF</w:t>
        </w:r>
      </w:hyperlink>
    </w:p>
    <w:p w14:paraId="6E4BBE8B"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Köhler, C. et al. (2024) ‘The value of smartwatches in the health care sector for monitoring, nudging, and predicting: Viewpoint on 25 years of research’, </w:t>
      </w:r>
      <w:r w:rsidRPr="00552DDA">
        <w:rPr>
          <w:rFonts w:ascii="Times New Roman" w:eastAsia="Times New Roman" w:hAnsi="Times New Roman" w:cs="Times New Roman"/>
          <w:i/>
          <w:iCs/>
          <w:sz w:val="24"/>
          <w:szCs w:val="24"/>
        </w:rPr>
        <w:t>Journal of Medical Internet Research</w:t>
      </w:r>
      <w:r w:rsidRPr="00552DDA">
        <w:rPr>
          <w:rFonts w:ascii="Times New Roman" w:eastAsia="Times New Roman" w:hAnsi="Times New Roman" w:cs="Times New Roman"/>
          <w:sz w:val="24"/>
          <w:szCs w:val="24"/>
        </w:rPr>
        <w:t xml:space="preserve">, 26, p. e58936. Available at: </w:t>
      </w:r>
      <w:hyperlink r:id="rId22" w:tgtFrame="_new" w:history="1">
        <w:r w:rsidRPr="00552DDA">
          <w:rPr>
            <w:rFonts w:ascii="Times New Roman" w:eastAsia="Times New Roman" w:hAnsi="Times New Roman" w:cs="Times New Roman"/>
            <w:color w:val="0000FF"/>
            <w:sz w:val="24"/>
            <w:szCs w:val="24"/>
            <w:u w:val="single"/>
          </w:rPr>
          <w:t>https://www.jmir.org/2024/1/e58936/</w:t>
        </w:r>
      </w:hyperlink>
    </w:p>
    <w:p w14:paraId="6AD9CF88"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Kokko, P. (2022) ‘Improving the value of healthcare systems using the Triple Aim framework: A systematic literature review’, </w:t>
      </w:r>
      <w:r w:rsidRPr="00552DDA">
        <w:rPr>
          <w:rFonts w:ascii="Times New Roman" w:eastAsia="Times New Roman" w:hAnsi="Times New Roman" w:cs="Times New Roman"/>
          <w:i/>
          <w:iCs/>
          <w:sz w:val="24"/>
          <w:szCs w:val="24"/>
        </w:rPr>
        <w:t>Health Policy</w:t>
      </w:r>
      <w:r w:rsidRPr="00552DDA">
        <w:rPr>
          <w:rFonts w:ascii="Times New Roman" w:eastAsia="Times New Roman" w:hAnsi="Times New Roman" w:cs="Times New Roman"/>
          <w:sz w:val="24"/>
          <w:szCs w:val="24"/>
        </w:rPr>
        <w:t xml:space="preserve">, 126(4), pp. 302–309. Available at: </w:t>
      </w:r>
      <w:hyperlink r:id="rId23" w:tgtFrame="_new" w:history="1">
        <w:r w:rsidRPr="00552DDA">
          <w:rPr>
            <w:rFonts w:ascii="Times New Roman" w:eastAsia="Times New Roman" w:hAnsi="Times New Roman" w:cs="Times New Roman"/>
            <w:color w:val="0000FF"/>
            <w:sz w:val="24"/>
            <w:szCs w:val="24"/>
            <w:u w:val="single"/>
          </w:rPr>
          <w:t>https://doi.org/10.1016/j.healthpol.2022.02.005</w:t>
        </w:r>
      </w:hyperlink>
    </w:p>
    <w:p w14:paraId="40FB8A1E"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Natasia, S.R., </w:t>
      </w:r>
      <w:proofErr w:type="spellStart"/>
      <w:r w:rsidRPr="00552DDA">
        <w:rPr>
          <w:rFonts w:ascii="Times New Roman" w:eastAsia="Times New Roman" w:hAnsi="Times New Roman" w:cs="Times New Roman"/>
          <w:sz w:val="24"/>
          <w:szCs w:val="24"/>
        </w:rPr>
        <w:t>Wiranti</w:t>
      </w:r>
      <w:proofErr w:type="spellEnd"/>
      <w:r w:rsidRPr="00552DDA">
        <w:rPr>
          <w:rFonts w:ascii="Times New Roman" w:eastAsia="Times New Roman" w:hAnsi="Times New Roman" w:cs="Times New Roman"/>
          <w:sz w:val="24"/>
          <w:szCs w:val="24"/>
        </w:rPr>
        <w:t xml:space="preserve">, Y.T. and </w:t>
      </w:r>
      <w:proofErr w:type="spellStart"/>
      <w:r w:rsidRPr="00552DDA">
        <w:rPr>
          <w:rFonts w:ascii="Times New Roman" w:eastAsia="Times New Roman" w:hAnsi="Times New Roman" w:cs="Times New Roman"/>
          <w:sz w:val="24"/>
          <w:szCs w:val="24"/>
        </w:rPr>
        <w:t>Parastika</w:t>
      </w:r>
      <w:proofErr w:type="spellEnd"/>
      <w:r w:rsidRPr="00552DDA">
        <w:rPr>
          <w:rFonts w:ascii="Times New Roman" w:eastAsia="Times New Roman" w:hAnsi="Times New Roman" w:cs="Times New Roman"/>
          <w:sz w:val="24"/>
          <w:szCs w:val="24"/>
        </w:rPr>
        <w:t xml:space="preserve">, A. (2022) ‘Acceptance analysis of NUADU as e-learning platform using the Technology Acceptance Model (TAM) approach’, </w:t>
      </w:r>
      <w:r w:rsidRPr="00552DDA">
        <w:rPr>
          <w:rFonts w:ascii="Times New Roman" w:eastAsia="Times New Roman" w:hAnsi="Times New Roman" w:cs="Times New Roman"/>
          <w:i/>
          <w:iCs/>
          <w:sz w:val="24"/>
          <w:szCs w:val="24"/>
        </w:rPr>
        <w:t>Procedia Computer Science</w:t>
      </w:r>
      <w:r w:rsidRPr="00552DDA">
        <w:rPr>
          <w:rFonts w:ascii="Times New Roman" w:eastAsia="Times New Roman" w:hAnsi="Times New Roman" w:cs="Times New Roman"/>
          <w:sz w:val="24"/>
          <w:szCs w:val="24"/>
        </w:rPr>
        <w:t xml:space="preserve">, 197, pp. 512–520. Available at: </w:t>
      </w:r>
      <w:hyperlink r:id="rId24" w:tgtFrame="_new" w:history="1">
        <w:r w:rsidRPr="00552DDA">
          <w:rPr>
            <w:rFonts w:ascii="Times New Roman" w:eastAsia="Times New Roman" w:hAnsi="Times New Roman" w:cs="Times New Roman"/>
            <w:color w:val="0000FF"/>
            <w:sz w:val="24"/>
            <w:szCs w:val="24"/>
            <w:u w:val="single"/>
          </w:rPr>
          <w:t>https://doi.org/10.1016/j.procs.2021.12.168</w:t>
        </w:r>
      </w:hyperlink>
    </w:p>
    <w:p w14:paraId="0CEE8887"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(2019) </w:t>
      </w:r>
      <w:r w:rsidRPr="00552DDA">
        <w:rPr>
          <w:rFonts w:ascii="Times New Roman" w:eastAsia="Times New Roman" w:hAnsi="Times New Roman" w:cs="Times New Roman"/>
          <w:i/>
          <w:iCs/>
          <w:sz w:val="24"/>
          <w:szCs w:val="24"/>
        </w:rPr>
        <w:t>NHS Long Term Plan to tackle major killer conditions and save up to half a million lives</w:t>
      </w:r>
      <w:r w:rsidRPr="00552DDA">
        <w:rPr>
          <w:rFonts w:ascii="Times New Roman" w:eastAsia="Times New Roman" w:hAnsi="Times New Roman" w:cs="Times New Roman"/>
          <w:sz w:val="24"/>
          <w:szCs w:val="24"/>
        </w:rPr>
        <w:t xml:space="preserve">. Available at: </w:t>
      </w:r>
      <w:hyperlink r:id="rId25" w:tgtFrame="_new" w:history="1">
        <w:r w:rsidRPr="00552DDA">
          <w:rPr>
            <w:rFonts w:ascii="Times New Roman" w:eastAsia="Times New Roman" w:hAnsi="Times New Roman" w:cs="Times New Roman"/>
            <w:color w:val="0000FF"/>
            <w:sz w:val="24"/>
            <w:szCs w:val="24"/>
            <w:u w:val="single"/>
          </w:rPr>
          <w:t>https://www.england.nhs.uk/2019/01/long-term-plan/</w:t>
        </w:r>
      </w:hyperlink>
      <w:r w:rsidRPr="00552DDA">
        <w:rPr>
          <w:rFonts w:ascii="Times New Roman" w:eastAsia="Times New Roman" w:hAnsi="Times New Roman" w:cs="Times New Roman"/>
          <w:sz w:val="24"/>
          <w:szCs w:val="24"/>
        </w:rPr>
        <w:t xml:space="preserve"> (Accessed: 17 November 2025).</w:t>
      </w:r>
    </w:p>
    <w:p w14:paraId="35F85E89"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(2020) </w:t>
      </w:r>
      <w:r w:rsidRPr="00552DDA">
        <w:rPr>
          <w:rFonts w:ascii="Times New Roman" w:eastAsia="Times New Roman" w:hAnsi="Times New Roman" w:cs="Times New Roman"/>
          <w:i/>
          <w:iCs/>
          <w:sz w:val="24"/>
          <w:szCs w:val="24"/>
        </w:rPr>
        <w:t>We Are The NHS: People Plan 2020/21 – action for us all</w:t>
      </w:r>
      <w:r w:rsidRPr="00552DDA">
        <w:rPr>
          <w:rFonts w:ascii="Times New Roman" w:eastAsia="Times New Roman" w:hAnsi="Times New Roman" w:cs="Times New Roman"/>
          <w:sz w:val="24"/>
          <w:szCs w:val="24"/>
        </w:rPr>
        <w:t xml:space="preserve">. Available at: </w:t>
      </w:r>
      <w:hyperlink r:id="rId26" w:tgtFrame="_new" w:history="1">
        <w:r w:rsidRPr="00552DDA">
          <w:rPr>
            <w:rFonts w:ascii="Times New Roman" w:eastAsia="Times New Roman" w:hAnsi="Times New Roman" w:cs="Times New Roman"/>
            <w:color w:val="0000FF"/>
            <w:sz w:val="24"/>
            <w:szCs w:val="24"/>
            <w:u w:val="single"/>
          </w:rPr>
          <w:t>https://www.england.nhs.uk/wp-content/uploads/2020/07/We-Are-The-NHS-Action-For-All-Of-Us-FINAL-March-21.pdf</w:t>
        </w:r>
      </w:hyperlink>
      <w:r w:rsidRPr="00552DDA">
        <w:rPr>
          <w:rFonts w:ascii="Times New Roman" w:eastAsia="Times New Roman" w:hAnsi="Times New Roman" w:cs="Times New Roman"/>
          <w:sz w:val="24"/>
          <w:szCs w:val="24"/>
        </w:rPr>
        <w:t xml:space="preserve"> (Accessed: 17 November 2025).</w:t>
      </w:r>
    </w:p>
    <w:p w14:paraId="144F9027"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(2024) </w:t>
      </w:r>
      <w:r w:rsidRPr="00552DDA">
        <w:rPr>
          <w:rFonts w:ascii="Times New Roman" w:eastAsia="Times New Roman" w:hAnsi="Times New Roman" w:cs="Times New Roman"/>
          <w:i/>
          <w:iCs/>
          <w:sz w:val="24"/>
          <w:szCs w:val="24"/>
        </w:rPr>
        <w:t>NHS leadership competency framework for board members</w:t>
      </w:r>
      <w:r w:rsidRPr="00552DDA">
        <w:rPr>
          <w:rFonts w:ascii="Times New Roman" w:eastAsia="Times New Roman" w:hAnsi="Times New Roman" w:cs="Times New Roman"/>
          <w:sz w:val="24"/>
          <w:szCs w:val="24"/>
        </w:rPr>
        <w:t xml:space="preserve">. Available at: </w:t>
      </w:r>
      <w:hyperlink r:id="rId27" w:tgtFrame="_new" w:history="1">
        <w:r w:rsidRPr="00552DDA">
          <w:rPr>
            <w:rFonts w:ascii="Times New Roman" w:eastAsia="Times New Roman" w:hAnsi="Times New Roman" w:cs="Times New Roman"/>
            <w:color w:val="0000FF"/>
            <w:sz w:val="24"/>
            <w:szCs w:val="24"/>
            <w:u w:val="single"/>
          </w:rPr>
          <w:t>https://www.england.nhs.uk/publication/nhs-leadership-competency-framework/</w:t>
        </w:r>
      </w:hyperlink>
      <w:r w:rsidRPr="00552DDA">
        <w:rPr>
          <w:rFonts w:ascii="Times New Roman" w:eastAsia="Times New Roman" w:hAnsi="Times New Roman" w:cs="Times New Roman"/>
          <w:sz w:val="24"/>
          <w:szCs w:val="24"/>
        </w:rPr>
        <w:t xml:space="preserve"> (Accessed: 27 October 2025).</w:t>
      </w:r>
    </w:p>
    <w:p w14:paraId="4B59EE9A"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(2025) </w:t>
      </w:r>
      <w:r w:rsidRPr="00552DDA">
        <w:rPr>
          <w:rFonts w:ascii="Times New Roman" w:eastAsia="Times New Roman" w:hAnsi="Times New Roman" w:cs="Times New Roman"/>
          <w:i/>
          <w:iCs/>
          <w:sz w:val="24"/>
          <w:szCs w:val="24"/>
        </w:rPr>
        <w:t>Explore the Healthcare Leadership Model</w:t>
      </w:r>
      <w:r w:rsidRPr="00552DDA">
        <w:rPr>
          <w:rFonts w:ascii="Times New Roman" w:eastAsia="Times New Roman" w:hAnsi="Times New Roman" w:cs="Times New Roman"/>
          <w:sz w:val="24"/>
          <w:szCs w:val="24"/>
        </w:rPr>
        <w:t xml:space="preserve">. Available at: </w:t>
      </w:r>
      <w:hyperlink r:id="rId28" w:tgtFrame="_new" w:history="1">
        <w:r w:rsidRPr="00552DDA">
          <w:rPr>
            <w:rFonts w:ascii="Times New Roman" w:eastAsia="Times New Roman" w:hAnsi="Times New Roman" w:cs="Times New Roman"/>
            <w:color w:val="0000FF"/>
            <w:sz w:val="24"/>
            <w:szCs w:val="24"/>
            <w:u w:val="single"/>
          </w:rPr>
          <w:t>https://www.leadershipacademy.nhs.uk/healthcare-leadership-model/explore-the-healthcare-leadership-model/</w:t>
        </w:r>
      </w:hyperlink>
      <w:r w:rsidRPr="00552DDA">
        <w:rPr>
          <w:rFonts w:ascii="Times New Roman" w:eastAsia="Times New Roman" w:hAnsi="Times New Roman" w:cs="Times New Roman"/>
          <w:sz w:val="24"/>
          <w:szCs w:val="24"/>
        </w:rPr>
        <w:t xml:space="preserve"> (Accessed: 17 November 2025).</w:t>
      </w:r>
    </w:p>
    <w:p w14:paraId="542359E5"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lastRenderedPageBreak/>
        <w:t xml:space="preserve">NHS (2025) </w:t>
      </w:r>
      <w:r w:rsidRPr="00552DDA">
        <w:rPr>
          <w:rFonts w:ascii="Times New Roman" w:eastAsia="Times New Roman" w:hAnsi="Times New Roman" w:cs="Times New Roman"/>
          <w:i/>
          <w:iCs/>
          <w:sz w:val="24"/>
          <w:szCs w:val="24"/>
        </w:rPr>
        <w:t>Innovative AI Chatbot Enhances Access to Mental Health Support</w:t>
      </w:r>
      <w:r w:rsidRPr="00552DDA">
        <w:rPr>
          <w:rFonts w:ascii="Times New Roman" w:eastAsia="Times New Roman" w:hAnsi="Times New Roman" w:cs="Times New Roman"/>
          <w:sz w:val="24"/>
          <w:szCs w:val="24"/>
        </w:rPr>
        <w:t xml:space="preserve">. Available at: </w:t>
      </w:r>
      <w:hyperlink r:id="rId29" w:tgtFrame="_new" w:history="1">
        <w:r w:rsidRPr="00552DDA">
          <w:rPr>
            <w:rFonts w:ascii="Times New Roman" w:eastAsia="Times New Roman" w:hAnsi="Times New Roman" w:cs="Times New Roman"/>
            <w:color w:val="0000FF"/>
            <w:sz w:val="24"/>
            <w:szCs w:val="24"/>
            <w:u w:val="single"/>
          </w:rPr>
          <w:t>https://oxfordhealth.nhs.uk/news/limbic-chatbot-talking-therapies/</w:t>
        </w:r>
      </w:hyperlink>
      <w:r w:rsidRPr="00552DDA">
        <w:rPr>
          <w:rFonts w:ascii="Times New Roman" w:eastAsia="Times New Roman" w:hAnsi="Times New Roman" w:cs="Times New Roman"/>
          <w:sz w:val="24"/>
          <w:szCs w:val="24"/>
        </w:rPr>
        <w:t xml:space="preserve"> (Accessed: 17 November 2025).</w:t>
      </w:r>
    </w:p>
    <w:p w14:paraId="6B3C78C3"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(2025) </w:t>
      </w:r>
      <w:r w:rsidRPr="00552DDA">
        <w:rPr>
          <w:rFonts w:ascii="Times New Roman" w:eastAsia="Times New Roman" w:hAnsi="Times New Roman" w:cs="Times New Roman"/>
          <w:i/>
          <w:iCs/>
          <w:sz w:val="24"/>
          <w:szCs w:val="24"/>
        </w:rPr>
        <w:t>Supporting care with remote monitoring</w:t>
      </w:r>
      <w:r w:rsidRPr="00552DDA">
        <w:rPr>
          <w:rFonts w:ascii="Times New Roman" w:eastAsia="Times New Roman" w:hAnsi="Times New Roman" w:cs="Times New Roman"/>
          <w:sz w:val="24"/>
          <w:szCs w:val="24"/>
        </w:rPr>
        <w:t xml:space="preserve">. Available at: </w:t>
      </w:r>
      <w:hyperlink r:id="rId30" w:tgtFrame="_new" w:history="1">
        <w:r w:rsidRPr="00552DDA">
          <w:rPr>
            <w:rFonts w:ascii="Times New Roman" w:eastAsia="Times New Roman" w:hAnsi="Times New Roman" w:cs="Times New Roman"/>
            <w:color w:val="0000FF"/>
            <w:sz w:val="24"/>
            <w:szCs w:val="24"/>
            <w:u w:val="single"/>
          </w:rPr>
          <w:t>https://transform.england.nhs.uk/covid-19-response/technology-nhs/supporting-the-innovation-collaboratives-to-expand-their-remote-monitoring-plans/</w:t>
        </w:r>
      </w:hyperlink>
      <w:r w:rsidRPr="00552DDA">
        <w:rPr>
          <w:rFonts w:ascii="Times New Roman" w:eastAsia="Times New Roman" w:hAnsi="Times New Roman" w:cs="Times New Roman"/>
          <w:sz w:val="24"/>
          <w:szCs w:val="24"/>
        </w:rPr>
        <w:t xml:space="preserve"> (Accessed: 27 October 2025).</w:t>
      </w:r>
    </w:p>
    <w:p w14:paraId="09F1B120"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NHS (2025) </w:t>
      </w:r>
      <w:r w:rsidRPr="00552DDA">
        <w:rPr>
          <w:rFonts w:ascii="Times New Roman" w:eastAsia="Times New Roman" w:hAnsi="Times New Roman" w:cs="Times New Roman"/>
          <w:i/>
          <w:iCs/>
          <w:sz w:val="24"/>
          <w:szCs w:val="24"/>
        </w:rPr>
        <w:t>The Change Model Guide</w:t>
      </w:r>
      <w:r w:rsidRPr="00552DDA">
        <w:rPr>
          <w:rFonts w:ascii="Times New Roman" w:eastAsia="Times New Roman" w:hAnsi="Times New Roman" w:cs="Times New Roman"/>
          <w:sz w:val="24"/>
          <w:szCs w:val="24"/>
        </w:rPr>
        <w:t xml:space="preserve">. Available at: </w:t>
      </w:r>
      <w:hyperlink r:id="rId31" w:tgtFrame="_new" w:history="1">
        <w:r w:rsidRPr="00552DDA">
          <w:rPr>
            <w:rFonts w:ascii="Times New Roman" w:eastAsia="Times New Roman" w:hAnsi="Times New Roman" w:cs="Times New Roman"/>
            <w:color w:val="0000FF"/>
            <w:sz w:val="24"/>
            <w:szCs w:val="24"/>
            <w:u w:val="single"/>
          </w:rPr>
          <w:t>https://www.england.nhs.uk/wp-content/uploads/2018/04/change-model-guide-v5.pdf</w:t>
        </w:r>
      </w:hyperlink>
      <w:r w:rsidRPr="00552DDA">
        <w:rPr>
          <w:rFonts w:ascii="Times New Roman" w:eastAsia="Times New Roman" w:hAnsi="Times New Roman" w:cs="Times New Roman"/>
          <w:sz w:val="24"/>
          <w:szCs w:val="24"/>
        </w:rPr>
        <w:t xml:space="preserve"> (Accessed: 17 November 2025).</w:t>
      </w:r>
    </w:p>
    <w:p w14:paraId="1824DBD7"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Robertson, S.T. et al. (2022) ‘The effect of the electronic health record on interprofessional practice: a systematic review’, </w:t>
      </w:r>
      <w:r w:rsidRPr="00552DDA">
        <w:rPr>
          <w:rFonts w:ascii="Times New Roman" w:eastAsia="Times New Roman" w:hAnsi="Times New Roman" w:cs="Times New Roman"/>
          <w:i/>
          <w:iCs/>
          <w:sz w:val="24"/>
          <w:szCs w:val="24"/>
        </w:rPr>
        <w:t>Applied Clinical Informatics</w:t>
      </w:r>
      <w:r w:rsidRPr="00552DDA">
        <w:rPr>
          <w:rFonts w:ascii="Times New Roman" w:eastAsia="Times New Roman" w:hAnsi="Times New Roman" w:cs="Times New Roman"/>
          <w:sz w:val="24"/>
          <w:szCs w:val="24"/>
        </w:rPr>
        <w:t xml:space="preserve">, 13(3), pp. 541–559. Available at: </w:t>
      </w:r>
      <w:hyperlink r:id="rId32" w:tgtFrame="_new" w:history="1">
        <w:r w:rsidRPr="00552DDA">
          <w:rPr>
            <w:rFonts w:ascii="Times New Roman" w:eastAsia="Times New Roman" w:hAnsi="Times New Roman" w:cs="Times New Roman"/>
            <w:color w:val="0000FF"/>
            <w:sz w:val="24"/>
            <w:szCs w:val="24"/>
            <w:u w:val="single"/>
          </w:rPr>
          <w:t>https://www.thieme-connect.com/products/ejournals/pdf/10.1055/s-0042-1748855.pdf</w:t>
        </w:r>
      </w:hyperlink>
    </w:p>
    <w:p w14:paraId="591277F5"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Solakis, K., Pena-Vinces, J. and Lopez-Bonilla, J.M. (2022) ‘Value co-creation and perceived value: A customer perspective in the hospitality context’, </w:t>
      </w:r>
      <w:r w:rsidRPr="00552DDA">
        <w:rPr>
          <w:rFonts w:ascii="Times New Roman" w:eastAsia="Times New Roman" w:hAnsi="Times New Roman" w:cs="Times New Roman"/>
          <w:i/>
          <w:iCs/>
          <w:sz w:val="24"/>
          <w:szCs w:val="24"/>
        </w:rPr>
        <w:t>European Research on Management and Business Economics</w:t>
      </w:r>
      <w:r w:rsidRPr="00552DDA">
        <w:rPr>
          <w:rFonts w:ascii="Times New Roman" w:eastAsia="Times New Roman" w:hAnsi="Times New Roman" w:cs="Times New Roman"/>
          <w:sz w:val="24"/>
          <w:szCs w:val="24"/>
        </w:rPr>
        <w:t xml:space="preserve">, 28(1), p. 100175. Available at: </w:t>
      </w:r>
      <w:hyperlink r:id="rId33" w:tgtFrame="_new" w:history="1">
        <w:r w:rsidRPr="00552DDA">
          <w:rPr>
            <w:rFonts w:ascii="Times New Roman" w:eastAsia="Times New Roman" w:hAnsi="Times New Roman" w:cs="Times New Roman"/>
            <w:color w:val="0000FF"/>
            <w:sz w:val="24"/>
            <w:szCs w:val="24"/>
            <w:u w:val="single"/>
          </w:rPr>
          <w:t>https://www.sciencedirect.com/science/article/pii/S2444883421000346</w:t>
        </w:r>
      </w:hyperlink>
    </w:p>
    <w:p w14:paraId="3490DC54"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t>Stasevych</w:t>
      </w:r>
      <w:proofErr w:type="spellEnd"/>
      <w:r w:rsidRPr="00552DDA">
        <w:rPr>
          <w:rFonts w:ascii="Times New Roman" w:eastAsia="Times New Roman" w:hAnsi="Times New Roman" w:cs="Times New Roman"/>
          <w:sz w:val="24"/>
          <w:szCs w:val="24"/>
        </w:rPr>
        <w:t xml:space="preserve">, M. and </w:t>
      </w:r>
      <w:proofErr w:type="spellStart"/>
      <w:r w:rsidRPr="00552DDA">
        <w:rPr>
          <w:rFonts w:ascii="Times New Roman" w:eastAsia="Times New Roman" w:hAnsi="Times New Roman" w:cs="Times New Roman"/>
          <w:sz w:val="24"/>
          <w:szCs w:val="24"/>
        </w:rPr>
        <w:t>Zvarych</w:t>
      </w:r>
      <w:proofErr w:type="spellEnd"/>
      <w:r w:rsidRPr="00552DDA">
        <w:rPr>
          <w:rFonts w:ascii="Times New Roman" w:eastAsia="Times New Roman" w:hAnsi="Times New Roman" w:cs="Times New Roman"/>
          <w:sz w:val="24"/>
          <w:szCs w:val="24"/>
        </w:rPr>
        <w:t xml:space="preserve">, V. (2023) ‘Innovative robotic technologies and artificial intelligence in pharmacy and medicine: paving the way for the future of health care – a review’, </w:t>
      </w:r>
      <w:r w:rsidRPr="00552DDA">
        <w:rPr>
          <w:rFonts w:ascii="Times New Roman" w:eastAsia="Times New Roman" w:hAnsi="Times New Roman" w:cs="Times New Roman"/>
          <w:i/>
          <w:iCs/>
          <w:sz w:val="24"/>
          <w:szCs w:val="24"/>
        </w:rPr>
        <w:t>Big Data and Cognitive Computing</w:t>
      </w:r>
      <w:r w:rsidRPr="00552DDA">
        <w:rPr>
          <w:rFonts w:ascii="Times New Roman" w:eastAsia="Times New Roman" w:hAnsi="Times New Roman" w:cs="Times New Roman"/>
          <w:sz w:val="24"/>
          <w:szCs w:val="24"/>
        </w:rPr>
        <w:t xml:space="preserve">, 7(3), p. 147. Available at: </w:t>
      </w:r>
      <w:hyperlink r:id="rId34" w:tgtFrame="_new" w:history="1">
        <w:r w:rsidRPr="00552DDA">
          <w:rPr>
            <w:rFonts w:ascii="Times New Roman" w:eastAsia="Times New Roman" w:hAnsi="Times New Roman" w:cs="Times New Roman"/>
            <w:color w:val="0000FF"/>
            <w:sz w:val="24"/>
            <w:szCs w:val="24"/>
            <w:u w:val="single"/>
          </w:rPr>
          <w:t>https://www.mdpi.com/2504-2289/7/3/147</w:t>
        </w:r>
      </w:hyperlink>
    </w:p>
    <w:p w14:paraId="346152B1"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proofErr w:type="spellStart"/>
      <w:r w:rsidRPr="00552DDA">
        <w:rPr>
          <w:rFonts w:ascii="Times New Roman" w:eastAsia="Times New Roman" w:hAnsi="Times New Roman" w:cs="Times New Roman"/>
          <w:sz w:val="24"/>
          <w:szCs w:val="24"/>
        </w:rPr>
        <w:t>Support.apple</w:t>
      </w:r>
      <w:proofErr w:type="spellEnd"/>
      <w:r w:rsidRPr="00552DDA">
        <w:rPr>
          <w:rFonts w:ascii="Times New Roman" w:eastAsia="Times New Roman" w:hAnsi="Times New Roman" w:cs="Times New Roman"/>
          <w:sz w:val="24"/>
          <w:szCs w:val="24"/>
        </w:rPr>
        <w:t xml:space="preserve"> (2025) </w:t>
      </w:r>
      <w:r w:rsidRPr="00552DDA">
        <w:rPr>
          <w:rFonts w:ascii="Times New Roman" w:eastAsia="Times New Roman" w:hAnsi="Times New Roman" w:cs="Times New Roman"/>
          <w:i/>
          <w:iCs/>
          <w:sz w:val="24"/>
          <w:szCs w:val="24"/>
        </w:rPr>
        <w:t>Take an ECG with the ECG app on Apple Watch</w:t>
      </w:r>
      <w:r w:rsidRPr="00552DDA">
        <w:rPr>
          <w:rFonts w:ascii="Times New Roman" w:eastAsia="Times New Roman" w:hAnsi="Times New Roman" w:cs="Times New Roman"/>
          <w:sz w:val="24"/>
          <w:szCs w:val="24"/>
        </w:rPr>
        <w:t xml:space="preserve">. Available at: </w:t>
      </w:r>
      <w:hyperlink r:id="rId35" w:tgtFrame="_new" w:history="1">
        <w:r w:rsidRPr="00552DDA">
          <w:rPr>
            <w:rFonts w:ascii="Times New Roman" w:eastAsia="Times New Roman" w:hAnsi="Times New Roman" w:cs="Times New Roman"/>
            <w:color w:val="0000FF"/>
            <w:sz w:val="24"/>
            <w:szCs w:val="24"/>
            <w:u w:val="single"/>
          </w:rPr>
          <w:t>https://support.apple.com/en-us/120278</w:t>
        </w:r>
      </w:hyperlink>
      <w:r w:rsidRPr="00552DDA">
        <w:rPr>
          <w:rFonts w:ascii="Times New Roman" w:eastAsia="Times New Roman" w:hAnsi="Times New Roman" w:cs="Times New Roman"/>
          <w:sz w:val="24"/>
          <w:szCs w:val="24"/>
        </w:rPr>
        <w:t xml:space="preserve"> (Accessed: 27 October 2025).</w:t>
      </w:r>
    </w:p>
    <w:p w14:paraId="14AE116B"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Thomas, M.S. (2024) </w:t>
      </w:r>
      <w:r w:rsidRPr="00552DDA">
        <w:rPr>
          <w:rFonts w:ascii="Times New Roman" w:eastAsia="Times New Roman" w:hAnsi="Times New Roman" w:cs="Times New Roman"/>
          <w:i/>
          <w:iCs/>
          <w:sz w:val="24"/>
          <w:szCs w:val="24"/>
        </w:rPr>
        <w:t>Enhancing Divergent Thinking Among Gifted and Talented Students Through Targeted Instructional Approaches in K–6 Cluster Classes</w:t>
      </w:r>
      <w:r w:rsidRPr="00552DDA">
        <w:rPr>
          <w:rFonts w:ascii="Times New Roman" w:eastAsia="Times New Roman" w:hAnsi="Times New Roman" w:cs="Times New Roman"/>
          <w:sz w:val="24"/>
          <w:szCs w:val="24"/>
        </w:rPr>
        <w:t xml:space="preserve">. National University. Available at: </w:t>
      </w:r>
      <w:hyperlink r:id="rId36" w:tgtFrame="_new" w:history="1">
        <w:r w:rsidRPr="00552DDA">
          <w:rPr>
            <w:rFonts w:ascii="Times New Roman" w:eastAsia="Times New Roman" w:hAnsi="Times New Roman" w:cs="Times New Roman"/>
            <w:color w:val="0000FF"/>
            <w:sz w:val="24"/>
            <w:szCs w:val="24"/>
            <w:u w:val="single"/>
          </w:rPr>
          <w:t>https://search.proquest.com/openview/01f7864b43b46f7f95d44eea196e0dd0/1.pdf</w:t>
        </w:r>
      </w:hyperlink>
    </w:p>
    <w:p w14:paraId="74DEE36D" w14:textId="77777777" w:rsidR="00552DDA" w:rsidRPr="00552DDA" w:rsidRDefault="00552DDA" w:rsidP="00552DDA">
      <w:pPr>
        <w:spacing w:before="100" w:beforeAutospacing="1" w:after="100" w:afterAutospacing="1" w:line="240" w:lineRule="auto"/>
        <w:rPr>
          <w:rFonts w:ascii="Times New Roman" w:eastAsia="Times New Roman" w:hAnsi="Times New Roman" w:cs="Times New Roman"/>
          <w:sz w:val="24"/>
          <w:szCs w:val="24"/>
        </w:rPr>
      </w:pPr>
      <w:r w:rsidRPr="00552DDA">
        <w:rPr>
          <w:rFonts w:ascii="Times New Roman" w:eastAsia="Times New Roman" w:hAnsi="Times New Roman" w:cs="Times New Roman"/>
          <w:sz w:val="24"/>
          <w:szCs w:val="24"/>
        </w:rPr>
        <w:t xml:space="preserve">Wah, J.N.K. (2025) ‘Revolutionizing e-health: the transformative role of AI-powered hybrid chatbots in healthcare solutions’, </w:t>
      </w:r>
      <w:r w:rsidRPr="00552DDA">
        <w:rPr>
          <w:rFonts w:ascii="Times New Roman" w:eastAsia="Times New Roman" w:hAnsi="Times New Roman" w:cs="Times New Roman"/>
          <w:i/>
          <w:iCs/>
          <w:sz w:val="24"/>
          <w:szCs w:val="24"/>
        </w:rPr>
        <w:t>Frontiers in Public Health</w:t>
      </w:r>
      <w:r w:rsidRPr="00552DDA">
        <w:rPr>
          <w:rFonts w:ascii="Times New Roman" w:eastAsia="Times New Roman" w:hAnsi="Times New Roman" w:cs="Times New Roman"/>
          <w:sz w:val="24"/>
          <w:szCs w:val="24"/>
        </w:rPr>
        <w:t xml:space="preserve">, 13, pp. 1–14. Available at: </w:t>
      </w:r>
      <w:hyperlink r:id="rId37" w:tgtFrame="_new" w:history="1">
        <w:r w:rsidRPr="00552DDA">
          <w:rPr>
            <w:rFonts w:ascii="Times New Roman" w:eastAsia="Times New Roman" w:hAnsi="Times New Roman" w:cs="Times New Roman"/>
            <w:color w:val="0000FF"/>
            <w:sz w:val="24"/>
            <w:szCs w:val="24"/>
            <w:u w:val="single"/>
          </w:rPr>
          <w:t>https://www.frontiersin.org/journals/public-health/articles/10.3389/fpubh.2025.1530799/pdf</w:t>
        </w:r>
      </w:hyperlink>
    </w:p>
    <w:p w14:paraId="07AEE1A0" w14:textId="77777777" w:rsidR="000D1508" w:rsidRPr="009B7B68" w:rsidRDefault="000D1508">
      <w:pPr>
        <w:pBdr>
          <w:top w:val="nil"/>
          <w:left w:val="nil"/>
          <w:bottom w:val="nil"/>
          <w:right w:val="nil"/>
          <w:between w:val="nil"/>
        </w:pBdr>
        <w:spacing w:before="120" w:after="120" w:line="360" w:lineRule="auto"/>
        <w:jc w:val="both"/>
        <w:rPr>
          <w:rFonts w:ascii="Times New Roman" w:eastAsia="Times New Roman" w:hAnsi="Times New Roman" w:cs="Times New Roman"/>
          <w:sz w:val="24"/>
          <w:szCs w:val="24"/>
        </w:rPr>
      </w:pPr>
    </w:p>
    <w:sectPr w:rsidR="000D1508" w:rsidRPr="009B7B68">
      <w:footerReference w:type="defaul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96285" w14:textId="77777777" w:rsidR="00913DF4" w:rsidRDefault="00913DF4">
      <w:pPr>
        <w:spacing w:line="240" w:lineRule="auto"/>
      </w:pPr>
      <w:r>
        <w:separator/>
      </w:r>
    </w:p>
  </w:endnote>
  <w:endnote w:type="continuationSeparator" w:id="0">
    <w:p w14:paraId="56B5A22F" w14:textId="77777777" w:rsidR="00913DF4" w:rsidRDefault="00913D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38D93F9-296E-40CA-9223-FA1470525B16}"/>
  </w:font>
  <w:font w:name="Calibri">
    <w:panose1 w:val="020F0502020204030204"/>
    <w:charset w:val="00"/>
    <w:family w:val="swiss"/>
    <w:pitch w:val="variable"/>
    <w:sig w:usb0="E4002EFF" w:usb1="C200247B" w:usb2="00000009" w:usb3="00000000" w:csb0="000001FF" w:csb1="00000000"/>
    <w:embedRegular r:id="rId2" w:fontKey="{506DC09E-0564-469A-9DBB-EA7CA371589D}"/>
    <w:embedBold r:id="rId3" w:fontKey="{42741F55-EEA1-4607-B290-0677376DB56B}"/>
  </w:font>
  <w:font w:name="Cambria">
    <w:panose1 w:val="02040503050406030204"/>
    <w:charset w:val="00"/>
    <w:family w:val="roman"/>
    <w:pitch w:val="variable"/>
    <w:sig w:usb0="E00006FF" w:usb1="420024FF" w:usb2="02000000" w:usb3="00000000" w:csb0="0000019F" w:csb1="00000000"/>
    <w:embedRegular r:id="rId4" w:fontKey="{425BC5F8-D5CE-4CA7-A551-56D7B91353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E463F" w14:textId="77777777" w:rsidR="000D1508" w:rsidRDefault="00AF3AF0">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0E2147">
      <w:rPr>
        <w:rFonts w:ascii="Times New Roman" w:eastAsia="Times New Roman" w:hAnsi="Times New Roman" w:cs="Times New Roman"/>
        <w:noProof/>
        <w:color w:val="000000"/>
      </w:rPr>
      <w:t>14</w:t>
    </w:r>
    <w:r>
      <w:rPr>
        <w:rFonts w:ascii="Times New Roman" w:eastAsia="Times New Roman" w:hAnsi="Times New Roman" w:cs="Times New Roman"/>
        <w:color w:val="000000"/>
      </w:rPr>
      <w:fldChar w:fldCharType="end"/>
    </w:r>
  </w:p>
  <w:p w14:paraId="2FF992F7" w14:textId="77777777" w:rsidR="000D1508" w:rsidRDefault="000D1508">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A3BF1" w14:textId="77777777" w:rsidR="00913DF4" w:rsidRDefault="00913DF4">
      <w:pPr>
        <w:spacing w:line="240" w:lineRule="auto"/>
      </w:pPr>
      <w:r>
        <w:separator/>
      </w:r>
    </w:p>
  </w:footnote>
  <w:footnote w:type="continuationSeparator" w:id="0">
    <w:p w14:paraId="47B20036" w14:textId="77777777" w:rsidR="00913DF4" w:rsidRDefault="00913D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1508"/>
    <w:rsid w:val="00027872"/>
    <w:rsid w:val="00031F73"/>
    <w:rsid w:val="00057524"/>
    <w:rsid w:val="000B5167"/>
    <w:rsid w:val="000D1508"/>
    <w:rsid w:val="000D3406"/>
    <w:rsid w:val="000E2147"/>
    <w:rsid w:val="000E4717"/>
    <w:rsid w:val="00136175"/>
    <w:rsid w:val="001373C6"/>
    <w:rsid w:val="002033D1"/>
    <w:rsid w:val="0021126A"/>
    <w:rsid w:val="002229CC"/>
    <w:rsid w:val="0023698B"/>
    <w:rsid w:val="00247AA6"/>
    <w:rsid w:val="002857E4"/>
    <w:rsid w:val="00300851"/>
    <w:rsid w:val="00324160"/>
    <w:rsid w:val="00370A3F"/>
    <w:rsid w:val="00391FE0"/>
    <w:rsid w:val="00437278"/>
    <w:rsid w:val="00474541"/>
    <w:rsid w:val="00493A87"/>
    <w:rsid w:val="004C69D8"/>
    <w:rsid w:val="00552DDA"/>
    <w:rsid w:val="00604D7B"/>
    <w:rsid w:val="006426EF"/>
    <w:rsid w:val="006D528F"/>
    <w:rsid w:val="00725B60"/>
    <w:rsid w:val="00746036"/>
    <w:rsid w:val="007709C0"/>
    <w:rsid w:val="00775BA3"/>
    <w:rsid w:val="007B219E"/>
    <w:rsid w:val="00812502"/>
    <w:rsid w:val="0084727E"/>
    <w:rsid w:val="00913DF4"/>
    <w:rsid w:val="009B7B68"/>
    <w:rsid w:val="009C0CCF"/>
    <w:rsid w:val="009D3C0F"/>
    <w:rsid w:val="00A320A2"/>
    <w:rsid w:val="00AF3AF0"/>
    <w:rsid w:val="00B02A89"/>
    <w:rsid w:val="00C07DD9"/>
    <w:rsid w:val="00C25D2F"/>
    <w:rsid w:val="00C630AF"/>
    <w:rsid w:val="00C74170"/>
    <w:rsid w:val="00C75B45"/>
    <w:rsid w:val="00C85793"/>
    <w:rsid w:val="00CE1EDE"/>
    <w:rsid w:val="00D31C7B"/>
    <w:rsid w:val="00EA6664"/>
    <w:rsid w:val="00EC5BA0"/>
    <w:rsid w:val="00EE1B34"/>
    <w:rsid w:val="00EE223A"/>
    <w:rsid w:val="00F5757B"/>
    <w:rsid w:val="00F83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770C1"/>
  <w15:docId w15:val="{365DD3A8-0313-4B9F-83CF-E15B21FA0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2C13C9"/>
    <w:tblPr>
      <w:tblCellMar>
        <w:top w:w="100" w:type="dxa"/>
        <w:left w:w="100" w:type="dxa"/>
        <w:bottom w:w="100" w:type="dxa"/>
        <w:right w:w="100" w:type="dxa"/>
      </w:tblCellMar>
    </w:tblPr>
  </w:style>
  <w:style w:type="paragraph" w:customStyle="1" w:styleId="Normal1">
    <w:name w:val="Normal1"/>
    <w:rsid w:val="002C13C9"/>
  </w:style>
  <w:style w:type="paragraph" w:styleId="BalloonText">
    <w:name w:val="Balloon Text"/>
    <w:basedOn w:val="Normal"/>
    <w:link w:val="BalloonTextChar"/>
    <w:uiPriority w:val="99"/>
    <w:semiHidden/>
    <w:unhideWhenUsed/>
    <w:rsid w:val="005D49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96E"/>
    <w:rPr>
      <w:rFonts w:ascii="Tahoma" w:hAnsi="Tahoma" w:cs="Tahoma"/>
      <w:sz w:val="16"/>
      <w:szCs w:val="16"/>
    </w:rPr>
  </w:style>
  <w:style w:type="paragraph" w:styleId="TOCHeading">
    <w:name w:val="TOC Heading"/>
    <w:basedOn w:val="Heading1"/>
    <w:next w:val="Normal"/>
    <w:uiPriority w:val="39"/>
    <w:semiHidden/>
    <w:unhideWhenUsed/>
    <w:qFormat/>
    <w:rsid w:val="00D80F5A"/>
    <w:pPr>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D80F5A"/>
    <w:pPr>
      <w:spacing w:after="100"/>
    </w:pPr>
  </w:style>
  <w:style w:type="character" w:styleId="Hyperlink">
    <w:name w:val="Hyperlink"/>
    <w:basedOn w:val="DefaultParagraphFont"/>
    <w:uiPriority w:val="99"/>
    <w:unhideWhenUsed/>
    <w:rsid w:val="00D80F5A"/>
    <w:rPr>
      <w:color w:val="0000FF" w:themeColor="hyperlink"/>
      <w:u w:val="single"/>
    </w:rPr>
  </w:style>
  <w:style w:type="paragraph" w:styleId="Header">
    <w:name w:val="header"/>
    <w:basedOn w:val="Normal"/>
    <w:link w:val="HeaderChar"/>
    <w:uiPriority w:val="99"/>
    <w:semiHidden/>
    <w:unhideWhenUsed/>
    <w:rsid w:val="001815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8159B"/>
  </w:style>
  <w:style w:type="paragraph" w:styleId="Footer">
    <w:name w:val="footer"/>
    <w:basedOn w:val="Normal"/>
    <w:link w:val="FooterChar"/>
    <w:uiPriority w:val="99"/>
    <w:unhideWhenUsed/>
    <w:rsid w:val="0018159B"/>
    <w:pPr>
      <w:tabs>
        <w:tab w:val="center" w:pos="4680"/>
        <w:tab w:val="right" w:pos="9360"/>
      </w:tabs>
      <w:spacing w:line="240" w:lineRule="auto"/>
    </w:pPr>
  </w:style>
  <w:style w:type="character" w:customStyle="1" w:styleId="FooterChar">
    <w:name w:val="Footer Char"/>
    <w:basedOn w:val="DefaultParagraphFont"/>
    <w:link w:val="Footer"/>
    <w:uiPriority w:val="99"/>
    <w:rsid w:val="0018159B"/>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1/jun/08/staff-burnout-in-health-and-social-care-putting-safety-at-risk-say-mps" TargetMode="External"/><Relationship Id="rId18" Type="http://schemas.openxmlformats.org/officeDocument/2006/relationships/hyperlink" Target="https://www.tandfonline.com/doi/abs/10.1080/14623943.2018.1539660" TargetMode="External"/><Relationship Id="rId26" Type="http://schemas.openxmlformats.org/officeDocument/2006/relationships/hyperlink" Target="https://www.england.nhs.uk/wp-content/uploads/2020/07/We-Are-The-NHS-Action-For-All-Of-Us-FINAL-March-21.pdf" TargetMode="External"/><Relationship Id="rId39" Type="http://schemas.openxmlformats.org/officeDocument/2006/relationships/fontTable" Target="fontTable.xml"/><Relationship Id="rId21" Type="http://schemas.openxmlformats.org/officeDocument/2006/relationships/hyperlink" Target="https://pure.ulster.ac.uk/files/92603992/Accepted_Manuscript.PDF" TargetMode="External"/><Relationship Id="rId34" Type="http://schemas.openxmlformats.org/officeDocument/2006/relationships/hyperlink" Target="https://www.mdpi.com/2504-2289/7/3/147" TargetMode="External"/><Relationship Id="rId7" Type="http://schemas.openxmlformats.org/officeDocument/2006/relationships/image" Target="media/image1.png"/><Relationship Id="rId12" Type="http://schemas.openxmlformats.org/officeDocument/2006/relationships/hyperlink" Target="https://journals.sagepub.com/doi/abs/10.1177/0021886319892685" TargetMode="External"/><Relationship Id="rId17" Type="http://schemas.openxmlformats.org/officeDocument/2006/relationships/hyperlink" Target="https://www.mdpi.com/1660-4601/18/19/10026" TargetMode="External"/><Relationship Id="rId25" Type="http://schemas.openxmlformats.org/officeDocument/2006/relationships/hyperlink" Target="https://www.england.nhs.uk/2019/01/long-term-plan/" TargetMode="External"/><Relationship Id="rId33" Type="http://schemas.openxmlformats.org/officeDocument/2006/relationships/hyperlink" Target="https://www.sciencedirect.com/science/article/pii/S2444883421000346"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abs/10.1080/00029157.2021.1941744" TargetMode="External"/><Relationship Id="rId20" Type="http://schemas.openxmlformats.org/officeDocument/2006/relationships/hyperlink" Target="https://journals.sagepub.com/doi/abs/10.1177/0741713620918510" TargetMode="External"/><Relationship Id="rId29" Type="http://schemas.openxmlformats.org/officeDocument/2006/relationships/hyperlink" Target="https://oxfordhealth.nhs.uk/news/limbic-chatbot-talking-therap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emp2.12101" TargetMode="External"/><Relationship Id="rId24" Type="http://schemas.openxmlformats.org/officeDocument/2006/relationships/hyperlink" Target="https://doi.org/10.1016/j.procs.2021.12.168" TargetMode="External"/><Relationship Id="rId32" Type="http://schemas.openxmlformats.org/officeDocument/2006/relationships/hyperlink" Target="https://www.thieme-connect.com/products/ejournals/pdf/10.1055/s-0042-1748855.pdf" TargetMode="External"/><Relationship Id="rId37" Type="http://schemas.openxmlformats.org/officeDocument/2006/relationships/hyperlink" Target="https://www.frontiersin.org/journals/public-health/articles/10.3389/fpubh.2025.1530799/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content/pdf/10.1186/s12872-023-03486-3.pdf" TargetMode="External"/><Relationship Id="rId23" Type="http://schemas.openxmlformats.org/officeDocument/2006/relationships/hyperlink" Target="https://doi.org/10.1016/j.healthpol.2022.02.005" TargetMode="External"/><Relationship Id="rId28" Type="http://schemas.openxmlformats.org/officeDocument/2006/relationships/hyperlink" Target="https://www.leadershipacademy.nhs.uk/healthcare-leadership-model/explore-the-healthcare-leadership-model/" TargetMode="External"/><Relationship Id="rId36" Type="http://schemas.openxmlformats.org/officeDocument/2006/relationships/hyperlink" Target="https://search.proquest.com/openview/01f7864b43b46f7f95d44eea196e0dd0/1.pdf" TargetMode="External"/><Relationship Id="rId10" Type="http://schemas.openxmlformats.org/officeDocument/2006/relationships/hyperlink" Target="https://knowledgehub.ghamfin.org/wp-content/uploads/2024/06/Changing-Organizational-Culture_-Cultural-Change-Work-in-Progress.pdf" TargetMode="External"/><Relationship Id="rId19" Type="http://schemas.openxmlformats.org/officeDocument/2006/relationships/hyperlink" Target="https://www.researchgate.net/" TargetMode="External"/><Relationship Id="rId31" Type="http://schemas.openxmlformats.org/officeDocument/2006/relationships/hyperlink" Target="https://www.england.nhs.uk/wp-content/uploads/2018/04/change-model-guide-v5.pdf" TargetMode="External"/><Relationship Id="rId4" Type="http://schemas.openxmlformats.org/officeDocument/2006/relationships/webSettings" Target="webSettings.xml"/><Relationship Id="rId9" Type="http://schemas.openxmlformats.org/officeDocument/2006/relationships/hyperlink" Target="https://pmc.ncbi.nlm.nih.gov/articles/PMC10464746/pdf/ijomeh-36-21.pdf" TargetMode="External"/><Relationship Id="rId14" Type="http://schemas.openxmlformats.org/officeDocument/2006/relationships/hyperlink" Target="https://pmc.ncbi.nlm.nih.gov/articles/PMC7306605/" TargetMode="External"/><Relationship Id="rId22" Type="http://schemas.openxmlformats.org/officeDocument/2006/relationships/hyperlink" Target="https://www.jmir.org/2024/1/e58936/" TargetMode="External"/><Relationship Id="rId27" Type="http://schemas.openxmlformats.org/officeDocument/2006/relationships/hyperlink" Target="https://www.england.nhs.uk/publication/nhs-leadership-competency-framework/" TargetMode="External"/><Relationship Id="rId30" Type="http://schemas.openxmlformats.org/officeDocument/2006/relationships/hyperlink" Target="https://transform.england.nhs.uk/covid-19-response/technology-nhs/supporting-the-innovation-collaboratives-to-expand-their-remote-monitoring-plans/" TargetMode="External"/><Relationship Id="rId35" Type="http://schemas.openxmlformats.org/officeDocument/2006/relationships/hyperlink" Target="https://support.apple.com/en-us/120278"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1NxCl4HN4X4kZTcgPgd09Fc/Fw==">CgMxLjAyDmgud3YydTk4dndlZDV6Mg5oLnAwMDh2OTZuYTFqYTIOaC4zN3pvbXFoZjM3MjQyDmguZHR3bWJ2MnFwMnlsMg1oLmhhNHc5NmNoeW9sMg5oLmxnaGtheHVoNjV2MjIOaC5iNXRiNG42cTBhamQyDmguZGUzNm5tamQ5NDBtMg5oLmFiMW8zb3RhdmhkcDIOaC5teGg3cnFuaTV0NWMyDmguM3Q0dmp5ZGU0dW5xOAByITFVaWhJeTRTQVJKMDR3VzdBZHR5ZVRvY2d2eTA0clc4Z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4528</Words>
  <Characters>24497</Characters>
  <Application>Microsoft Office Word</Application>
  <DocSecurity>0</DocSecurity>
  <Lines>742</Lines>
  <Paragraphs>408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TURCITU</dc:creator>
  <cp:lastModifiedBy>RADU TURCITU</cp:lastModifiedBy>
  <cp:revision>2</cp:revision>
  <dcterms:created xsi:type="dcterms:W3CDTF">2025-12-03T06:28:00Z</dcterms:created>
  <dcterms:modified xsi:type="dcterms:W3CDTF">2025-12-03T06:28:00Z</dcterms:modified>
</cp:coreProperties>
</file>