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66EBE" w14:textId="77777777" w:rsidR="00E57212" w:rsidRDefault="00E57212" w:rsidP="006579E7">
      <w:pPr>
        <w:autoSpaceDE w:val="0"/>
        <w:autoSpaceDN w:val="0"/>
        <w:adjustRightInd w:val="0"/>
        <w:spacing w:after="0" w:line="240" w:lineRule="auto"/>
        <w:jc w:val="center"/>
        <w:rPr>
          <w:b/>
          <w:sz w:val="40"/>
          <w:szCs w:val="40"/>
        </w:rPr>
      </w:pPr>
    </w:p>
    <w:p w14:paraId="6C54A1C9" w14:textId="77777777" w:rsidR="00E57212" w:rsidRDefault="00E57212" w:rsidP="006579E7">
      <w:pPr>
        <w:autoSpaceDE w:val="0"/>
        <w:autoSpaceDN w:val="0"/>
        <w:adjustRightInd w:val="0"/>
        <w:spacing w:after="0" w:line="240" w:lineRule="auto"/>
        <w:jc w:val="center"/>
        <w:rPr>
          <w:b/>
          <w:sz w:val="40"/>
          <w:szCs w:val="40"/>
        </w:rPr>
      </w:pPr>
    </w:p>
    <w:p w14:paraId="03C98096" w14:textId="28ECFA4B" w:rsidR="00E57212" w:rsidRDefault="00E57212" w:rsidP="006579E7">
      <w:pPr>
        <w:autoSpaceDE w:val="0"/>
        <w:autoSpaceDN w:val="0"/>
        <w:adjustRightInd w:val="0"/>
        <w:spacing w:after="0" w:line="240" w:lineRule="auto"/>
        <w:jc w:val="center"/>
        <w:rPr>
          <w:b/>
          <w:sz w:val="40"/>
          <w:szCs w:val="40"/>
        </w:rPr>
      </w:pPr>
    </w:p>
    <w:p w14:paraId="264ADBE6" w14:textId="77777777" w:rsidR="00E57212" w:rsidRDefault="00E57212" w:rsidP="006579E7">
      <w:pPr>
        <w:autoSpaceDE w:val="0"/>
        <w:autoSpaceDN w:val="0"/>
        <w:adjustRightInd w:val="0"/>
        <w:spacing w:after="0" w:line="240" w:lineRule="auto"/>
        <w:jc w:val="center"/>
        <w:rPr>
          <w:b/>
          <w:sz w:val="40"/>
          <w:szCs w:val="40"/>
        </w:rPr>
      </w:pPr>
    </w:p>
    <w:p w14:paraId="6B29429A" w14:textId="77777777" w:rsidR="00E57212" w:rsidRDefault="00E57212" w:rsidP="006579E7">
      <w:pPr>
        <w:autoSpaceDE w:val="0"/>
        <w:autoSpaceDN w:val="0"/>
        <w:adjustRightInd w:val="0"/>
        <w:spacing w:after="0" w:line="240" w:lineRule="auto"/>
        <w:jc w:val="center"/>
        <w:rPr>
          <w:b/>
          <w:sz w:val="40"/>
          <w:szCs w:val="40"/>
        </w:rPr>
      </w:pPr>
    </w:p>
    <w:p w14:paraId="761958CA" w14:textId="37A62D9E" w:rsidR="006579E7" w:rsidRPr="0064763B" w:rsidRDefault="006579E7" w:rsidP="006579E7">
      <w:pPr>
        <w:autoSpaceDE w:val="0"/>
        <w:autoSpaceDN w:val="0"/>
        <w:adjustRightInd w:val="0"/>
        <w:spacing w:after="0" w:line="240" w:lineRule="auto"/>
        <w:jc w:val="center"/>
        <w:rPr>
          <w:sz w:val="40"/>
          <w:szCs w:val="40"/>
        </w:rPr>
      </w:pPr>
      <w:r w:rsidRPr="0064763B">
        <w:rPr>
          <w:b/>
          <w:bCs/>
          <w:sz w:val="40"/>
          <w:szCs w:val="40"/>
        </w:rPr>
        <w:t>MODULE CODE: LCBB</w:t>
      </w:r>
      <w:r w:rsidR="0052639A">
        <w:rPr>
          <w:b/>
          <w:bCs/>
          <w:sz w:val="40"/>
          <w:szCs w:val="40"/>
        </w:rPr>
        <w:t>6</w:t>
      </w:r>
      <w:r>
        <w:rPr>
          <w:b/>
          <w:bCs/>
          <w:sz w:val="40"/>
          <w:szCs w:val="40"/>
        </w:rPr>
        <w:t>00</w:t>
      </w:r>
      <w:r w:rsidR="0052639A">
        <w:rPr>
          <w:b/>
          <w:bCs/>
          <w:sz w:val="40"/>
          <w:szCs w:val="40"/>
        </w:rPr>
        <w:t>2</w:t>
      </w:r>
    </w:p>
    <w:p w14:paraId="3037449C" w14:textId="4D352F3B" w:rsidR="006579E7" w:rsidRDefault="006579E7" w:rsidP="006579E7">
      <w:pPr>
        <w:jc w:val="center"/>
        <w:rPr>
          <w:b/>
          <w:sz w:val="40"/>
          <w:szCs w:val="40"/>
        </w:rPr>
      </w:pPr>
      <w:r>
        <w:rPr>
          <w:b/>
          <w:sz w:val="40"/>
          <w:szCs w:val="40"/>
        </w:rPr>
        <w:t>International Financial Management</w:t>
      </w:r>
    </w:p>
    <w:p w14:paraId="45703199" w14:textId="534FD915" w:rsidR="006579E7" w:rsidRPr="0064763B" w:rsidRDefault="006579E7" w:rsidP="006579E7">
      <w:pPr>
        <w:jc w:val="center"/>
        <w:rPr>
          <w:b/>
          <w:bCs/>
          <w:sz w:val="40"/>
          <w:szCs w:val="40"/>
        </w:rPr>
      </w:pPr>
    </w:p>
    <w:p w14:paraId="7C2B89EE" w14:textId="77777777" w:rsidR="006579E7" w:rsidRPr="0064763B" w:rsidRDefault="006579E7" w:rsidP="006579E7">
      <w:pPr>
        <w:jc w:val="center"/>
        <w:rPr>
          <w:b/>
          <w:bCs/>
          <w:sz w:val="40"/>
          <w:szCs w:val="40"/>
        </w:rPr>
      </w:pPr>
    </w:p>
    <w:p w14:paraId="2D575703" w14:textId="77777777" w:rsidR="006579E7" w:rsidRPr="0064763B" w:rsidRDefault="006579E7" w:rsidP="006579E7">
      <w:pPr>
        <w:jc w:val="center"/>
        <w:rPr>
          <w:sz w:val="40"/>
          <w:szCs w:val="40"/>
        </w:rPr>
      </w:pPr>
      <w:r w:rsidRPr="0064763B">
        <w:rPr>
          <w:sz w:val="40"/>
          <w:szCs w:val="40"/>
        </w:rPr>
        <w:t xml:space="preserve">Assignment Title: </w:t>
      </w:r>
    </w:p>
    <w:p w14:paraId="0AB1E922" w14:textId="77777777" w:rsidR="006579E7" w:rsidRPr="0064763B" w:rsidRDefault="006579E7" w:rsidP="006579E7">
      <w:pPr>
        <w:jc w:val="center"/>
        <w:rPr>
          <w:sz w:val="40"/>
          <w:szCs w:val="40"/>
        </w:rPr>
      </w:pPr>
      <w:r w:rsidRPr="0064763B">
        <w:rPr>
          <w:sz w:val="40"/>
          <w:szCs w:val="40"/>
        </w:rPr>
        <w:t xml:space="preserve">Assessment </w:t>
      </w:r>
      <w:r>
        <w:rPr>
          <w:sz w:val="40"/>
          <w:szCs w:val="40"/>
        </w:rPr>
        <w:t>1</w:t>
      </w:r>
    </w:p>
    <w:p w14:paraId="66496510" w14:textId="50236E3F" w:rsidR="006579E7" w:rsidRPr="0064763B" w:rsidRDefault="006579E7" w:rsidP="006579E7">
      <w:pPr>
        <w:jc w:val="center"/>
        <w:rPr>
          <w:sz w:val="40"/>
          <w:szCs w:val="40"/>
        </w:rPr>
      </w:pPr>
      <w:r w:rsidRPr="0064763B">
        <w:rPr>
          <w:sz w:val="40"/>
          <w:szCs w:val="40"/>
        </w:rPr>
        <w:t xml:space="preserve">Lecturer Name: </w:t>
      </w:r>
      <w:r>
        <w:rPr>
          <w:sz w:val="40"/>
          <w:szCs w:val="40"/>
        </w:rPr>
        <w:t>D</w:t>
      </w:r>
      <w:r w:rsidR="00551C7C">
        <w:rPr>
          <w:sz w:val="40"/>
          <w:szCs w:val="40"/>
        </w:rPr>
        <w:t>r Rexon Nting</w:t>
      </w:r>
    </w:p>
    <w:p w14:paraId="28B6FAFE" w14:textId="77777777" w:rsidR="006579E7" w:rsidRPr="0064763B" w:rsidRDefault="006579E7" w:rsidP="006579E7">
      <w:pPr>
        <w:jc w:val="center"/>
        <w:rPr>
          <w:sz w:val="40"/>
          <w:szCs w:val="40"/>
        </w:rPr>
      </w:pPr>
    </w:p>
    <w:p w14:paraId="0EC7B67F" w14:textId="77777777" w:rsidR="006579E7" w:rsidRPr="0064763B" w:rsidRDefault="006579E7" w:rsidP="006579E7">
      <w:pPr>
        <w:jc w:val="center"/>
        <w:rPr>
          <w:sz w:val="40"/>
          <w:szCs w:val="40"/>
        </w:rPr>
      </w:pPr>
      <w:r w:rsidRPr="0064763B">
        <w:rPr>
          <w:sz w:val="40"/>
          <w:szCs w:val="40"/>
        </w:rPr>
        <w:t>Student Name: Cristina Ghenea</w:t>
      </w:r>
    </w:p>
    <w:p w14:paraId="1EB0DFE9" w14:textId="77777777" w:rsidR="006579E7" w:rsidRPr="0064763B" w:rsidRDefault="006579E7" w:rsidP="006579E7">
      <w:pPr>
        <w:jc w:val="center"/>
        <w:rPr>
          <w:sz w:val="40"/>
          <w:szCs w:val="40"/>
        </w:rPr>
      </w:pPr>
      <w:r w:rsidRPr="0064763B">
        <w:rPr>
          <w:sz w:val="40"/>
          <w:szCs w:val="40"/>
        </w:rPr>
        <w:t>Student Number: 1921270</w:t>
      </w:r>
    </w:p>
    <w:p w14:paraId="028AA2D9" w14:textId="77777777" w:rsidR="006579E7" w:rsidRPr="0064763B" w:rsidRDefault="006579E7" w:rsidP="006579E7"/>
    <w:p w14:paraId="1B9610F6" w14:textId="0C61B930" w:rsidR="006579E7" w:rsidRDefault="006579E7" w:rsidP="006579E7"/>
    <w:p w14:paraId="1C0A163F" w14:textId="4A041E04" w:rsidR="006579E7" w:rsidRDefault="006579E7" w:rsidP="006579E7"/>
    <w:p w14:paraId="1B0062F6" w14:textId="77777777" w:rsidR="006579E7" w:rsidRPr="0064763B" w:rsidRDefault="006579E7" w:rsidP="006579E7"/>
    <w:p w14:paraId="671574B3" w14:textId="77777777" w:rsidR="006579E7" w:rsidRPr="0064763B" w:rsidRDefault="006579E7" w:rsidP="006579E7"/>
    <w:p w14:paraId="3D2AE4DF" w14:textId="77777777" w:rsidR="006579E7" w:rsidRPr="0064763B" w:rsidRDefault="006579E7" w:rsidP="006579E7">
      <w:pPr>
        <w:spacing w:line="259" w:lineRule="auto"/>
        <w:jc w:val="left"/>
      </w:pPr>
    </w:p>
    <w:p w14:paraId="529D5B46" w14:textId="319B23CB" w:rsidR="006579E7" w:rsidRDefault="006579E7" w:rsidP="006579E7">
      <w:pPr>
        <w:spacing w:line="276" w:lineRule="auto"/>
        <w:jc w:val="left"/>
        <w:rPr>
          <w:b/>
          <w:sz w:val="28"/>
          <w:szCs w:val="28"/>
        </w:rPr>
      </w:pPr>
    </w:p>
    <w:p w14:paraId="79C3679D" w14:textId="77777777" w:rsidR="006579E7" w:rsidRDefault="006579E7" w:rsidP="006579E7">
      <w:pPr>
        <w:pStyle w:val="Heading1"/>
      </w:pPr>
    </w:p>
    <w:p w14:paraId="586AF469" w14:textId="20E2D96D" w:rsidR="006579E7" w:rsidRPr="00E57212" w:rsidRDefault="006579E7" w:rsidP="006579E7">
      <w:pPr>
        <w:keepNext/>
        <w:keepLines/>
        <w:spacing w:before="240" w:after="0" w:line="256" w:lineRule="auto"/>
        <w:jc w:val="center"/>
        <w:rPr>
          <w:b/>
          <w:color w:val="000000"/>
          <w:sz w:val="40"/>
          <w:szCs w:val="40"/>
        </w:rPr>
      </w:pPr>
      <w:r w:rsidRPr="00E57212">
        <w:rPr>
          <w:b/>
          <w:color w:val="000000"/>
          <w:sz w:val="40"/>
          <w:szCs w:val="40"/>
        </w:rPr>
        <w:t>Contents</w:t>
      </w:r>
    </w:p>
    <w:p w14:paraId="39BC0064" w14:textId="7C67D557" w:rsidR="00E57212" w:rsidRDefault="00E57212" w:rsidP="006579E7">
      <w:pPr>
        <w:keepNext/>
        <w:keepLines/>
        <w:spacing w:before="240" w:after="0" w:line="256" w:lineRule="auto"/>
        <w:jc w:val="center"/>
        <w:rPr>
          <w:b/>
          <w:color w:val="000000"/>
          <w:sz w:val="28"/>
          <w:szCs w:val="28"/>
        </w:rPr>
      </w:pPr>
    </w:p>
    <w:p w14:paraId="2DE63F0C" w14:textId="77777777" w:rsidR="00E57212" w:rsidRDefault="00E57212" w:rsidP="006579E7">
      <w:pPr>
        <w:keepNext/>
        <w:keepLines/>
        <w:spacing w:before="240" w:after="0" w:line="256" w:lineRule="auto"/>
        <w:jc w:val="center"/>
        <w:rPr>
          <w:b/>
          <w:color w:val="000000"/>
          <w:sz w:val="28"/>
          <w:szCs w:val="28"/>
        </w:rPr>
      </w:pPr>
    </w:p>
    <w:sdt>
      <w:sdtPr>
        <w:id w:val="1982498560"/>
        <w:docPartObj>
          <w:docPartGallery w:val="Table of Contents"/>
          <w:docPartUnique/>
        </w:docPartObj>
      </w:sdtPr>
      <w:sdtContent>
        <w:p w14:paraId="1A2F3C16" w14:textId="77777777" w:rsidR="006579E7" w:rsidRDefault="006579E7" w:rsidP="006579E7">
          <w:pPr>
            <w:tabs>
              <w:tab w:val="right" w:pos="9360"/>
            </w:tabs>
            <w:spacing w:before="80" w:line="240" w:lineRule="auto"/>
            <w:rPr>
              <w:color w:val="000000"/>
            </w:rPr>
          </w:pPr>
          <w:r>
            <w:fldChar w:fldCharType="begin"/>
          </w:r>
          <w:r>
            <w:instrText xml:space="preserve"> TOC \h \u \z </w:instrText>
          </w:r>
          <w:r>
            <w:fldChar w:fldCharType="separate"/>
          </w:r>
          <w:hyperlink r:id="rId5" w:anchor="_gjdgxs" w:history="1">
            <w:r>
              <w:rPr>
                <w:rStyle w:val="Hyperlink"/>
                <w:color w:val="000000"/>
              </w:rPr>
              <w:t>Introduction</w:t>
            </w:r>
          </w:hyperlink>
          <w:r>
            <w:rPr>
              <w:color w:val="000000"/>
            </w:rPr>
            <w:tab/>
          </w:r>
          <w:r>
            <w:fldChar w:fldCharType="begin"/>
          </w:r>
          <w:r>
            <w:instrText xml:space="preserve"> PAGEREF _gjdgxs \h </w:instrText>
          </w:r>
          <w:r>
            <w:fldChar w:fldCharType="separate"/>
          </w:r>
          <w:r>
            <w:rPr>
              <w:b/>
              <w:color w:val="000000"/>
            </w:rPr>
            <w:t>3</w:t>
          </w:r>
          <w:r>
            <w:fldChar w:fldCharType="end"/>
          </w:r>
        </w:p>
        <w:p w14:paraId="2120C69A" w14:textId="77777777" w:rsidR="006579E7" w:rsidRDefault="00000000" w:rsidP="006579E7">
          <w:pPr>
            <w:tabs>
              <w:tab w:val="right" w:pos="9360"/>
            </w:tabs>
            <w:spacing w:before="200" w:line="240" w:lineRule="auto"/>
            <w:rPr>
              <w:color w:val="000000"/>
            </w:rPr>
          </w:pPr>
          <w:hyperlink r:id="rId6" w:anchor="_30j0zll" w:history="1">
            <w:r w:rsidR="006579E7">
              <w:rPr>
                <w:rStyle w:val="Hyperlink"/>
                <w:color w:val="000000"/>
              </w:rPr>
              <w:t>Analyse the Significance of International Financial Management for Unilever Corporation</w:t>
            </w:r>
          </w:hyperlink>
          <w:r w:rsidR="006579E7">
            <w:rPr>
              <w:color w:val="000000"/>
            </w:rPr>
            <w:tab/>
          </w:r>
          <w:r w:rsidR="006579E7">
            <w:fldChar w:fldCharType="begin"/>
          </w:r>
          <w:r w:rsidR="006579E7">
            <w:instrText xml:space="preserve"> PAGEREF _30j0zll \h </w:instrText>
          </w:r>
          <w:r w:rsidR="006579E7">
            <w:fldChar w:fldCharType="separate"/>
          </w:r>
          <w:r w:rsidR="006579E7">
            <w:rPr>
              <w:b/>
              <w:color w:val="000000"/>
            </w:rPr>
            <w:t>3</w:t>
          </w:r>
          <w:r w:rsidR="006579E7">
            <w:fldChar w:fldCharType="end"/>
          </w:r>
        </w:p>
        <w:p w14:paraId="016FB4AD" w14:textId="77777777" w:rsidR="006579E7" w:rsidRDefault="00000000" w:rsidP="006579E7">
          <w:pPr>
            <w:tabs>
              <w:tab w:val="right" w:pos="9360"/>
            </w:tabs>
            <w:spacing w:before="200" w:line="240" w:lineRule="auto"/>
            <w:rPr>
              <w:color w:val="000000"/>
            </w:rPr>
          </w:pPr>
          <w:hyperlink r:id="rId7" w:anchor="_1fob9te" w:history="1">
            <w:r w:rsidR="006579E7">
              <w:rPr>
                <w:rStyle w:val="Hyperlink"/>
                <w:color w:val="000000"/>
              </w:rPr>
              <w:t>Challenges Faced by Unilever within the International Market</w:t>
            </w:r>
          </w:hyperlink>
          <w:r w:rsidR="006579E7">
            <w:rPr>
              <w:color w:val="000000"/>
            </w:rPr>
            <w:tab/>
          </w:r>
          <w:r w:rsidR="006579E7">
            <w:fldChar w:fldCharType="begin"/>
          </w:r>
          <w:r w:rsidR="006579E7">
            <w:instrText xml:space="preserve"> PAGEREF _1fob9te \h </w:instrText>
          </w:r>
          <w:r w:rsidR="006579E7">
            <w:fldChar w:fldCharType="separate"/>
          </w:r>
          <w:r w:rsidR="006579E7">
            <w:rPr>
              <w:b/>
              <w:color w:val="000000"/>
            </w:rPr>
            <w:t>4</w:t>
          </w:r>
          <w:r w:rsidR="006579E7">
            <w:fldChar w:fldCharType="end"/>
          </w:r>
        </w:p>
        <w:p w14:paraId="35730333" w14:textId="77777777" w:rsidR="006579E7" w:rsidRDefault="00000000" w:rsidP="006579E7">
          <w:pPr>
            <w:tabs>
              <w:tab w:val="right" w:pos="9360"/>
            </w:tabs>
            <w:spacing w:before="200" w:line="240" w:lineRule="auto"/>
            <w:rPr>
              <w:color w:val="000000"/>
            </w:rPr>
          </w:pPr>
          <w:hyperlink r:id="rId8" w:anchor="_3znysh7" w:history="1">
            <w:r w:rsidR="006579E7">
              <w:rPr>
                <w:rStyle w:val="Hyperlink"/>
                <w:color w:val="000000"/>
              </w:rPr>
              <w:t>Analysing Dividend Distribution Policy of Unilever</w:t>
            </w:r>
          </w:hyperlink>
          <w:r w:rsidR="006579E7">
            <w:rPr>
              <w:color w:val="000000"/>
            </w:rPr>
            <w:tab/>
          </w:r>
          <w:r w:rsidR="006579E7">
            <w:fldChar w:fldCharType="begin"/>
          </w:r>
          <w:r w:rsidR="006579E7">
            <w:instrText xml:space="preserve"> PAGEREF _3znysh7 \h </w:instrText>
          </w:r>
          <w:r w:rsidR="006579E7">
            <w:fldChar w:fldCharType="separate"/>
          </w:r>
          <w:r w:rsidR="006579E7">
            <w:rPr>
              <w:b/>
              <w:color w:val="000000"/>
            </w:rPr>
            <w:t>5</w:t>
          </w:r>
          <w:r w:rsidR="006579E7">
            <w:fldChar w:fldCharType="end"/>
          </w:r>
        </w:p>
        <w:p w14:paraId="184E97C5" w14:textId="77777777" w:rsidR="006579E7" w:rsidRDefault="00000000" w:rsidP="006579E7">
          <w:pPr>
            <w:tabs>
              <w:tab w:val="right" w:pos="9360"/>
            </w:tabs>
            <w:spacing w:before="200" w:line="240" w:lineRule="auto"/>
            <w:rPr>
              <w:color w:val="000000"/>
            </w:rPr>
          </w:pPr>
          <w:hyperlink r:id="rId9" w:anchor="_2et92p0" w:history="1">
            <w:r w:rsidR="006579E7">
              <w:rPr>
                <w:rStyle w:val="Hyperlink"/>
                <w:color w:val="000000"/>
              </w:rPr>
              <w:t>Analysing Efficient Market Hypothesis theory in the Context of Unilever</w:t>
            </w:r>
          </w:hyperlink>
          <w:r w:rsidR="006579E7">
            <w:rPr>
              <w:color w:val="000000"/>
            </w:rPr>
            <w:tab/>
          </w:r>
          <w:r w:rsidR="006579E7">
            <w:fldChar w:fldCharType="begin"/>
          </w:r>
          <w:r w:rsidR="006579E7">
            <w:instrText xml:space="preserve"> PAGEREF _2et92p0 \h </w:instrText>
          </w:r>
          <w:r w:rsidR="006579E7">
            <w:fldChar w:fldCharType="separate"/>
          </w:r>
          <w:r w:rsidR="006579E7">
            <w:rPr>
              <w:b/>
              <w:color w:val="000000"/>
            </w:rPr>
            <w:t>6</w:t>
          </w:r>
          <w:r w:rsidR="006579E7">
            <w:fldChar w:fldCharType="end"/>
          </w:r>
        </w:p>
        <w:p w14:paraId="1A211026" w14:textId="77777777" w:rsidR="006579E7" w:rsidRDefault="00000000" w:rsidP="006579E7">
          <w:pPr>
            <w:tabs>
              <w:tab w:val="right" w:pos="9360"/>
            </w:tabs>
            <w:spacing w:before="200" w:line="240" w:lineRule="auto"/>
            <w:rPr>
              <w:color w:val="000000"/>
            </w:rPr>
          </w:pPr>
          <w:hyperlink r:id="rId10" w:anchor="_tyjcwt" w:history="1">
            <w:r w:rsidR="006579E7">
              <w:rPr>
                <w:rStyle w:val="Hyperlink"/>
                <w:color w:val="000000"/>
              </w:rPr>
              <w:t>Evaluating Project Appraisal methods  of Unilever</w:t>
            </w:r>
          </w:hyperlink>
          <w:r w:rsidR="006579E7">
            <w:rPr>
              <w:color w:val="000000"/>
            </w:rPr>
            <w:tab/>
          </w:r>
          <w:r w:rsidR="006579E7">
            <w:fldChar w:fldCharType="begin"/>
          </w:r>
          <w:r w:rsidR="006579E7">
            <w:instrText xml:space="preserve"> PAGEREF _tyjcwt \h </w:instrText>
          </w:r>
          <w:r w:rsidR="006579E7">
            <w:fldChar w:fldCharType="separate"/>
          </w:r>
          <w:r w:rsidR="006579E7">
            <w:rPr>
              <w:b/>
              <w:color w:val="000000"/>
            </w:rPr>
            <w:t>7</w:t>
          </w:r>
          <w:r w:rsidR="006579E7">
            <w:fldChar w:fldCharType="end"/>
          </w:r>
        </w:p>
        <w:p w14:paraId="01754266" w14:textId="77777777" w:rsidR="006579E7" w:rsidRDefault="00000000" w:rsidP="006579E7">
          <w:pPr>
            <w:tabs>
              <w:tab w:val="right" w:pos="9360"/>
            </w:tabs>
            <w:spacing w:before="200" w:line="240" w:lineRule="auto"/>
            <w:rPr>
              <w:color w:val="000000"/>
            </w:rPr>
          </w:pPr>
          <w:hyperlink r:id="rId11" w:anchor="_3dy6vkm" w:history="1">
            <w:r w:rsidR="006579E7">
              <w:rPr>
                <w:rStyle w:val="Hyperlink"/>
                <w:color w:val="000000"/>
              </w:rPr>
              <w:t>Conclusion</w:t>
            </w:r>
          </w:hyperlink>
          <w:r w:rsidR="006579E7">
            <w:rPr>
              <w:color w:val="000000"/>
            </w:rPr>
            <w:tab/>
          </w:r>
          <w:r w:rsidR="006579E7">
            <w:fldChar w:fldCharType="begin"/>
          </w:r>
          <w:r w:rsidR="006579E7">
            <w:instrText xml:space="preserve"> PAGEREF _3dy6vkm \h </w:instrText>
          </w:r>
          <w:r w:rsidR="006579E7">
            <w:fldChar w:fldCharType="separate"/>
          </w:r>
          <w:r w:rsidR="006579E7">
            <w:rPr>
              <w:b/>
              <w:color w:val="000000"/>
            </w:rPr>
            <w:t>8</w:t>
          </w:r>
          <w:r w:rsidR="006579E7">
            <w:fldChar w:fldCharType="end"/>
          </w:r>
        </w:p>
        <w:p w14:paraId="0A80E633" w14:textId="77777777" w:rsidR="006579E7" w:rsidRDefault="00000000" w:rsidP="006579E7">
          <w:pPr>
            <w:tabs>
              <w:tab w:val="right" w:pos="9360"/>
            </w:tabs>
            <w:spacing w:before="200" w:after="80" w:line="240" w:lineRule="auto"/>
            <w:rPr>
              <w:b/>
              <w:color w:val="000000"/>
            </w:rPr>
          </w:pPr>
          <w:hyperlink r:id="rId12" w:anchor="_i14ps2nebang" w:history="1">
            <w:r w:rsidR="006579E7">
              <w:rPr>
                <w:rStyle w:val="Hyperlink"/>
                <w:b/>
                <w:color w:val="000000"/>
              </w:rPr>
              <w:t>References</w:t>
            </w:r>
          </w:hyperlink>
          <w:r w:rsidR="006579E7">
            <w:rPr>
              <w:b/>
              <w:color w:val="000000"/>
            </w:rPr>
            <w:tab/>
          </w:r>
          <w:r w:rsidR="006579E7">
            <w:fldChar w:fldCharType="begin"/>
          </w:r>
          <w:r w:rsidR="006579E7">
            <w:instrText xml:space="preserve"> PAGEREF _i14ps2nebang \h </w:instrText>
          </w:r>
          <w:r w:rsidR="006579E7">
            <w:fldChar w:fldCharType="separate"/>
          </w:r>
          <w:r w:rsidR="006579E7">
            <w:rPr>
              <w:b/>
              <w:color w:val="000000"/>
            </w:rPr>
            <w:t>9</w:t>
          </w:r>
          <w:r w:rsidR="006579E7">
            <w:fldChar w:fldCharType="end"/>
          </w:r>
          <w:r w:rsidR="006579E7">
            <w:fldChar w:fldCharType="end"/>
          </w:r>
        </w:p>
      </w:sdtContent>
    </w:sdt>
    <w:p w14:paraId="0E0BED47" w14:textId="77777777" w:rsidR="006579E7" w:rsidRDefault="006579E7" w:rsidP="006579E7">
      <w:pPr>
        <w:spacing w:line="276" w:lineRule="auto"/>
        <w:jc w:val="left"/>
        <w:rPr>
          <w:b/>
          <w:sz w:val="28"/>
          <w:szCs w:val="28"/>
        </w:rPr>
      </w:pPr>
      <w:r>
        <w:br w:type="page"/>
      </w:r>
    </w:p>
    <w:p w14:paraId="7A9A64FD" w14:textId="750D781D" w:rsidR="006579E7" w:rsidRPr="00E57212" w:rsidRDefault="006579E7" w:rsidP="00E57212">
      <w:pPr>
        <w:pStyle w:val="Heading1"/>
        <w:jc w:val="both"/>
        <w:rPr>
          <w:sz w:val="32"/>
          <w:szCs w:val="32"/>
        </w:rPr>
      </w:pPr>
      <w:bookmarkStart w:id="0" w:name="_gjdgxs"/>
      <w:bookmarkEnd w:id="0"/>
      <w:r w:rsidRPr="00E57212">
        <w:rPr>
          <w:sz w:val="32"/>
          <w:szCs w:val="32"/>
        </w:rPr>
        <w:lastRenderedPageBreak/>
        <w:t>Introduction</w:t>
      </w:r>
    </w:p>
    <w:p w14:paraId="20C5E430" w14:textId="77777777" w:rsidR="00E57212" w:rsidRPr="00E57212" w:rsidRDefault="00E57212" w:rsidP="00E57212"/>
    <w:p w14:paraId="10213C34" w14:textId="77777777" w:rsidR="006579E7" w:rsidRDefault="006579E7" w:rsidP="006579E7">
      <w:r>
        <w:t xml:space="preserve">Increasing internationalisation, financial turmoil, as well as a continually dynamic business environment have made contemporary financial management issues more critical. Financial regulations are critical for IFM since it takes place in an age of global corporations, where financial choices are made (Arnold, G., 2007). Global trade output has grown tremendously as a result of the expansion of global business. In this study, the topic of international financial management is examined as well as the way it has aided Unilever in its long-term success in the overseas market. </w:t>
      </w:r>
    </w:p>
    <w:p w14:paraId="660F638A" w14:textId="77777777" w:rsidR="006579E7" w:rsidRPr="00E57212" w:rsidRDefault="006579E7" w:rsidP="00E57212">
      <w:pPr>
        <w:pStyle w:val="Heading1"/>
        <w:jc w:val="both"/>
        <w:rPr>
          <w:sz w:val="32"/>
          <w:szCs w:val="32"/>
        </w:rPr>
      </w:pPr>
      <w:bookmarkStart w:id="1" w:name="_30j0zll"/>
      <w:bookmarkEnd w:id="1"/>
      <w:r w:rsidRPr="00E57212">
        <w:rPr>
          <w:sz w:val="32"/>
          <w:szCs w:val="32"/>
        </w:rPr>
        <w:t xml:space="preserve">Analyse the Significance of International Financial Management for Unilever Corporation </w:t>
      </w:r>
    </w:p>
    <w:p w14:paraId="776A9E5D" w14:textId="77777777" w:rsidR="006579E7" w:rsidRDefault="006579E7" w:rsidP="006579E7">
      <w:r>
        <w:t>International Financial Management is an administrative method designed to govern an organization's worldwide business environment by merchandising and generating revenue via the exchange of foreign currency (Duque-Grisales and Aguilera-Caracuel, 2021). Such acts assist businesses in establishing relationships with foreign vendors, financiers, collaborators, consumers, etc.</w:t>
      </w:r>
    </w:p>
    <w:p w14:paraId="504A51F1" w14:textId="77777777" w:rsidR="006579E7" w:rsidRDefault="006579E7" w:rsidP="006579E7">
      <w:r>
        <w:t>Unilever places a high value on international financial management, since it is important for the following reasons:</w:t>
      </w:r>
    </w:p>
    <w:p w14:paraId="4E3663A4" w14:textId="77777777" w:rsidR="006579E7" w:rsidRDefault="006579E7" w:rsidP="006579E7">
      <w:pPr>
        <w:numPr>
          <w:ilvl w:val="0"/>
          <w:numId w:val="1"/>
        </w:numPr>
        <w:spacing w:after="0"/>
      </w:pPr>
      <w:r>
        <w:rPr>
          <w:color w:val="000000"/>
        </w:rPr>
        <w:t>It's useful for figuring out how different countries' economies are doing financially and for settling international trade disputes.</w:t>
      </w:r>
    </w:p>
    <w:p w14:paraId="1799634C" w14:textId="77777777" w:rsidR="006579E7" w:rsidRDefault="006579E7" w:rsidP="006579E7">
      <w:pPr>
        <w:numPr>
          <w:ilvl w:val="0"/>
          <w:numId w:val="1"/>
        </w:numPr>
        <w:spacing w:after="0"/>
      </w:pPr>
      <w:r>
        <w:rPr>
          <w:color w:val="000000"/>
        </w:rPr>
        <w:t>Inflation as well as the choice to engage in international debt instruments might be linked together with the use of this indicator.</w:t>
      </w:r>
    </w:p>
    <w:p w14:paraId="7283107B" w14:textId="6AB76989" w:rsidR="006579E7" w:rsidRDefault="006579E7" w:rsidP="006579E7">
      <w:pPr>
        <w:numPr>
          <w:ilvl w:val="0"/>
          <w:numId w:val="1"/>
        </w:numPr>
        <w:spacing w:after="0"/>
      </w:pPr>
      <w:r>
        <w:rPr>
          <w:color w:val="000000"/>
        </w:rPr>
        <w:t xml:space="preserve">An estimation of the currency exchange rate across international locations may be used to assess every country's currency </w:t>
      </w:r>
      <w:r w:rsidR="00551C7C">
        <w:rPr>
          <w:color w:val="000000"/>
        </w:rPr>
        <w:t>in regard to</w:t>
      </w:r>
      <w:r>
        <w:rPr>
          <w:color w:val="000000"/>
        </w:rPr>
        <w:t xml:space="preserve"> its own worth.</w:t>
      </w:r>
    </w:p>
    <w:p w14:paraId="291C2F87" w14:textId="77777777" w:rsidR="006579E7" w:rsidRDefault="006579E7" w:rsidP="006579E7">
      <w:pPr>
        <w:numPr>
          <w:ilvl w:val="0"/>
          <w:numId w:val="1"/>
        </w:numPr>
        <w:spacing w:after="0"/>
      </w:pPr>
      <w:r>
        <w:rPr>
          <w:color w:val="000000"/>
        </w:rPr>
        <w:t>It aids in the resolution of international financial conflict through partnership with corporations like IFM, World Bank, and others (Duque-Grisales and Aguilera-Caracuel, 2021).</w:t>
      </w:r>
    </w:p>
    <w:p w14:paraId="395816CD" w14:textId="77777777" w:rsidR="006579E7" w:rsidRDefault="006579E7" w:rsidP="006579E7">
      <w:pPr>
        <w:numPr>
          <w:ilvl w:val="0"/>
          <w:numId w:val="1"/>
        </w:numPr>
      </w:pPr>
      <w:r>
        <w:rPr>
          <w:color w:val="000000"/>
        </w:rPr>
        <w:t>It aids in the acceptance of the fundamentals of international bodies, and it also preserves a level of equilibrium.</w:t>
      </w:r>
    </w:p>
    <w:p w14:paraId="036F7844" w14:textId="77777777" w:rsidR="006579E7" w:rsidRPr="00E57212" w:rsidRDefault="006579E7" w:rsidP="00E57212">
      <w:pPr>
        <w:pStyle w:val="Heading1"/>
        <w:jc w:val="both"/>
        <w:rPr>
          <w:sz w:val="32"/>
          <w:szCs w:val="32"/>
        </w:rPr>
      </w:pPr>
      <w:bookmarkStart w:id="2" w:name="_1fob9te"/>
      <w:bookmarkEnd w:id="2"/>
      <w:r w:rsidRPr="00E57212">
        <w:rPr>
          <w:sz w:val="32"/>
          <w:szCs w:val="32"/>
        </w:rPr>
        <w:t>Challenges Faced by Unilever within the International Market</w:t>
      </w:r>
    </w:p>
    <w:p w14:paraId="6665683F" w14:textId="23BFFB5F" w:rsidR="006579E7" w:rsidRDefault="006579E7" w:rsidP="006579E7">
      <w:r>
        <w:t xml:space="preserve">Unilever differentiates itself in the market by offering manufactured innovations and technology. It has a high brand loyalty that gives it a competitive edge in the worldwide market, allowing it to maintain its position. Since then, it has had to contend with a brand-new, highly competitive market. However, it faces some internal as well as external problems while operating in the international market. Some of the internal challenges </w:t>
      </w:r>
      <w:r w:rsidR="00E57212">
        <w:t>are</w:t>
      </w:r>
      <w:r>
        <w:t xml:space="preserve"> problems with liquidity management, the company is a national brand destroyer and has had several </w:t>
      </w:r>
      <w:r>
        <w:lastRenderedPageBreak/>
        <w:t>acquisitions that have fallen through, as well as low prices are causing fierce rivalry in the market (Cheng, 2021). In the international market, it faces much complex problems. Some of these problems are listed below:</w:t>
      </w:r>
    </w:p>
    <w:p w14:paraId="5B5D24C8" w14:textId="77777777" w:rsidR="006579E7" w:rsidRDefault="006579E7" w:rsidP="006579E7">
      <w:pPr>
        <w:numPr>
          <w:ilvl w:val="0"/>
          <w:numId w:val="2"/>
        </w:numPr>
        <w:spacing w:after="0"/>
      </w:pPr>
      <w:r>
        <w:rPr>
          <w:color w:val="000000"/>
        </w:rPr>
        <w:t>UK-EU free trade accords are under jeopardy due to the impending departure of the EU. it is a political issue (Cheng, 2021). </w:t>
      </w:r>
    </w:p>
    <w:p w14:paraId="1F58FC14" w14:textId="77777777" w:rsidR="006579E7" w:rsidRDefault="006579E7" w:rsidP="006579E7">
      <w:pPr>
        <w:numPr>
          <w:ilvl w:val="0"/>
          <w:numId w:val="2"/>
        </w:numPr>
        <w:spacing w:after="0"/>
      </w:pPr>
      <w:r>
        <w:rPr>
          <w:color w:val="000000"/>
        </w:rPr>
        <w:t>Many nations, such as the United States, have a more conservative approach to trade. </w:t>
      </w:r>
    </w:p>
    <w:p w14:paraId="33CB4290" w14:textId="77777777" w:rsidR="006579E7" w:rsidRDefault="006579E7" w:rsidP="006579E7">
      <w:pPr>
        <w:numPr>
          <w:ilvl w:val="0"/>
          <w:numId w:val="2"/>
        </w:numPr>
        <w:spacing w:after="0"/>
      </w:pPr>
      <w:r>
        <w:rPr>
          <w:color w:val="000000"/>
        </w:rPr>
        <w:t>Global patent law is becoming better. </w:t>
      </w:r>
    </w:p>
    <w:p w14:paraId="17C56A1A" w14:textId="77777777" w:rsidR="006579E7" w:rsidRDefault="006579E7" w:rsidP="006579E7">
      <w:pPr>
        <w:numPr>
          <w:ilvl w:val="0"/>
          <w:numId w:val="2"/>
        </w:numPr>
        <w:spacing w:after="0"/>
      </w:pPr>
      <w:r>
        <w:rPr>
          <w:color w:val="000000"/>
        </w:rPr>
        <w:t>Downturn in the world economy as a result of Covid-19.</w:t>
      </w:r>
    </w:p>
    <w:p w14:paraId="0B842E7B" w14:textId="77777777" w:rsidR="006579E7" w:rsidRDefault="006579E7" w:rsidP="006579E7">
      <w:pPr>
        <w:numPr>
          <w:ilvl w:val="0"/>
          <w:numId w:val="2"/>
        </w:numPr>
        <w:spacing w:after="0"/>
      </w:pPr>
      <w:r>
        <w:rPr>
          <w:color w:val="000000"/>
        </w:rPr>
        <w:t>The volatility of the pound's exchange rate against the euro is unpredictable. </w:t>
      </w:r>
    </w:p>
    <w:p w14:paraId="68F7DFA6" w14:textId="77777777" w:rsidR="006579E7" w:rsidRDefault="006579E7" w:rsidP="006579E7">
      <w:pPr>
        <w:numPr>
          <w:ilvl w:val="0"/>
          <w:numId w:val="2"/>
        </w:numPr>
      </w:pPr>
      <w:r>
        <w:rPr>
          <w:color w:val="000000"/>
        </w:rPr>
        <w:t xml:space="preserve">The growth of small businesses in a certain area. </w:t>
      </w:r>
    </w:p>
    <w:p w14:paraId="084BE1A3" w14:textId="77777777" w:rsidR="006579E7" w:rsidRDefault="006579E7" w:rsidP="006579E7">
      <w:r>
        <w:t>A multinational corporation like Unilever must be prepared to respond quickly to the unforeseen conditions of Brexit as well as the accompanying US trade legislation, even when the global climate is calm. Since there are so many regulatory regimes around the world, Unilever has to deal with many different kinds of restrictions. Covid-19 has had a detrimental impact on the global economy in 2020, but Unilever responded to the epidemic promptly and availed advantage of the opportunity to do investigation on ways to prevent Covid-19.</w:t>
      </w:r>
    </w:p>
    <w:p w14:paraId="621BE721" w14:textId="77777777" w:rsidR="006579E7" w:rsidRDefault="006579E7" w:rsidP="006579E7">
      <w:r>
        <w:t>The expected outbreak of Covid-19 in 2020, that renders consumer goods in great demand, had little effect on Unilever's first-half sales. Consumers might enjoy and be willing to pay extra for Unilever's products since they stay ahead of the competition. However, this does not preclude Unilever from taking into account the risks presented by the expansion of local businesses in its unique approach. For instance, as local tea has become more popular in China due to rationalisation of price and standardisation of the tea industry, revenue and profitability margins for Unilever's tea label Lipton have decreased dramatically (Cheng, 2021). Aside from Brexit's impact on foreign exchange rates, Unilever must also contend with the ever-changing US trade policy and fluctuating pound/euro conversion rates.</w:t>
      </w:r>
    </w:p>
    <w:p w14:paraId="637ED0AD" w14:textId="77777777" w:rsidR="006579E7" w:rsidRPr="00E57212" w:rsidRDefault="006579E7" w:rsidP="00E57212">
      <w:pPr>
        <w:pStyle w:val="Heading1"/>
        <w:jc w:val="both"/>
        <w:rPr>
          <w:sz w:val="32"/>
          <w:szCs w:val="32"/>
        </w:rPr>
      </w:pPr>
      <w:bookmarkStart w:id="3" w:name="_3znysh7"/>
      <w:bookmarkEnd w:id="3"/>
      <w:r w:rsidRPr="00E57212">
        <w:rPr>
          <w:sz w:val="32"/>
          <w:szCs w:val="32"/>
        </w:rPr>
        <w:t>Analysing Dividend Distribution Policy of Unilever</w:t>
      </w:r>
    </w:p>
    <w:p w14:paraId="13186813" w14:textId="62CFDA08" w:rsidR="006579E7" w:rsidRDefault="006579E7" w:rsidP="006579E7">
      <w:r>
        <w:t>The logic and grounds for dividend pay-outs by firms are explained by dividend policy concepts. It is the company's way of rewarding stockholders for their initial investment in the company's shares by paying out dividends to them at a later date. Dividends as well as capital gains paid by a firm to its stockholders are the primary factors used by investors when making investment decisions (Arnold, G., 2007). Unilever’s dividend policy will be discussed in the following with respect to some important theories regarding dividends:</w:t>
      </w:r>
    </w:p>
    <w:p w14:paraId="2A5D519B" w14:textId="77777777" w:rsidR="006579E7" w:rsidRDefault="006579E7" w:rsidP="006579E7">
      <w:r>
        <w:rPr>
          <w:b/>
        </w:rPr>
        <w:t>The Modigliani and Miller Theorem:</w:t>
      </w:r>
      <w:r>
        <w:t xml:space="preserve"> The M&amp;M hypothesis states that an investor receives a return in terms of dividends and capital gains. Investors see a favourable correlation between a company's profits and its valuation (Booth, and Zhou, 2017). To make an investment choice, just this information is required if the company's investment policy is understood. </w:t>
      </w:r>
    </w:p>
    <w:p w14:paraId="591083B2" w14:textId="77777777" w:rsidR="006579E7" w:rsidRDefault="006579E7" w:rsidP="006579E7">
      <w:r>
        <w:lastRenderedPageBreak/>
        <w:t>Stock prices have little effect on an investor's decision to buy or sell, according to the MM hypothesis (Bekaert, G. and Hodrick, R., 2017). The present situation of Unilever PLC contradicts this claim of MM theory. Today's investors care a great deal about dividends per share as well as the value of the company's stock. Unilever pays its stockholders a quarterly dividend while taxing them (LIWANG et al, 2015-2019). Therefore, the MM theory is questioned in such a manner that taxes and transaction costs may be applied to capital gains along with dividends in Unilever.</w:t>
      </w:r>
    </w:p>
    <w:p w14:paraId="69991C14" w14:textId="77777777" w:rsidR="006579E7" w:rsidRDefault="006579E7" w:rsidP="006579E7">
      <w:r>
        <w:rPr>
          <w:b/>
        </w:rPr>
        <w:t>The Residual Theory:</w:t>
      </w:r>
      <w:r>
        <w:t xml:space="preserve"> Following the reserving of capital for investments with a positive net present value, dividends given by firms are said to be residual dividends. According to this hypothesis, dividend payments should not be used to estimate a firm's future market value.</w:t>
      </w:r>
    </w:p>
    <w:p w14:paraId="31D711FE" w14:textId="77777777" w:rsidR="006579E7" w:rsidRDefault="006579E7" w:rsidP="006579E7">
      <w:r>
        <w:t>The residual hypothesis is somewhat reflected in the present condition of Unilever. Unilever doesn't only invest in initiatives that are attractive to investors; it also provides a certain dividend distribution ratio (LIWANG et al, 2015-2019). </w:t>
      </w:r>
    </w:p>
    <w:p w14:paraId="22DA183D" w14:textId="77777777" w:rsidR="006579E7" w:rsidRDefault="006579E7" w:rsidP="006579E7">
      <w:r>
        <w:rPr>
          <w:b/>
        </w:rPr>
        <w:t>The Walter Model:</w:t>
      </w:r>
      <w:r>
        <w:t xml:space="preserve"> Walter proposed a model in which the dividend strategy of a firm is a factor in determining a firm's worth. This model makes the assumption that when stockholders receive their dividends, they will reinvest those dividends back into the company in order to increase their returns on their initial investment (ROI) (Booth, and Zhou, 2017). The expense of dividends is regarded an opportunity cost for the business since it might have been employed as investment if not given out as dividends (Bekaert, G. and Hodrick, R., 2017).</w:t>
      </w:r>
    </w:p>
    <w:p w14:paraId="23E0A345" w14:textId="77777777" w:rsidR="006579E7" w:rsidRDefault="006579E7" w:rsidP="006579E7">
      <w:r>
        <w:t>The administration of Unilever has used Walter's approach to some degree. Occasionally, Unilever invests in profitable ventures in order to generate positive cash flows in the future. Because of Unilever's strong return on capital, many of its owners choose to reinvest their dividends inside the firm itself.</w:t>
      </w:r>
    </w:p>
    <w:p w14:paraId="7BE45000" w14:textId="77777777" w:rsidR="006579E7" w:rsidRPr="00E57212" w:rsidRDefault="006579E7" w:rsidP="00E57212">
      <w:pPr>
        <w:pStyle w:val="Heading1"/>
        <w:jc w:val="both"/>
        <w:rPr>
          <w:sz w:val="32"/>
          <w:szCs w:val="32"/>
        </w:rPr>
      </w:pPr>
      <w:bookmarkStart w:id="4" w:name="_2et92p0"/>
      <w:bookmarkEnd w:id="4"/>
      <w:r w:rsidRPr="00E57212">
        <w:rPr>
          <w:sz w:val="32"/>
          <w:szCs w:val="32"/>
        </w:rPr>
        <w:t>Analysing Efficient Market Hypothesis theory in the Context of Unilever</w:t>
      </w:r>
    </w:p>
    <w:p w14:paraId="00DE0A36" w14:textId="77777777" w:rsidR="006579E7" w:rsidRDefault="006579E7" w:rsidP="006579E7">
      <w:r>
        <w:t>The term "market effectiveness" refers to the extent to which prices represent all available information (Arnold, G., 2007). Markets are productive, according to the effective markets hypothesis, hence making an investment won't result in any extra profits since everything is priced correctly. Therefore, even if passive index investing may influence market results, there is no incentive to thrash the market. All facts must be reflected in stock prices, and this cannot be achieved by any other means. There are no opportunities for traders to acquire low-priced stocks or sell them at inflated prices on the EMH board, according to the theory (Kumar, and Ruhi, 2019). As a result, outperforming the regular commercial centre via expert inventory selection or market timing is not feasible, and the only method for a financial specialist to get much higher returns is to purchase riskier assets. In its strong structure, it might remain difficult to accept since it states that all facts in a market, private or public, are considered for an inventory's value. Even yet, there are modifications that can be made to mimic the credential that may be used in markets:</w:t>
      </w:r>
    </w:p>
    <w:p w14:paraId="613A76FB" w14:textId="77777777" w:rsidR="006579E7" w:rsidRDefault="006579E7" w:rsidP="006579E7">
      <w:r>
        <w:rPr>
          <w:b/>
        </w:rPr>
        <w:lastRenderedPageBreak/>
        <w:t>Semi-strong Performance:</w:t>
      </w:r>
      <w:r>
        <w:t xml:space="preserve"> It entails that the current percentage value of an inventory is computed based on information that was formerly only available to members of the general public. Essential and practical evaluation are not utilised to achieve advanced advances.</w:t>
      </w:r>
    </w:p>
    <w:p w14:paraId="1AF37253" w14:textId="77777777" w:rsidR="006579E7" w:rsidRDefault="006579E7" w:rsidP="006579E7">
      <w:r>
        <w:rPr>
          <w:b/>
        </w:rPr>
        <w:t>Weak Performance:</w:t>
      </w:r>
      <w:r>
        <w:t xml:space="preserve"> Unilever's ultra-modern stock price is based on this kind of EMH, which states that all expenses of an inventory are accounted for in the price (Kumar, and Ruhi, 2019). As a result, it is impossible to predict and beat the market using technical assessment.</w:t>
      </w:r>
    </w:p>
    <w:p w14:paraId="087591C1" w14:textId="77777777" w:rsidR="006579E7" w:rsidRPr="00E57212" w:rsidRDefault="006579E7" w:rsidP="00E57212">
      <w:pPr>
        <w:pStyle w:val="Heading1"/>
        <w:jc w:val="both"/>
        <w:rPr>
          <w:sz w:val="32"/>
          <w:szCs w:val="32"/>
        </w:rPr>
      </w:pPr>
      <w:bookmarkStart w:id="5" w:name="_tyjcwt"/>
      <w:bookmarkEnd w:id="5"/>
      <w:r w:rsidRPr="00E57212">
        <w:rPr>
          <w:sz w:val="32"/>
          <w:szCs w:val="32"/>
        </w:rPr>
        <w:t>Evaluating Project Appraisal methods  of Unilever</w:t>
      </w:r>
    </w:p>
    <w:p w14:paraId="2165440D" w14:textId="534444D5" w:rsidR="006579E7" w:rsidRDefault="006579E7" w:rsidP="006579E7">
      <w:r>
        <w:t xml:space="preserve">Plant or machinery, automobiles as well as land and buildings, as well as furnishings and fittings must be authorised by Unilever before any project may proceed. There must be particular approval before any funds may be allocated, </w:t>
      </w:r>
      <w:r w:rsidR="00E57212">
        <w:t>regardless of</w:t>
      </w:r>
      <w:r>
        <w:t xml:space="preserve"> if the projects are already incorporated in the yearly budget. CP is the shorthand for "Capital Expenditure proposal" or "Capital Proposal," which is the document used to show project specifics and request funding (Geirinhas, 2014).</w:t>
      </w:r>
    </w:p>
    <w:p w14:paraId="44F05D45" w14:textId="77777777" w:rsidR="006579E7" w:rsidRDefault="006579E7" w:rsidP="006579E7">
      <w:r>
        <w:t>A project's appraisal at Unilever is governed by strict policies. A capital proposal document, which includes the following elements, is required for each new investment:</w:t>
      </w:r>
    </w:p>
    <w:p w14:paraId="543702E5" w14:textId="77777777" w:rsidR="006579E7" w:rsidRDefault="006579E7" w:rsidP="006579E7">
      <w:pPr>
        <w:rPr>
          <w:b/>
        </w:rPr>
      </w:pPr>
      <w:r>
        <w:rPr>
          <w:b/>
        </w:rPr>
        <w:t>Factor for Marketing:</w:t>
      </w:r>
    </w:p>
    <w:p w14:paraId="5D76FB6F" w14:textId="77777777" w:rsidR="006579E7" w:rsidRDefault="006579E7" w:rsidP="006579E7">
      <w:pPr>
        <w:numPr>
          <w:ilvl w:val="0"/>
          <w:numId w:val="3"/>
        </w:numPr>
        <w:spacing w:after="0"/>
      </w:pPr>
      <w:r>
        <w:rPr>
          <w:color w:val="000000"/>
        </w:rPr>
        <w:t>Share of the market and development.</w:t>
      </w:r>
    </w:p>
    <w:p w14:paraId="3898AEE9" w14:textId="77777777" w:rsidR="006579E7" w:rsidRDefault="006579E7" w:rsidP="006579E7">
      <w:pPr>
        <w:numPr>
          <w:ilvl w:val="0"/>
          <w:numId w:val="3"/>
        </w:numPr>
        <w:spacing w:after="0"/>
      </w:pPr>
      <w:r>
        <w:rPr>
          <w:color w:val="000000"/>
        </w:rPr>
        <w:t>Predictions of demand and pricing elasticity.</w:t>
      </w:r>
    </w:p>
    <w:p w14:paraId="547AF576" w14:textId="77777777" w:rsidR="006579E7" w:rsidRDefault="006579E7" w:rsidP="006579E7">
      <w:pPr>
        <w:numPr>
          <w:ilvl w:val="0"/>
          <w:numId w:val="3"/>
        </w:numPr>
      </w:pPr>
      <w:r>
        <w:rPr>
          <w:color w:val="000000"/>
        </w:rPr>
        <w:t>Exceptional assistance and marketing.</w:t>
      </w:r>
    </w:p>
    <w:p w14:paraId="0C27A163" w14:textId="77777777" w:rsidR="006579E7" w:rsidRDefault="006579E7" w:rsidP="006579E7">
      <w:r>
        <w:rPr>
          <w:b/>
        </w:rPr>
        <w:t>Technical Factors:</w:t>
      </w:r>
    </w:p>
    <w:p w14:paraId="67670D8F" w14:textId="77777777" w:rsidR="006579E7" w:rsidRDefault="006579E7" w:rsidP="006579E7">
      <w:pPr>
        <w:numPr>
          <w:ilvl w:val="0"/>
          <w:numId w:val="4"/>
        </w:numPr>
        <w:spacing w:after="0"/>
      </w:pPr>
      <w:r>
        <w:rPr>
          <w:color w:val="000000"/>
        </w:rPr>
        <w:t>The present state of affairs necessitates spending.</w:t>
      </w:r>
    </w:p>
    <w:p w14:paraId="7780026F" w14:textId="77777777" w:rsidR="006579E7" w:rsidRDefault="006579E7" w:rsidP="006579E7">
      <w:pPr>
        <w:numPr>
          <w:ilvl w:val="0"/>
          <w:numId w:val="4"/>
        </w:numPr>
        <w:spacing w:after="0"/>
      </w:pPr>
      <w:r>
        <w:rPr>
          <w:color w:val="000000"/>
        </w:rPr>
        <w:t>Security, restoration, environmental impact, etc. are examples of spending types.</w:t>
      </w:r>
    </w:p>
    <w:p w14:paraId="04EA5437" w14:textId="77777777" w:rsidR="006579E7" w:rsidRDefault="006579E7" w:rsidP="006579E7">
      <w:pPr>
        <w:numPr>
          <w:ilvl w:val="0"/>
          <w:numId w:val="4"/>
        </w:numPr>
        <w:spacing w:after="0"/>
      </w:pPr>
      <w:r>
        <w:rPr>
          <w:color w:val="000000"/>
        </w:rPr>
        <w:t>How much was spent and how it was financed.</w:t>
      </w:r>
    </w:p>
    <w:p w14:paraId="2CAD6712" w14:textId="77777777" w:rsidR="006579E7" w:rsidRDefault="006579E7" w:rsidP="006579E7">
      <w:pPr>
        <w:numPr>
          <w:ilvl w:val="0"/>
          <w:numId w:val="4"/>
        </w:numPr>
        <w:spacing w:after="0"/>
      </w:pPr>
      <w:r>
        <w:rPr>
          <w:color w:val="000000"/>
        </w:rPr>
        <w:t>Without transforming it into a profit effect, the value of the spending, both qualitative and quantitative (Kazimierczuk, 2020).</w:t>
      </w:r>
    </w:p>
    <w:p w14:paraId="1357F402" w14:textId="77777777" w:rsidR="006579E7" w:rsidRDefault="006579E7" w:rsidP="006579E7">
      <w:pPr>
        <w:numPr>
          <w:ilvl w:val="0"/>
          <w:numId w:val="4"/>
        </w:numPr>
        <w:spacing w:after="0"/>
      </w:pPr>
      <w:r>
        <w:rPr>
          <w:color w:val="000000"/>
        </w:rPr>
        <w:t>The alternative options exist to the expenditure and the reasons why they were not taken into consideration.</w:t>
      </w:r>
    </w:p>
    <w:p w14:paraId="3038BBBB" w14:textId="77777777" w:rsidR="006579E7" w:rsidRDefault="006579E7" w:rsidP="006579E7">
      <w:pPr>
        <w:numPr>
          <w:ilvl w:val="0"/>
          <w:numId w:val="4"/>
        </w:numPr>
      </w:pPr>
      <w:r>
        <w:rPr>
          <w:color w:val="000000"/>
        </w:rPr>
        <w:t>The project's potential for failure.</w:t>
      </w:r>
    </w:p>
    <w:p w14:paraId="0B86C7F5" w14:textId="77777777" w:rsidR="006579E7" w:rsidRDefault="006579E7" w:rsidP="006579E7">
      <w:r>
        <w:rPr>
          <w:b/>
        </w:rPr>
        <w:t>Trading Factors:</w:t>
      </w:r>
    </w:p>
    <w:p w14:paraId="4CB1BF5F" w14:textId="77777777" w:rsidR="006579E7" w:rsidRDefault="006579E7" w:rsidP="006579E7">
      <w:pPr>
        <w:numPr>
          <w:ilvl w:val="0"/>
          <w:numId w:val="5"/>
        </w:numPr>
        <w:spacing w:after="0"/>
      </w:pPr>
      <w:r>
        <w:rPr>
          <w:color w:val="000000"/>
        </w:rPr>
        <w:t>Prices and availability of raw materials, packaging materials, labour, and utilities throughout the manufacturing process.</w:t>
      </w:r>
    </w:p>
    <w:p w14:paraId="5A077048" w14:textId="77777777" w:rsidR="006579E7" w:rsidRDefault="006579E7" w:rsidP="006579E7">
      <w:pPr>
        <w:numPr>
          <w:ilvl w:val="0"/>
          <w:numId w:val="5"/>
        </w:numPr>
        <w:spacing w:after="0"/>
      </w:pPr>
      <w:r>
        <w:rPr>
          <w:color w:val="000000"/>
        </w:rPr>
        <w:t>Indirect costs, such as those associated with marketing, transportation, and sales (Geirinhas, 2014).</w:t>
      </w:r>
    </w:p>
    <w:p w14:paraId="6A6B7303" w14:textId="77777777" w:rsidR="006579E7" w:rsidRDefault="006579E7" w:rsidP="006579E7">
      <w:pPr>
        <w:numPr>
          <w:ilvl w:val="0"/>
          <w:numId w:val="5"/>
        </w:numPr>
        <w:spacing w:after="0"/>
      </w:pPr>
      <w:r>
        <w:rPr>
          <w:color w:val="000000"/>
        </w:rPr>
        <w:t>Requirements for working capital.</w:t>
      </w:r>
    </w:p>
    <w:p w14:paraId="372839C5" w14:textId="77777777" w:rsidR="006579E7" w:rsidRDefault="006579E7" w:rsidP="006579E7">
      <w:pPr>
        <w:numPr>
          <w:ilvl w:val="0"/>
          <w:numId w:val="5"/>
        </w:numPr>
        <w:spacing w:after="0"/>
      </w:pPr>
      <w:r>
        <w:rPr>
          <w:color w:val="000000"/>
        </w:rPr>
        <w:lastRenderedPageBreak/>
        <w:t>Cost and phasing of fixed-asset investments.</w:t>
      </w:r>
    </w:p>
    <w:p w14:paraId="1D3D01D3" w14:textId="77777777" w:rsidR="006579E7" w:rsidRDefault="006579E7" w:rsidP="006579E7">
      <w:pPr>
        <w:numPr>
          <w:ilvl w:val="0"/>
          <w:numId w:val="5"/>
        </w:numPr>
        <w:spacing w:after="0"/>
      </w:pPr>
      <w:r>
        <w:rPr>
          <w:color w:val="000000"/>
        </w:rPr>
        <w:t>The effect of tax legislation.</w:t>
      </w:r>
    </w:p>
    <w:p w14:paraId="487BCB87" w14:textId="77777777" w:rsidR="006579E7" w:rsidRDefault="006579E7" w:rsidP="006579E7">
      <w:pPr>
        <w:numPr>
          <w:ilvl w:val="0"/>
          <w:numId w:val="5"/>
        </w:numPr>
        <w:spacing w:after="0"/>
      </w:pPr>
      <w:r>
        <w:rPr>
          <w:color w:val="000000"/>
        </w:rPr>
        <w:t>Inflation's effect (Kazimierczuk, 2020).</w:t>
      </w:r>
    </w:p>
    <w:p w14:paraId="503BC5A5" w14:textId="77777777" w:rsidR="006579E7" w:rsidRDefault="006579E7" w:rsidP="006579E7">
      <w:pPr>
        <w:numPr>
          <w:ilvl w:val="0"/>
          <w:numId w:val="5"/>
        </w:numPr>
        <w:spacing w:after="0"/>
      </w:pPr>
      <w:r>
        <w:rPr>
          <w:color w:val="000000"/>
        </w:rPr>
        <w:t>Yield / payback /NPV of the projects.</w:t>
      </w:r>
    </w:p>
    <w:p w14:paraId="201A2F59" w14:textId="77777777" w:rsidR="006579E7" w:rsidRDefault="006579E7" w:rsidP="006579E7">
      <w:pPr>
        <w:numPr>
          <w:ilvl w:val="0"/>
          <w:numId w:val="5"/>
        </w:numPr>
        <w:spacing w:after="0"/>
      </w:pPr>
      <w:r>
        <w:rPr>
          <w:color w:val="000000"/>
        </w:rPr>
        <w:t>Risk and sensitivity evaluation.</w:t>
      </w:r>
    </w:p>
    <w:p w14:paraId="27972C18" w14:textId="77777777" w:rsidR="006579E7" w:rsidRDefault="006579E7" w:rsidP="006579E7">
      <w:pPr>
        <w:numPr>
          <w:ilvl w:val="0"/>
          <w:numId w:val="5"/>
        </w:numPr>
        <w:spacing w:after="0"/>
      </w:pPr>
      <w:r>
        <w:rPr>
          <w:color w:val="000000"/>
        </w:rPr>
        <w:t>Cost of capital and financing arrangements.</w:t>
      </w:r>
    </w:p>
    <w:p w14:paraId="6D83687C" w14:textId="77777777" w:rsidR="006579E7" w:rsidRDefault="006579E7" w:rsidP="006579E7">
      <w:pPr>
        <w:numPr>
          <w:ilvl w:val="0"/>
          <w:numId w:val="5"/>
        </w:numPr>
      </w:pPr>
      <w:r>
        <w:rPr>
          <w:color w:val="000000"/>
        </w:rPr>
        <w:t>The need for and significance of back-up capital, and how it is handled.</w:t>
      </w:r>
    </w:p>
    <w:p w14:paraId="654C6018" w14:textId="77777777" w:rsidR="006579E7" w:rsidRPr="00E57212" w:rsidRDefault="006579E7" w:rsidP="00E57212">
      <w:pPr>
        <w:rPr>
          <w:sz w:val="32"/>
          <w:szCs w:val="32"/>
        </w:rPr>
      </w:pPr>
      <w:r>
        <w:t>The capital expenditure procedure at Unilever is very rigorous, ensuring that only necessary expenditures are authorised and that the project execution is done taking into account all conceivable alternatives and eventualities.</w:t>
      </w:r>
    </w:p>
    <w:p w14:paraId="3E0F6D15" w14:textId="77777777" w:rsidR="006579E7" w:rsidRPr="00E57212" w:rsidRDefault="006579E7" w:rsidP="00E57212">
      <w:pPr>
        <w:pStyle w:val="Heading1"/>
        <w:jc w:val="both"/>
        <w:rPr>
          <w:sz w:val="32"/>
          <w:szCs w:val="32"/>
        </w:rPr>
      </w:pPr>
      <w:bookmarkStart w:id="6" w:name="_3dy6vkm"/>
      <w:bookmarkEnd w:id="6"/>
      <w:r w:rsidRPr="00E57212">
        <w:rPr>
          <w:sz w:val="32"/>
          <w:szCs w:val="32"/>
        </w:rPr>
        <w:t>Conclusion</w:t>
      </w:r>
    </w:p>
    <w:p w14:paraId="70D89BD6" w14:textId="77777777" w:rsidR="006579E7" w:rsidRDefault="006579E7" w:rsidP="006579E7">
      <w:r>
        <w:t>Compared to domestic currency markets, the study's findings suggest that global financial marketplaces have distinct profiles and analyses. Organisations that manage their global finances properly are more likely to succeed in today's competitive marketplace. If a firm wants to expand globally, it must be familiar with the nuances of the global financial market. The lack of management expertise might bring the firm to its knees, according to the project evaluation technique.</w:t>
      </w:r>
    </w:p>
    <w:p w14:paraId="40DF5F72" w14:textId="77777777" w:rsidR="006579E7" w:rsidRDefault="006579E7" w:rsidP="006579E7">
      <w:pPr>
        <w:pStyle w:val="Heading1"/>
      </w:pPr>
      <w:r>
        <w:rPr>
          <w:b w:val="0"/>
        </w:rPr>
        <w:br w:type="page"/>
      </w:r>
      <w:bookmarkStart w:id="7" w:name="_1t3h5sf"/>
      <w:bookmarkEnd w:id="7"/>
    </w:p>
    <w:p w14:paraId="545D783F" w14:textId="56C1D1C3" w:rsidR="006579E7" w:rsidRPr="00E57212" w:rsidRDefault="006579E7" w:rsidP="00E57212">
      <w:pPr>
        <w:pStyle w:val="Heading1"/>
        <w:jc w:val="both"/>
        <w:rPr>
          <w:sz w:val="32"/>
          <w:szCs w:val="32"/>
        </w:rPr>
      </w:pPr>
      <w:bookmarkStart w:id="8" w:name="_i14ps2nebang"/>
      <w:bookmarkEnd w:id="8"/>
      <w:r w:rsidRPr="00E57212">
        <w:rPr>
          <w:sz w:val="32"/>
          <w:szCs w:val="32"/>
        </w:rPr>
        <w:lastRenderedPageBreak/>
        <w:t>References</w:t>
      </w:r>
    </w:p>
    <w:p w14:paraId="6498F82F" w14:textId="77777777" w:rsidR="009B1F6B" w:rsidRPr="009B1F6B" w:rsidRDefault="009B1F6B" w:rsidP="009B1F6B"/>
    <w:p w14:paraId="508C48E9" w14:textId="77777777" w:rsidR="009B1F6B" w:rsidRDefault="009B1F6B" w:rsidP="009B1F6B">
      <w:r>
        <w:t xml:space="preserve">Arnold, G. (2007) </w:t>
      </w:r>
      <w:r w:rsidRPr="00877DD7">
        <w:rPr>
          <w:i/>
          <w:iCs/>
        </w:rPr>
        <w:t>Essentials of corporate financial management</w:t>
      </w:r>
      <w:r>
        <w:t>. Pearson: Harlow.</w:t>
      </w:r>
    </w:p>
    <w:p w14:paraId="30D60343" w14:textId="77777777" w:rsidR="009B1F6B" w:rsidRDefault="009B1F6B" w:rsidP="009B1F6B">
      <w:r>
        <w:t xml:space="preserve">Bekaert, G. and Hodrick, R. (2017) </w:t>
      </w:r>
      <w:r w:rsidRPr="00877DD7">
        <w:rPr>
          <w:i/>
          <w:iCs/>
        </w:rPr>
        <w:t>International financial management.</w:t>
      </w:r>
      <w:r>
        <w:t xml:space="preserve"> Cambridge University Press: Cambridge.</w:t>
      </w:r>
    </w:p>
    <w:p w14:paraId="20EA6522" w14:textId="77777777" w:rsidR="009B1F6B" w:rsidRDefault="009B1F6B" w:rsidP="009B1F6B">
      <w:r>
        <w:t xml:space="preserve">Booth, L. and Zhou, J. (2017) Dividend policy: A selective review of results from around the world. </w:t>
      </w:r>
      <w:r w:rsidRPr="0076117B">
        <w:rPr>
          <w:i/>
          <w:iCs/>
        </w:rPr>
        <w:t>Global Finance Journal</w:t>
      </w:r>
      <w:r>
        <w:t>, 34, pp.1-15.</w:t>
      </w:r>
    </w:p>
    <w:p w14:paraId="16022A82" w14:textId="77777777" w:rsidR="009B1F6B" w:rsidRDefault="009B1F6B" w:rsidP="009B1F6B">
      <w:r>
        <w:t xml:space="preserve">Cheng, Y. (2021) </w:t>
      </w:r>
      <w:r w:rsidRPr="0076117B">
        <w:rPr>
          <w:i/>
          <w:iCs/>
        </w:rPr>
        <w:t>Proceedings of the 6th International Conference on Economics, Management, Law and Education</w:t>
      </w:r>
      <w:r w:rsidRPr="0076117B">
        <w:t xml:space="preserve"> (EMLE 2020)</w:t>
      </w:r>
      <w:r>
        <w:t xml:space="preserve">. Available at: </w:t>
      </w:r>
      <w:r w:rsidRPr="0076117B">
        <w:t>https://www.atlantis-press.com/proceedings/emle-20/125952947</w:t>
      </w:r>
      <w:r>
        <w:t xml:space="preserve">. </w:t>
      </w:r>
      <w:r w:rsidRPr="0076117B">
        <w:t xml:space="preserve">(Accessed: 15 </w:t>
      </w:r>
      <w:r>
        <w:t>July</w:t>
      </w:r>
      <w:r w:rsidRPr="0076117B">
        <w:t xml:space="preserve"> 202</w:t>
      </w:r>
      <w:r>
        <w:t>2</w:t>
      </w:r>
      <w:r w:rsidRPr="0076117B">
        <w:t>).</w:t>
      </w:r>
    </w:p>
    <w:p w14:paraId="6C257798" w14:textId="77777777" w:rsidR="009B1F6B" w:rsidRDefault="009B1F6B" w:rsidP="009B1F6B">
      <w:r>
        <w:t xml:space="preserve">Duque-Grisales, E. and Aguilera-Caracuel, J. (2021) Environmental, social and governance (ESG) scores and financial performance of multilatinas: Moderating effects of geographic international diversification and financial slack. </w:t>
      </w:r>
      <w:r w:rsidRPr="00E20D1F">
        <w:rPr>
          <w:i/>
          <w:iCs/>
        </w:rPr>
        <w:t>Journal of Business Ethics</w:t>
      </w:r>
      <w:r>
        <w:t>. 168(2). pp.315-334.</w:t>
      </w:r>
    </w:p>
    <w:p w14:paraId="7469EF29" w14:textId="77777777" w:rsidR="009B1F6B" w:rsidRDefault="009B1F6B" w:rsidP="009B1F6B">
      <w:r>
        <w:t xml:space="preserve">Geirinhas (2014) </w:t>
      </w:r>
      <w:r w:rsidRPr="00E20D1F">
        <w:rPr>
          <w:i/>
          <w:iCs/>
        </w:rPr>
        <w:t>Should Unilever JM export Cornettos to emergent countries?</w:t>
      </w:r>
      <w:r>
        <w:t xml:space="preserve"> Available at: </w:t>
      </w:r>
      <w:r w:rsidRPr="00E20D1F">
        <w:t>https://run.unl.pt/bitstream/10362/15054/1/Geirinhas_2014.pdf</w:t>
      </w:r>
      <w:r>
        <w:t xml:space="preserve">. </w:t>
      </w:r>
      <w:r w:rsidRPr="0076117B">
        <w:t xml:space="preserve">(Accessed: 15 </w:t>
      </w:r>
      <w:r>
        <w:t>July</w:t>
      </w:r>
      <w:r w:rsidRPr="0076117B">
        <w:t xml:space="preserve"> 202</w:t>
      </w:r>
      <w:r>
        <w:t>2</w:t>
      </w:r>
      <w:r w:rsidRPr="0076117B">
        <w:t>)</w:t>
      </w:r>
      <w:r>
        <w:t>.</w:t>
      </w:r>
    </w:p>
    <w:p w14:paraId="1F08FC4C" w14:textId="77777777" w:rsidR="009B1F6B" w:rsidRDefault="009B1F6B" w:rsidP="009B1F6B">
      <w:pPr>
        <w:jc w:val="left"/>
      </w:pPr>
      <w:r>
        <w:t xml:space="preserve">Kazimierczuk, A.H. (2020) Tracing inclusivity: Contribution of the Dutch private sector to inclusive development in Kenya. Case study of Unilever Tea Kenya Ltd., the flower sector and Lake Turkana Wind Power project. Available at: </w:t>
      </w:r>
      <w:r w:rsidRPr="00E20D1F">
        <w:t>https://scholarlypublications.universiteitleiden.nl/handle/1887/137215</w:t>
      </w:r>
      <w:r>
        <w:t xml:space="preserve">. </w:t>
      </w:r>
      <w:r w:rsidRPr="00E20D1F">
        <w:t>(Accessed: 15 July 2022).</w:t>
      </w:r>
    </w:p>
    <w:p w14:paraId="6E026B88" w14:textId="77777777" w:rsidR="009B1F6B" w:rsidRDefault="009B1F6B" w:rsidP="009B1F6B">
      <w:r>
        <w:t xml:space="preserve">Kumar, S.V. and Ruhi, A. (2019) Efficient Market Hypothesis in the Indian Stock Market. </w:t>
      </w:r>
      <w:r w:rsidRPr="0076117B">
        <w:rPr>
          <w:i/>
          <w:iCs/>
        </w:rPr>
        <w:t>International Journal of Management, Technology and Engineering</w:t>
      </w:r>
      <w:r>
        <w:t>, 9(7), pp.322-331.</w:t>
      </w:r>
    </w:p>
    <w:p w14:paraId="20DAEEF1" w14:textId="0F045761" w:rsidR="006579E7" w:rsidRDefault="006579E7" w:rsidP="009B1F6B">
      <w:pPr>
        <w:jc w:val="left"/>
      </w:pPr>
      <w:r>
        <w:t>L</w:t>
      </w:r>
      <w:r w:rsidR="00877DD7">
        <w:t>iwang</w:t>
      </w:r>
      <w:r>
        <w:t>, B.A., Sumual, L.P. and Turambi, J.J.</w:t>
      </w:r>
      <w:r w:rsidR="00551C7C">
        <w:t xml:space="preserve"> (</w:t>
      </w:r>
      <w:r>
        <w:t>2020</w:t>
      </w:r>
      <w:r w:rsidR="00551C7C">
        <w:t>)</w:t>
      </w:r>
      <w:r>
        <w:t xml:space="preserve"> </w:t>
      </w:r>
      <w:r w:rsidR="00877DD7" w:rsidRPr="009B1F6B">
        <w:rPr>
          <w:i/>
          <w:iCs/>
        </w:rPr>
        <w:t>The influence of debt policy, dividend policy, and profitability to company values</w:t>
      </w:r>
      <w:r w:rsidR="009B1F6B" w:rsidRPr="009B1F6B">
        <w:rPr>
          <w:i/>
          <w:iCs/>
        </w:rPr>
        <w:t xml:space="preserve"> of Unilever Indonesia </w:t>
      </w:r>
      <w:r w:rsidRPr="009B1F6B">
        <w:rPr>
          <w:i/>
          <w:iCs/>
        </w:rPr>
        <w:t xml:space="preserve">INDONESIA </w:t>
      </w:r>
      <w:r w:rsidR="009B1F6B" w:rsidRPr="009B1F6B">
        <w:rPr>
          <w:i/>
          <w:iCs/>
        </w:rPr>
        <w:t>for the period of 2015-2019.</w:t>
      </w:r>
      <w:r w:rsidR="009B1F6B">
        <w:rPr>
          <w:i/>
          <w:iCs/>
        </w:rPr>
        <w:t xml:space="preserve"> Available at: </w:t>
      </w:r>
      <w:r w:rsidR="009B1F6B" w:rsidRPr="009B1F6B">
        <w:rPr>
          <w:i/>
          <w:iCs/>
        </w:rPr>
        <w:t>https://repo.unikadelasalle.ac.id/1773/1/COVER-DAFTAR_ISI_BrigittaLiwang.pdf</w:t>
      </w:r>
      <w:r w:rsidR="009B1F6B">
        <w:t xml:space="preserve">. </w:t>
      </w:r>
      <w:r w:rsidR="009B1F6B" w:rsidRPr="00E20D1F">
        <w:t>(Accessed: 15 July 2022).</w:t>
      </w:r>
    </w:p>
    <w:p w14:paraId="25C28321" w14:textId="051D7944" w:rsidR="006579E7" w:rsidRDefault="006579E7" w:rsidP="006579E7">
      <w:r>
        <w:t>Nur’aini, F. and Widanaputra, A.A.G.P.</w:t>
      </w:r>
      <w:r w:rsidR="00551C7C">
        <w:t xml:space="preserve"> (2021)</w:t>
      </w:r>
      <w:r>
        <w:t xml:space="preserve"> Business Risk as a Moderating the Effect of Institutional Ownership and Managerial Ownership on Dividend Policies.</w:t>
      </w:r>
      <w:r w:rsidR="00551C7C">
        <w:t xml:space="preserve"> </w:t>
      </w:r>
      <w:r w:rsidR="00551C7C" w:rsidRPr="00551C7C">
        <w:rPr>
          <w:i/>
          <w:iCs/>
        </w:rPr>
        <w:t>American Journal of Humanities and Social Sciences Research</w:t>
      </w:r>
      <w:r w:rsidR="00551C7C">
        <w:rPr>
          <w:i/>
          <w:iCs/>
        </w:rPr>
        <w:t xml:space="preserve">, </w:t>
      </w:r>
      <w:r w:rsidR="00551C7C" w:rsidRPr="00551C7C">
        <w:t>5 (4), pp.</w:t>
      </w:r>
      <w:r w:rsidR="0076117B">
        <w:t xml:space="preserve"> 482-486.</w:t>
      </w:r>
    </w:p>
    <w:p w14:paraId="6F8C22B1" w14:textId="77777777" w:rsidR="00461B96" w:rsidRDefault="00461B96"/>
    <w:sectPr w:rsidR="00461B96" w:rsidSect="00E572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5846"/>
    <w:multiLevelType w:val="multilevel"/>
    <w:tmpl w:val="7FD699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AD2D8F"/>
    <w:multiLevelType w:val="multilevel"/>
    <w:tmpl w:val="172684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245F1A"/>
    <w:multiLevelType w:val="multilevel"/>
    <w:tmpl w:val="6FF804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AF459F8"/>
    <w:multiLevelType w:val="multilevel"/>
    <w:tmpl w:val="B562D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9B6198"/>
    <w:multiLevelType w:val="multilevel"/>
    <w:tmpl w:val="B7467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02736237">
    <w:abstractNumId w:val="0"/>
  </w:num>
  <w:num w:numId="2" w16cid:durableId="1290405164">
    <w:abstractNumId w:val="2"/>
  </w:num>
  <w:num w:numId="3" w16cid:durableId="628361282">
    <w:abstractNumId w:val="4"/>
  </w:num>
  <w:num w:numId="4" w16cid:durableId="997005000">
    <w:abstractNumId w:val="1"/>
  </w:num>
  <w:num w:numId="5" w16cid:durableId="1674407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DF"/>
    <w:rsid w:val="001A39DF"/>
    <w:rsid w:val="00451BD3"/>
    <w:rsid w:val="00461B96"/>
    <w:rsid w:val="0052639A"/>
    <w:rsid w:val="00551C7C"/>
    <w:rsid w:val="006579E7"/>
    <w:rsid w:val="0076117B"/>
    <w:rsid w:val="00877DD7"/>
    <w:rsid w:val="009B1F6B"/>
    <w:rsid w:val="00E20D1F"/>
    <w:rsid w:val="00E5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7F4D"/>
  <w15:chartTrackingRefBased/>
  <w15:docId w15:val="{6E4DF581-6217-44EF-9139-BE6016C0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F6B"/>
    <w:pPr>
      <w:spacing w:after="200" w:line="360" w:lineRule="auto"/>
      <w:jc w:val="both"/>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6579E7"/>
    <w:pPr>
      <w:keepNext/>
      <w:keepLines/>
      <w:spacing w:before="240" w:after="0"/>
      <w:jc w:val="center"/>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9E7"/>
    <w:rPr>
      <w:rFonts w:ascii="Times New Roman" w:eastAsia="Times New Roman" w:hAnsi="Times New Roman" w:cs="Times New Roman"/>
      <w:b/>
      <w:kern w:val="0"/>
      <w:sz w:val="28"/>
      <w:szCs w:val="28"/>
      <w:lang w:eastAsia="en-GB"/>
      <w14:ligatures w14:val="none"/>
    </w:rPr>
  </w:style>
  <w:style w:type="character" w:styleId="Hyperlink">
    <w:name w:val="Hyperlink"/>
    <w:basedOn w:val="DefaultParagraphFont"/>
    <w:uiPriority w:val="99"/>
    <w:unhideWhenUsed/>
    <w:rsid w:val="006579E7"/>
    <w:rPr>
      <w:color w:val="0563C1" w:themeColor="hyperlink"/>
      <w:u w:val="single"/>
    </w:rPr>
  </w:style>
  <w:style w:type="character" w:styleId="UnresolvedMention">
    <w:name w:val="Unresolved Mention"/>
    <w:basedOn w:val="DefaultParagraphFont"/>
    <w:uiPriority w:val="99"/>
    <w:semiHidden/>
    <w:unhideWhenUsed/>
    <w:rsid w:val="00761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4711">
      <w:bodyDiv w:val="1"/>
      <w:marLeft w:val="0"/>
      <w:marRight w:val="0"/>
      <w:marTop w:val="0"/>
      <w:marBottom w:val="0"/>
      <w:divBdr>
        <w:top w:val="none" w:sz="0" w:space="0" w:color="auto"/>
        <w:left w:val="none" w:sz="0" w:space="0" w:color="auto"/>
        <w:bottom w:val="none" w:sz="0" w:space="0" w:color="auto"/>
        <w:right w:val="none" w:sz="0" w:space="0" w:color="auto"/>
      </w:divBdr>
    </w:div>
    <w:div w:id="161547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inyg\Downloads\(20284)%20AC_LCBB6002%20IFM%20A1.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tinyg\Downloads\(20284)%20AC_LCBB6002%20IFM%20A1.docx" TargetMode="External"/><Relationship Id="rId12" Type="http://schemas.openxmlformats.org/officeDocument/2006/relationships/hyperlink" Target="file:///C:\Users\tinyg\Downloads\(20284)%20AC_LCBB6002%20IFM%20A1.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tinyg\Downloads\(20284)%20AC_LCBB6002%20IFM%20A1.docx" TargetMode="External"/><Relationship Id="rId11" Type="http://schemas.openxmlformats.org/officeDocument/2006/relationships/hyperlink" Target="file:///C:\Users\tinyg\Downloads\(20284)%20AC_LCBB6002%20IFM%20A1.docx" TargetMode="External"/><Relationship Id="rId5" Type="http://schemas.openxmlformats.org/officeDocument/2006/relationships/hyperlink" Target="file:///C:\Users\tinyg\Downloads\(20284)%20AC_LCBB6002%20IFM%20A1.docx" TargetMode="External"/><Relationship Id="rId10" Type="http://schemas.openxmlformats.org/officeDocument/2006/relationships/hyperlink" Target="file:///C:\Users\tinyg\Downloads\(20284)%20AC_LCBB6002%20IFM%20A1.docx" TargetMode="External"/><Relationship Id="rId4" Type="http://schemas.openxmlformats.org/officeDocument/2006/relationships/webSettings" Target="webSettings.xml"/><Relationship Id="rId9" Type="http://schemas.openxmlformats.org/officeDocument/2006/relationships/hyperlink" Target="file:///C:\Users\tinyg\Downloads\(20284)%20AC_LCBB6002%20IFM%20A1.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cp:lastModifiedBy>
  <cp:revision>4</cp:revision>
  <dcterms:created xsi:type="dcterms:W3CDTF">2022-07-29T21:33:00Z</dcterms:created>
  <dcterms:modified xsi:type="dcterms:W3CDTF">2022-07-29T22:18:00Z</dcterms:modified>
</cp:coreProperties>
</file>