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CE2CC" w14:textId="77777777" w:rsidR="005A0112" w:rsidRPr="00A34D5F" w:rsidRDefault="005A0112" w:rsidP="005A0112">
      <w:pPr>
        <w:jc w:val="center"/>
        <w:rPr>
          <w:rFonts w:ascii="Arial" w:hAnsi="Arial" w:cs="Arial"/>
          <w:b/>
          <w:bCs/>
          <w:lang w:val="en"/>
        </w:rPr>
      </w:pPr>
      <w:r>
        <w:rPr>
          <w:rFonts w:ascii="Arial" w:hAnsi="Arial" w:cs="Arial"/>
          <w:b/>
          <w:bCs/>
          <w:noProof/>
          <w:lang w:val="en"/>
        </w:rPr>
        <w:drawing>
          <wp:inline distT="0" distB="0" distL="0" distR="0" wp14:anchorId="5B581C03" wp14:editId="5E37879D">
            <wp:extent cx="2089150" cy="835660"/>
            <wp:effectExtent l="0" t="0" r="6350" b="2540"/>
            <wp:docPr id="182371322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89150" cy="835660"/>
                    </a:xfrm>
                    <a:prstGeom prst="rect">
                      <a:avLst/>
                    </a:prstGeom>
                    <a:noFill/>
                  </pic:spPr>
                </pic:pic>
              </a:graphicData>
            </a:graphic>
          </wp:inline>
        </w:drawing>
      </w:r>
    </w:p>
    <w:p w14:paraId="598580ED" w14:textId="77777777" w:rsidR="005A0112" w:rsidRPr="00A34D5F" w:rsidRDefault="005A0112" w:rsidP="005A0112">
      <w:pPr>
        <w:jc w:val="center"/>
        <w:rPr>
          <w:rFonts w:ascii="Arial" w:hAnsi="Arial" w:cs="Arial"/>
          <w:b/>
          <w:bCs/>
          <w:lang w:val="en"/>
        </w:rPr>
      </w:pPr>
    </w:p>
    <w:p w14:paraId="71AFF59C" w14:textId="77777777" w:rsidR="005A0112" w:rsidRPr="00A34D5F" w:rsidRDefault="005A0112" w:rsidP="005A0112">
      <w:pPr>
        <w:jc w:val="center"/>
        <w:rPr>
          <w:rFonts w:ascii="Arial" w:hAnsi="Arial" w:cs="Arial"/>
          <w:b/>
          <w:bCs/>
          <w:lang w:val="en"/>
        </w:rPr>
      </w:pPr>
      <w:proofErr w:type="spellStart"/>
      <w:r w:rsidRPr="00A34D5F">
        <w:rPr>
          <w:rFonts w:ascii="Arial" w:hAnsi="Arial" w:cs="Arial"/>
          <w:b/>
          <w:bCs/>
          <w:lang w:val="en"/>
        </w:rPr>
        <w:t>Programme</w:t>
      </w:r>
      <w:proofErr w:type="spellEnd"/>
      <w:r w:rsidRPr="00A34D5F">
        <w:rPr>
          <w:rFonts w:ascii="Arial" w:hAnsi="Arial" w:cs="Arial"/>
          <w:b/>
          <w:bCs/>
          <w:lang w:val="en"/>
        </w:rPr>
        <w:t>: Master of Business Administration</w:t>
      </w:r>
    </w:p>
    <w:p w14:paraId="066E68FF" w14:textId="5C771AF5" w:rsidR="005A0112" w:rsidRPr="00A34D5F" w:rsidRDefault="005A0112" w:rsidP="005A0112">
      <w:pPr>
        <w:jc w:val="center"/>
        <w:rPr>
          <w:rFonts w:ascii="Arial" w:hAnsi="Arial" w:cs="Arial"/>
          <w:b/>
          <w:bCs/>
          <w:lang w:val="en"/>
        </w:rPr>
      </w:pPr>
      <w:r w:rsidRPr="00A34D5F">
        <w:rPr>
          <w:rFonts w:ascii="Arial" w:hAnsi="Arial" w:cs="Arial"/>
          <w:b/>
          <w:bCs/>
          <w:lang w:val="en"/>
        </w:rPr>
        <w:t xml:space="preserve">Module: </w:t>
      </w:r>
      <w:r w:rsidR="00CD4708">
        <w:rPr>
          <w:rFonts w:ascii="Arial" w:hAnsi="Arial" w:cs="Arial"/>
          <w:b/>
          <w:bCs/>
          <w:lang w:val="en"/>
        </w:rPr>
        <w:t>Finan</w:t>
      </w:r>
      <w:r w:rsidR="00A423F6">
        <w:rPr>
          <w:rFonts w:ascii="Arial" w:hAnsi="Arial" w:cs="Arial"/>
          <w:b/>
          <w:bCs/>
          <w:lang w:val="en"/>
        </w:rPr>
        <w:t>cial Management</w:t>
      </w:r>
    </w:p>
    <w:p w14:paraId="54BEB3E9" w14:textId="38C3511F" w:rsidR="005A0112" w:rsidRPr="00A34D5F" w:rsidRDefault="005A0112" w:rsidP="005A0112">
      <w:pPr>
        <w:jc w:val="center"/>
        <w:rPr>
          <w:rFonts w:ascii="Arial" w:hAnsi="Arial" w:cs="Arial"/>
          <w:b/>
          <w:bCs/>
          <w:lang w:val="en"/>
        </w:rPr>
      </w:pPr>
      <w:r w:rsidRPr="00A34D5F">
        <w:rPr>
          <w:rFonts w:ascii="Arial" w:hAnsi="Arial" w:cs="Arial"/>
          <w:b/>
          <w:bCs/>
          <w:lang w:val="en"/>
        </w:rPr>
        <w:t>Module Code: LCMB70</w:t>
      </w:r>
      <w:r w:rsidR="00A423F6">
        <w:rPr>
          <w:rFonts w:ascii="Arial" w:hAnsi="Arial" w:cs="Arial"/>
          <w:b/>
          <w:bCs/>
          <w:lang w:val="en"/>
        </w:rPr>
        <w:t>02</w:t>
      </w:r>
    </w:p>
    <w:p w14:paraId="3308D11B" w14:textId="77777777" w:rsidR="005A0112" w:rsidRPr="00A34D5F" w:rsidRDefault="005A0112" w:rsidP="005A0112">
      <w:pPr>
        <w:jc w:val="center"/>
        <w:rPr>
          <w:rFonts w:ascii="Arial" w:hAnsi="Arial" w:cs="Arial"/>
          <w:b/>
          <w:bCs/>
          <w:lang w:val="en"/>
        </w:rPr>
      </w:pPr>
    </w:p>
    <w:p w14:paraId="744ABC04" w14:textId="2638FF49" w:rsidR="005A0112" w:rsidRPr="00A34D5F" w:rsidRDefault="005A0112" w:rsidP="005A0112">
      <w:pPr>
        <w:jc w:val="center"/>
        <w:rPr>
          <w:rFonts w:ascii="Arial" w:hAnsi="Arial" w:cs="Arial"/>
          <w:b/>
          <w:bCs/>
          <w:lang w:val="en"/>
        </w:rPr>
      </w:pPr>
      <w:r w:rsidRPr="00A34D5F">
        <w:rPr>
          <w:rFonts w:ascii="Arial" w:hAnsi="Arial" w:cs="Arial"/>
          <w:b/>
          <w:bCs/>
          <w:lang w:val="en"/>
        </w:rPr>
        <w:t xml:space="preserve">Assignment Title: </w:t>
      </w:r>
      <w:r w:rsidR="00873D01">
        <w:rPr>
          <w:rFonts w:ascii="Arial" w:hAnsi="Arial" w:cs="Arial"/>
          <w:b/>
          <w:bCs/>
          <w:lang w:val="en"/>
        </w:rPr>
        <w:t>F</w:t>
      </w:r>
      <w:r w:rsidR="0027229F">
        <w:rPr>
          <w:rFonts w:ascii="Arial" w:hAnsi="Arial" w:cs="Arial"/>
          <w:b/>
          <w:bCs/>
          <w:lang w:val="en"/>
        </w:rPr>
        <w:t xml:space="preserve">inancial Performance and </w:t>
      </w:r>
      <w:r w:rsidR="008A66F2">
        <w:rPr>
          <w:rFonts w:ascii="Arial" w:hAnsi="Arial" w:cs="Arial"/>
          <w:b/>
          <w:bCs/>
          <w:lang w:val="en"/>
        </w:rPr>
        <w:t>M</w:t>
      </w:r>
      <w:r w:rsidR="0027229F">
        <w:rPr>
          <w:rFonts w:ascii="Arial" w:hAnsi="Arial" w:cs="Arial"/>
          <w:b/>
          <w:bCs/>
          <w:lang w:val="en"/>
        </w:rPr>
        <w:t>anagement</w:t>
      </w:r>
    </w:p>
    <w:p w14:paraId="721BE308" w14:textId="77777777" w:rsidR="005A0112" w:rsidRPr="00A34D5F" w:rsidRDefault="005A0112" w:rsidP="005A0112">
      <w:pPr>
        <w:jc w:val="center"/>
        <w:rPr>
          <w:rFonts w:ascii="Arial" w:hAnsi="Arial" w:cs="Arial"/>
          <w:b/>
          <w:bCs/>
          <w:lang w:val="en"/>
        </w:rPr>
      </w:pPr>
    </w:p>
    <w:p w14:paraId="32E1943B" w14:textId="77777777" w:rsidR="005A0112" w:rsidRPr="00A34D5F" w:rsidRDefault="005A0112" w:rsidP="005A0112">
      <w:pPr>
        <w:jc w:val="center"/>
        <w:rPr>
          <w:rFonts w:ascii="Arial" w:hAnsi="Arial" w:cs="Arial"/>
          <w:b/>
          <w:bCs/>
          <w:lang w:val="en"/>
        </w:rPr>
      </w:pPr>
      <w:r w:rsidRPr="00A34D5F">
        <w:rPr>
          <w:rFonts w:ascii="Arial" w:hAnsi="Arial" w:cs="Arial"/>
          <w:b/>
          <w:bCs/>
          <w:lang w:val="en"/>
        </w:rPr>
        <w:t>Student Name: Jainil Kanubhai Patel</w:t>
      </w:r>
    </w:p>
    <w:p w14:paraId="13006BAF" w14:textId="77777777" w:rsidR="005A0112" w:rsidRPr="00A34D5F" w:rsidRDefault="005A0112" w:rsidP="005A0112">
      <w:pPr>
        <w:jc w:val="center"/>
        <w:rPr>
          <w:rFonts w:ascii="Arial" w:hAnsi="Arial" w:cs="Arial"/>
          <w:b/>
          <w:bCs/>
          <w:lang w:val="en"/>
        </w:rPr>
      </w:pPr>
      <w:r w:rsidRPr="00A34D5F">
        <w:rPr>
          <w:rFonts w:ascii="Arial" w:hAnsi="Arial" w:cs="Arial"/>
          <w:b/>
          <w:bCs/>
          <w:lang w:val="en"/>
        </w:rPr>
        <w:t>Student ID: 2519957</w:t>
      </w:r>
    </w:p>
    <w:p w14:paraId="122FE0A9" w14:textId="77777777" w:rsidR="005A0112" w:rsidRPr="00A34D5F" w:rsidRDefault="005A0112" w:rsidP="005A0112">
      <w:pPr>
        <w:jc w:val="center"/>
        <w:rPr>
          <w:rFonts w:ascii="Arial" w:hAnsi="Arial" w:cs="Arial"/>
          <w:b/>
          <w:bCs/>
          <w:lang w:val="en"/>
        </w:rPr>
      </w:pPr>
      <w:r w:rsidRPr="00A34D5F">
        <w:rPr>
          <w:rFonts w:ascii="Arial" w:hAnsi="Arial" w:cs="Arial"/>
          <w:b/>
          <w:bCs/>
          <w:lang w:val="en"/>
        </w:rPr>
        <w:t>Group: 3</w:t>
      </w:r>
    </w:p>
    <w:p w14:paraId="51CA5CD4" w14:textId="1B27EB5A" w:rsidR="005A0112" w:rsidRPr="00A34D5F" w:rsidRDefault="005A0112" w:rsidP="005A0112">
      <w:pPr>
        <w:jc w:val="center"/>
        <w:rPr>
          <w:rFonts w:ascii="Arial" w:hAnsi="Arial" w:cs="Arial"/>
          <w:b/>
          <w:bCs/>
          <w:lang w:val="en"/>
        </w:rPr>
      </w:pPr>
    </w:p>
    <w:p w14:paraId="0A91A41B" w14:textId="77777777" w:rsidR="00B96CFB" w:rsidRPr="00C900C3" w:rsidRDefault="00B96CFB">
      <w:pPr>
        <w:jc w:val="center"/>
        <w:rPr>
          <w:rFonts w:ascii="Arial" w:hAnsi="Arial" w:cs="Arial"/>
        </w:rPr>
      </w:pPr>
    </w:p>
    <w:p w14:paraId="10515F0D" w14:textId="77777777" w:rsidR="00B96CFB" w:rsidRPr="00C900C3" w:rsidRDefault="00B96CFB">
      <w:pPr>
        <w:jc w:val="center"/>
        <w:rPr>
          <w:rFonts w:ascii="Arial" w:hAnsi="Arial" w:cs="Arial"/>
        </w:rPr>
      </w:pPr>
    </w:p>
    <w:p w14:paraId="1CB834E4" w14:textId="77777777" w:rsidR="00B96CFB" w:rsidRPr="00C900C3" w:rsidRDefault="00B96CFB">
      <w:pPr>
        <w:jc w:val="center"/>
        <w:rPr>
          <w:rFonts w:ascii="Arial" w:hAnsi="Arial" w:cs="Arial"/>
        </w:rPr>
      </w:pPr>
    </w:p>
    <w:p w14:paraId="276C9653" w14:textId="080A99A4" w:rsidR="00B96CFB" w:rsidRPr="00C900C3" w:rsidRDefault="0080051C">
      <w:pPr>
        <w:jc w:val="center"/>
        <w:rPr>
          <w:rFonts w:ascii="Arial" w:hAnsi="Arial" w:cs="Arial"/>
        </w:rPr>
      </w:pPr>
      <w:r w:rsidRPr="00C900C3">
        <w:rPr>
          <w:rFonts w:ascii="Arial" w:hAnsi="Arial" w:cs="Arial"/>
        </w:rPr>
        <w:br w:type="page"/>
      </w:r>
    </w:p>
    <w:p w14:paraId="0BCFAB99" w14:textId="77777777" w:rsidR="00B96CFB" w:rsidRPr="00C900C3" w:rsidRDefault="0080051C">
      <w:pPr>
        <w:jc w:val="center"/>
        <w:rPr>
          <w:rFonts w:ascii="Arial" w:hAnsi="Arial" w:cs="Arial"/>
        </w:rPr>
      </w:pPr>
      <w:r w:rsidRPr="00C900C3">
        <w:rPr>
          <w:rFonts w:ascii="Arial" w:hAnsi="Arial" w:cs="Arial"/>
          <w:b/>
          <w:bCs/>
        </w:rPr>
        <w:lastRenderedPageBreak/>
        <w:t xml:space="preserve">Executive Summary </w:t>
      </w:r>
    </w:p>
    <w:p w14:paraId="38F6BDF6" w14:textId="77777777" w:rsidR="00B96CFB" w:rsidRPr="00C900C3" w:rsidRDefault="0080051C">
      <w:pPr>
        <w:rPr>
          <w:rFonts w:ascii="Arial" w:hAnsi="Arial" w:cs="Arial"/>
        </w:rPr>
      </w:pPr>
      <w:r w:rsidRPr="00C900C3">
        <w:rPr>
          <w:rFonts w:ascii="Arial" w:hAnsi="Arial" w:cs="Arial"/>
        </w:rPr>
        <w:t xml:space="preserve">This report is an assessment of the financial performance of the Hyundai Motor Company and offers strategic financial advice. The analysis indicates that revenue, profitability, and asset base have strongly grown due to the entry into electric vehicles and international markets. The profitability and liquidity ratios demonstrate better performance and short-term stability, whereas the efficiency ratios demonstrate decreasing operational effectiveness. Rising leverage and negative cash flow ratios highlight </w:t>
      </w:r>
      <w:r w:rsidRPr="00C900C3">
        <w:rPr>
          <w:rFonts w:ascii="Arial" w:hAnsi="Arial" w:cs="Arial"/>
        </w:rPr>
        <w:t>increasing financial risk and reliance on external financing. The working capital analysis shows an extended cash conversion cycle, which shows increased capital requirements. The recommendations of strategic restructuring are on how the debt is handled, optimisation of the assets, and better financing methods. The results of investment appraisal indicate that none of the proposed projects have a positive NPV and do not demonstrate the necessary return, but Project C has a rather good performance. Hyundai h</w:t>
      </w:r>
      <w:r w:rsidRPr="00C900C3">
        <w:rPr>
          <w:rFonts w:ascii="Arial" w:hAnsi="Arial" w:cs="Arial"/>
        </w:rPr>
        <w:t>as good growth potential but needs to improve financial efficiency and risk management in the long run.</w:t>
      </w:r>
      <w:r w:rsidRPr="00C900C3">
        <w:rPr>
          <w:rFonts w:ascii="Arial" w:hAnsi="Arial" w:cs="Arial"/>
        </w:rPr>
        <w:br w:type="page"/>
      </w:r>
    </w:p>
    <w:p w14:paraId="6CE254BD" w14:textId="77777777" w:rsidR="00B96CFB" w:rsidRPr="00C900C3" w:rsidRDefault="0080051C">
      <w:pPr>
        <w:jc w:val="center"/>
        <w:rPr>
          <w:rFonts w:ascii="Arial" w:hAnsi="Arial" w:cs="Arial"/>
          <w:b/>
          <w:bCs/>
        </w:rPr>
      </w:pPr>
      <w:r w:rsidRPr="00C900C3">
        <w:rPr>
          <w:rFonts w:ascii="Arial" w:hAnsi="Arial" w:cs="Arial"/>
          <w:b/>
          <w:bCs/>
        </w:rPr>
        <w:lastRenderedPageBreak/>
        <w:t>Table of Contents</w:t>
      </w:r>
    </w:p>
    <w:sdt>
      <w:sdtPr>
        <w:rPr>
          <w:rFonts w:ascii="Arial" w:hAnsi="Arial" w:cs="Arial"/>
        </w:rPr>
        <w:id w:val="-221060768"/>
        <w:docPartObj>
          <w:docPartGallery w:val="Table of Contents"/>
          <w:docPartUnique/>
        </w:docPartObj>
      </w:sdtPr>
      <w:sdtEndPr/>
      <w:sdtContent>
        <w:p w14:paraId="556E4AC5" w14:textId="794E2205" w:rsidR="00566743" w:rsidRPr="00C900C3" w:rsidRDefault="0080051C">
          <w:pPr>
            <w:pStyle w:val="TOC1"/>
            <w:tabs>
              <w:tab w:val="right" w:leader="dot" w:pos="9019"/>
            </w:tabs>
            <w:rPr>
              <w:rFonts w:ascii="Arial" w:eastAsiaTheme="minorEastAsia" w:hAnsi="Arial" w:cs="Arial"/>
              <w:noProof/>
              <w:kern w:val="2"/>
              <w:lang w:val="en-IN"/>
              <w14:ligatures w14:val="standardContextual"/>
            </w:rPr>
          </w:pPr>
          <w:r w:rsidRPr="00C900C3">
            <w:rPr>
              <w:rFonts w:ascii="Arial" w:hAnsi="Arial" w:cs="Arial"/>
            </w:rPr>
            <w:fldChar w:fldCharType="begin"/>
          </w:r>
          <w:r w:rsidRPr="00C900C3">
            <w:rPr>
              <w:rFonts w:ascii="Arial" w:hAnsi="Arial" w:cs="Arial"/>
            </w:rPr>
            <w:instrText xml:space="preserve"> TOC \h \u \z \t "Heading 1,1,Heading 2,2,Heading 3,3,Heading 4,4,Heading 5,5,Heading 6,6,"</w:instrText>
          </w:r>
          <w:r w:rsidRPr="00C900C3">
            <w:rPr>
              <w:rFonts w:ascii="Arial" w:hAnsi="Arial" w:cs="Arial"/>
            </w:rPr>
            <w:fldChar w:fldCharType="separate"/>
          </w:r>
          <w:hyperlink w:anchor="_Toc227452744" w:history="1">
            <w:r w:rsidR="00566743" w:rsidRPr="00C900C3">
              <w:rPr>
                <w:rStyle w:val="Hyperlink"/>
                <w:rFonts w:ascii="Arial" w:hAnsi="Arial" w:cs="Arial"/>
                <w:noProof/>
              </w:rPr>
              <w:t>1.0 Introduction</w:t>
            </w:r>
            <w:r w:rsidR="00566743" w:rsidRPr="00C900C3">
              <w:rPr>
                <w:rFonts w:ascii="Arial" w:hAnsi="Arial" w:cs="Arial"/>
                <w:noProof/>
                <w:webHidden/>
              </w:rPr>
              <w:tab/>
            </w:r>
            <w:r w:rsidR="00566743" w:rsidRPr="00C900C3">
              <w:rPr>
                <w:rFonts w:ascii="Arial" w:hAnsi="Arial" w:cs="Arial"/>
                <w:noProof/>
                <w:webHidden/>
              </w:rPr>
              <w:fldChar w:fldCharType="begin"/>
            </w:r>
            <w:r w:rsidR="00566743" w:rsidRPr="00C900C3">
              <w:rPr>
                <w:rFonts w:ascii="Arial" w:hAnsi="Arial" w:cs="Arial"/>
                <w:noProof/>
                <w:webHidden/>
              </w:rPr>
              <w:instrText xml:space="preserve"> PAGEREF _Toc227452744 \h </w:instrText>
            </w:r>
            <w:r w:rsidR="00566743" w:rsidRPr="00C900C3">
              <w:rPr>
                <w:rFonts w:ascii="Arial" w:hAnsi="Arial" w:cs="Arial"/>
                <w:noProof/>
                <w:webHidden/>
              </w:rPr>
            </w:r>
            <w:r w:rsidR="00566743" w:rsidRPr="00C900C3">
              <w:rPr>
                <w:rFonts w:ascii="Arial" w:hAnsi="Arial" w:cs="Arial"/>
                <w:noProof/>
                <w:webHidden/>
              </w:rPr>
              <w:fldChar w:fldCharType="separate"/>
            </w:r>
            <w:r w:rsidR="00566743" w:rsidRPr="00C900C3">
              <w:rPr>
                <w:rFonts w:ascii="Arial" w:hAnsi="Arial" w:cs="Arial"/>
                <w:noProof/>
                <w:webHidden/>
              </w:rPr>
              <w:t>7</w:t>
            </w:r>
            <w:r w:rsidR="00566743" w:rsidRPr="00C900C3">
              <w:rPr>
                <w:rFonts w:ascii="Arial" w:hAnsi="Arial" w:cs="Arial"/>
                <w:noProof/>
                <w:webHidden/>
              </w:rPr>
              <w:fldChar w:fldCharType="end"/>
            </w:r>
          </w:hyperlink>
        </w:p>
        <w:p w14:paraId="0337483A" w14:textId="44A027E8"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45" w:history="1">
            <w:r w:rsidRPr="00C900C3">
              <w:rPr>
                <w:rStyle w:val="Hyperlink"/>
                <w:rFonts w:ascii="Arial" w:hAnsi="Arial" w:cs="Arial"/>
                <w:noProof/>
              </w:rPr>
              <w:t>1.1 Overview of Hyundai Motor Company: Global EV Transition</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_Toc227452745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7</w:t>
            </w:r>
            <w:r w:rsidRPr="00C900C3">
              <w:rPr>
                <w:rFonts w:ascii="Arial" w:hAnsi="Arial" w:cs="Arial"/>
                <w:noProof/>
                <w:webHidden/>
              </w:rPr>
              <w:fldChar w:fldCharType="end"/>
            </w:r>
          </w:hyperlink>
        </w:p>
        <w:p w14:paraId="7ADA98AE" w14:textId="43C322CA"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46" w:history="1">
            <w:r w:rsidRPr="00C900C3">
              <w:rPr>
                <w:rStyle w:val="Hyperlink"/>
                <w:rFonts w:ascii="Arial" w:hAnsi="Arial" w:cs="Arial"/>
                <w:noProof/>
              </w:rPr>
              <w:t>1.2 Role of CFO in strategic decision-making</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_Toc227452746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7</w:t>
            </w:r>
            <w:r w:rsidRPr="00C900C3">
              <w:rPr>
                <w:rFonts w:ascii="Arial" w:hAnsi="Arial" w:cs="Arial"/>
                <w:noProof/>
                <w:webHidden/>
              </w:rPr>
              <w:fldChar w:fldCharType="end"/>
            </w:r>
          </w:hyperlink>
        </w:p>
        <w:p w14:paraId="2F205396" w14:textId="00D4C677"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47" w:history="1">
            <w:r w:rsidRPr="00C900C3">
              <w:rPr>
                <w:rStyle w:val="Hyperlink"/>
                <w:rFonts w:ascii="Arial" w:hAnsi="Arial" w:cs="Arial"/>
                <w:noProof/>
              </w:rPr>
              <w:t>1.3 Purpose of Report</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_Toc227452747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8</w:t>
            </w:r>
            <w:r w:rsidRPr="00C900C3">
              <w:rPr>
                <w:rFonts w:ascii="Arial" w:hAnsi="Arial" w:cs="Arial"/>
                <w:noProof/>
                <w:webHidden/>
              </w:rPr>
              <w:fldChar w:fldCharType="end"/>
            </w:r>
          </w:hyperlink>
        </w:p>
        <w:p w14:paraId="06335C2A" w14:textId="71CA10A9"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48" w:history="1">
            <w:r w:rsidRPr="00C900C3">
              <w:rPr>
                <w:rStyle w:val="Hyperlink"/>
                <w:rFonts w:ascii="Arial" w:hAnsi="Arial" w:cs="Arial"/>
                <w:noProof/>
              </w:rPr>
              <w:t>1.4 Structure of Report</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_Toc227452748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8</w:t>
            </w:r>
            <w:r w:rsidRPr="00C900C3">
              <w:rPr>
                <w:rFonts w:ascii="Arial" w:hAnsi="Arial" w:cs="Arial"/>
                <w:noProof/>
                <w:webHidden/>
              </w:rPr>
              <w:fldChar w:fldCharType="end"/>
            </w:r>
          </w:hyperlink>
        </w:p>
        <w:p w14:paraId="7B637359" w14:textId="1D42FD0E" w:rsidR="00566743" w:rsidRPr="00C900C3" w:rsidRDefault="00566743">
          <w:pPr>
            <w:pStyle w:val="TOC1"/>
            <w:tabs>
              <w:tab w:val="right" w:leader="dot" w:pos="9019"/>
            </w:tabs>
            <w:rPr>
              <w:rFonts w:ascii="Arial" w:eastAsiaTheme="minorEastAsia" w:hAnsi="Arial" w:cs="Arial"/>
              <w:noProof/>
              <w:kern w:val="2"/>
              <w:lang w:val="en-IN"/>
              <w14:ligatures w14:val="standardContextual"/>
            </w:rPr>
          </w:pPr>
          <w:hyperlink w:anchor="_Toc227452749" w:history="1">
            <w:r w:rsidRPr="00C900C3">
              <w:rPr>
                <w:rStyle w:val="Hyperlink"/>
                <w:rFonts w:ascii="Arial" w:hAnsi="Arial" w:cs="Arial"/>
                <w:noProof/>
              </w:rPr>
              <w:t>2.0 Financial Health Check</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_Toc227452749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9</w:t>
            </w:r>
            <w:r w:rsidRPr="00C900C3">
              <w:rPr>
                <w:rFonts w:ascii="Arial" w:hAnsi="Arial" w:cs="Arial"/>
                <w:noProof/>
                <w:webHidden/>
              </w:rPr>
              <w:fldChar w:fldCharType="end"/>
            </w:r>
          </w:hyperlink>
        </w:p>
        <w:p w14:paraId="314D1119" w14:textId="578774CE"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50" w:history="1">
            <w:r w:rsidRPr="00C900C3">
              <w:rPr>
                <w:rStyle w:val="Hyperlink"/>
                <w:rFonts w:ascii="Arial" w:hAnsi="Arial" w:cs="Arial"/>
                <w:noProof/>
              </w:rPr>
              <w:t>2.1 Overview of Financial Performance of Hyundai Motor Company</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_Toc227452750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9</w:t>
            </w:r>
            <w:r w:rsidRPr="00C900C3">
              <w:rPr>
                <w:rFonts w:ascii="Arial" w:hAnsi="Arial" w:cs="Arial"/>
                <w:noProof/>
                <w:webHidden/>
              </w:rPr>
              <w:fldChar w:fldCharType="end"/>
            </w:r>
          </w:hyperlink>
        </w:p>
        <w:p w14:paraId="7495B7FB" w14:textId="3F1CD616"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51" w:history="1">
            <w:r w:rsidRPr="00C900C3">
              <w:rPr>
                <w:rStyle w:val="Hyperlink"/>
                <w:rFonts w:ascii="Arial" w:hAnsi="Arial" w:cs="Arial"/>
                <w:noProof/>
              </w:rPr>
              <w:t>Statements of Financial Position for Five Years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_Toc227452751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9</w:t>
            </w:r>
            <w:r w:rsidRPr="00C900C3">
              <w:rPr>
                <w:rFonts w:ascii="Arial" w:hAnsi="Arial" w:cs="Arial"/>
                <w:noProof/>
                <w:webHidden/>
              </w:rPr>
              <w:fldChar w:fldCharType="end"/>
            </w:r>
          </w:hyperlink>
        </w:p>
        <w:p w14:paraId="2EC01876" w14:textId="57414A05"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52" w:history="1">
            <w:r w:rsidRPr="00C900C3">
              <w:rPr>
                <w:rStyle w:val="Hyperlink"/>
                <w:rFonts w:ascii="Arial" w:hAnsi="Arial" w:cs="Arial"/>
                <w:noProof/>
              </w:rPr>
              <w:t>Statements of Income for Five Years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_Toc227452752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9</w:t>
            </w:r>
            <w:r w:rsidRPr="00C900C3">
              <w:rPr>
                <w:rFonts w:ascii="Arial" w:hAnsi="Arial" w:cs="Arial"/>
                <w:noProof/>
                <w:webHidden/>
              </w:rPr>
              <w:fldChar w:fldCharType="end"/>
            </w:r>
          </w:hyperlink>
        </w:p>
        <w:p w14:paraId="1A773F83" w14:textId="5F1394D0"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53" w:history="1">
            <w:r w:rsidRPr="00C900C3">
              <w:rPr>
                <w:rStyle w:val="Hyperlink"/>
                <w:rFonts w:ascii="Arial" w:hAnsi="Arial" w:cs="Arial"/>
                <w:noProof/>
              </w:rPr>
              <w:t>Statements of Cash Flows for Five Years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_Toc227452753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9</w:t>
            </w:r>
            <w:r w:rsidRPr="00C900C3">
              <w:rPr>
                <w:rFonts w:ascii="Arial" w:hAnsi="Arial" w:cs="Arial"/>
                <w:noProof/>
                <w:webHidden/>
              </w:rPr>
              <w:fldChar w:fldCharType="end"/>
            </w:r>
          </w:hyperlink>
        </w:p>
        <w:p w14:paraId="6BCC337E" w14:textId="0EA58A9A"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54" w:history="1">
            <w:r w:rsidRPr="00C900C3">
              <w:rPr>
                <w:rStyle w:val="Hyperlink"/>
                <w:rFonts w:ascii="Arial" w:hAnsi="Arial" w:cs="Arial"/>
                <w:noProof/>
              </w:rPr>
              <w:t>2.2 Ratio Analysis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_Toc227452754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10</w:t>
            </w:r>
            <w:r w:rsidRPr="00C900C3">
              <w:rPr>
                <w:rFonts w:ascii="Arial" w:hAnsi="Arial" w:cs="Arial"/>
                <w:noProof/>
                <w:webHidden/>
              </w:rPr>
              <w:fldChar w:fldCharType="end"/>
            </w:r>
          </w:hyperlink>
        </w:p>
        <w:p w14:paraId="13E05DBD" w14:textId="76CEBFE2"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55" w:history="1">
            <w:r w:rsidRPr="00C900C3">
              <w:rPr>
                <w:rStyle w:val="Hyperlink"/>
                <w:rFonts w:ascii="Arial" w:hAnsi="Arial" w:cs="Arial"/>
                <w:noProof/>
              </w:rPr>
              <w:t>Profitability Ratios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_Toc227452755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10</w:t>
            </w:r>
            <w:r w:rsidRPr="00C900C3">
              <w:rPr>
                <w:rFonts w:ascii="Arial" w:hAnsi="Arial" w:cs="Arial"/>
                <w:noProof/>
                <w:webHidden/>
              </w:rPr>
              <w:fldChar w:fldCharType="end"/>
            </w:r>
          </w:hyperlink>
        </w:p>
        <w:p w14:paraId="2178E3F8" w14:textId="59004666"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56" w:history="1">
            <w:r w:rsidRPr="00C900C3">
              <w:rPr>
                <w:rStyle w:val="Hyperlink"/>
                <w:rFonts w:ascii="Arial" w:hAnsi="Arial" w:cs="Arial"/>
                <w:noProof/>
              </w:rPr>
              <w:t>Liquidity Ratios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_Toc227452756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11</w:t>
            </w:r>
            <w:r w:rsidRPr="00C900C3">
              <w:rPr>
                <w:rFonts w:ascii="Arial" w:hAnsi="Arial" w:cs="Arial"/>
                <w:noProof/>
                <w:webHidden/>
              </w:rPr>
              <w:fldChar w:fldCharType="end"/>
            </w:r>
          </w:hyperlink>
        </w:p>
        <w:p w14:paraId="35CE5F6F" w14:textId="6F5B7E3E"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57" w:history="1">
            <w:r w:rsidRPr="00C900C3">
              <w:rPr>
                <w:rStyle w:val="Hyperlink"/>
                <w:rFonts w:ascii="Arial" w:hAnsi="Arial" w:cs="Arial"/>
                <w:noProof/>
              </w:rPr>
              <w:t>Efficiency Ratios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_Toc227452757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12</w:t>
            </w:r>
            <w:r w:rsidRPr="00C900C3">
              <w:rPr>
                <w:rFonts w:ascii="Arial" w:hAnsi="Arial" w:cs="Arial"/>
                <w:noProof/>
                <w:webHidden/>
              </w:rPr>
              <w:fldChar w:fldCharType="end"/>
            </w:r>
          </w:hyperlink>
        </w:p>
        <w:p w14:paraId="493003F5" w14:textId="3AE9260C"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58" w:history="1">
            <w:r w:rsidRPr="00C900C3">
              <w:rPr>
                <w:rStyle w:val="Hyperlink"/>
                <w:rFonts w:ascii="Arial" w:hAnsi="Arial" w:cs="Arial"/>
                <w:noProof/>
              </w:rPr>
              <w:t>Gearing Ratios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_Toc227452758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13</w:t>
            </w:r>
            <w:r w:rsidRPr="00C900C3">
              <w:rPr>
                <w:rFonts w:ascii="Arial" w:hAnsi="Arial" w:cs="Arial"/>
                <w:noProof/>
                <w:webHidden/>
              </w:rPr>
              <w:fldChar w:fldCharType="end"/>
            </w:r>
          </w:hyperlink>
        </w:p>
        <w:p w14:paraId="5214B7A7" w14:textId="564D4F89"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59" w:history="1">
            <w:r w:rsidRPr="00C900C3">
              <w:rPr>
                <w:rStyle w:val="Hyperlink"/>
                <w:rFonts w:ascii="Arial" w:hAnsi="Arial" w:cs="Arial"/>
                <w:noProof/>
              </w:rPr>
              <w:t>Investment Ratios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_Toc227452759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14</w:t>
            </w:r>
            <w:r w:rsidRPr="00C900C3">
              <w:rPr>
                <w:rFonts w:ascii="Arial" w:hAnsi="Arial" w:cs="Arial"/>
                <w:noProof/>
                <w:webHidden/>
              </w:rPr>
              <w:fldChar w:fldCharType="end"/>
            </w:r>
          </w:hyperlink>
        </w:p>
        <w:p w14:paraId="7FD65FD9" w14:textId="35C9A724"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60" w:history="1">
            <w:r w:rsidRPr="00C900C3">
              <w:rPr>
                <w:rStyle w:val="Hyperlink"/>
                <w:rFonts w:ascii="Arial" w:hAnsi="Arial" w:cs="Arial"/>
                <w:noProof/>
              </w:rPr>
              <w:t>Cash Flow Ratios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_Toc227452760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15</w:t>
            </w:r>
            <w:r w:rsidRPr="00C900C3">
              <w:rPr>
                <w:rFonts w:ascii="Arial" w:hAnsi="Arial" w:cs="Arial"/>
                <w:noProof/>
                <w:webHidden/>
              </w:rPr>
              <w:fldChar w:fldCharType="end"/>
            </w:r>
          </w:hyperlink>
        </w:p>
        <w:p w14:paraId="5E281465" w14:textId="5961BC87"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61" w:history="1">
            <w:r w:rsidRPr="00C900C3">
              <w:rPr>
                <w:rStyle w:val="Hyperlink"/>
                <w:rFonts w:ascii="Arial" w:hAnsi="Arial" w:cs="Arial"/>
                <w:noProof/>
              </w:rPr>
              <w:t>2.3 Identify Trends, Strengths, and Threats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_Toc227452761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15</w:t>
            </w:r>
            <w:r w:rsidRPr="00C900C3">
              <w:rPr>
                <w:rFonts w:ascii="Arial" w:hAnsi="Arial" w:cs="Arial"/>
                <w:noProof/>
                <w:webHidden/>
              </w:rPr>
              <w:fldChar w:fldCharType="end"/>
            </w:r>
          </w:hyperlink>
        </w:p>
        <w:p w14:paraId="42A35D9A" w14:textId="78D04E7A"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62" w:history="1">
            <w:r w:rsidRPr="00C900C3">
              <w:rPr>
                <w:rStyle w:val="Hyperlink"/>
                <w:rFonts w:ascii="Arial" w:hAnsi="Arial" w:cs="Arial"/>
                <w:noProof/>
              </w:rPr>
              <w:t>Identified Trends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_Toc227452762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15</w:t>
            </w:r>
            <w:r w:rsidRPr="00C900C3">
              <w:rPr>
                <w:rFonts w:ascii="Arial" w:hAnsi="Arial" w:cs="Arial"/>
                <w:noProof/>
                <w:webHidden/>
              </w:rPr>
              <w:fldChar w:fldCharType="end"/>
            </w:r>
          </w:hyperlink>
        </w:p>
        <w:p w14:paraId="104AC0E7" w14:textId="70D2D21D"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63" w:history="1">
            <w:r w:rsidRPr="00C900C3">
              <w:rPr>
                <w:rStyle w:val="Hyperlink"/>
                <w:rFonts w:ascii="Arial" w:hAnsi="Arial" w:cs="Arial"/>
                <w:noProof/>
              </w:rPr>
              <w:t>Identified Strengths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_Toc227452763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16</w:t>
            </w:r>
            <w:r w:rsidRPr="00C900C3">
              <w:rPr>
                <w:rFonts w:ascii="Arial" w:hAnsi="Arial" w:cs="Arial"/>
                <w:noProof/>
                <w:webHidden/>
              </w:rPr>
              <w:fldChar w:fldCharType="end"/>
            </w:r>
          </w:hyperlink>
        </w:p>
        <w:p w14:paraId="1ED71D3C" w14:textId="6B7EA555"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64" w:history="1">
            <w:r w:rsidRPr="00C900C3">
              <w:rPr>
                <w:rStyle w:val="Hyperlink"/>
                <w:rFonts w:ascii="Arial" w:hAnsi="Arial" w:cs="Arial"/>
                <w:noProof/>
              </w:rPr>
              <w:t>Identified Weaknesses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_Toc227452764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16</w:t>
            </w:r>
            <w:r w:rsidRPr="00C900C3">
              <w:rPr>
                <w:rFonts w:ascii="Arial" w:hAnsi="Arial" w:cs="Arial"/>
                <w:noProof/>
                <w:webHidden/>
              </w:rPr>
              <w:fldChar w:fldCharType="end"/>
            </w:r>
          </w:hyperlink>
        </w:p>
        <w:p w14:paraId="3D894CEE" w14:textId="46FA4A7A" w:rsidR="00566743" w:rsidRPr="00C900C3" w:rsidRDefault="00566743">
          <w:pPr>
            <w:pStyle w:val="TOC1"/>
            <w:tabs>
              <w:tab w:val="right" w:leader="dot" w:pos="9019"/>
            </w:tabs>
            <w:rPr>
              <w:rFonts w:ascii="Arial" w:eastAsiaTheme="minorEastAsia" w:hAnsi="Arial" w:cs="Arial"/>
              <w:noProof/>
              <w:kern w:val="2"/>
              <w:lang w:val="en-IN"/>
              <w14:ligatures w14:val="standardContextual"/>
            </w:rPr>
          </w:pPr>
          <w:hyperlink w:anchor="_Toc227452765" w:history="1">
            <w:r w:rsidRPr="00C900C3">
              <w:rPr>
                <w:rStyle w:val="Hyperlink"/>
                <w:rFonts w:ascii="Arial" w:hAnsi="Arial" w:cs="Arial"/>
                <w:noProof/>
              </w:rPr>
              <w:t>3.0 Working Capital Management</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_Toc227452765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17</w:t>
            </w:r>
            <w:r w:rsidRPr="00C900C3">
              <w:rPr>
                <w:rFonts w:ascii="Arial" w:hAnsi="Arial" w:cs="Arial"/>
                <w:noProof/>
                <w:webHidden/>
              </w:rPr>
              <w:fldChar w:fldCharType="end"/>
            </w:r>
          </w:hyperlink>
        </w:p>
        <w:p w14:paraId="575920E6" w14:textId="4CE7F253"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66" w:history="1">
            <w:r w:rsidRPr="00C900C3">
              <w:rPr>
                <w:rStyle w:val="Hyperlink"/>
                <w:rFonts w:ascii="Arial" w:hAnsi="Arial" w:cs="Arial"/>
                <w:noProof/>
              </w:rPr>
              <w:t>3.1 Cash Operating Cycle Analysis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_Toc227452766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17</w:t>
            </w:r>
            <w:r w:rsidRPr="00C900C3">
              <w:rPr>
                <w:rFonts w:ascii="Arial" w:hAnsi="Arial" w:cs="Arial"/>
                <w:noProof/>
                <w:webHidden/>
              </w:rPr>
              <w:fldChar w:fldCharType="end"/>
            </w:r>
          </w:hyperlink>
        </w:p>
        <w:p w14:paraId="114FFA9D" w14:textId="647D8C3C"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67" w:history="1">
            <w:r w:rsidRPr="00C900C3">
              <w:rPr>
                <w:rStyle w:val="Hyperlink"/>
                <w:rFonts w:ascii="Arial" w:hAnsi="Arial" w:cs="Arial"/>
                <w:noProof/>
              </w:rPr>
              <w:t>3.2 Evaluation of Current Working Capital Efficiency</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_Toc227452767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17</w:t>
            </w:r>
            <w:r w:rsidRPr="00C900C3">
              <w:rPr>
                <w:rFonts w:ascii="Arial" w:hAnsi="Arial" w:cs="Arial"/>
                <w:noProof/>
                <w:webHidden/>
              </w:rPr>
              <w:fldChar w:fldCharType="end"/>
            </w:r>
          </w:hyperlink>
        </w:p>
        <w:p w14:paraId="444E1175" w14:textId="3BBC3C93"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68" w:history="1">
            <w:r w:rsidRPr="00C900C3">
              <w:rPr>
                <w:rStyle w:val="Hyperlink"/>
                <w:rFonts w:ascii="Arial" w:hAnsi="Arial" w:cs="Arial"/>
                <w:noProof/>
              </w:rPr>
              <w:t>Liquidity Position and Short-Term Stability</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_Toc227452768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17</w:t>
            </w:r>
            <w:r w:rsidRPr="00C900C3">
              <w:rPr>
                <w:rFonts w:ascii="Arial" w:hAnsi="Arial" w:cs="Arial"/>
                <w:noProof/>
                <w:webHidden/>
              </w:rPr>
              <w:fldChar w:fldCharType="end"/>
            </w:r>
          </w:hyperlink>
        </w:p>
        <w:p w14:paraId="020086BB" w14:textId="48B4A462"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69" w:history="1">
            <w:r w:rsidRPr="00C900C3">
              <w:rPr>
                <w:rStyle w:val="Hyperlink"/>
                <w:rFonts w:ascii="Arial" w:hAnsi="Arial" w:cs="Arial"/>
                <w:noProof/>
              </w:rPr>
              <w:t>Efficiency of Working Capital Components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_Toc227452769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18</w:t>
            </w:r>
            <w:r w:rsidRPr="00C900C3">
              <w:rPr>
                <w:rFonts w:ascii="Arial" w:hAnsi="Arial" w:cs="Arial"/>
                <w:noProof/>
                <w:webHidden/>
              </w:rPr>
              <w:fldChar w:fldCharType="end"/>
            </w:r>
          </w:hyperlink>
        </w:p>
        <w:p w14:paraId="693D6383" w14:textId="597FC82B"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70" w:history="1">
            <w:r w:rsidRPr="00C900C3">
              <w:rPr>
                <w:rStyle w:val="Hyperlink"/>
                <w:rFonts w:ascii="Arial" w:hAnsi="Arial" w:cs="Arial"/>
                <w:noProof/>
              </w:rPr>
              <w:t>Overall Working Capital Performance</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_Toc227452770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18</w:t>
            </w:r>
            <w:r w:rsidRPr="00C900C3">
              <w:rPr>
                <w:rFonts w:ascii="Arial" w:hAnsi="Arial" w:cs="Arial"/>
                <w:noProof/>
                <w:webHidden/>
              </w:rPr>
              <w:fldChar w:fldCharType="end"/>
            </w:r>
          </w:hyperlink>
        </w:p>
        <w:p w14:paraId="731F7F8A" w14:textId="2643D93E"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71" w:history="1">
            <w:r w:rsidRPr="00C900C3">
              <w:rPr>
                <w:rStyle w:val="Hyperlink"/>
                <w:rFonts w:ascii="Arial" w:hAnsi="Arial" w:cs="Arial"/>
                <w:noProof/>
              </w:rPr>
              <w:t>3.3 Improvement Strategies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_Toc227452771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18</w:t>
            </w:r>
            <w:r w:rsidRPr="00C900C3">
              <w:rPr>
                <w:rFonts w:ascii="Arial" w:hAnsi="Arial" w:cs="Arial"/>
                <w:noProof/>
                <w:webHidden/>
              </w:rPr>
              <w:fldChar w:fldCharType="end"/>
            </w:r>
          </w:hyperlink>
        </w:p>
        <w:p w14:paraId="1A6CD802" w14:textId="4246557F"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72" w:history="1">
            <w:r w:rsidRPr="00C900C3">
              <w:rPr>
                <w:rStyle w:val="Hyperlink"/>
                <w:rFonts w:ascii="Arial" w:hAnsi="Arial" w:cs="Arial"/>
                <w:noProof/>
              </w:rPr>
              <w:t>Inventory Optimisation Strategies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_Toc227452772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18</w:t>
            </w:r>
            <w:r w:rsidRPr="00C900C3">
              <w:rPr>
                <w:rFonts w:ascii="Arial" w:hAnsi="Arial" w:cs="Arial"/>
                <w:noProof/>
                <w:webHidden/>
              </w:rPr>
              <w:fldChar w:fldCharType="end"/>
            </w:r>
          </w:hyperlink>
        </w:p>
        <w:p w14:paraId="5CA77667" w14:textId="10D391C1"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73" w:history="1">
            <w:r w:rsidRPr="00C900C3">
              <w:rPr>
                <w:rStyle w:val="Hyperlink"/>
                <w:rFonts w:ascii="Arial" w:hAnsi="Arial" w:cs="Arial"/>
                <w:noProof/>
              </w:rPr>
              <w:t>Receivables Management Improvement</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_Toc227452773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19</w:t>
            </w:r>
            <w:r w:rsidRPr="00C900C3">
              <w:rPr>
                <w:rFonts w:ascii="Arial" w:hAnsi="Arial" w:cs="Arial"/>
                <w:noProof/>
                <w:webHidden/>
              </w:rPr>
              <w:fldChar w:fldCharType="end"/>
            </w:r>
          </w:hyperlink>
        </w:p>
        <w:p w14:paraId="1F7637AB" w14:textId="41D7628F"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74" w:history="1">
            <w:r w:rsidRPr="00C900C3">
              <w:rPr>
                <w:rStyle w:val="Hyperlink"/>
                <w:rFonts w:ascii="Arial" w:hAnsi="Arial" w:cs="Arial"/>
                <w:noProof/>
              </w:rPr>
              <w:t>Payables and Financing Strategies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_Toc227452774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19</w:t>
            </w:r>
            <w:r w:rsidRPr="00C900C3">
              <w:rPr>
                <w:rFonts w:ascii="Arial" w:hAnsi="Arial" w:cs="Arial"/>
                <w:noProof/>
                <w:webHidden/>
              </w:rPr>
              <w:fldChar w:fldCharType="end"/>
            </w:r>
          </w:hyperlink>
        </w:p>
        <w:p w14:paraId="15426454" w14:textId="5D8B377D"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75" w:history="1">
            <w:r w:rsidRPr="00C900C3">
              <w:rPr>
                <w:rStyle w:val="Hyperlink"/>
                <w:rFonts w:ascii="Arial" w:hAnsi="Arial" w:cs="Arial"/>
                <w:noProof/>
              </w:rPr>
              <w:t>3.4 Financing Options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_Toc227452775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19</w:t>
            </w:r>
            <w:r w:rsidRPr="00C900C3">
              <w:rPr>
                <w:rFonts w:ascii="Arial" w:hAnsi="Arial" w:cs="Arial"/>
                <w:noProof/>
                <w:webHidden/>
              </w:rPr>
              <w:fldChar w:fldCharType="end"/>
            </w:r>
          </w:hyperlink>
        </w:p>
        <w:p w14:paraId="2F0FAFC0" w14:textId="6B039CFC"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76" w:history="1">
            <w:r w:rsidRPr="00C900C3">
              <w:rPr>
                <w:rStyle w:val="Hyperlink"/>
                <w:rFonts w:ascii="Arial" w:hAnsi="Arial" w:cs="Arial"/>
                <w:noProof/>
              </w:rPr>
              <w:t>Short-Term Financing Options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_Toc227452776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19</w:t>
            </w:r>
            <w:r w:rsidRPr="00C900C3">
              <w:rPr>
                <w:rFonts w:ascii="Arial" w:hAnsi="Arial" w:cs="Arial"/>
                <w:noProof/>
                <w:webHidden/>
              </w:rPr>
              <w:fldChar w:fldCharType="end"/>
            </w:r>
          </w:hyperlink>
        </w:p>
        <w:p w14:paraId="07D62C4C" w14:textId="1851B8BA"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77" w:history="1">
            <w:r w:rsidRPr="00C900C3">
              <w:rPr>
                <w:rStyle w:val="Hyperlink"/>
                <w:rFonts w:ascii="Arial" w:hAnsi="Arial" w:cs="Arial"/>
                <w:noProof/>
              </w:rPr>
              <w:t>Long-Term Financing Options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_Toc227452777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19</w:t>
            </w:r>
            <w:r w:rsidRPr="00C900C3">
              <w:rPr>
                <w:rFonts w:ascii="Arial" w:hAnsi="Arial" w:cs="Arial"/>
                <w:noProof/>
                <w:webHidden/>
              </w:rPr>
              <w:fldChar w:fldCharType="end"/>
            </w:r>
          </w:hyperlink>
        </w:p>
        <w:p w14:paraId="3E6E2764" w14:textId="338B5DF0"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78" w:history="1">
            <w:r w:rsidRPr="00C900C3">
              <w:rPr>
                <w:rStyle w:val="Hyperlink"/>
                <w:rFonts w:ascii="Arial" w:hAnsi="Arial" w:cs="Arial"/>
                <w:noProof/>
              </w:rPr>
              <w:t>Evaluation and Strategic Recommendation</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_Toc227452778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20</w:t>
            </w:r>
            <w:r w:rsidRPr="00C900C3">
              <w:rPr>
                <w:rFonts w:ascii="Arial" w:hAnsi="Arial" w:cs="Arial"/>
                <w:noProof/>
                <w:webHidden/>
              </w:rPr>
              <w:fldChar w:fldCharType="end"/>
            </w:r>
          </w:hyperlink>
        </w:p>
        <w:p w14:paraId="22EA019E" w14:textId="78668169" w:rsidR="00566743" w:rsidRPr="00C900C3" w:rsidRDefault="00566743">
          <w:pPr>
            <w:pStyle w:val="TOC1"/>
            <w:tabs>
              <w:tab w:val="right" w:leader="dot" w:pos="9019"/>
            </w:tabs>
            <w:rPr>
              <w:rFonts w:ascii="Arial" w:eastAsiaTheme="minorEastAsia" w:hAnsi="Arial" w:cs="Arial"/>
              <w:noProof/>
              <w:kern w:val="2"/>
              <w:lang w:val="en-IN"/>
              <w14:ligatures w14:val="standardContextual"/>
            </w:rPr>
          </w:pPr>
          <w:hyperlink w:anchor="_Toc227452779" w:history="1">
            <w:r w:rsidRPr="00C900C3">
              <w:rPr>
                <w:rStyle w:val="Hyperlink"/>
                <w:rFonts w:ascii="Arial" w:hAnsi="Arial" w:cs="Arial"/>
                <w:noProof/>
              </w:rPr>
              <w:t>4.0 Strategic Financial Restructuring Plan</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_Toc227452779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20</w:t>
            </w:r>
            <w:r w:rsidRPr="00C900C3">
              <w:rPr>
                <w:rFonts w:ascii="Arial" w:hAnsi="Arial" w:cs="Arial"/>
                <w:noProof/>
                <w:webHidden/>
              </w:rPr>
              <w:fldChar w:fldCharType="end"/>
            </w:r>
          </w:hyperlink>
        </w:p>
        <w:p w14:paraId="064CDF85" w14:textId="2EC00AC5"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80" w:history="1">
            <w:r w:rsidRPr="00C900C3">
              <w:rPr>
                <w:rStyle w:val="Hyperlink"/>
                <w:rFonts w:ascii="Arial" w:hAnsi="Arial" w:cs="Arial"/>
                <w:noProof/>
              </w:rPr>
              <w:t>4.1 Identification of Financial Problems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_Toc227452780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20</w:t>
            </w:r>
            <w:r w:rsidRPr="00C900C3">
              <w:rPr>
                <w:rFonts w:ascii="Arial" w:hAnsi="Arial" w:cs="Arial"/>
                <w:noProof/>
                <w:webHidden/>
              </w:rPr>
              <w:fldChar w:fldCharType="end"/>
            </w:r>
          </w:hyperlink>
        </w:p>
        <w:p w14:paraId="4E27B1FB" w14:textId="34DBEEEE"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81" w:history="1">
            <w:r w:rsidRPr="00C900C3">
              <w:rPr>
                <w:rStyle w:val="Hyperlink"/>
                <w:rFonts w:ascii="Arial" w:hAnsi="Arial" w:cs="Arial"/>
                <w:noProof/>
              </w:rPr>
              <w:t>Rising Leverage and Financial Risk</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_Toc227452781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20</w:t>
            </w:r>
            <w:r w:rsidRPr="00C900C3">
              <w:rPr>
                <w:rFonts w:ascii="Arial" w:hAnsi="Arial" w:cs="Arial"/>
                <w:noProof/>
                <w:webHidden/>
              </w:rPr>
              <w:fldChar w:fldCharType="end"/>
            </w:r>
          </w:hyperlink>
        </w:p>
        <w:p w14:paraId="63E3BAA8" w14:textId="1EEB2236"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82" w:history="1">
            <w:r w:rsidRPr="00C900C3">
              <w:rPr>
                <w:rStyle w:val="Hyperlink"/>
                <w:rFonts w:ascii="Arial" w:hAnsi="Arial" w:cs="Arial"/>
                <w:noProof/>
              </w:rPr>
              <w:t>Declining Working Capital Efficiency</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_Toc227452782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20</w:t>
            </w:r>
            <w:r w:rsidRPr="00C900C3">
              <w:rPr>
                <w:rFonts w:ascii="Arial" w:hAnsi="Arial" w:cs="Arial"/>
                <w:noProof/>
                <w:webHidden/>
              </w:rPr>
              <w:fldChar w:fldCharType="end"/>
            </w:r>
          </w:hyperlink>
        </w:p>
        <w:p w14:paraId="327C9C05" w14:textId="44DF56BC"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83" w:history="1">
            <w:r w:rsidRPr="00C900C3">
              <w:rPr>
                <w:rStyle w:val="Hyperlink"/>
                <w:rFonts w:ascii="Arial" w:hAnsi="Arial" w:cs="Arial"/>
                <w:noProof/>
              </w:rPr>
              <w:t>Cash Flow Constraints and Liquidity Pressure</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_Toc227452783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21</w:t>
            </w:r>
            <w:r w:rsidRPr="00C900C3">
              <w:rPr>
                <w:rFonts w:ascii="Arial" w:hAnsi="Arial" w:cs="Arial"/>
                <w:noProof/>
                <w:webHidden/>
              </w:rPr>
              <w:fldChar w:fldCharType="end"/>
            </w:r>
          </w:hyperlink>
        </w:p>
        <w:p w14:paraId="717A2F40" w14:textId="3067FC5F"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84" w:history="1">
            <w:r w:rsidRPr="00C900C3">
              <w:rPr>
                <w:rStyle w:val="Hyperlink"/>
                <w:rFonts w:ascii="Arial" w:hAnsi="Arial" w:cs="Arial"/>
                <w:noProof/>
              </w:rPr>
              <w:t>4.2 Proposed Restructuring Strategies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_Toc227452784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21</w:t>
            </w:r>
            <w:r w:rsidRPr="00C900C3">
              <w:rPr>
                <w:rFonts w:ascii="Arial" w:hAnsi="Arial" w:cs="Arial"/>
                <w:noProof/>
                <w:webHidden/>
              </w:rPr>
              <w:fldChar w:fldCharType="end"/>
            </w:r>
          </w:hyperlink>
        </w:p>
        <w:p w14:paraId="7773965E" w14:textId="400954DB"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85" w:history="1">
            <w:r w:rsidRPr="00C900C3">
              <w:rPr>
                <w:rStyle w:val="Hyperlink"/>
                <w:rFonts w:ascii="Arial" w:hAnsi="Arial" w:cs="Arial"/>
                <w:noProof/>
              </w:rPr>
              <w:t>Debt Restructuring and Capital Rebalancing</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_Toc227452785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21</w:t>
            </w:r>
            <w:r w:rsidRPr="00C900C3">
              <w:rPr>
                <w:rFonts w:ascii="Arial" w:hAnsi="Arial" w:cs="Arial"/>
                <w:noProof/>
                <w:webHidden/>
              </w:rPr>
              <w:fldChar w:fldCharType="end"/>
            </w:r>
          </w:hyperlink>
        </w:p>
        <w:p w14:paraId="285C988C" w14:textId="1815F19C"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86" w:history="1">
            <w:r w:rsidRPr="00C900C3">
              <w:rPr>
                <w:rStyle w:val="Hyperlink"/>
                <w:rFonts w:ascii="Arial" w:hAnsi="Arial" w:cs="Arial"/>
                <w:noProof/>
              </w:rPr>
              <w:t>Asset Rationalisation and Divestment</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_Toc227452786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21</w:t>
            </w:r>
            <w:r w:rsidRPr="00C900C3">
              <w:rPr>
                <w:rFonts w:ascii="Arial" w:hAnsi="Arial" w:cs="Arial"/>
                <w:noProof/>
                <w:webHidden/>
              </w:rPr>
              <w:fldChar w:fldCharType="end"/>
            </w:r>
          </w:hyperlink>
        </w:p>
        <w:p w14:paraId="03550B34" w14:textId="3E837282"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87" w:history="1">
            <w:r w:rsidRPr="00C900C3">
              <w:rPr>
                <w:rStyle w:val="Hyperlink"/>
                <w:rFonts w:ascii="Arial" w:hAnsi="Arial" w:cs="Arial"/>
                <w:noProof/>
              </w:rPr>
              <w:t>Strategic Partnerships and Investment Optimisation</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_Toc227452787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21</w:t>
            </w:r>
            <w:r w:rsidRPr="00C900C3">
              <w:rPr>
                <w:rFonts w:ascii="Arial" w:hAnsi="Arial" w:cs="Arial"/>
                <w:noProof/>
                <w:webHidden/>
              </w:rPr>
              <w:fldChar w:fldCharType="end"/>
            </w:r>
          </w:hyperlink>
        </w:p>
        <w:p w14:paraId="709B8348" w14:textId="7303E73D"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88" w:history="1">
            <w:r w:rsidRPr="00C900C3">
              <w:rPr>
                <w:rStyle w:val="Hyperlink"/>
                <w:rFonts w:ascii="Arial" w:hAnsi="Arial" w:cs="Arial"/>
                <w:noProof/>
              </w:rPr>
              <w:t>4.3 Impact Evaluation</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_Toc227452788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22</w:t>
            </w:r>
            <w:r w:rsidRPr="00C900C3">
              <w:rPr>
                <w:rFonts w:ascii="Arial" w:hAnsi="Arial" w:cs="Arial"/>
                <w:noProof/>
                <w:webHidden/>
              </w:rPr>
              <w:fldChar w:fldCharType="end"/>
            </w:r>
          </w:hyperlink>
        </w:p>
        <w:p w14:paraId="1908669C" w14:textId="427B4728"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89" w:history="1">
            <w:r w:rsidRPr="00C900C3">
              <w:rPr>
                <w:rStyle w:val="Hyperlink"/>
                <w:rFonts w:ascii="Arial" w:hAnsi="Arial" w:cs="Arial"/>
                <w:noProof/>
              </w:rPr>
              <w:t>Impact on Shareholder Value</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_Toc227452789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22</w:t>
            </w:r>
            <w:r w:rsidRPr="00C900C3">
              <w:rPr>
                <w:rFonts w:ascii="Arial" w:hAnsi="Arial" w:cs="Arial"/>
                <w:noProof/>
                <w:webHidden/>
              </w:rPr>
              <w:fldChar w:fldCharType="end"/>
            </w:r>
          </w:hyperlink>
        </w:p>
        <w:p w14:paraId="7255260B" w14:textId="6A285CFA"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90" w:history="1">
            <w:r w:rsidRPr="00C900C3">
              <w:rPr>
                <w:rStyle w:val="Hyperlink"/>
                <w:rFonts w:ascii="Arial" w:hAnsi="Arial" w:cs="Arial"/>
                <w:noProof/>
              </w:rPr>
              <w:t>Impact on Financial Risk and Debt Structure</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_Toc227452790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22</w:t>
            </w:r>
            <w:r w:rsidRPr="00C900C3">
              <w:rPr>
                <w:rFonts w:ascii="Arial" w:hAnsi="Arial" w:cs="Arial"/>
                <w:noProof/>
                <w:webHidden/>
              </w:rPr>
              <w:fldChar w:fldCharType="end"/>
            </w:r>
          </w:hyperlink>
        </w:p>
        <w:p w14:paraId="47A156C0" w14:textId="423EFF26"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91" w:history="1">
            <w:r w:rsidRPr="00C900C3">
              <w:rPr>
                <w:rStyle w:val="Hyperlink"/>
                <w:rFonts w:ascii="Arial" w:hAnsi="Arial" w:cs="Arial"/>
                <w:noProof/>
              </w:rPr>
              <w:t>Impact on Operational Flexibility and Growth</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_Toc227452791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22</w:t>
            </w:r>
            <w:r w:rsidRPr="00C900C3">
              <w:rPr>
                <w:rFonts w:ascii="Arial" w:hAnsi="Arial" w:cs="Arial"/>
                <w:noProof/>
                <w:webHidden/>
              </w:rPr>
              <w:fldChar w:fldCharType="end"/>
            </w:r>
          </w:hyperlink>
        </w:p>
        <w:p w14:paraId="1389ED2D" w14:textId="757FE12A"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92" w:history="1">
            <w:r w:rsidRPr="00C900C3">
              <w:rPr>
                <w:rStyle w:val="Hyperlink"/>
                <w:rFonts w:ascii="Arial" w:hAnsi="Arial" w:cs="Arial"/>
                <w:noProof/>
              </w:rPr>
              <w:t>4.4 International &amp; Ethical Considerations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_Toc227452792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23</w:t>
            </w:r>
            <w:r w:rsidRPr="00C900C3">
              <w:rPr>
                <w:rFonts w:ascii="Arial" w:hAnsi="Arial" w:cs="Arial"/>
                <w:noProof/>
                <w:webHidden/>
              </w:rPr>
              <w:fldChar w:fldCharType="end"/>
            </w:r>
          </w:hyperlink>
        </w:p>
        <w:p w14:paraId="2D5CA0A1" w14:textId="58EC9B6C"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93" w:history="1">
            <w:r w:rsidRPr="00C900C3">
              <w:rPr>
                <w:rStyle w:val="Hyperlink"/>
                <w:rFonts w:ascii="Arial" w:hAnsi="Arial" w:cs="Arial"/>
                <w:noProof/>
              </w:rPr>
              <w:t>Global Financial Risks and Currency Exposure</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_Toc227452793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23</w:t>
            </w:r>
            <w:r w:rsidRPr="00C900C3">
              <w:rPr>
                <w:rFonts w:ascii="Arial" w:hAnsi="Arial" w:cs="Arial"/>
                <w:noProof/>
                <w:webHidden/>
              </w:rPr>
              <w:fldChar w:fldCharType="end"/>
            </w:r>
          </w:hyperlink>
        </w:p>
        <w:p w14:paraId="558B0CB0" w14:textId="6A5FF47A"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94" w:history="1">
            <w:r w:rsidRPr="00C900C3">
              <w:rPr>
                <w:rStyle w:val="Hyperlink"/>
                <w:rFonts w:ascii="Arial" w:hAnsi="Arial" w:cs="Arial"/>
                <w:noProof/>
              </w:rPr>
              <w:t>Regulatory and Taxation Considerations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_Toc227452794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23</w:t>
            </w:r>
            <w:r w:rsidRPr="00C900C3">
              <w:rPr>
                <w:rFonts w:ascii="Arial" w:hAnsi="Arial" w:cs="Arial"/>
                <w:noProof/>
                <w:webHidden/>
              </w:rPr>
              <w:fldChar w:fldCharType="end"/>
            </w:r>
          </w:hyperlink>
        </w:p>
        <w:p w14:paraId="5272B1B9" w14:textId="7E83F212"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95" w:history="1">
            <w:r w:rsidRPr="00C900C3">
              <w:rPr>
                <w:rStyle w:val="Hyperlink"/>
                <w:rFonts w:ascii="Arial" w:hAnsi="Arial" w:cs="Arial"/>
                <w:noProof/>
              </w:rPr>
              <w:t>Ethical Responsibility and Sustainability (CSR)</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_Toc227452795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23</w:t>
            </w:r>
            <w:r w:rsidRPr="00C900C3">
              <w:rPr>
                <w:rFonts w:ascii="Arial" w:hAnsi="Arial" w:cs="Arial"/>
                <w:noProof/>
                <w:webHidden/>
              </w:rPr>
              <w:fldChar w:fldCharType="end"/>
            </w:r>
          </w:hyperlink>
        </w:p>
        <w:p w14:paraId="1518F4BB" w14:textId="0F69CF58" w:rsidR="00566743" w:rsidRPr="00C900C3" w:rsidRDefault="00566743">
          <w:pPr>
            <w:pStyle w:val="TOC1"/>
            <w:tabs>
              <w:tab w:val="right" w:leader="dot" w:pos="9019"/>
            </w:tabs>
            <w:rPr>
              <w:rFonts w:ascii="Arial" w:eastAsiaTheme="minorEastAsia" w:hAnsi="Arial" w:cs="Arial"/>
              <w:noProof/>
              <w:kern w:val="2"/>
              <w:lang w:val="en-IN"/>
              <w14:ligatures w14:val="standardContextual"/>
            </w:rPr>
          </w:pPr>
          <w:hyperlink w:anchor="_Toc227452796" w:history="1">
            <w:r w:rsidRPr="00C900C3">
              <w:rPr>
                <w:rStyle w:val="Hyperlink"/>
                <w:rFonts w:ascii="Arial" w:hAnsi="Arial" w:cs="Arial"/>
                <w:noProof/>
              </w:rPr>
              <w:t>5.0 Investment Appraisal &amp; Capital Budgeting</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_Toc227452796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24</w:t>
            </w:r>
            <w:r w:rsidRPr="00C900C3">
              <w:rPr>
                <w:rFonts w:ascii="Arial" w:hAnsi="Arial" w:cs="Arial"/>
                <w:noProof/>
                <w:webHidden/>
              </w:rPr>
              <w:fldChar w:fldCharType="end"/>
            </w:r>
          </w:hyperlink>
        </w:p>
        <w:p w14:paraId="79715A56" w14:textId="77739EAC"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97" w:history="1">
            <w:r w:rsidRPr="00C900C3">
              <w:rPr>
                <w:rStyle w:val="Hyperlink"/>
                <w:rFonts w:ascii="Arial" w:hAnsi="Arial" w:cs="Arial"/>
                <w:noProof/>
              </w:rPr>
              <w:t>5.1 Overview of Investment Appraisal as well as Capital Budgeting</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_Toc227452797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24</w:t>
            </w:r>
            <w:r w:rsidRPr="00C900C3">
              <w:rPr>
                <w:rFonts w:ascii="Arial" w:hAnsi="Arial" w:cs="Arial"/>
                <w:noProof/>
                <w:webHidden/>
              </w:rPr>
              <w:fldChar w:fldCharType="end"/>
            </w:r>
          </w:hyperlink>
        </w:p>
        <w:p w14:paraId="0CA37C1F" w14:textId="4C919268"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798" w:history="1">
            <w:r w:rsidRPr="00C900C3">
              <w:rPr>
                <w:rStyle w:val="Hyperlink"/>
                <w:rFonts w:ascii="Arial" w:hAnsi="Arial" w:cs="Arial"/>
                <w:noProof/>
              </w:rPr>
              <w:t>5.2 Investment Projects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_Toc227452798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25</w:t>
            </w:r>
            <w:r w:rsidRPr="00C900C3">
              <w:rPr>
                <w:rFonts w:ascii="Arial" w:hAnsi="Arial" w:cs="Arial"/>
                <w:noProof/>
                <w:webHidden/>
              </w:rPr>
              <w:fldChar w:fldCharType="end"/>
            </w:r>
          </w:hyperlink>
        </w:p>
        <w:p w14:paraId="76DD73DF" w14:textId="608CE789"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799" w:history="1">
            <w:r w:rsidRPr="00C900C3">
              <w:rPr>
                <w:rStyle w:val="Hyperlink"/>
                <w:rFonts w:ascii="Arial" w:hAnsi="Arial" w:cs="Arial"/>
                <w:noProof/>
              </w:rPr>
              <w:t>Payback Period (PBP) of Projects A, B, and C</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_Toc227452799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25</w:t>
            </w:r>
            <w:r w:rsidRPr="00C900C3">
              <w:rPr>
                <w:rFonts w:ascii="Arial" w:hAnsi="Arial" w:cs="Arial"/>
                <w:noProof/>
                <w:webHidden/>
              </w:rPr>
              <w:fldChar w:fldCharType="end"/>
            </w:r>
          </w:hyperlink>
        </w:p>
        <w:p w14:paraId="28B31E36" w14:textId="1CE47FA9"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800" w:history="1">
            <w:r w:rsidRPr="00C900C3">
              <w:rPr>
                <w:rStyle w:val="Hyperlink"/>
                <w:rFonts w:ascii="Arial" w:hAnsi="Arial" w:cs="Arial"/>
                <w:noProof/>
              </w:rPr>
              <w:t>Accounting Rate of Return (ARR) of Projects A, B, and C</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_Toc227452800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26</w:t>
            </w:r>
            <w:r w:rsidRPr="00C900C3">
              <w:rPr>
                <w:rFonts w:ascii="Arial" w:hAnsi="Arial" w:cs="Arial"/>
                <w:noProof/>
                <w:webHidden/>
              </w:rPr>
              <w:fldChar w:fldCharType="end"/>
            </w:r>
          </w:hyperlink>
        </w:p>
        <w:p w14:paraId="7A9ABC2E" w14:textId="4040B3D9"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801" w:history="1">
            <w:r w:rsidRPr="00C900C3">
              <w:rPr>
                <w:rStyle w:val="Hyperlink"/>
                <w:rFonts w:ascii="Arial" w:hAnsi="Arial" w:cs="Arial"/>
                <w:noProof/>
              </w:rPr>
              <w:t>Net Present Value (NPV) of Projects A, B, and C</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_Toc227452801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27</w:t>
            </w:r>
            <w:r w:rsidRPr="00C900C3">
              <w:rPr>
                <w:rFonts w:ascii="Arial" w:hAnsi="Arial" w:cs="Arial"/>
                <w:noProof/>
                <w:webHidden/>
              </w:rPr>
              <w:fldChar w:fldCharType="end"/>
            </w:r>
          </w:hyperlink>
        </w:p>
        <w:p w14:paraId="1D322441" w14:textId="77A0CAA6"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802" w:history="1">
            <w:r w:rsidRPr="00C900C3">
              <w:rPr>
                <w:rStyle w:val="Hyperlink"/>
                <w:rFonts w:ascii="Arial" w:hAnsi="Arial" w:cs="Arial"/>
                <w:noProof/>
              </w:rPr>
              <w:t>Profitability Index (PI) of Projects A, B, and C</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_Toc227452802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28</w:t>
            </w:r>
            <w:r w:rsidRPr="00C900C3">
              <w:rPr>
                <w:rFonts w:ascii="Arial" w:hAnsi="Arial" w:cs="Arial"/>
                <w:noProof/>
                <w:webHidden/>
              </w:rPr>
              <w:fldChar w:fldCharType="end"/>
            </w:r>
          </w:hyperlink>
        </w:p>
        <w:p w14:paraId="27A588B0" w14:textId="6E6C7397" w:rsidR="00566743" w:rsidRPr="00C900C3" w:rsidRDefault="00566743">
          <w:pPr>
            <w:pStyle w:val="TOC3"/>
            <w:tabs>
              <w:tab w:val="right" w:leader="dot" w:pos="9019"/>
            </w:tabs>
            <w:rPr>
              <w:rFonts w:ascii="Arial" w:eastAsiaTheme="minorEastAsia" w:hAnsi="Arial" w:cs="Arial"/>
              <w:noProof/>
              <w:kern w:val="2"/>
              <w:lang w:val="en-IN"/>
              <w14:ligatures w14:val="standardContextual"/>
            </w:rPr>
          </w:pPr>
          <w:hyperlink w:anchor="_Toc227452803" w:history="1">
            <w:r w:rsidRPr="00C900C3">
              <w:rPr>
                <w:rStyle w:val="Hyperlink"/>
                <w:rFonts w:ascii="Arial" w:hAnsi="Arial" w:cs="Arial"/>
                <w:noProof/>
              </w:rPr>
              <w:t>Internal Rate of Return (IRR) of Projects A, B, and C</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_Toc227452803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28</w:t>
            </w:r>
            <w:r w:rsidRPr="00C900C3">
              <w:rPr>
                <w:rFonts w:ascii="Arial" w:hAnsi="Arial" w:cs="Arial"/>
                <w:noProof/>
                <w:webHidden/>
              </w:rPr>
              <w:fldChar w:fldCharType="end"/>
            </w:r>
          </w:hyperlink>
        </w:p>
        <w:p w14:paraId="14798ED3" w14:textId="50A66832"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804" w:history="1">
            <w:r w:rsidRPr="00C900C3">
              <w:rPr>
                <w:rStyle w:val="Hyperlink"/>
                <w:rFonts w:ascii="Arial" w:hAnsi="Arial" w:cs="Arial"/>
                <w:noProof/>
              </w:rPr>
              <w:t>5.3 Results Comparison</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_Toc227452804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28</w:t>
            </w:r>
            <w:r w:rsidRPr="00C900C3">
              <w:rPr>
                <w:rFonts w:ascii="Arial" w:hAnsi="Arial" w:cs="Arial"/>
                <w:noProof/>
                <w:webHidden/>
              </w:rPr>
              <w:fldChar w:fldCharType="end"/>
            </w:r>
          </w:hyperlink>
        </w:p>
        <w:p w14:paraId="1668E1B0" w14:textId="3F910E43"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805" w:history="1">
            <w:r w:rsidRPr="00C900C3">
              <w:rPr>
                <w:rStyle w:val="Hyperlink"/>
                <w:rFonts w:ascii="Arial" w:hAnsi="Arial" w:cs="Arial"/>
                <w:noProof/>
              </w:rPr>
              <w:t>5.4 Decision Making</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_Toc227452805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29</w:t>
            </w:r>
            <w:r w:rsidRPr="00C900C3">
              <w:rPr>
                <w:rFonts w:ascii="Arial" w:hAnsi="Arial" w:cs="Arial"/>
                <w:noProof/>
                <w:webHidden/>
              </w:rPr>
              <w:fldChar w:fldCharType="end"/>
            </w:r>
          </w:hyperlink>
        </w:p>
        <w:p w14:paraId="50A6D6C8" w14:textId="4C22D51D"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806" w:history="1">
            <w:r w:rsidRPr="00C900C3">
              <w:rPr>
                <w:rStyle w:val="Hyperlink"/>
                <w:rFonts w:ascii="Arial" w:hAnsi="Arial" w:cs="Arial"/>
                <w:noProof/>
              </w:rPr>
              <w:t>5.5 Capital Rationing Decision</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_Toc227452806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29</w:t>
            </w:r>
            <w:r w:rsidRPr="00C900C3">
              <w:rPr>
                <w:rFonts w:ascii="Arial" w:hAnsi="Arial" w:cs="Arial"/>
                <w:noProof/>
                <w:webHidden/>
              </w:rPr>
              <w:fldChar w:fldCharType="end"/>
            </w:r>
          </w:hyperlink>
        </w:p>
        <w:p w14:paraId="2B8A9930" w14:textId="6746BCB5"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807" w:history="1">
            <w:r w:rsidRPr="00C900C3">
              <w:rPr>
                <w:rStyle w:val="Hyperlink"/>
                <w:rFonts w:ascii="Arial" w:hAnsi="Arial" w:cs="Arial"/>
                <w:noProof/>
              </w:rPr>
              <w:t>5.6 Risk Analysis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_Toc227452807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30</w:t>
            </w:r>
            <w:r w:rsidRPr="00C900C3">
              <w:rPr>
                <w:rFonts w:ascii="Arial" w:hAnsi="Arial" w:cs="Arial"/>
                <w:noProof/>
                <w:webHidden/>
              </w:rPr>
              <w:fldChar w:fldCharType="end"/>
            </w:r>
          </w:hyperlink>
        </w:p>
        <w:p w14:paraId="7F239ACE" w14:textId="00752A86" w:rsidR="00566743" w:rsidRPr="00C900C3" w:rsidRDefault="00566743">
          <w:pPr>
            <w:pStyle w:val="TOC1"/>
            <w:tabs>
              <w:tab w:val="right" w:leader="dot" w:pos="9019"/>
            </w:tabs>
            <w:rPr>
              <w:rFonts w:ascii="Arial" w:eastAsiaTheme="minorEastAsia" w:hAnsi="Arial" w:cs="Arial"/>
              <w:noProof/>
              <w:kern w:val="2"/>
              <w:lang w:val="en-IN"/>
              <w14:ligatures w14:val="standardContextual"/>
            </w:rPr>
          </w:pPr>
          <w:hyperlink w:anchor="_Toc227452808" w:history="1">
            <w:r w:rsidRPr="00C900C3">
              <w:rPr>
                <w:rStyle w:val="Hyperlink"/>
                <w:rFonts w:ascii="Arial" w:hAnsi="Arial" w:cs="Arial"/>
                <w:noProof/>
              </w:rPr>
              <w:t>6.0 Conclusion</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_Toc227452808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30</w:t>
            </w:r>
            <w:r w:rsidRPr="00C900C3">
              <w:rPr>
                <w:rFonts w:ascii="Arial" w:hAnsi="Arial" w:cs="Arial"/>
                <w:noProof/>
                <w:webHidden/>
              </w:rPr>
              <w:fldChar w:fldCharType="end"/>
            </w:r>
          </w:hyperlink>
        </w:p>
        <w:p w14:paraId="13F6BEE9" w14:textId="07B0DAEE"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809" w:history="1">
            <w:r w:rsidRPr="00C900C3">
              <w:rPr>
                <w:rStyle w:val="Hyperlink"/>
                <w:rFonts w:ascii="Arial" w:hAnsi="Arial" w:cs="Arial"/>
                <w:noProof/>
              </w:rPr>
              <w:t>6.1 Summary of Findings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_Toc227452809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30</w:t>
            </w:r>
            <w:r w:rsidRPr="00C900C3">
              <w:rPr>
                <w:rFonts w:ascii="Arial" w:hAnsi="Arial" w:cs="Arial"/>
                <w:noProof/>
                <w:webHidden/>
              </w:rPr>
              <w:fldChar w:fldCharType="end"/>
            </w:r>
          </w:hyperlink>
        </w:p>
        <w:p w14:paraId="7C069DAC" w14:textId="6A174F07"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810" w:history="1">
            <w:r w:rsidRPr="00C900C3">
              <w:rPr>
                <w:rStyle w:val="Hyperlink"/>
                <w:rFonts w:ascii="Arial" w:hAnsi="Arial" w:cs="Arial"/>
                <w:noProof/>
              </w:rPr>
              <w:t>6.2 Final Investment Recommendation</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_Toc227452810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31</w:t>
            </w:r>
            <w:r w:rsidRPr="00C900C3">
              <w:rPr>
                <w:rFonts w:ascii="Arial" w:hAnsi="Arial" w:cs="Arial"/>
                <w:noProof/>
                <w:webHidden/>
              </w:rPr>
              <w:fldChar w:fldCharType="end"/>
            </w:r>
          </w:hyperlink>
        </w:p>
        <w:p w14:paraId="24DBD60F" w14:textId="729CDE5B" w:rsidR="00566743" w:rsidRPr="00C900C3" w:rsidRDefault="00566743">
          <w:pPr>
            <w:pStyle w:val="TOC1"/>
            <w:tabs>
              <w:tab w:val="right" w:leader="dot" w:pos="9019"/>
            </w:tabs>
            <w:rPr>
              <w:rFonts w:ascii="Arial" w:eastAsiaTheme="minorEastAsia" w:hAnsi="Arial" w:cs="Arial"/>
              <w:noProof/>
              <w:kern w:val="2"/>
              <w:lang w:val="en-IN"/>
              <w14:ligatures w14:val="standardContextual"/>
            </w:rPr>
          </w:pPr>
          <w:hyperlink w:anchor="_Toc227452811" w:history="1">
            <w:r w:rsidRPr="00C900C3">
              <w:rPr>
                <w:rStyle w:val="Hyperlink"/>
                <w:rFonts w:ascii="Arial" w:hAnsi="Arial" w:cs="Arial"/>
                <w:noProof/>
              </w:rPr>
              <w:t>7.0 Reference List</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_Toc227452811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32</w:t>
            </w:r>
            <w:r w:rsidRPr="00C900C3">
              <w:rPr>
                <w:rFonts w:ascii="Arial" w:hAnsi="Arial" w:cs="Arial"/>
                <w:noProof/>
                <w:webHidden/>
              </w:rPr>
              <w:fldChar w:fldCharType="end"/>
            </w:r>
          </w:hyperlink>
        </w:p>
        <w:p w14:paraId="20AFB99E" w14:textId="53FE4401" w:rsidR="00566743" w:rsidRPr="00C900C3" w:rsidRDefault="00566743">
          <w:pPr>
            <w:pStyle w:val="TOC1"/>
            <w:tabs>
              <w:tab w:val="right" w:leader="dot" w:pos="9019"/>
            </w:tabs>
            <w:rPr>
              <w:rFonts w:ascii="Arial" w:eastAsiaTheme="minorEastAsia" w:hAnsi="Arial" w:cs="Arial"/>
              <w:noProof/>
              <w:kern w:val="2"/>
              <w:lang w:val="en-IN"/>
              <w14:ligatures w14:val="standardContextual"/>
            </w:rPr>
          </w:pPr>
          <w:hyperlink w:anchor="_Toc227452812" w:history="1">
            <w:r w:rsidRPr="00C900C3">
              <w:rPr>
                <w:rStyle w:val="Hyperlink"/>
                <w:rFonts w:ascii="Arial" w:hAnsi="Arial" w:cs="Arial"/>
                <w:noProof/>
              </w:rPr>
              <w:t>8.0 Appendices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_Toc227452812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35</w:t>
            </w:r>
            <w:r w:rsidRPr="00C900C3">
              <w:rPr>
                <w:rFonts w:ascii="Arial" w:hAnsi="Arial" w:cs="Arial"/>
                <w:noProof/>
                <w:webHidden/>
              </w:rPr>
              <w:fldChar w:fldCharType="end"/>
            </w:r>
          </w:hyperlink>
        </w:p>
        <w:p w14:paraId="1070B6C5" w14:textId="44A4D50D"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813" w:history="1">
            <w:r w:rsidRPr="00C900C3">
              <w:rPr>
                <w:rStyle w:val="Hyperlink"/>
                <w:rFonts w:ascii="Arial" w:hAnsi="Arial" w:cs="Arial"/>
                <w:noProof/>
              </w:rPr>
              <w:t>Appendix A: Statements of Financial Position of Hyundai Motor Company for Five Years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_Toc227452813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35</w:t>
            </w:r>
            <w:r w:rsidRPr="00C900C3">
              <w:rPr>
                <w:rFonts w:ascii="Arial" w:hAnsi="Arial" w:cs="Arial"/>
                <w:noProof/>
                <w:webHidden/>
              </w:rPr>
              <w:fldChar w:fldCharType="end"/>
            </w:r>
          </w:hyperlink>
        </w:p>
        <w:p w14:paraId="4F206B46" w14:textId="25EC42AA"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814" w:history="1">
            <w:r w:rsidRPr="00C900C3">
              <w:rPr>
                <w:rStyle w:val="Hyperlink"/>
                <w:rFonts w:ascii="Arial" w:hAnsi="Arial" w:cs="Arial"/>
                <w:noProof/>
              </w:rPr>
              <w:t>Appendix B: Statements of Income of Hyundai Motor Company for Five Years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_Toc227452814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38</w:t>
            </w:r>
            <w:r w:rsidRPr="00C900C3">
              <w:rPr>
                <w:rFonts w:ascii="Arial" w:hAnsi="Arial" w:cs="Arial"/>
                <w:noProof/>
                <w:webHidden/>
              </w:rPr>
              <w:fldChar w:fldCharType="end"/>
            </w:r>
          </w:hyperlink>
        </w:p>
        <w:p w14:paraId="29C02FC0" w14:textId="168552D3"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815" w:history="1">
            <w:r w:rsidRPr="00C900C3">
              <w:rPr>
                <w:rStyle w:val="Hyperlink"/>
                <w:rFonts w:ascii="Arial" w:hAnsi="Arial" w:cs="Arial"/>
                <w:noProof/>
              </w:rPr>
              <w:t>Appendix C: Statements of Cash Flows of Hyundai Motor Company for Five Years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_Toc227452815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41</w:t>
            </w:r>
            <w:r w:rsidRPr="00C900C3">
              <w:rPr>
                <w:rFonts w:ascii="Arial" w:hAnsi="Arial" w:cs="Arial"/>
                <w:noProof/>
                <w:webHidden/>
              </w:rPr>
              <w:fldChar w:fldCharType="end"/>
            </w:r>
          </w:hyperlink>
        </w:p>
        <w:p w14:paraId="4CF4B1FD" w14:textId="5A43DC00"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816" w:history="1">
            <w:r w:rsidRPr="00C900C3">
              <w:rPr>
                <w:rStyle w:val="Hyperlink"/>
                <w:rFonts w:ascii="Arial" w:hAnsi="Arial" w:cs="Arial"/>
                <w:noProof/>
              </w:rPr>
              <w:t>Appendix D: Ratios and CCC of Hyundai Motor Company for Five Years</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_Toc227452816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44</w:t>
            </w:r>
            <w:r w:rsidRPr="00C900C3">
              <w:rPr>
                <w:rFonts w:ascii="Arial" w:hAnsi="Arial" w:cs="Arial"/>
                <w:noProof/>
                <w:webHidden/>
              </w:rPr>
              <w:fldChar w:fldCharType="end"/>
            </w:r>
          </w:hyperlink>
        </w:p>
        <w:p w14:paraId="625D1D8F" w14:textId="778D2F10" w:rsidR="00566743" w:rsidRPr="00C900C3" w:rsidRDefault="00566743">
          <w:pPr>
            <w:pStyle w:val="TOC2"/>
            <w:tabs>
              <w:tab w:val="right" w:leader="dot" w:pos="9019"/>
            </w:tabs>
            <w:rPr>
              <w:rFonts w:ascii="Arial" w:eastAsiaTheme="minorEastAsia" w:hAnsi="Arial" w:cs="Arial"/>
              <w:noProof/>
              <w:kern w:val="2"/>
              <w:lang w:val="en-IN"/>
              <w14:ligatures w14:val="standardContextual"/>
            </w:rPr>
          </w:pPr>
          <w:hyperlink w:anchor="_Toc227452817" w:history="1">
            <w:r w:rsidRPr="00C900C3">
              <w:rPr>
                <w:rStyle w:val="Hyperlink"/>
                <w:rFonts w:ascii="Arial" w:hAnsi="Arial" w:cs="Arial"/>
                <w:noProof/>
              </w:rPr>
              <w:t>Appendix E: Projects A, B, and C</w:t>
            </w:r>
            <w:r w:rsidRPr="00C900C3">
              <w:rPr>
                <w:rFonts w:ascii="Arial" w:hAnsi="Arial" w:cs="Arial"/>
                <w:noProof/>
                <w:webHidden/>
              </w:rPr>
              <w:tab/>
            </w:r>
            <w:r w:rsidRPr="00C900C3">
              <w:rPr>
                <w:rFonts w:ascii="Arial" w:hAnsi="Arial" w:cs="Arial"/>
                <w:noProof/>
                <w:webHidden/>
              </w:rPr>
              <w:fldChar w:fldCharType="begin"/>
            </w:r>
            <w:r w:rsidRPr="00C900C3">
              <w:rPr>
                <w:rFonts w:ascii="Arial" w:hAnsi="Arial" w:cs="Arial"/>
                <w:noProof/>
                <w:webHidden/>
              </w:rPr>
              <w:instrText xml:space="preserve"> PAGEREF _Toc227452817 \h </w:instrText>
            </w:r>
            <w:r w:rsidRPr="00C900C3">
              <w:rPr>
                <w:rFonts w:ascii="Arial" w:hAnsi="Arial" w:cs="Arial"/>
                <w:noProof/>
                <w:webHidden/>
              </w:rPr>
            </w:r>
            <w:r w:rsidRPr="00C900C3">
              <w:rPr>
                <w:rFonts w:ascii="Arial" w:hAnsi="Arial" w:cs="Arial"/>
                <w:noProof/>
                <w:webHidden/>
              </w:rPr>
              <w:fldChar w:fldCharType="separate"/>
            </w:r>
            <w:r w:rsidRPr="00C900C3">
              <w:rPr>
                <w:rFonts w:ascii="Arial" w:hAnsi="Arial" w:cs="Arial"/>
                <w:noProof/>
                <w:webHidden/>
              </w:rPr>
              <w:t>48</w:t>
            </w:r>
            <w:r w:rsidRPr="00C900C3">
              <w:rPr>
                <w:rFonts w:ascii="Arial" w:hAnsi="Arial" w:cs="Arial"/>
                <w:noProof/>
                <w:webHidden/>
              </w:rPr>
              <w:fldChar w:fldCharType="end"/>
            </w:r>
          </w:hyperlink>
        </w:p>
        <w:p w14:paraId="7780FABE" w14:textId="2943F14F" w:rsidR="00B96CFB" w:rsidRPr="00C900C3" w:rsidRDefault="0080051C">
          <w:pPr>
            <w:widowControl w:val="0"/>
            <w:tabs>
              <w:tab w:val="right" w:leader="dot" w:pos="12000"/>
            </w:tabs>
            <w:spacing w:before="0" w:after="0"/>
            <w:ind w:left="360"/>
            <w:rPr>
              <w:rFonts w:ascii="Arial" w:hAnsi="Arial" w:cs="Arial"/>
              <w:color w:val="000000"/>
            </w:rPr>
          </w:pPr>
          <w:r w:rsidRPr="00C900C3">
            <w:rPr>
              <w:rFonts w:ascii="Arial" w:hAnsi="Arial" w:cs="Arial"/>
            </w:rPr>
            <w:fldChar w:fldCharType="end"/>
          </w:r>
        </w:p>
      </w:sdtContent>
    </w:sdt>
    <w:p w14:paraId="2A205066" w14:textId="77777777" w:rsidR="00B96CFB" w:rsidRPr="00C900C3" w:rsidRDefault="0080051C">
      <w:pPr>
        <w:rPr>
          <w:rFonts w:ascii="Arial" w:hAnsi="Arial" w:cs="Arial"/>
        </w:rPr>
      </w:pPr>
      <w:r w:rsidRPr="00C900C3">
        <w:rPr>
          <w:rFonts w:ascii="Arial" w:hAnsi="Arial" w:cs="Arial"/>
        </w:rPr>
        <w:br w:type="page"/>
      </w:r>
    </w:p>
    <w:p w14:paraId="34B918D2" w14:textId="77777777" w:rsidR="00B96CFB" w:rsidRPr="00C900C3" w:rsidRDefault="0080051C">
      <w:pPr>
        <w:pStyle w:val="Heading1"/>
        <w:rPr>
          <w:rFonts w:ascii="Arial" w:hAnsi="Arial" w:cs="Arial"/>
          <w:sz w:val="24"/>
          <w:szCs w:val="24"/>
        </w:rPr>
      </w:pPr>
      <w:bookmarkStart w:id="0" w:name="_Toc227452744"/>
      <w:r w:rsidRPr="00C900C3">
        <w:rPr>
          <w:rFonts w:ascii="Arial" w:hAnsi="Arial" w:cs="Arial"/>
          <w:sz w:val="24"/>
          <w:szCs w:val="24"/>
        </w:rPr>
        <w:lastRenderedPageBreak/>
        <w:t>1.0 Introduction</w:t>
      </w:r>
      <w:bookmarkEnd w:id="0"/>
    </w:p>
    <w:p w14:paraId="3BF9F9DF" w14:textId="77777777" w:rsidR="00B96CFB" w:rsidRPr="00C900C3" w:rsidRDefault="0080051C">
      <w:pPr>
        <w:pStyle w:val="Heading2"/>
        <w:rPr>
          <w:rFonts w:ascii="Arial" w:hAnsi="Arial" w:cs="Arial"/>
          <w:sz w:val="24"/>
          <w:szCs w:val="24"/>
        </w:rPr>
      </w:pPr>
      <w:bookmarkStart w:id="1" w:name="_Toc227452745"/>
      <w:r w:rsidRPr="00C900C3">
        <w:rPr>
          <w:rFonts w:ascii="Arial" w:hAnsi="Arial" w:cs="Arial"/>
          <w:sz w:val="24"/>
          <w:szCs w:val="24"/>
        </w:rPr>
        <w:t>1.1 Overview of Hyundai Motor Company: Global EV Transition</w:t>
      </w:r>
      <w:bookmarkEnd w:id="1"/>
    </w:p>
    <w:p w14:paraId="7FF3A1B8" w14:textId="77777777" w:rsidR="00B96CFB" w:rsidRPr="00C900C3" w:rsidRDefault="0080051C">
      <w:pPr>
        <w:rPr>
          <w:rFonts w:ascii="Arial" w:hAnsi="Arial" w:cs="Arial"/>
        </w:rPr>
      </w:pPr>
      <w:r w:rsidRPr="00C900C3">
        <w:rPr>
          <w:rFonts w:ascii="Arial" w:hAnsi="Arial" w:cs="Arial"/>
        </w:rPr>
        <w:t>Hyundai Motor Company is a major automotive manufacturer in the world that is in the process of a strategic shift to electric vehicles (EVs) and sustainable mobility. The company has significantly increased investments in EV technology, battery innovation, and digital transformation to remain competitive in the evolving automotive industry (Hyundai, 2024). Global environmental policies, shifting consumer tastes, and technology are factors that drive this transition. The entry into the EV markets has intensi</w:t>
      </w:r>
      <w:r w:rsidRPr="00C900C3">
        <w:rPr>
          <w:rFonts w:ascii="Arial" w:hAnsi="Arial" w:cs="Arial"/>
        </w:rPr>
        <w:t>fied the growth of revenues and the global presence of Hyundai, as well as capital intensity and financial complexity.</w:t>
      </w:r>
    </w:p>
    <w:p w14:paraId="40901B83" w14:textId="77777777" w:rsidR="00B96CFB" w:rsidRPr="00C900C3" w:rsidRDefault="0080051C">
      <w:pPr>
        <w:pStyle w:val="Heading2"/>
        <w:rPr>
          <w:rFonts w:ascii="Arial" w:hAnsi="Arial" w:cs="Arial"/>
          <w:sz w:val="24"/>
          <w:szCs w:val="24"/>
        </w:rPr>
      </w:pPr>
      <w:bookmarkStart w:id="2" w:name="_Toc227452746"/>
      <w:r w:rsidRPr="00C900C3">
        <w:rPr>
          <w:rFonts w:ascii="Arial" w:hAnsi="Arial" w:cs="Arial"/>
          <w:sz w:val="24"/>
          <w:szCs w:val="24"/>
        </w:rPr>
        <w:t>1.2 Role of CFO in strategic decision-making</w:t>
      </w:r>
      <w:bookmarkEnd w:id="2"/>
    </w:p>
    <w:p w14:paraId="737C3A3E" w14:textId="77777777" w:rsidR="00B96CFB" w:rsidRPr="00C900C3" w:rsidRDefault="0080051C">
      <w:pPr>
        <w:jc w:val="center"/>
        <w:rPr>
          <w:rFonts w:ascii="Arial" w:hAnsi="Arial" w:cs="Arial"/>
        </w:rPr>
      </w:pPr>
      <w:r w:rsidRPr="00C900C3">
        <w:rPr>
          <w:rFonts w:ascii="Arial" w:hAnsi="Arial" w:cs="Arial"/>
          <w:noProof/>
        </w:rPr>
        <w:drawing>
          <wp:inline distT="114300" distB="114300" distL="114300" distR="114300" wp14:anchorId="44742CA9" wp14:editId="37E23659">
            <wp:extent cx="5731200" cy="1562100"/>
            <wp:effectExtent l="0" t="0" r="0" b="0"/>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
                    <a:srcRect/>
                    <a:stretch>
                      <a:fillRect/>
                    </a:stretch>
                  </pic:blipFill>
                  <pic:spPr>
                    <a:xfrm>
                      <a:off x="0" y="0"/>
                      <a:ext cx="5731200" cy="1562100"/>
                    </a:xfrm>
                    <a:prstGeom prst="rect">
                      <a:avLst/>
                    </a:prstGeom>
                    <a:ln/>
                  </pic:spPr>
                </pic:pic>
              </a:graphicData>
            </a:graphic>
          </wp:inline>
        </w:drawing>
      </w:r>
    </w:p>
    <w:p w14:paraId="7FD34B90" w14:textId="77777777" w:rsidR="00B96CFB" w:rsidRPr="00C900C3" w:rsidRDefault="0080051C">
      <w:pPr>
        <w:jc w:val="center"/>
        <w:rPr>
          <w:rFonts w:ascii="Arial" w:hAnsi="Arial" w:cs="Arial"/>
          <w:b/>
          <w:bCs/>
        </w:rPr>
      </w:pPr>
      <w:r w:rsidRPr="00C900C3">
        <w:rPr>
          <w:rFonts w:ascii="Arial" w:hAnsi="Arial" w:cs="Arial"/>
          <w:b/>
          <w:bCs/>
        </w:rPr>
        <w:t xml:space="preserve">Figure 1: Mr. </w:t>
      </w:r>
      <w:proofErr w:type="spellStart"/>
      <w:r w:rsidRPr="00C900C3">
        <w:rPr>
          <w:rFonts w:ascii="Arial" w:hAnsi="Arial" w:cs="Arial"/>
          <w:b/>
          <w:bCs/>
        </w:rPr>
        <w:t>Wangdo</w:t>
      </w:r>
      <w:proofErr w:type="spellEnd"/>
      <w:r w:rsidRPr="00C900C3">
        <w:rPr>
          <w:rFonts w:ascii="Arial" w:hAnsi="Arial" w:cs="Arial"/>
          <w:b/>
          <w:bCs/>
        </w:rPr>
        <w:t xml:space="preserve"> Hur (CFO)</w:t>
      </w:r>
    </w:p>
    <w:p w14:paraId="6806DB01" w14:textId="77777777" w:rsidR="00B96CFB" w:rsidRPr="00C900C3" w:rsidRDefault="0080051C">
      <w:pPr>
        <w:jc w:val="center"/>
        <w:rPr>
          <w:rFonts w:ascii="Arial" w:hAnsi="Arial" w:cs="Arial"/>
        </w:rPr>
      </w:pPr>
      <w:r w:rsidRPr="00C900C3">
        <w:rPr>
          <w:rFonts w:ascii="Arial" w:hAnsi="Arial" w:cs="Arial"/>
        </w:rPr>
        <w:t>(Source: Hyundai, 2026)</w:t>
      </w:r>
    </w:p>
    <w:p w14:paraId="6A0CB3C4" w14:textId="1447F3B9" w:rsidR="00B96CFB" w:rsidRPr="00C900C3" w:rsidRDefault="0080051C">
      <w:pPr>
        <w:rPr>
          <w:rFonts w:ascii="Arial" w:hAnsi="Arial" w:cs="Arial"/>
        </w:rPr>
      </w:pPr>
      <w:r w:rsidRPr="00C900C3">
        <w:rPr>
          <w:rFonts w:ascii="Arial" w:hAnsi="Arial" w:cs="Arial"/>
        </w:rPr>
        <w:t xml:space="preserve">The Chief Financial Officer (CFO) is an important strategic decision-maker since they </w:t>
      </w:r>
      <w:r w:rsidR="00DB79EE" w:rsidRPr="00C900C3">
        <w:rPr>
          <w:rFonts w:ascii="Arial" w:hAnsi="Arial" w:cs="Arial"/>
        </w:rPr>
        <w:t>oversee</w:t>
      </w:r>
      <w:r w:rsidRPr="00C900C3">
        <w:rPr>
          <w:rFonts w:ascii="Arial" w:hAnsi="Arial" w:cs="Arial"/>
        </w:rPr>
        <w:t xml:space="preserve"> financial planning, risk management, and capital allocation. The CFO measures financial performance, manages to efficiently utilise resources, and assists in making investment choices based on organisational goals. The CFO in the case of Hyundai must manage the </w:t>
      </w:r>
      <w:r w:rsidR="00DB79EE" w:rsidRPr="00C900C3">
        <w:rPr>
          <w:rFonts w:ascii="Arial" w:hAnsi="Arial" w:cs="Arial"/>
        </w:rPr>
        <w:t>trade-offs</w:t>
      </w:r>
      <w:r w:rsidRPr="00C900C3">
        <w:rPr>
          <w:rFonts w:ascii="Arial" w:hAnsi="Arial" w:cs="Arial"/>
        </w:rPr>
        <w:t xml:space="preserve"> between investing in EVs to grow the business and financial stability, working capital, and sustainable financing approaches (Hyundai, 2026). This is a critical position in improving shareholders' value and sustaining long-term fin</w:t>
      </w:r>
      <w:r w:rsidRPr="00C900C3">
        <w:rPr>
          <w:rFonts w:ascii="Arial" w:hAnsi="Arial" w:cs="Arial"/>
        </w:rPr>
        <w:t>ancial sustainability.</w:t>
      </w:r>
    </w:p>
    <w:p w14:paraId="04595075" w14:textId="77777777" w:rsidR="00B96CFB" w:rsidRPr="00C900C3" w:rsidRDefault="0080051C">
      <w:pPr>
        <w:pStyle w:val="Heading2"/>
        <w:rPr>
          <w:rFonts w:ascii="Arial" w:hAnsi="Arial" w:cs="Arial"/>
          <w:sz w:val="24"/>
          <w:szCs w:val="24"/>
        </w:rPr>
      </w:pPr>
      <w:bookmarkStart w:id="3" w:name="_Toc227452747"/>
      <w:r w:rsidRPr="00C900C3">
        <w:rPr>
          <w:rFonts w:ascii="Arial" w:hAnsi="Arial" w:cs="Arial"/>
          <w:sz w:val="24"/>
          <w:szCs w:val="24"/>
        </w:rPr>
        <w:lastRenderedPageBreak/>
        <w:t>1.3 Purpose of Report</w:t>
      </w:r>
      <w:bookmarkEnd w:id="3"/>
    </w:p>
    <w:p w14:paraId="71703B58" w14:textId="0DAB10C4" w:rsidR="00B96CFB" w:rsidRPr="00C900C3" w:rsidRDefault="0080051C">
      <w:pPr>
        <w:rPr>
          <w:rFonts w:ascii="Arial" w:hAnsi="Arial" w:cs="Arial"/>
        </w:rPr>
      </w:pPr>
      <w:r w:rsidRPr="00C900C3">
        <w:rPr>
          <w:rFonts w:ascii="Arial" w:hAnsi="Arial" w:cs="Arial"/>
        </w:rPr>
        <w:t xml:space="preserve">The purpose of the report is to </w:t>
      </w:r>
      <w:r w:rsidR="00DB79EE" w:rsidRPr="00C900C3">
        <w:rPr>
          <w:rFonts w:ascii="Arial" w:hAnsi="Arial" w:cs="Arial"/>
        </w:rPr>
        <w:t>analyse</w:t>
      </w:r>
      <w:r w:rsidRPr="00C900C3">
        <w:rPr>
          <w:rFonts w:ascii="Arial" w:hAnsi="Arial" w:cs="Arial"/>
        </w:rPr>
        <w:t xml:space="preserve"> Hyundai's financial performance, as well as to make a strategic financial decision recommendation.</w:t>
      </w:r>
    </w:p>
    <w:p w14:paraId="79A18A90" w14:textId="77777777" w:rsidR="00B96CFB" w:rsidRPr="00C900C3" w:rsidRDefault="0080051C">
      <w:pPr>
        <w:pStyle w:val="Heading2"/>
        <w:rPr>
          <w:rFonts w:ascii="Arial" w:hAnsi="Arial" w:cs="Arial"/>
          <w:sz w:val="24"/>
          <w:szCs w:val="24"/>
        </w:rPr>
      </w:pPr>
      <w:bookmarkStart w:id="4" w:name="_Toc227452748"/>
      <w:r w:rsidRPr="00C900C3">
        <w:rPr>
          <w:rFonts w:ascii="Arial" w:hAnsi="Arial" w:cs="Arial"/>
          <w:sz w:val="24"/>
          <w:szCs w:val="24"/>
        </w:rPr>
        <w:t>1.4 Structure of Report</w:t>
      </w:r>
      <w:bookmarkEnd w:id="4"/>
    </w:p>
    <w:p w14:paraId="454DB039" w14:textId="77777777" w:rsidR="00B96CFB" w:rsidRPr="00C900C3" w:rsidRDefault="0080051C">
      <w:pPr>
        <w:jc w:val="center"/>
        <w:rPr>
          <w:rFonts w:ascii="Arial" w:hAnsi="Arial" w:cs="Arial"/>
        </w:rPr>
      </w:pPr>
      <w:r w:rsidRPr="00C900C3">
        <w:rPr>
          <w:rFonts w:ascii="Arial" w:hAnsi="Arial" w:cs="Arial"/>
          <w:noProof/>
        </w:rPr>
        <w:drawing>
          <wp:inline distT="114300" distB="114300" distL="114300" distR="114300" wp14:anchorId="7C4BBDD5" wp14:editId="00BE9BDA">
            <wp:extent cx="5731200" cy="3073400"/>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5731200" cy="3073400"/>
                    </a:xfrm>
                    <a:prstGeom prst="rect">
                      <a:avLst/>
                    </a:prstGeom>
                    <a:ln/>
                  </pic:spPr>
                </pic:pic>
              </a:graphicData>
            </a:graphic>
          </wp:inline>
        </w:drawing>
      </w:r>
    </w:p>
    <w:p w14:paraId="506E4290" w14:textId="77777777" w:rsidR="00B96CFB" w:rsidRPr="00C900C3" w:rsidRDefault="0080051C">
      <w:pPr>
        <w:jc w:val="center"/>
        <w:rPr>
          <w:rFonts w:ascii="Arial" w:hAnsi="Arial" w:cs="Arial"/>
          <w:b/>
          <w:bCs/>
        </w:rPr>
      </w:pPr>
      <w:r w:rsidRPr="00C900C3">
        <w:rPr>
          <w:rFonts w:ascii="Arial" w:hAnsi="Arial" w:cs="Arial"/>
          <w:b/>
          <w:bCs/>
        </w:rPr>
        <w:t>Figure 2: Report Structure</w:t>
      </w:r>
    </w:p>
    <w:p w14:paraId="30FC6F92" w14:textId="77777777" w:rsidR="00B96CFB" w:rsidRPr="00C900C3" w:rsidRDefault="0080051C">
      <w:pPr>
        <w:jc w:val="center"/>
        <w:rPr>
          <w:rFonts w:ascii="Arial" w:hAnsi="Arial" w:cs="Arial"/>
        </w:rPr>
      </w:pPr>
      <w:r w:rsidRPr="00C900C3">
        <w:rPr>
          <w:rFonts w:ascii="Arial" w:hAnsi="Arial" w:cs="Arial"/>
        </w:rPr>
        <w:t>(Source: Self-Created)</w:t>
      </w:r>
    </w:p>
    <w:p w14:paraId="5F510509" w14:textId="3886FCE6" w:rsidR="00B96CFB" w:rsidRPr="00C900C3" w:rsidRDefault="0080051C">
      <w:pPr>
        <w:rPr>
          <w:rFonts w:ascii="Arial" w:hAnsi="Arial" w:cs="Arial"/>
        </w:rPr>
      </w:pPr>
      <w:r w:rsidRPr="00C900C3">
        <w:rPr>
          <w:rFonts w:ascii="Arial" w:hAnsi="Arial" w:cs="Arial"/>
        </w:rPr>
        <w:t xml:space="preserve">The report is divided into six major sections. It opens by giving an introduction, and then a financial health check where performance and ratios are examined. It then </w:t>
      </w:r>
      <w:r w:rsidR="00DB79EE" w:rsidRPr="00C900C3">
        <w:rPr>
          <w:rFonts w:ascii="Arial" w:hAnsi="Arial" w:cs="Arial"/>
        </w:rPr>
        <w:t>analyses</w:t>
      </w:r>
      <w:r w:rsidRPr="00C900C3">
        <w:rPr>
          <w:rFonts w:ascii="Arial" w:hAnsi="Arial" w:cs="Arial"/>
        </w:rPr>
        <w:t xml:space="preserve"> working capital management, gives a strategic financial restructuring plan, and </w:t>
      </w:r>
      <w:r w:rsidR="00DB79EE" w:rsidRPr="00C900C3">
        <w:rPr>
          <w:rFonts w:ascii="Arial" w:hAnsi="Arial" w:cs="Arial"/>
        </w:rPr>
        <w:t>analyses</w:t>
      </w:r>
      <w:r w:rsidRPr="00C900C3">
        <w:rPr>
          <w:rFonts w:ascii="Arial" w:hAnsi="Arial" w:cs="Arial"/>
        </w:rPr>
        <w:t xml:space="preserve"> investment appraisal decisions. Lastly, the report will end with important findings and strategy recommendations.</w:t>
      </w:r>
    </w:p>
    <w:p w14:paraId="423B11AC" w14:textId="212CCAAC" w:rsidR="00B96CFB" w:rsidRPr="00C900C3" w:rsidRDefault="0080051C">
      <w:pPr>
        <w:pStyle w:val="Heading1"/>
        <w:rPr>
          <w:rFonts w:ascii="Arial" w:hAnsi="Arial" w:cs="Arial"/>
          <w:sz w:val="24"/>
          <w:szCs w:val="24"/>
        </w:rPr>
      </w:pPr>
      <w:bookmarkStart w:id="5" w:name="_Toc227452749"/>
      <w:r w:rsidRPr="00C900C3">
        <w:rPr>
          <w:rFonts w:ascii="Arial" w:hAnsi="Arial" w:cs="Arial"/>
          <w:sz w:val="24"/>
          <w:szCs w:val="24"/>
        </w:rPr>
        <w:lastRenderedPageBreak/>
        <w:t>2.0 Financial Health Check</w:t>
      </w:r>
      <w:bookmarkEnd w:id="5"/>
    </w:p>
    <w:p w14:paraId="6F21C06F" w14:textId="77777777" w:rsidR="00B96CFB" w:rsidRPr="00C900C3" w:rsidRDefault="0080051C">
      <w:pPr>
        <w:pStyle w:val="Heading2"/>
        <w:rPr>
          <w:rFonts w:ascii="Arial" w:hAnsi="Arial" w:cs="Arial"/>
          <w:sz w:val="24"/>
          <w:szCs w:val="24"/>
        </w:rPr>
      </w:pPr>
      <w:bookmarkStart w:id="6" w:name="_Toc227452750"/>
      <w:r w:rsidRPr="00C900C3">
        <w:rPr>
          <w:rFonts w:ascii="Arial" w:hAnsi="Arial" w:cs="Arial"/>
          <w:sz w:val="24"/>
          <w:szCs w:val="24"/>
        </w:rPr>
        <w:t>2.1 Overview of Financial Performance of Hyundai Motor Company</w:t>
      </w:r>
      <w:bookmarkEnd w:id="6"/>
    </w:p>
    <w:p w14:paraId="7CE05111" w14:textId="77777777" w:rsidR="00B96CFB" w:rsidRPr="00C900C3" w:rsidRDefault="0080051C">
      <w:pPr>
        <w:pStyle w:val="Heading3"/>
        <w:rPr>
          <w:rFonts w:ascii="Arial" w:hAnsi="Arial" w:cs="Arial"/>
        </w:rPr>
      </w:pPr>
      <w:bookmarkStart w:id="7" w:name="_Toc227452751"/>
      <w:r w:rsidRPr="00C900C3">
        <w:rPr>
          <w:rFonts w:ascii="Arial" w:hAnsi="Arial" w:cs="Arial"/>
        </w:rPr>
        <w:t>Statements of Financial Position for Five Years</w:t>
      </w:r>
      <w:bookmarkEnd w:id="7"/>
      <w:r w:rsidRPr="00C900C3">
        <w:rPr>
          <w:rFonts w:ascii="Arial" w:hAnsi="Arial" w:cs="Arial"/>
        </w:rPr>
        <w:t xml:space="preserve"> </w:t>
      </w:r>
    </w:p>
    <w:p w14:paraId="4492E4FF" w14:textId="77777777" w:rsidR="00B96CFB" w:rsidRPr="00C900C3" w:rsidRDefault="0080051C">
      <w:pPr>
        <w:rPr>
          <w:rFonts w:ascii="Arial" w:hAnsi="Arial" w:cs="Arial"/>
        </w:rPr>
      </w:pPr>
      <w:r w:rsidRPr="00C900C3">
        <w:rPr>
          <w:rFonts w:ascii="Arial" w:hAnsi="Arial" w:cs="Arial"/>
        </w:rPr>
        <w:t>The financial position of Hyundai Motor Company displays great growth over a period of five years. Total assets increased from ₩209,344,212 million (2020) to ₩339,798,429 million (2024), indicating expansion driven by EV investments and asset accumulation. Total equity rose from ₩76,340,970 million to ₩120,275,933 million, reflecting improved retained earnings. However, total liabilities also increased significantly from ₩133,003,242 million to ₩219,522,496 million, suggesting higher leverage (Hyundai, 2024</w:t>
      </w:r>
      <w:r w:rsidRPr="00C900C3">
        <w:rPr>
          <w:rFonts w:ascii="Arial" w:hAnsi="Arial" w:cs="Arial"/>
        </w:rPr>
        <w:t>; Hyundai, 2022; Hyundai, 2020). Capital-intensive development of EVs, international expansion, and the need to finance its activities with more capital are the primary reasons for this growth, balancing profitability with an escalating financial risk.</w:t>
      </w:r>
    </w:p>
    <w:p w14:paraId="5267F329" w14:textId="77777777" w:rsidR="00B96CFB" w:rsidRPr="00C900C3" w:rsidRDefault="0080051C">
      <w:pPr>
        <w:pStyle w:val="Heading3"/>
        <w:rPr>
          <w:rFonts w:ascii="Arial" w:hAnsi="Arial" w:cs="Arial"/>
        </w:rPr>
      </w:pPr>
      <w:bookmarkStart w:id="8" w:name="_Toc227452752"/>
      <w:r w:rsidRPr="00C900C3">
        <w:rPr>
          <w:rFonts w:ascii="Arial" w:hAnsi="Arial" w:cs="Arial"/>
        </w:rPr>
        <w:t>Statements of Income for Five Years</w:t>
      </w:r>
      <w:bookmarkEnd w:id="8"/>
    </w:p>
    <w:p w14:paraId="78E854A4" w14:textId="77777777" w:rsidR="00B96CFB" w:rsidRPr="00C900C3" w:rsidRDefault="0080051C">
      <w:pPr>
        <w:rPr>
          <w:rFonts w:ascii="Arial" w:hAnsi="Arial" w:cs="Arial"/>
        </w:rPr>
      </w:pPr>
      <w:r w:rsidRPr="00C900C3">
        <w:rPr>
          <w:rFonts w:ascii="Arial" w:hAnsi="Arial" w:cs="Arial"/>
        </w:rPr>
        <w:t xml:space="preserve">The income statement of Hyundai Motor Company depicts a high growth in revenue and profits within a period of five years. Sales increased significantly from ₩103,997,601 million (2020) to ₩175,231,153 million (2024), driven by EV demand and global expansion. Operating profit rose from ₩2,394,671 million to ₩14,239,592 million, indicating improved operational efficiency. Profit for the year grew from ₩1,924,553 million to ₩13,229,908 million (Hyundai, 2024; Hyundai, 2022; Hyundai, 2020). This positive trend </w:t>
      </w:r>
      <w:r w:rsidRPr="00C900C3">
        <w:rPr>
          <w:rFonts w:ascii="Arial" w:hAnsi="Arial" w:cs="Arial"/>
        </w:rPr>
        <w:t>is explained by the growth of the sales volumes, improved cost management, and improved investment returns, although increasing expenses slightly softened profit margins in recent years.</w:t>
      </w:r>
    </w:p>
    <w:p w14:paraId="0404153D" w14:textId="77777777" w:rsidR="00B96CFB" w:rsidRPr="00C900C3" w:rsidRDefault="0080051C">
      <w:pPr>
        <w:pStyle w:val="Heading3"/>
        <w:rPr>
          <w:rFonts w:ascii="Arial" w:hAnsi="Arial" w:cs="Arial"/>
        </w:rPr>
      </w:pPr>
      <w:bookmarkStart w:id="9" w:name="_Toc227452753"/>
      <w:r w:rsidRPr="00C900C3">
        <w:rPr>
          <w:rFonts w:ascii="Arial" w:hAnsi="Arial" w:cs="Arial"/>
        </w:rPr>
        <w:t>Statements of Cash Flows for Five Years</w:t>
      </w:r>
      <w:bookmarkEnd w:id="9"/>
    </w:p>
    <w:p w14:paraId="2BAF69CD" w14:textId="77777777" w:rsidR="00B96CFB" w:rsidRPr="00C900C3" w:rsidRDefault="0080051C">
      <w:pPr>
        <w:rPr>
          <w:rFonts w:ascii="Arial" w:hAnsi="Arial" w:cs="Arial"/>
        </w:rPr>
      </w:pPr>
      <w:r w:rsidRPr="00C900C3">
        <w:rPr>
          <w:rFonts w:ascii="Arial" w:hAnsi="Arial" w:cs="Arial"/>
        </w:rPr>
        <w:t xml:space="preserve">The cash flow position of Hyundai Motor Company reflects an increasing strength of operations under the pressure of further investment. Operating cash flow increased from negative </w:t>
      </w:r>
      <w:proofErr w:type="gramStart"/>
      <w:r w:rsidRPr="00C900C3">
        <w:rPr>
          <w:rFonts w:ascii="Arial" w:hAnsi="Arial" w:cs="Arial"/>
        </w:rPr>
        <w:t>₩(</w:t>
      </w:r>
      <w:proofErr w:type="gramEnd"/>
      <w:r w:rsidRPr="00C900C3">
        <w:rPr>
          <w:rFonts w:ascii="Arial" w:hAnsi="Arial" w:cs="Arial"/>
        </w:rPr>
        <w:t xml:space="preserve">409,807) million (2020) to </w:t>
      </w:r>
      <w:proofErr w:type="gramStart"/>
      <w:r w:rsidRPr="00C900C3">
        <w:rPr>
          <w:rFonts w:ascii="Arial" w:hAnsi="Arial" w:cs="Arial"/>
        </w:rPr>
        <w:t>₩(</w:t>
      </w:r>
      <w:proofErr w:type="gramEnd"/>
      <w:r w:rsidRPr="00C900C3">
        <w:rPr>
          <w:rFonts w:ascii="Arial" w:hAnsi="Arial" w:cs="Arial"/>
        </w:rPr>
        <w:t xml:space="preserve">5,661,641) million (2024), reflecting stronger earnings but rising working capital outflows. Investing cash outflows expanded significantly from </w:t>
      </w:r>
      <w:proofErr w:type="gramStart"/>
      <w:r w:rsidRPr="00C900C3">
        <w:rPr>
          <w:rFonts w:ascii="Arial" w:hAnsi="Arial" w:cs="Arial"/>
        </w:rPr>
        <w:t>₩(</w:t>
      </w:r>
      <w:proofErr w:type="gramEnd"/>
      <w:r w:rsidRPr="00C900C3">
        <w:rPr>
          <w:rFonts w:ascii="Arial" w:hAnsi="Arial" w:cs="Arial"/>
        </w:rPr>
        <w:t xml:space="preserve">9,337,596) million to </w:t>
      </w:r>
      <w:proofErr w:type="gramStart"/>
      <w:r w:rsidRPr="00C900C3">
        <w:rPr>
          <w:rFonts w:ascii="Arial" w:hAnsi="Arial" w:cs="Arial"/>
        </w:rPr>
        <w:t>₩(</w:t>
      </w:r>
      <w:proofErr w:type="gramEnd"/>
      <w:r w:rsidRPr="00C900C3">
        <w:rPr>
          <w:rFonts w:ascii="Arial" w:hAnsi="Arial" w:cs="Arial"/>
        </w:rPr>
        <w:t xml:space="preserve">14,623,489) million due to </w:t>
      </w:r>
      <w:r w:rsidRPr="00C900C3">
        <w:rPr>
          <w:rFonts w:ascii="Arial" w:hAnsi="Arial" w:cs="Arial"/>
        </w:rPr>
        <w:lastRenderedPageBreak/>
        <w:t xml:space="preserve">heavy capital expenditure in EV and technology (Hyundai, 2024; Hyundai, 2022; Hyundai, 2020). Financing inflows grew to ₩19,493,291 million (2024), indicating reliance on external funding. Stable cash balances indicate balanced liquidity </w:t>
      </w:r>
      <w:proofErr w:type="gramStart"/>
      <w:r w:rsidRPr="00C900C3">
        <w:rPr>
          <w:rFonts w:ascii="Arial" w:hAnsi="Arial" w:cs="Arial"/>
        </w:rPr>
        <w:t>in spite of</w:t>
      </w:r>
      <w:proofErr w:type="gramEnd"/>
      <w:r w:rsidRPr="00C900C3">
        <w:rPr>
          <w:rFonts w:ascii="Arial" w:hAnsi="Arial" w:cs="Arial"/>
        </w:rPr>
        <w:t xml:space="preserve"> aggressive expansion strategies.</w:t>
      </w:r>
    </w:p>
    <w:p w14:paraId="037AB07F" w14:textId="77777777" w:rsidR="00B96CFB" w:rsidRPr="00C900C3" w:rsidRDefault="0080051C">
      <w:pPr>
        <w:pStyle w:val="Heading2"/>
        <w:rPr>
          <w:rFonts w:ascii="Arial" w:hAnsi="Arial" w:cs="Arial"/>
          <w:sz w:val="24"/>
          <w:szCs w:val="24"/>
        </w:rPr>
      </w:pPr>
      <w:bookmarkStart w:id="10" w:name="_Toc227452754"/>
      <w:r w:rsidRPr="00C900C3">
        <w:rPr>
          <w:rFonts w:ascii="Arial" w:hAnsi="Arial" w:cs="Arial"/>
          <w:sz w:val="24"/>
          <w:szCs w:val="24"/>
        </w:rPr>
        <w:t>2.2 Ratio Analysis</w:t>
      </w:r>
      <w:bookmarkEnd w:id="10"/>
    </w:p>
    <w:p w14:paraId="7ECE0353" w14:textId="1E25BAE3" w:rsidR="00076D53" w:rsidRPr="00C900C3" w:rsidRDefault="0080051C" w:rsidP="00076D53">
      <w:pPr>
        <w:pStyle w:val="Heading3"/>
        <w:rPr>
          <w:rFonts w:ascii="Arial" w:hAnsi="Arial" w:cs="Arial"/>
        </w:rPr>
      </w:pPr>
      <w:bookmarkStart w:id="11" w:name="_Toc227452755"/>
      <w:r w:rsidRPr="00C900C3">
        <w:rPr>
          <w:rFonts w:ascii="Arial" w:hAnsi="Arial" w:cs="Arial"/>
        </w:rPr>
        <w:t>Profitability Ratios</w:t>
      </w:r>
      <w:bookmarkEnd w:id="11"/>
    </w:p>
    <w:p w14:paraId="39A88D2B" w14:textId="6288D28D" w:rsidR="00076D53" w:rsidRPr="00C900C3" w:rsidRDefault="00076D53" w:rsidP="00DB79EE">
      <w:pPr>
        <w:jc w:val="center"/>
        <w:rPr>
          <w:rFonts w:ascii="Arial" w:hAnsi="Arial" w:cs="Arial"/>
          <w:b/>
          <w:bCs/>
        </w:rPr>
      </w:pPr>
      <w:r w:rsidRPr="00C900C3">
        <w:rPr>
          <w:rFonts w:ascii="Arial" w:hAnsi="Arial" w:cs="Arial"/>
          <w:noProof/>
          <w:color w:val="000000"/>
          <w:bdr w:val="none" w:sz="0" w:space="0" w:color="auto" w:frame="1"/>
        </w:rPr>
        <w:drawing>
          <wp:inline distT="0" distB="0" distL="0" distR="0" wp14:anchorId="2092BEEE" wp14:editId="4CC1EAE3">
            <wp:extent cx="5733415" cy="3075940"/>
            <wp:effectExtent l="0" t="0" r="635" b="0"/>
            <wp:docPr id="11962108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415" cy="3075940"/>
                    </a:xfrm>
                    <a:prstGeom prst="rect">
                      <a:avLst/>
                    </a:prstGeom>
                    <a:noFill/>
                    <a:ln>
                      <a:noFill/>
                    </a:ln>
                  </pic:spPr>
                </pic:pic>
              </a:graphicData>
            </a:graphic>
          </wp:inline>
        </w:drawing>
      </w:r>
    </w:p>
    <w:p w14:paraId="5ADD5B91" w14:textId="287F6092" w:rsidR="00DB79EE" w:rsidRPr="00C900C3" w:rsidRDefault="00DB79EE" w:rsidP="00DB79EE">
      <w:pPr>
        <w:jc w:val="center"/>
        <w:rPr>
          <w:rFonts w:ascii="Arial" w:hAnsi="Arial" w:cs="Arial"/>
          <w:b/>
          <w:bCs/>
        </w:rPr>
      </w:pPr>
      <w:r w:rsidRPr="00C900C3">
        <w:rPr>
          <w:rFonts w:ascii="Arial" w:hAnsi="Arial" w:cs="Arial"/>
          <w:b/>
          <w:bCs/>
        </w:rPr>
        <w:t>Figure 3: Profitability Ratios of Hyundai</w:t>
      </w:r>
    </w:p>
    <w:p w14:paraId="790EC1B5" w14:textId="7FF0850D" w:rsidR="00DB79EE" w:rsidRPr="00C900C3" w:rsidRDefault="00DB79EE" w:rsidP="00DB79EE">
      <w:pPr>
        <w:jc w:val="center"/>
        <w:rPr>
          <w:rFonts w:ascii="Arial" w:hAnsi="Arial" w:cs="Arial"/>
        </w:rPr>
      </w:pPr>
      <w:r w:rsidRPr="00C900C3">
        <w:rPr>
          <w:rFonts w:ascii="Arial" w:hAnsi="Arial" w:cs="Arial"/>
        </w:rPr>
        <w:t>(Source: Excel)</w:t>
      </w:r>
    </w:p>
    <w:p w14:paraId="4C2CE6A3" w14:textId="275DCFB5" w:rsidR="00B96CFB" w:rsidRPr="00C900C3" w:rsidRDefault="0080051C">
      <w:pPr>
        <w:rPr>
          <w:rFonts w:ascii="Arial" w:hAnsi="Arial" w:cs="Arial"/>
        </w:rPr>
      </w:pPr>
      <w:r w:rsidRPr="00C900C3">
        <w:rPr>
          <w:rFonts w:ascii="Arial" w:hAnsi="Arial" w:cs="Arial"/>
        </w:rPr>
        <w:t>The profitability ratios are indicative of the efficiency of a firm in terms of profitability against equity and sales, showing financial efficiency and returns to shareholders. Turnover of the funds of the shareholders has also improved with Hyundai increasing its Return on Equity to 11.26% (2024) as compared to 2.52% (2020), although in 2024 it decreased slightly. Increasing the Net Profit Margin to 7.73% as opposed to 1.85%, the control of costs and revenue growth was stronger. These gains are fuelled by</w:t>
      </w:r>
      <w:r w:rsidRPr="00C900C3">
        <w:rPr>
          <w:rFonts w:ascii="Arial" w:hAnsi="Arial" w:cs="Arial"/>
        </w:rPr>
        <w:t xml:space="preserve"> increased sales of EV, efficiency in operations, and increased global market performance (Jo et al., 2023).</w:t>
      </w:r>
    </w:p>
    <w:p w14:paraId="466AC43A" w14:textId="44626CF6" w:rsidR="00DB79EE" w:rsidRPr="00C900C3" w:rsidRDefault="0080051C" w:rsidP="00076D53">
      <w:pPr>
        <w:pStyle w:val="Heading3"/>
        <w:rPr>
          <w:rFonts w:ascii="Arial" w:hAnsi="Arial" w:cs="Arial"/>
        </w:rPr>
      </w:pPr>
      <w:bookmarkStart w:id="12" w:name="_Toc227452756"/>
      <w:r w:rsidRPr="00C900C3">
        <w:rPr>
          <w:rFonts w:ascii="Arial" w:hAnsi="Arial" w:cs="Arial"/>
        </w:rPr>
        <w:lastRenderedPageBreak/>
        <w:t>Liquidity Ratios</w:t>
      </w:r>
      <w:bookmarkEnd w:id="12"/>
    </w:p>
    <w:p w14:paraId="4D39DF73" w14:textId="2E8769C0" w:rsidR="00076D53" w:rsidRPr="00C900C3" w:rsidRDefault="00076D53" w:rsidP="00DB79EE">
      <w:pPr>
        <w:jc w:val="center"/>
        <w:rPr>
          <w:rFonts w:ascii="Arial" w:hAnsi="Arial" w:cs="Arial"/>
          <w:b/>
          <w:bCs/>
        </w:rPr>
      </w:pPr>
      <w:r w:rsidRPr="00C900C3">
        <w:rPr>
          <w:rFonts w:ascii="Arial" w:hAnsi="Arial" w:cs="Arial"/>
          <w:noProof/>
          <w:color w:val="000000"/>
          <w:bdr w:val="none" w:sz="0" w:space="0" w:color="auto" w:frame="1"/>
        </w:rPr>
        <w:drawing>
          <wp:inline distT="0" distB="0" distL="0" distR="0" wp14:anchorId="7FA1400F" wp14:editId="4116AE33">
            <wp:extent cx="5733415" cy="3075940"/>
            <wp:effectExtent l="0" t="0" r="635" b="0"/>
            <wp:docPr id="2255790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3075940"/>
                    </a:xfrm>
                    <a:prstGeom prst="rect">
                      <a:avLst/>
                    </a:prstGeom>
                    <a:noFill/>
                    <a:ln>
                      <a:noFill/>
                    </a:ln>
                  </pic:spPr>
                </pic:pic>
              </a:graphicData>
            </a:graphic>
          </wp:inline>
        </w:drawing>
      </w:r>
    </w:p>
    <w:p w14:paraId="49D67597" w14:textId="0EFAF947" w:rsidR="00DB79EE" w:rsidRPr="00C900C3" w:rsidRDefault="00DB79EE" w:rsidP="00DB79EE">
      <w:pPr>
        <w:jc w:val="center"/>
        <w:rPr>
          <w:rFonts w:ascii="Arial" w:hAnsi="Arial" w:cs="Arial"/>
          <w:b/>
          <w:bCs/>
        </w:rPr>
      </w:pPr>
      <w:r w:rsidRPr="00C900C3">
        <w:rPr>
          <w:rFonts w:ascii="Arial" w:hAnsi="Arial" w:cs="Arial"/>
          <w:b/>
          <w:bCs/>
        </w:rPr>
        <w:t>Figure 4: Liquidity Ratios of Hyundai</w:t>
      </w:r>
    </w:p>
    <w:p w14:paraId="7FD2821C" w14:textId="54AD248A" w:rsidR="00DB79EE" w:rsidRPr="00C900C3" w:rsidRDefault="00DB79EE" w:rsidP="00DB79EE">
      <w:pPr>
        <w:jc w:val="center"/>
        <w:rPr>
          <w:rFonts w:ascii="Arial" w:hAnsi="Arial" w:cs="Arial"/>
        </w:rPr>
      </w:pPr>
      <w:r w:rsidRPr="00C900C3">
        <w:rPr>
          <w:rFonts w:ascii="Arial" w:hAnsi="Arial" w:cs="Arial"/>
        </w:rPr>
        <w:t>(Source: Excel)</w:t>
      </w:r>
    </w:p>
    <w:p w14:paraId="0E18986F" w14:textId="08F6D192" w:rsidR="00B96CFB" w:rsidRPr="00C900C3" w:rsidRDefault="0080051C">
      <w:pPr>
        <w:rPr>
          <w:rFonts w:ascii="Arial" w:hAnsi="Arial" w:cs="Arial"/>
        </w:rPr>
      </w:pPr>
      <w:r w:rsidRPr="00C900C3">
        <w:rPr>
          <w:rFonts w:ascii="Arial" w:hAnsi="Arial" w:cs="Arial"/>
        </w:rPr>
        <w:t>Liquidity ratios estimate how a firm will cover its short-term commitments, and this means that it is financially stable and is not exposed to risk. The current ratio of Hyundai has increased to 1.46 (2024) compared to 1.41 (2020), which indicates sufficient short-term solvency. The acid-test ratio also stood unchanged at 1.21 (2024) with adequate liquid assets minus inventories. This stability is propelled by growing current assets and cash flows, but growing liabilities somewhat dampen the strength of liq</w:t>
      </w:r>
      <w:r w:rsidRPr="00C900C3">
        <w:rPr>
          <w:rFonts w:ascii="Arial" w:hAnsi="Arial" w:cs="Arial"/>
        </w:rPr>
        <w:t>uidity (Rahman, 2023).</w:t>
      </w:r>
    </w:p>
    <w:p w14:paraId="2D38F497" w14:textId="465CD537" w:rsidR="00DB79EE" w:rsidRPr="00C900C3" w:rsidRDefault="0080051C" w:rsidP="00076D53">
      <w:pPr>
        <w:pStyle w:val="Heading3"/>
        <w:rPr>
          <w:rFonts w:ascii="Arial" w:hAnsi="Arial" w:cs="Arial"/>
        </w:rPr>
      </w:pPr>
      <w:bookmarkStart w:id="13" w:name="_Toc227452757"/>
      <w:r w:rsidRPr="00C900C3">
        <w:rPr>
          <w:rFonts w:ascii="Arial" w:hAnsi="Arial" w:cs="Arial"/>
        </w:rPr>
        <w:lastRenderedPageBreak/>
        <w:t>Efficiency Ratios</w:t>
      </w:r>
      <w:bookmarkEnd w:id="13"/>
    </w:p>
    <w:p w14:paraId="45D7084C" w14:textId="1C4E441E" w:rsidR="00076D53" w:rsidRPr="00C900C3" w:rsidRDefault="00076D53" w:rsidP="00DB79EE">
      <w:pPr>
        <w:jc w:val="center"/>
        <w:rPr>
          <w:rFonts w:ascii="Arial" w:hAnsi="Arial" w:cs="Arial"/>
          <w:b/>
          <w:bCs/>
        </w:rPr>
      </w:pPr>
      <w:r w:rsidRPr="00C900C3">
        <w:rPr>
          <w:rFonts w:ascii="Arial" w:hAnsi="Arial" w:cs="Arial"/>
          <w:noProof/>
          <w:color w:val="000000"/>
          <w:bdr w:val="none" w:sz="0" w:space="0" w:color="auto" w:frame="1"/>
        </w:rPr>
        <w:drawing>
          <wp:inline distT="0" distB="0" distL="0" distR="0" wp14:anchorId="73558CD7" wp14:editId="120818CE">
            <wp:extent cx="5733415" cy="3114040"/>
            <wp:effectExtent l="0" t="0" r="635" b="0"/>
            <wp:docPr id="7605252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3114040"/>
                    </a:xfrm>
                    <a:prstGeom prst="rect">
                      <a:avLst/>
                    </a:prstGeom>
                    <a:noFill/>
                    <a:ln>
                      <a:noFill/>
                    </a:ln>
                  </pic:spPr>
                </pic:pic>
              </a:graphicData>
            </a:graphic>
          </wp:inline>
        </w:drawing>
      </w:r>
    </w:p>
    <w:p w14:paraId="07E3B875" w14:textId="726C7525" w:rsidR="00DB79EE" w:rsidRPr="00C900C3" w:rsidRDefault="00DB79EE" w:rsidP="00DB79EE">
      <w:pPr>
        <w:jc w:val="center"/>
        <w:rPr>
          <w:rFonts w:ascii="Arial" w:hAnsi="Arial" w:cs="Arial"/>
          <w:b/>
          <w:bCs/>
        </w:rPr>
      </w:pPr>
      <w:r w:rsidRPr="00C900C3">
        <w:rPr>
          <w:rFonts w:ascii="Arial" w:hAnsi="Arial" w:cs="Arial"/>
          <w:b/>
          <w:bCs/>
        </w:rPr>
        <w:t>Figure 5: Efficiency Ratios of Hyundai</w:t>
      </w:r>
    </w:p>
    <w:p w14:paraId="501D1CB9" w14:textId="097102EC" w:rsidR="00DB79EE" w:rsidRPr="00C900C3" w:rsidRDefault="00DB79EE" w:rsidP="00DB79EE">
      <w:pPr>
        <w:jc w:val="center"/>
        <w:rPr>
          <w:rFonts w:ascii="Arial" w:hAnsi="Arial" w:cs="Arial"/>
        </w:rPr>
      </w:pPr>
      <w:r w:rsidRPr="00C900C3">
        <w:rPr>
          <w:rFonts w:ascii="Arial" w:hAnsi="Arial" w:cs="Arial"/>
        </w:rPr>
        <w:t>(Source: Excel)</w:t>
      </w:r>
    </w:p>
    <w:p w14:paraId="73EFA100" w14:textId="7D0BFE06" w:rsidR="00B96CFB" w:rsidRPr="00C900C3" w:rsidRDefault="0080051C">
      <w:pPr>
        <w:rPr>
          <w:rFonts w:ascii="Arial" w:hAnsi="Arial" w:cs="Arial"/>
        </w:rPr>
      </w:pPr>
      <w:r w:rsidRPr="00C900C3">
        <w:rPr>
          <w:rFonts w:ascii="Arial" w:hAnsi="Arial" w:cs="Arial"/>
        </w:rPr>
        <w:t>Efficiency ratios evaluate the use of resources by a company to bring in revenue (Higgins, 2022). The turnover of Hyundai receivables decreased to 29.66 (2024) compared to 37.37 (2021), as the company is collecting the receivables more slowly. The inventory turnover was also reduced to 8.85, which was lower than 10.10, indicating that there was slower movement of inventory. These patterns demonstrate expansion pressures and increased inventory levels associated with the production of EVs, which affect opera</w:t>
      </w:r>
      <w:r w:rsidRPr="00C900C3">
        <w:rPr>
          <w:rFonts w:ascii="Arial" w:hAnsi="Arial" w:cs="Arial"/>
        </w:rPr>
        <w:t>tional efficiency even with the increasing sales (Rahman, 2022).</w:t>
      </w:r>
    </w:p>
    <w:p w14:paraId="023A5B6A" w14:textId="406290DF" w:rsidR="00DB79EE" w:rsidRPr="00C900C3" w:rsidRDefault="0080051C" w:rsidP="00076D53">
      <w:pPr>
        <w:pStyle w:val="Heading3"/>
        <w:rPr>
          <w:rFonts w:ascii="Arial" w:hAnsi="Arial" w:cs="Arial"/>
        </w:rPr>
      </w:pPr>
      <w:bookmarkStart w:id="14" w:name="_Toc227452758"/>
      <w:r w:rsidRPr="00C900C3">
        <w:rPr>
          <w:rFonts w:ascii="Arial" w:hAnsi="Arial" w:cs="Arial"/>
        </w:rPr>
        <w:lastRenderedPageBreak/>
        <w:t>Gearing Ratios</w:t>
      </w:r>
      <w:bookmarkEnd w:id="14"/>
    </w:p>
    <w:p w14:paraId="19F84A2E" w14:textId="72613C6C" w:rsidR="00076D53" w:rsidRPr="00C900C3" w:rsidRDefault="00076D53" w:rsidP="00DB79EE">
      <w:pPr>
        <w:jc w:val="center"/>
        <w:rPr>
          <w:rFonts w:ascii="Arial" w:hAnsi="Arial" w:cs="Arial"/>
          <w:b/>
          <w:bCs/>
        </w:rPr>
      </w:pPr>
      <w:r w:rsidRPr="00C900C3">
        <w:rPr>
          <w:rFonts w:ascii="Arial" w:hAnsi="Arial" w:cs="Arial"/>
          <w:noProof/>
          <w:color w:val="000000"/>
          <w:bdr w:val="none" w:sz="0" w:space="0" w:color="auto" w:frame="1"/>
        </w:rPr>
        <w:drawing>
          <wp:inline distT="0" distB="0" distL="0" distR="0" wp14:anchorId="5F0A3AA7" wp14:editId="660F41EE">
            <wp:extent cx="5730240" cy="3032760"/>
            <wp:effectExtent l="0" t="0" r="3810" b="0"/>
            <wp:docPr id="72641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3032760"/>
                    </a:xfrm>
                    <a:prstGeom prst="rect">
                      <a:avLst/>
                    </a:prstGeom>
                    <a:noFill/>
                    <a:ln>
                      <a:noFill/>
                    </a:ln>
                  </pic:spPr>
                </pic:pic>
              </a:graphicData>
            </a:graphic>
          </wp:inline>
        </w:drawing>
      </w:r>
    </w:p>
    <w:p w14:paraId="42390A0F" w14:textId="205C8F75" w:rsidR="00DB79EE" w:rsidRPr="00C900C3" w:rsidRDefault="00DB79EE" w:rsidP="00DB79EE">
      <w:pPr>
        <w:jc w:val="center"/>
        <w:rPr>
          <w:rFonts w:ascii="Arial" w:hAnsi="Arial" w:cs="Arial"/>
          <w:b/>
          <w:bCs/>
        </w:rPr>
      </w:pPr>
      <w:r w:rsidRPr="00C900C3">
        <w:rPr>
          <w:rFonts w:ascii="Arial" w:hAnsi="Arial" w:cs="Arial"/>
          <w:b/>
          <w:bCs/>
        </w:rPr>
        <w:t>Figure 6: Gearing Ratios of Hyundai</w:t>
      </w:r>
    </w:p>
    <w:p w14:paraId="6B3A9A29" w14:textId="3F830B66" w:rsidR="00DB79EE" w:rsidRPr="00C900C3" w:rsidRDefault="00DB79EE" w:rsidP="00DB79EE">
      <w:pPr>
        <w:jc w:val="center"/>
        <w:rPr>
          <w:rFonts w:ascii="Arial" w:hAnsi="Arial" w:cs="Arial"/>
        </w:rPr>
      </w:pPr>
      <w:r w:rsidRPr="00C900C3">
        <w:rPr>
          <w:rFonts w:ascii="Arial" w:hAnsi="Arial" w:cs="Arial"/>
        </w:rPr>
        <w:t>(Source: Excel)</w:t>
      </w:r>
    </w:p>
    <w:p w14:paraId="6AADDE35" w14:textId="391F5631" w:rsidR="00B96CFB" w:rsidRPr="00C900C3" w:rsidRDefault="0080051C">
      <w:pPr>
        <w:rPr>
          <w:rFonts w:ascii="Arial" w:hAnsi="Arial" w:cs="Arial"/>
        </w:rPr>
      </w:pPr>
      <w:r w:rsidRPr="00C900C3">
        <w:rPr>
          <w:rFonts w:ascii="Arial" w:hAnsi="Arial" w:cs="Arial"/>
        </w:rPr>
        <w:t>Gearing ratios assess the financial leverage and long-run solvency risk of a firm. Hyundai has a high debt-to-equity ratio, which ranges between 1.74 (2020) and 1.83 (2024), which means it uses debt to finance its activities. The times interest earned ratio rose to 3.00 (2024) in comparison to 1.04 (2020), indicating an increased capacity to pay interest. This is an indicator of higher profits, yet a growing debt to finance EVs keeps finances at risk (Ryu and Do, 2023).</w:t>
      </w:r>
    </w:p>
    <w:p w14:paraId="2DC8B58C" w14:textId="1757F54C" w:rsidR="00DB79EE" w:rsidRPr="00C900C3" w:rsidRDefault="0080051C" w:rsidP="00076D53">
      <w:pPr>
        <w:pStyle w:val="Heading3"/>
        <w:rPr>
          <w:rFonts w:ascii="Arial" w:hAnsi="Arial" w:cs="Arial"/>
        </w:rPr>
      </w:pPr>
      <w:bookmarkStart w:id="15" w:name="_Toc227452759"/>
      <w:r w:rsidRPr="00C900C3">
        <w:rPr>
          <w:rFonts w:ascii="Arial" w:hAnsi="Arial" w:cs="Arial"/>
        </w:rPr>
        <w:lastRenderedPageBreak/>
        <w:t>Investment Ratios</w:t>
      </w:r>
      <w:bookmarkEnd w:id="15"/>
    </w:p>
    <w:p w14:paraId="148F9CA7" w14:textId="52C940A5" w:rsidR="00076D53" w:rsidRPr="00C900C3" w:rsidRDefault="00076D53" w:rsidP="00DB79EE">
      <w:pPr>
        <w:jc w:val="center"/>
        <w:rPr>
          <w:rFonts w:ascii="Arial" w:hAnsi="Arial" w:cs="Arial"/>
          <w:b/>
          <w:bCs/>
        </w:rPr>
      </w:pPr>
      <w:r w:rsidRPr="00C900C3">
        <w:rPr>
          <w:rFonts w:ascii="Arial" w:hAnsi="Arial" w:cs="Arial"/>
          <w:noProof/>
          <w:color w:val="000000"/>
          <w:bdr w:val="none" w:sz="0" w:space="0" w:color="auto" w:frame="1"/>
        </w:rPr>
        <w:drawing>
          <wp:inline distT="0" distB="0" distL="0" distR="0" wp14:anchorId="634E1CBF" wp14:editId="2659817C">
            <wp:extent cx="5730240" cy="3398520"/>
            <wp:effectExtent l="0" t="0" r="3810" b="0"/>
            <wp:docPr id="2000696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3398520"/>
                    </a:xfrm>
                    <a:prstGeom prst="rect">
                      <a:avLst/>
                    </a:prstGeom>
                    <a:noFill/>
                    <a:ln>
                      <a:noFill/>
                    </a:ln>
                  </pic:spPr>
                </pic:pic>
              </a:graphicData>
            </a:graphic>
          </wp:inline>
        </w:drawing>
      </w:r>
    </w:p>
    <w:p w14:paraId="339779F9" w14:textId="246A140A" w:rsidR="00DB79EE" w:rsidRPr="00C900C3" w:rsidRDefault="00DB79EE" w:rsidP="00DB79EE">
      <w:pPr>
        <w:jc w:val="center"/>
        <w:rPr>
          <w:rFonts w:ascii="Arial" w:hAnsi="Arial" w:cs="Arial"/>
          <w:b/>
          <w:bCs/>
        </w:rPr>
      </w:pPr>
      <w:r w:rsidRPr="00C900C3">
        <w:rPr>
          <w:rFonts w:ascii="Arial" w:hAnsi="Arial" w:cs="Arial"/>
          <w:b/>
          <w:bCs/>
        </w:rPr>
        <w:t>Figure 7: Investment Ratios of Hyundai</w:t>
      </w:r>
    </w:p>
    <w:p w14:paraId="25045E04" w14:textId="0B046178" w:rsidR="00DB79EE" w:rsidRPr="00C900C3" w:rsidRDefault="00DB79EE" w:rsidP="00DB79EE">
      <w:pPr>
        <w:jc w:val="center"/>
        <w:rPr>
          <w:rFonts w:ascii="Arial" w:hAnsi="Arial" w:cs="Arial"/>
        </w:rPr>
      </w:pPr>
      <w:r w:rsidRPr="00C900C3">
        <w:rPr>
          <w:rFonts w:ascii="Arial" w:hAnsi="Arial" w:cs="Arial"/>
        </w:rPr>
        <w:t>(Source: Excel)</w:t>
      </w:r>
    </w:p>
    <w:p w14:paraId="4C7F30FB" w14:textId="07E9879E" w:rsidR="00B96CFB" w:rsidRPr="00C900C3" w:rsidRDefault="0080051C">
      <w:pPr>
        <w:rPr>
          <w:rFonts w:ascii="Arial" w:hAnsi="Arial" w:cs="Arial"/>
        </w:rPr>
      </w:pPr>
      <w:r w:rsidRPr="00C900C3">
        <w:rPr>
          <w:rFonts w:ascii="Arial" w:hAnsi="Arial" w:cs="Arial"/>
        </w:rPr>
        <w:t xml:space="preserve">The ratios of investments evaluate the returns to shareholders and market value. The dividend payout in Hyundai decreased to 0.29 (2024) compared to 0.46 (2020), which shows that the company has been retaining its earnings to grow. The P/E ratio dropped sharply to 1.26, where it was 18.63, indicating that the market expectations were low </w:t>
      </w:r>
      <w:proofErr w:type="gramStart"/>
      <w:r w:rsidRPr="00C900C3">
        <w:rPr>
          <w:rFonts w:ascii="Arial" w:hAnsi="Arial" w:cs="Arial"/>
        </w:rPr>
        <w:t>in spite of</w:t>
      </w:r>
      <w:proofErr w:type="gramEnd"/>
      <w:r w:rsidRPr="00C900C3">
        <w:rPr>
          <w:rFonts w:ascii="Arial" w:hAnsi="Arial" w:cs="Arial"/>
        </w:rPr>
        <w:t xml:space="preserve"> increasing earnings. This could be an indication of investor apprehension towards EV transition risks and macroeconomic uncertainty (Chen et al., 2023).</w:t>
      </w:r>
    </w:p>
    <w:p w14:paraId="4686EA3F" w14:textId="77777777" w:rsidR="00B96CFB" w:rsidRPr="00C900C3" w:rsidRDefault="0080051C">
      <w:pPr>
        <w:pStyle w:val="Heading3"/>
        <w:rPr>
          <w:rFonts w:ascii="Arial" w:hAnsi="Arial" w:cs="Arial"/>
        </w:rPr>
      </w:pPr>
      <w:bookmarkStart w:id="16" w:name="_Toc227452760"/>
      <w:r w:rsidRPr="00C900C3">
        <w:rPr>
          <w:rFonts w:ascii="Arial" w:hAnsi="Arial" w:cs="Arial"/>
        </w:rPr>
        <w:lastRenderedPageBreak/>
        <w:t>Cash Flow Ratios</w:t>
      </w:r>
      <w:bookmarkEnd w:id="16"/>
    </w:p>
    <w:p w14:paraId="170E517F" w14:textId="31570AB7" w:rsidR="00DB79EE" w:rsidRPr="00C900C3" w:rsidRDefault="00076D53">
      <w:pPr>
        <w:rPr>
          <w:rFonts w:ascii="Arial" w:hAnsi="Arial" w:cs="Arial"/>
        </w:rPr>
      </w:pPr>
      <w:r w:rsidRPr="00C900C3">
        <w:rPr>
          <w:rFonts w:ascii="Arial" w:hAnsi="Arial" w:cs="Arial"/>
          <w:noProof/>
          <w:color w:val="000000"/>
          <w:bdr w:val="none" w:sz="0" w:space="0" w:color="auto" w:frame="1"/>
        </w:rPr>
        <w:drawing>
          <wp:inline distT="0" distB="0" distL="0" distR="0" wp14:anchorId="7273B0B7" wp14:editId="63476108">
            <wp:extent cx="5733415" cy="3274060"/>
            <wp:effectExtent l="0" t="0" r="635" b="2540"/>
            <wp:docPr id="18148415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3274060"/>
                    </a:xfrm>
                    <a:prstGeom prst="rect">
                      <a:avLst/>
                    </a:prstGeom>
                    <a:noFill/>
                    <a:ln>
                      <a:noFill/>
                    </a:ln>
                  </pic:spPr>
                </pic:pic>
              </a:graphicData>
            </a:graphic>
          </wp:inline>
        </w:drawing>
      </w:r>
    </w:p>
    <w:p w14:paraId="2B1D56E5" w14:textId="756D98B7" w:rsidR="00DB79EE" w:rsidRPr="00C900C3" w:rsidRDefault="00DB79EE" w:rsidP="00DB79EE">
      <w:pPr>
        <w:jc w:val="center"/>
        <w:rPr>
          <w:rFonts w:ascii="Arial" w:hAnsi="Arial" w:cs="Arial"/>
          <w:b/>
          <w:bCs/>
        </w:rPr>
      </w:pPr>
      <w:r w:rsidRPr="00C900C3">
        <w:rPr>
          <w:rFonts w:ascii="Arial" w:hAnsi="Arial" w:cs="Arial"/>
          <w:b/>
          <w:bCs/>
        </w:rPr>
        <w:t>Figure 8: Cash Flow Ratios of Hyundai</w:t>
      </w:r>
    </w:p>
    <w:p w14:paraId="487A698F" w14:textId="26729C97" w:rsidR="00DB79EE" w:rsidRPr="00C900C3" w:rsidRDefault="00DB79EE" w:rsidP="00DB79EE">
      <w:pPr>
        <w:jc w:val="center"/>
        <w:rPr>
          <w:rFonts w:ascii="Arial" w:hAnsi="Arial" w:cs="Arial"/>
        </w:rPr>
      </w:pPr>
      <w:r w:rsidRPr="00C900C3">
        <w:rPr>
          <w:rFonts w:ascii="Arial" w:hAnsi="Arial" w:cs="Arial"/>
        </w:rPr>
        <w:t>(Source: Excel)</w:t>
      </w:r>
    </w:p>
    <w:p w14:paraId="40D53D4A" w14:textId="1B593607" w:rsidR="00B96CFB" w:rsidRPr="00C900C3" w:rsidRDefault="0080051C">
      <w:pPr>
        <w:rPr>
          <w:rFonts w:ascii="Arial" w:hAnsi="Arial" w:cs="Arial"/>
        </w:rPr>
      </w:pPr>
      <w:r w:rsidRPr="00C900C3">
        <w:rPr>
          <w:rFonts w:ascii="Arial" w:hAnsi="Arial" w:cs="Arial"/>
        </w:rPr>
        <w:t xml:space="preserve">The cash flow ratios estimate the capacity of the firm to produce cash to cover obligations. The operating cash flow ratio of Hyundai varied between -0.01 (2020) and -0.07 (2024), which shows a low short-term cash coverage. In the same manner, the cash flow to debt ratio was also low (-0.03 in 2024), and this means that the company depended on outside financing. These dynamics are supported by the high capital expenditure and the working capital variations </w:t>
      </w:r>
      <w:proofErr w:type="gramStart"/>
      <w:r w:rsidRPr="00C900C3">
        <w:rPr>
          <w:rFonts w:ascii="Arial" w:hAnsi="Arial" w:cs="Arial"/>
        </w:rPr>
        <w:t>in spite of</w:t>
      </w:r>
      <w:proofErr w:type="gramEnd"/>
      <w:r w:rsidRPr="00C900C3">
        <w:rPr>
          <w:rFonts w:ascii="Arial" w:hAnsi="Arial" w:cs="Arial"/>
        </w:rPr>
        <w:t xml:space="preserve"> the high growth in the profitability (</w:t>
      </w:r>
      <w:proofErr w:type="spellStart"/>
      <w:r w:rsidRPr="00C900C3">
        <w:rPr>
          <w:rFonts w:ascii="Arial" w:hAnsi="Arial" w:cs="Arial"/>
        </w:rPr>
        <w:t>Haralayya</w:t>
      </w:r>
      <w:proofErr w:type="spellEnd"/>
      <w:r w:rsidRPr="00C900C3">
        <w:rPr>
          <w:rFonts w:ascii="Arial" w:hAnsi="Arial" w:cs="Arial"/>
        </w:rPr>
        <w:t>, 2022).</w:t>
      </w:r>
    </w:p>
    <w:p w14:paraId="4F9D27E2" w14:textId="77777777" w:rsidR="00B96CFB" w:rsidRPr="00C900C3" w:rsidRDefault="0080051C">
      <w:pPr>
        <w:pStyle w:val="Heading2"/>
        <w:rPr>
          <w:rFonts w:ascii="Arial" w:hAnsi="Arial" w:cs="Arial"/>
          <w:sz w:val="24"/>
          <w:szCs w:val="24"/>
        </w:rPr>
      </w:pPr>
      <w:bookmarkStart w:id="17" w:name="_Toc227452761"/>
      <w:r w:rsidRPr="00C900C3">
        <w:rPr>
          <w:rFonts w:ascii="Arial" w:hAnsi="Arial" w:cs="Arial"/>
          <w:sz w:val="24"/>
          <w:szCs w:val="24"/>
        </w:rPr>
        <w:t>2.3 Identify Trends, Strengths, and Threats</w:t>
      </w:r>
      <w:bookmarkEnd w:id="17"/>
    </w:p>
    <w:p w14:paraId="5B0FE76F" w14:textId="77777777" w:rsidR="00B96CFB" w:rsidRPr="00C900C3" w:rsidRDefault="0080051C">
      <w:pPr>
        <w:pStyle w:val="Heading3"/>
        <w:rPr>
          <w:rFonts w:ascii="Arial" w:hAnsi="Arial" w:cs="Arial"/>
        </w:rPr>
      </w:pPr>
      <w:bookmarkStart w:id="18" w:name="_Toc227452762"/>
      <w:r w:rsidRPr="00C900C3">
        <w:rPr>
          <w:rFonts w:ascii="Arial" w:hAnsi="Arial" w:cs="Arial"/>
        </w:rPr>
        <w:t>Identified Trends</w:t>
      </w:r>
      <w:bookmarkEnd w:id="18"/>
    </w:p>
    <w:p w14:paraId="0C2E8177" w14:textId="77777777" w:rsidR="00B96CFB" w:rsidRPr="00C900C3" w:rsidRDefault="0080051C">
      <w:pPr>
        <w:rPr>
          <w:rFonts w:ascii="Arial" w:hAnsi="Arial" w:cs="Arial"/>
        </w:rPr>
      </w:pPr>
      <w:r w:rsidRPr="00C900C3">
        <w:rPr>
          <w:rFonts w:ascii="Arial" w:hAnsi="Arial" w:cs="Arial"/>
        </w:rPr>
        <w:t xml:space="preserve">The Hyundai Motor Company has a clear positive trend in terms of revenue, profitability, and growth of assets in a period of five years. The sales grew considerably, which was facilitated by the growth of electric vehicles and international markets (Hyundai, 2024; </w:t>
      </w:r>
      <w:proofErr w:type="spellStart"/>
      <w:r w:rsidRPr="00C900C3">
        <w:rPr>
          <w:rFonts w:ascii="Arial" w:hAnsi="Arial" w:cs="Arial"/>
        </w:rPr>
        <w:t>Kiymaz</w:t>
      </w:r>
      <w:proofErr w:type="spellEnd"/>
      <w:r w:rsidRPr="00C900C3">
        <w:rPr>
          <w:rFonts w:ascii="Arial" w:hAnsi="Arial" w:cs="Arial"/>
        </w:rPr>
        <w:t xml:space="preserve"> et al., 2024). The profitability ratios like ROE and net </w:t>
      </w:r>
      <w:r w:rsidRPr="00C900C3">
        <w:rPr>
          <w:rFonts w:ascii="Arial" w:hAnsi="Arial" w:cs="Arial"/>
        </w:rPr>
        <w:lastRenderedPageBreak/>
        <w:t>profit margin were steadily increasing, whereas the growth in the assets and liabilities indicates capital-intensive growth. Nevertheless, operational pressures are indicated by cash flow volatility and the falling efficiency ratios. These trends are indicative of a shift to an innovation-driven growth, which is becoming increasingly complex in terms of finances.</w:t>
      </w:r>
    </w:p>
    <w:p w14:paraId="6F297A89" w14:textId="77777777" w:rsidR="00B96CFB" w:rsidRPr="00C900C3" w:rsidRDefault="0080051C">
      <w:pPr>
        <w:pStyle w:val="Heading3"/>
        <w:rPr>
          <w:rFonts w:ascii="Arial" w:hAnsi="Arial" w:cs="Arial"/>
        </w:rPr>
      </w:pPr>
      <w:bookmarkStart w:id="19" w:name="_Toc227452763"/>
      <w:r w:rsidRPr="00C900C3">
        <w:rPr>
          <w:rFonts w:ascii="Arial" w:hAnsi="Arial" w:cs="Arial"/>
        </w:rPr>
        <w:t>Identified Strengths</w:t>
      </w:r>
      <w:bookmarkEnd w:id="19"/>
      <w:r w:rsidRPr="00C900C3">
        <w:rPr>
          <w:rFonts w:ascii="Arial" w:hAnsi="Arial" w:cs="Arial"/>
        </w:rPr>
        <w:t xml:space="preserve"> </w:t>
      </w:r>
    </w:p>
    <w:p w14:paraId="254EBE7A" w14:textId="77777777" w:rsidR="00B96CFB" w:rsidRPr="00C900C3" w:rsidRDefault="0080051C">
      <w:pPr>
        <w:rPr>
          <w:rFonts w:ascii="Arial" w:hAnsi="Arial" w:cs="Arial"/>
        </w:rPr>
      </w:pPr>
      <w:r w:rsidRPr="00C900C3">
        <w:rPr>
          <w:rFonts w:ascii="Arial" w:hAnsi="Arial" w:cs="Arial"/>
        </w:rPr>
        <w:t>The strengths of Hyundai are its high rate of growth in profits and strategic orientation towards electric vehicles. The net profit and operating profit have grown significantly, which has contributed to higher shareholder returns, measured by better ROE (Jo et al., 2023; Chen et al., 2023). The firm also has a high revenue increase and expansion on a global scale. Also, the liquidity ratios are stable, which means that the company is solvent in the short-term. These are backed by effective production mecha</w:t>
      </w:r>
      <w:r w:rsidRPr="00C900C3">
        <w:rPr>
          <w:rFonts w:ascii="Arial" w:hAnsi="Arial" w:cs="Arial"/>
        </w:rPr>
        <w:t xml:space="preserve">nisms and technology, which have seen Hyundai compete </w:t>
      </w:r>
      <w:proofErr w:type="spellStart"/>
      <w:r w:rsidRPr="00C900C3">
        <w:rPr>
          <w:rFonts w:ascii="Arial" w:hAnsi="Arial" w:cs="Arial"/>
        </w:rPr>
        <w:t>favorably</w:t>
      </w:r>
      <w:proofErr w:type="spellEnd"/>
      <w:r w:rsidRPr="00C900C3">
        <w:rPr>
          <w:rFonts w:ascii="Arial" w:hAnsi="Arial" w:cs="Arial"/>
        </w:rPr>
        <w:t xml:space="preserve"> in the world automotive market.</w:t>
      </w:r>
    </w:p>
    <w:p w14:paraId="58EE0697" w14:textId="77777777" w:rsidR="00B96CFB" w:rsidRPr="00C900C3" w:rsidRDefault="0080051C">
      <w:pPr>
        <w:pStyle w:val="Heading3"/>
        <w:rPr>
          <w:rFonts w:ascii="Arial" w:hAnsi="Arial" w:cs="Arial"/>
        </w:rPr>
      </w:pPr>
      <w:bookmarkStart w:id="20" w:name="_Toc227452764"/>
      <w:r w:rsidRPr="00C900C3">
        <w:rPr>
          <w:rFonts w:ascii="Arial" w:hAnsi="Arial" w:cs="Arial"/>
        </w:rPr>
        <w:t>Identified Weaknesses</w:t>
      </w:r>
      <w:bookmarkEnd w:id="20"/>
      <w:r w:rsidRPr="00C900C3">
        <w:rPr>
          <w:rFonts w:ascii="Arial" w:hAnsi="Arial" w:cs="Arial"/>
        </w:rPr>
        <w:t xml:space="preserve"> </w:t>
      </w:r>
    </w:p>
    <w:p w14:paraId="3E7FB881" w14:textId="3649FA0D" w:rsidR="00B96CFB" w:rsidRPr="00C900C3" w:rsidRDefault="0080051C">
      <w:pPr>
        <w:rPr>
          <w:rFonts w:ascii="Arial" w:hAnsi="Arial" w:cs="Arial"/>
        </w:rPr>
      </w:pPr>
      <w:proofErr w:type="gramStart"/>
      <w:r w:rsidRPr="00C900C3">
        <w:rPr>
          <w:rFonts w:ascii="Arial" w:hAnsi="Arial" w:cs="Arial"/>
        </w:rPr>
        <w:t>In spite of</w:t>
      </w:r>
      <w:proofErr w:type="gramEnd"/>
      <w:r w:rsidRPr="00C900C3">
        <w:rPr>
          <w:rFonts w:ascii="Arial" w:hAnsi="Arial" w:cs="Arial"/>
        </w:rPr>
        <w:t xml:space="preserve"> the growth, Hyundai has weaknesses associated with increasing leverage and falling efficiency. The debt-to-equity ratio is still high, which means that it is more financially risky because of a significant investment in EV infrastructure. The efficiency ratios, including receivables and inventory turnover, indicate decreasing tendencies, which indicates slower asset utilisation (</w:t>
      </w:r>
      <w:proofErr w:type="spellStart"/>
      <w:r w:rsidRPr="00C900C3">
        <w:rPr>
          <w:rFonts w:ascii="Arial" w:hAnsi="Arial" w:cs="Arial"/>
        </w:rPr>
        <w:t>Tarkom</w:t>
      </w:r>
      <w:proofErr w:type="spellEnd"/>
      <w:r w:rsidRPr="00C900C3">
        <w:rPr>
          <w:rFonts w:ascii="Arial" w:hAnsi="Arial" w:cs="Arial"/>
        </w:rPr>
        <w:t xml:space="preserve">, 2022; </w:t>
      </w:r>
      <w:r w:rsidR="00566743" w:rsidRPr="00C900C3">
        <w:rPr>
          <w:rFonts w:ascii="Arial" w:hAnsi="Arial" w:cs="Arial"/>
        </w:rPr>
        <w:t>Rahman and Acharya, 2022</w:t>
      </w:r>
      <w:r w:rsidRPr="00C900C3">
        <w:rPr>
          <w:rFonts w:ascii="Arial" w:hAnsi="Arial" w:cs="Arial"/>
        </w:rPr>
        <w:t>). Also, there are negative ratios in cash flows, which show that there is a strain on liqu</w:t>
      </w:r>
      <w:r w:rsidRPr="00C900C3">
        <w:rPr>
          <w:rFonts w:ascii="Arial" w:hAnsi="Arial" w:cs="Arial"/>
        </w:rPr>
        <w:t xml:space="preserve">idity and dependency on external funding. These problems indicate operational and financial restraints </w:t>
      </w:r>
      <w:proofErr w:type="gramStart"/>
      <w:r w:rsidRPr="00C900C3">
        <w:rPr>
          <w:rFonts w:ascii="Arial" w:hAnsi="Arial" w:cs="Arial"/>
        </w:rPr>
        <w:t>with regard to</w:t>
      </w:r>
      <w:proofErr w:type="gramEnd"/>
      <w:r w:rsidRPr="00C900C3">
        <w:rPr>
          <w:rFonts w:ascii="Arial" w:hAnsi="Arial" w:cs="Arial"/>
        </w:rPr>
        <w:t xml:space="preserve"> rapid expansion strategies.</w:t>
      </w:r>
    </w:p>
    <w:p w14:paraId="44D60B0C" w14:textId="54A932D7" w:rsidR="00B96CFB" w:rsidRPr="00C900C3" w:rsidRDefault="0080051C">
      <w:pPr>
        <w:pStyle w:val="Heading1"/>
        <w:rPr>
          <w:rFonts w:ascii="Arial" w:hAnsi="Arial" w:cs="Arial"/>
          <w:sz w:val="24"/>
          <w:szCs w:val="24"/>
        </w:rPr>
      </w:pPr>
      <w:bookmarkStart w:id="21" w:name="_Toc227452765"/>
      <w:r w:rsidRPr="00C900C3">
        <w:rPr>
          <w:rFonts w:ascii="Arial" w:hAnsi="Arial" w:cs="Arial"/>
          <w:sz w:val="24"/>
          <w:szCs w:val="24"/>
        </w:rPr>
        <w:lastRenderedPageBreak/>
        <w:t>3.0 Working Capital Management</w:t>
      </w:r>
      <w:bookmarkEnd w:id="21"/>
    </w:p>
    <w:p w14:paraId="6272B18F" w14:textId="77777777" w:rsidR="00B96CFB" w:rsidRPr="00C900C3" w:rsidRDefault="0080051C">
      <w:pPr>
        <w:pStyle w:val="Heading2"/>
        <w:rPr>
          <w:rFonts w:ascii="Arial" w:hAnsi="Arial" w:cs="Arial"/>
          <w:sz w:val="24"/>
          <w:szCs w:val="24"/>
        </w:rPr>
      </w:pPr>
      <w:bookmarkStart w:id="22" w:name="_Toc227452766"/>
      <w:r w:rsidRPr="00C900C3">
        <w:rPr>
          <w:rFonts w:ascii="Arial" w:hAnsi="Arial" w:cs="Arial"/>
          <w:sz w:val="24"/>
          <w:szCs w:val="24"/>
        </w:rPr>
        <w:t>3.1 Cash Operating Cycle Analysis</w:t>
      </w:r>
      <w:bookmarkEnd w:id="22"/>
    </w:p>
    <w:p w14:paraId="5CF919D9" w14:textId="0174FA58" w:rsidR="00DB79EE" w:rsidRPr="00C900C3" w:rsidRDefault="00076D53" w:rsidP="00076D53">
      <w:pPr>
        <w:jc w:val="center"/>
        <w:rPr>
          <w:rFonts w:ascii="Arial" w:hAnsi="Arial" w:cs="Arial"/>
        </w:rPr>
      </w:pPr>
      <w:r w:rsidRPr="00C900C3">
        <w:rPr>
          <w:rFonts w:ascii="Arial" w:hAnsi="Arial" w:cs="Arial"/>
          <w:noProof/>
          <w:color w:val="000000"/>
          <w:bdr w:val="none" w:sz="0" w:space="0" w:color="auto" w:frame="1"/>
        </w:rPr>
        <w:drawing>
          <wp:inline distT="0" distB="0" distL="0" distR="0" wp14:anchorId="4C19978A" wp14:editId="23E6CE86">
            <wp:extent cx="5733415" cy="3235960"/>
            <wp:effectExtent l="0" t="0" r="635" b="2540"/>
            <wp:docPr id="674798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3415" cy="3235960"/>
                    </a:xfrm>
                    <a:prstGeom prst="rect">
                      <a:avLst/>
                    </a:prstGeom>
                    <a:noFill/>
                    <a:ln>
                      <a:noFill/>
                    </a:ln>
                  </pic:spPr>
                </pic:pic>
              </a:graphicData>
            </a:graphic>
          </wp:inline>
        </w:drawing>
      </w:r>
    </w:p>
    <w:p w14:paraId="637E6D6F" w14:textId="6270D214" w:rsidR="00DB79EE" w:rsidRPr="00C900C3" w:rsidRDefault="00DB79EE" w:rsidP="00DB79EE">
      <w:pPr>
        <w:jc w:val="center"/>
        <w:rPr>
          <w:rFonts w:ascii="Arial" w:hAnsi="Arial" w:cs="Arial"/>
          <w:b/>
          <w:bCs/>
        </w:rPr>
      </w:pPr>
      <w:r w:rsidRPr="00C900C3">
        <w:rPr>
          <w:rFonts w:ascii="Arial" w:hAnsi="Arial" w:cs="Arial"/>
          <w:b/>
          <w:bCs/>
        </w:rPr>
        <w:t>Figure 9: Cash Operating Cycle of Hyundai</w:t>
      </w:r>
    </w:p>
    <w:p w14:paraId="494B295B" w14:textId="214BEBA0" w:rsidR="00DB79EE" w:rsidRPr="00C900C3" w:rsidRDefault="00DB79EE" w:rsidP="00DB79EE">
      <w:pPr>
        <w:jc w:val="center"/>
        <w:rPr>
          <w:rFonts w:ascii="Arial" w:hAnsi="Arial" w:cs="Arial"/>
        </w:rPr>
      </w:pPr>
      <w:r w:rsidRPr="00C900C3">
        <w:rPr>
          <w:rFonts w:ascii="Arial" w:hAnsi="Arial" w:cs="Arial"/>
        </w:rPr>
        <w:t>(Source: Excel)</w:t>
      </w:r>
    </w:p>
    <w:p w14:paraId="6512B1DC" w14:textId="10C5BC97" w:rsidR="00B96CFB" w:rsidRPr="00C900C3" w:rsidRDefault="0080051C">
      <w:pPr>
        <w:rPr>
          <w:rFonts w:ascii="Arial" w:hAnsi="Arial" w:cs="Arial"/>
        </w:rPr>
      </w:pPr>
      <w:r w:rsidRPr="00C900C3">
        <w:rPr>
          <w:rFonts w:ascii="Arial" w:hAnsi="Arial" w:cs="Arial"/>
        </w:rPr>
        <w:t xml:space="preserve">Cash operating cycle (CCC) is the period needed to turn inventory and receivables into cash, which indicates the efficiency of working capital and liquidity management. The CCC of Hyundai rose to 33.67 days (2024) against 20.44 days (2020), which shows that it is slowing down cash conversion. This increase is because of increased inventory days (41.22) and receivable days (12.31), with a decrease in payable days to 19.86. The trend indicates more working capital needs </w:t>
      </w:r>
      <w:r w:rsidR="00DB79EE" w:rsidRPr="00C900C3">
        <w:rPr>
          <w:rFonts w:ascii="Arial" w:hAnsi="Arial" w:cs="Arial"/>
        </w:rPr>
        <w:t>because of</w:t>
      </w:r>
      <w:r w:rsidRPr="00C900C3">
        <w:rPr>
          <w:rFonts w:ascii="Arial" w:hAnsi="Arial" w:cs="Arial"/>
        </w:rPr>
        <w:t xml:space="preserve"> EV growth and production capacity, which could strain liquidity as sales increase (Hyundai, 2024).</w:t>
      </w:r>
    </w:p>
    <w:p w14:paraId="193E28E1" w14:textId="77777777" w:rsidR="00B96CFB" w:rsidRPr="00C900C3" w:rsidRDefault="0080051C">
      <w:pPr>
        <w:pStyle w:val="Heading2"/>
        <w:rPr>
          <w:rFonts w:ascii="Arial" w:hAnsi="Arial" w:cs="Arial"/>
          <w:sz w:val="24"/>
          <w:szCs w:val="24"/>
        </w:rPr>
      </w:pPr>
      <w:bookmarkStart w:id="23" w:name="_Toc227452767"/>
      <w:r w:rsidRPr="00C900C3">
        <w:rPr>
          <w:rFonts w:ascii="Arial" w:hAnsi="Arial" w:cs="Arial"/>
          <w:sz w:val="24"/>
          <w:szCs w:val="24"/>
        </w:rPr>
        <w:t>3.2 Evaluation of Current Working Capital Efficiency</w:t>
      </w:r>
      <w:bookmarkEnd w:id="23"/>
    </w:p>
    <w:p w14:paraId="00B2FF0F" w14:textId="77777777" w:rsidR="00B96CFB" w:rsidRPr="00C900C3" w:rsidRDefault="0080051C">
      <w:pPr>
        <w:pStyle w:val="Heading3"/>
        <w:rPr>
          <w:rFonts w:ascii="Arial" w:hAnsi="Arial" w:cs="Arial"/>
        </w:rPr>
      </w:pPr>
      <w:bookmarkStart w:id="24" w:name="_Toc227452768"/>
      <w:r w:rsidRPr="00C900C3">
        <w:rPr>
          <w:rFonts w:ascii="Arial" w:hAnsi="Arial" w:cs="Arial"/>
        </w:rPr>
        <w:t>Liquidity Position and Short-Term Stability</w:t>
      </w:r>
      <w:bookmarkEnd w:id="24"/>
    </w:p>
    <w:p w14:paraId="6DEF8237" w14:textId="58847FFB" w:rsidR="00B96CFB" w:rsidRPr="00C900C3" w:rsidRDefault="0080051C">
      <w:pPr>
        <w:rPr>
          <w:rFonts w:ascii="Arial" w:hAnsi="Arial" w:cs="Arial"/>
        </w:rPr>
      </w:pPr>
      <w:r w:rsidRPr="00C900C3">
        <w:rPr>
          <w:rFonts w:ascii="Arial" w:hAnsi="Arial" w:cs="Arial"/>
        </w:rPr>
        <w:t xml:space="preserve">The liquidity position of Hyundai Motor Company is relatively stable, as evidenced by current and acid-test ratios that are higher than 1.0, which means that the firm can settle short-term liabilities. The negative operating cash flow ratios over the last </w:t>
      </w:r>
      <w:r w:rsidRPr="00C900C3">
        <w:rPr>
          <w:rFonts w:ascii="Arial" w:hAnsi="Arial" w:cs="Arial"/>
        </w:rPr>
        <w:lastRenderedPageBreak/>
        <w:t>several years indicate that the liquidity will depend more on the external sources of financing than on the cash resources generated internally (</w:t>
      </w:r>
      <w:proofErr w:type="spellStart"/>
      <w:r w:rsidRPr="00C900C3">
        <w:rPr>
          <w:rFonts w:ascii="Arial" w:hAnsi="Arial" w:cs="Arial"/>
        </w:rPr>
        <w:t>Kiymaz</w:t>
      </w:r>
      <w:proofErr w:type="spellEnd"/>
      <w:r w:rsidRPr="00C900C3">
        <w:rPr>
          <w:rFonts w:ascii="Arial" w:hAnsi="Arial" w:cs="Arial"/>
        </w:rPr>
        <w:t xml:space="preserve"> et al., 2024; Hyundai, 2024). This imbalance underscores the possible short-term financial strain </w:t>
      </w:r>
      <w:r w:rsidR="00DB79EE" w:rsidRPr="00C900C3">
        <w:rPr>
          <w:rFonts w:ascii="Arial" w:hAnsi="Arial" w:cs="Arial"/>
        </w:rPr>
        <w:t>despite</w:t>
      </w:r>
      <w:r w:rsidRPr="00C900C3">
        <w:rPr>
          <w:rFonts w:ascii="Arial" w:hAnsi="Arial" w:cs="Arial"/>
        </w:rPr>
        <w:t xml:space="preserve"> a satisfactory accounting liquidity status.</w:t>
      </w:r>
    </w:p>
    <w:p w14:paraId="186378C9" w14:textId="77777777" w:rsidR="00B96CFB" w:rsidRPr="00C900C3" w:rsidRDefault="0080051C">
      <w:pPr>
        <w:pStyle w:val="Heading3"/>
        <w:rPr>
          <w:rFonts w:ascii="Arial" w:hAnsi="Arial" w:cs="Arial"/>
        </w:rPr>
      </w:pPr>
      <w:bookmarkStart w:id="25" w:name="_Toc227452769"/>
      <w:r w:rsidRPr="00C900C3">
        <w:rPr>
          <w:rFonts w:ascii="Arial" w:hAnsi="Arial" w:cs="Arial"/>
        </w:rPr>
        <w:t>Efficiency of Working Capital Components</w:t>
      </w:r>
      <w:bookmarkEnd w:id="25"/>
    </w:p>
    <w:p w14:paraId="3B1D7F53" w14:textId="77777777" w:rsidR="00B96CFB" w:rsidRPr="00C900C3" w:rsidRDefault="0080051C">
      <w:pPr>
        <w:rPr>
          <w:rFonts w:ascii="Arial" w:hAnsi="Arial" w:cs="Arial"/>
        </w:rPr>
      </w:pPr>
      <w:r w:rsidRPr="00C900C3">
        <w:rPr>
          <w:rFonts w:ascii="Arial" w:hAnsi="Arial" w:cs="Arial"/>
        </w:rPr>
        <w:t>The effectiveness of working capital has deteriorated over the years, based on rising inventory days (41.22 days in 2024) and receivable days (12.31 days). The trends signify a slow movement of inventory and slow payment of customers, which decreases operational efficiency (Karim et al., 2024). Also, decreasing payable days (19.86 days) indicates that the company is settling its suppliers at faster rates, further constraining cash flow. These trends show the lack of efficiency in operational cycle managemen</w:t>
      </w:r>
      <w:r w:rsidRPr="00C900C3">
        <w:rPr>
          <w:rFonts w:ascii="Arial" w:hAnsi="Arial" w:cs="Arial"/>
        </w:rPr>
        <w:t>t.</w:t>
      </w:r>
    </w:p>
    <w:p w14:paraId="75AA77DA" w14:textId="77777777" w:rsidR="00B96CFB" w:rsidRPr="00C900C3" w:rsidRDefault="0080051C">
      <w:pPr>
        <w:pStyle w:val="Heading3"/>
        <w:rPr>
          <w:rFonts w:ascii="Arial" w:hAnsi="Arial" w:cs="Arial"/>
        </w:rPr>
      </w:pPr>
      <w:bookmarkStart w:id="26" w:name="_Toc227452770"/>
      <w:r w:rsidRPr="00C900C3">
        <w:rPr>
          <w:rFonts w:ascii="Arial" w:hAnsi="Arial" w:cs="Arial"/>
        </w:rPr>
        <w:t>Overall Working Capital Performance</w:t>
      </w:r>
      <w:bookmarkEnd w:id="26"/>
    </w:p>
    <w:p w14:paraId="27C4EB32" w14:textId="77777777" w:rsidR="00B96CFB" w:rsidRPr="00C900C3" w:rsidRDefault="0080051C">
      <w:pPr>
        <w:rPr>
          <w:rFonts w:ascii="Arial" w:hAnsi="Arial" w:cs="Arial"/>
        </w:rPr>
      </w:pPr>
      <w:r w:rsidRPr="00C900C3">
        <w:rPr>
          <w:rFonts w:ascii="Arial" w:hAnsi="Arial" w:cs="Arial"/>
        </w:rPr>
        <w:t>The working capital efficiency of Hyundai is deteriorating as cash conversion cycles are growing, and additional operating needs are emerging. International expansion and shift towards electric vehicles have raised inventory and capital intensity, which extends the cash cycle (</w:t>
      </w:r>
      <w:proofErr w:type="spellStart"/>
      <w:r w:rsidRPr="00C900C3">
        <w:rPr>
          <w:rFonts w:ascii="Arial" w:hAnsi="Arial" w:cs="Arial"/>
        </w:rPr>
        <w:t>Tarkom</w:t>
      </w:r>
      <w:proofErr w:type="spellEnd"/>
      <w:r w:rsidRPr="00C900C3">
        <w:rPr>
          <w:rFonts w:ascii="Arial" w:hAnsi="Arial" w:cs="Arial"/>
        </w:rPr>
        <w:t>, 2022; Rahman, 2023). Although growth strategies boost long-term performance, they also lead to the amplification of short-term liquidity risks and working capital pressures.</w:t>
      </w:r>
    </w:p>
    <w:p w14:paraId="487FA086" w14:textId="77777777" w:rsidR="00B96CFB" w:rsidRPr="00C900C3" w:rsidRDefault="0080051C">
      <w:pPr>
        <w:pStyle w:val="Heading2"/>
        <w:rPr>
          <w:rFonts w:ascii="Arial" w:hAnsi="Arial" w:cs="Arial"/>
          <w:sz w:val="24"/>
          <w:szCs w:val="24"/>
        </w:rPr>
      </w:pPr>
      <w:bookmarkStart w:id="27" w:name="_Toc227452771"/>
      <w:r w:rsidRPr="00C900C3">
        <w:rPr>
          <w:rFonts w:ascii="Arial" w:hAnsi="Arial" w:cs="Arial"/>
          <w:sz w:val="24"/>
          <w:szCs w:val="24"/>
        </w:rPr>
        <w:t>3.3 Improvement Strategies</w:t>
      </w:r>
      <w:bookmarkEnd w:id="27"/>
    </w:p>
    <w:p w14:paraId="633E19D5" w14:textId="77777777" w:rsidR="00B96CFB" w:rsidRPr="00C900C3" w:rsidRDefault="0080051C">
      <w:pPr>
        <w:pStyle w:val="Heading3"/>
        <w:rPr>
          <w:rFonts w:ascii="Arial" w:hAnsi="Arial" w:cs="Arial"/>
        </w:rPr>
      </w:pPr>
      <w:bookmarkStart w:id="28" w:name="_Toc227452772"/>
      <w:r w:rsidRPr="00C900C3">
        <w:rPr>
          <w:rFonts w:ascii="Arial" w:hAnsi="Arial" w:cs="Arial"/>
        </w:rPr>
        <w:t>Inventory Optimisation Strategies</w:t>
      </w:r>
      <w:bookmarkEnd w:id="28"/>
    </w:p>
    <w:p w14:paraId="6071E275" w14:textId="77777777" w:rsidR="00B96CFB" w:rsidRPr="00C900C3" w:rsidRDefault="0080051C">
      <w:pPr>
        <w:rPr>
          <w:rFonts w:ascii="Arial" w:hAnsi="Arial" w:cs="Arial"/>
        </w:rPr>
      </w:pPr>
      <w:r w:rsidRPr="00C900C3">
        <w:rPr>
          <w:rFonts w:ascii="Arial" w:hAnsi="Arial" w:cs="Arial"/>
        </w:rPr>
        <w:t>Hyundai Motor Company needs to upgrade its inventory management through the adoption of superior demand forecasting and “just-in-time (JIT)” systems. The minimization of unnecessary inventory can reduce the inventory days and improve the cash conversion cycle (</w:t>
      </w:r>
      <w:proofErr w:type="spellStart"/>
      <w:r w:rsidRPr="00C900C3">
        <w:rPr>
          <w:rFonts w:ascii="Arial" w:hAnsi="Arial" w:cs="Arial"/>
        </w:rPr>
        <w:t>Kiymaz</w:t>
      </w:r>
      <w:proofErr w:type="spellEnd"/>
      <w:r w:rsidRPr="00C900C3">
        <w:rPr>
          <w:rFonts w:ascii="Arial" w:hAnsi="Arial" w:cs="Arial"/>
        </w:rPr>
        <w:t xml:space="preserve"> et al., 2024; Jo et al., 2023). Digital supply chain technologies and data analytics can be used to match production and demand, especially in EV segments. Effective inventory management saves holding costs and enhances liquidity.</w:t>
      </w:r>
    </w:p>
    <w:p w14:paraId="0C0999CB" w14:textId="77777777" w:rsidR="00B96CFB" w:rsidRPr="00C900C3" w:rsidRDefault="0080051C">
      <w:pPr>
        <w:pStyle w:val="Heading3"/>
        <w:rPr>
          <w:rFonts w:ascii="Arial" w:hAnsi="Arial" w:cs="Arial"/>
        </w:rPr>
      </w:pPr>
      <w:bookmarkStart w:id="29" w:name="_Toc227452773"/>
      <w:r w:rsidRPr="00C900C3">
        <w:rPr>
          <w:rFonts w:ascii="Arial" w:hAnsi="Arial" w:cs="Arial"/>
        </w:rPr>
        <w:lastRenderedPageBreak/>
        <w:t>Receivables Management Improvement</w:t>
      </w:r>
      <w:bookmarkEnd w:id="29"/>
    </w:p>
    <w:p w14:paraId="675DBAD0" w14:textId="77777777" w:rsidR="00B96CFB" w:rsidRPr="00C900C3" w:rsidRDefault="0080051C">
      <w:pPr>
        <w:rPr>
          <w:rFonts w:ascii="Arial" w:hAnsi="Arial" w:cs="Arial"/>
        </w:rPr>
      </w:pPr>
      <w:r w:rsidRPr="00C900C3">
        <w:rPr>
          <w:rFonts w:ascii="Arial" w:hAnsi="Arial" w:cs="Arial"/>
        </w:rPr>
        <w:t>The collection of receivables should be enhanced to hasten inflows of cash. Hyundai ought to intensify credit regulations, set tougher payment conditions, and employ digital invoice solutions to lessen the days of receivables. Early payment discounts and improved customer credit checks can also enhance the efficiency of collection (Karim et al., 2024; Rahman, 2022). The measures assist in minimising working capital invested in receivables and increase stability in the cash flows.</w:t>
      </w:r>
    </w:p>
    <w:p w14:paraId="11D4B500" w14:textId="77777777" w:rsidR="00B96CFB" w:rsidRPr="00C900C3" w:rsidRDefault="0080051C">
      <w:pPr>
        <w:pStyle w:val="Heading3"/>
        <w:rPr>
          <w:rFonts w:ascii="Arial" w:hAnsi="Arial" w:cs="Arial"/>
        </w:rPr>
      </w:pPr>
      <w:bookmarkStart w:id="30" w:name="_Toc227452774"/>
      <w:r w:rsidRPr="00C900C3">
        <w:rPr>
          <w:rFonts w:ascii="Arial" w:hAnsi="Arial" w:cs="Arial"/>
        </w:rPr>
        <w:t>Payables and Financing Strategies</w:t>
      </w:r>
      <w:bookmarkEnd w:id="30"/>
    </w:p>
    <w:p w14:paraId="28308902" w14:textId="77777777" w:rsidR="00B96CFB" w:rsidRPr="00C900C3" w:rsidRDefault="0080051C">
      <w:pPr>
        <w:rPr>
          <w:rFonts w:ascii="Arial" w:hAnsi="Arial" w:cs="Arial"/>
        </w:rPr>
      </w:pPr>
      <w:r w:rsidRPr="00C900C3">
        <w:rPr>
          <w:rFonts w:ascii="Arial" w:hAnsi="Arial" w:cs="Arial"/>
        </w:rPr>
        <w:t>Hyundai can streamline the payable management process by negotiating longer credit terms with suppliers without hurting the relationship. This will enhance retention of cash, and pressure on liquidity will diminish. Moreover, the working capital requirements can be better addressed by balancing between short-term and long-term financing (</w:t>
      </w:r>
      <w:proofErr w:type="spellStart"/>
      <w:r w:rsidRPr="00C900C3">
        <w:rPr>
          <w:rFonts w:ascii="Arial" w:hAnsi="Arial" w:cs="Arial"/>
        </w:rPr>
        <w:t>Tarkom</w:t>
      </w:r>
      <w:proofErr w:type="spellEnd"/>
      <w:r w:rsidRPr="00C900C3">
        <w:rPr>
          <w:rFonts w:ascii="Arial" w:hAnsi="Arial" w:cs="Arial"/>
        </w:rPr>
        <w:t xml:space="preserve">, 2022; </w:t>
      </w:r>
      <w:proofErr w:type="spellStart"/>
      <w:r w:rsidRPr="00C900C3">
        <w:rPr>
          <w:rFonts w:ascii="Arial" w:hAnsi="Arial" w:cs="Arial"/>
        </w:rPr>
        <w:t>Kiymaz</w:t>
      </w:r>
      <w:proofErr w:type="spellEnd"/>
      <w:r w:rsidRPr="00C900C3">
        <w:rPr>
          <w:rFonts w:ascii="Arial" w:hAnsi="Arial" w:cs="Arial"/>
        </w:rPr>
        <w:t xml:space="preserve"> et al., 2024). The financial flexibility and sustainability can be improved through strategic financing decisions, which are coupled with better working capital policies.</w:t>
      </w:r>
    </w:p>
    <w:p w14:paraId="6904DA8E" w14:textId="77777777" w:rsidR="00B96CFB" w:rsidRPr="00C900C3" w:rsidRDefault="0080051C">
      <w:pPr>
        <w:pStyle w:val="Heading2"/>
        <w:rPr>
          <w:rFonts w:ascii="Arial" w:hAnsi="Arial" w:cs="Arial"/>
          <w:sz w:val="24"/>
          <w:szCs w:val="24"/>
        </w:rPr>
      </w:pPr>
      <w:bookmarkStart w:id="31" w:name="_Toc227452775"/>
      <w:r w:rsidRPr="00C900C3">
        <w:rPr>
          <w:rFonts w:ascii="Arial" w:hAnsi="Arial" w:cs="Arial"/>
          <w:sz w:val="24"/>
          <w:szCs w:val="24"/>
        </w:rPr>
        <w:t>3.4 Financing Options</w:t>
      </w:r>
      <w:bookmarkEnd w:id="31"/>
    </w:p>
    <w:p w14:paraId="7A4168B4" w14:textId="77777777" w:rsidR="00B96CFB" w:rsidRPr="00C900C3" w:rsidRDefault="0080051C">
      <w:pPr>
        <w:pStyle w:val="Heading3"/>
        <w:rPr>
          <w:rFonts w:ascii="Arial" w:hAnsi="Arial" w:cs="Arial"/>
        </w:rPr>
      </w:pPr>
      <w:bookmarkStart w:id="32" w:name="_Toc227452776"/>
      <w:r w:rsidRPr="00C900C3">
        <w:rPr>
          <w:rFonts w:ascii="Arial" w:hAnsi="Arial" w:cs="Arial"/>
        </w:rPr>
        <w:t>Short-Term Financing Options</w:t>
      </w:r>
      <w:bookmarkEnd w:id="32"/>
    </w:p>
    <w:p w14:paraId="3A5AA98B" w14:textId="77777777" w:rsidR="00B96CFB" w:rsidRPr="00C900C3" w:rsidRDefault="0080051C">
      <w:pPr>
        <w:rPr>
          <w:rFonts w:ascii="Arial" w:hAnsi="Arial" w:cs="Arial"/>
        </w:rPr>
      </w:pPr>
      <w:r w:rsidRPr="00C900C3">
        <w:rPr>
          <w:rFonts w:ascii="Arial" w:hAnsi="Arial" w:cs="Arial"/>
        </w:rPr>
        <w:t>Short-term financing that Hyundai Motor Company can use to address urgent working capital requirements includes bank overdrafts, trade credit, and commercial paper. These facilities offer adaptability and fast availability of funds, assisting in covering temporary liquidity constraints brought about by larger inventory and receivables (</w:t>
      </w:r>
      <w:proofErr w:type="spellStart"/>
      <w:r w:rsidRPr="00C900C3">
        <w:rPr>
          <w:rFonts w:ascii="Arial" w:hAnsi="Arial" w:cs="Arial"/>
        </w:rPr>
        <w:t>Tarkom</w:t>
      </w:r>
      <w:proofErr w:type="spellEnd"/>
      <w:r w:rsidRPr="00C900C3">
        <w:rPr>
          <w:rFonts w:ascii="Arial" w:hAnsi="Arial" w:cs="Arial"/>
        </w:rPr>
        <w:t xml:space="preserve">, 2022; </w:t>
      </w:r>
      <w:proofErr w:type="spellStart"/>
      <w:r w:rsidRPr="00C900C3">
        <w:rPr>
          <w:rFonts w:ascii="Arial" w:hAnsi="Arial" w:cs="Arial"/>
        </w:rPr>
        <w:t>Kiymaz</w:t>
      </w:r>
      <w:proofErr w:type="spellEnd"/>
      <w:r w:rsidRPr="00C900C3">
        <w:rPr>
          <w:rFonts w:ascii="Arial" w:hAnsi="Arial" w:cs="Arial"/>
        </w:rPr>
        <w:t xml:space="preserve"> et al., 2024). Nonetheless, overdependence on short-term funding can escalate the risk of refinancing and interest costs, especially in times of economic instability.</w:t>
      </w:r>
    </w:p>
    <w:p w14:paraId="4326FF8E" w14:textId="77777777" w:rsidR="00B96CFB" w:rsidRPr="00C900C3" w:rsidRDefault="0080051C">
      <w:pPr>
        <w:pStyle w:val="Heading3"/>
        <w:rPr>
          <w:rFonts w:ascii="Arial" w:hAnsi="Arial" w:cs="Arial"/>
        </w:rPr>
      </w:pPr>
      <w:bookmarkStart w:id="33" w:name="_Toc227452777"/>
      <w:r w:rsidRPr="00C900C3">
        <w:rPr>
          <w:rFonts w:ascii="Arial" w:hAnsi="Arial" w:cs="Arial"/>
        </w:rPr>
        <w:t>Long-Term Financing Options</w:t>
      </w:r>
      <w:bookmarkEnd w:id="33"/>
    </w:p>
    <w:p w14:paraId="4A26BE0E" w14:textId="77777777" w:rsidR="00B96CFB" w:rsidRPr="00C900C3" w:rsidRDefault="0080051C">
      <w:pPr>
        <w:rPr>
          <w:rFonts w:ascii="Arial" w:hAnsi="Arial" w:cs="Arial"/>
        </w:rPr>
      </w:pPr>
      <w:r w:rsidRPr="00C900C3">
        <w:rPr>
          <w:rFonts w:ascii="Arial" w:hAnsi="Arial" w:cs="Arial"/>
        </w:rPr>
        <w:t xml:space="preserve">Issuing long-run financing can be in the form of bonds, equity financing, and long-term loans. These are sources that </w:t>
      </w:r>
      <w:proofErr w:type="spellStart"/>
      <w:r w:rsidRPr="00C900C3">
        <w:rPr>
          <w:rFonts w:ascii="Arial" w:hAnsi="Arial" w:cs="Arial"/>
        </w:rPr>
        <w:t>favor</w:t>
      </w:r>
      <w:proofErr w:type="spellEnd"/>
      <w:r w:rsidRPr="00C900C3">
        <w:rPr>
          <w:rFonts w:ascii="Arial" w:hAnsi="Arial" w:cs="Arial"/>
        </w:rPr>
        <w:t xml:space="preserve"> capital-heavy investments, particularly in the development of electric vehicles and international growth (</w:t>
      </w:r>
      <w:proofErr w:type="spellStart"/>
      <w:r w:rsidRPr="00C900C3">
        <w:rPr>
          <w:rFonts w:ascii="Arial" w:hAnsi="Arial" w:cs="Arial"/>
        </w:rPr>
        <w:t>Zaramella</w:t>
      </w:r>
      <w:proofErr w:type="spellEnd"/>
      <w:r w:rsidRPr="00C900C3">
        <w:rPr>
          <w:rFonts w:ascii="Arial" w:hAnsi="Arial" w:cs="Arial"/>
        </w:rPr>
        <w:t xml:space="preserve">, 2023; Celestin, </w:t>
      </w:r>
      <w:r w:rsidRPr="00C900C3">
        <w:rPr>
          <w:rFonts w:ascii="Arial" w:hAnsi="Arial" w:cs="Arial"/>
        </w:rPr>
        <w:lastRenderedPageBreak/>
        <w:t>2024). Equity financing minimizes the financial risk because it decreases the leverage, whereas the long-term debt is stable with the arranged repayment schedules. Nonetheless, the increased debt level can lead to augmented gearing and financial commitments.</w:t>
      </w:r>
    </w:p>
    <w:p w14:paraId="4B560643" w14:textId="77777777" w:rsidR="00B96CFB" w:rsidRPr="00C900C3" w:rsidRDefault="0080051C">
      <w:pPr>
        <w:pStyle w:val="Heading3"/>
        <w:rPr>
          <w:rFonts w:ascii="Arial" w:hAnsi="Arial" w:cs="Arial"/>
        </w:rPr>
      </w:pPr>
      <w:bookmarkStart w:id="34" w:name="_Toc227452778"/>
      <w:r w:rsidRPr="00C900C3">
        <w:rPr>
          <w:rFonts w:ascii="Arial" w:hAnsi="Arial" w:cs="Arial"/>
        </w:rPr>
        <w:t>Evaluation and Strategic Recommendation</w:t>
      </w:r>
      <w:bookmarkEnd w:id="34"/>
    </w:p>
    <w:p w14:paraId="3E3B16C0" w14:textId="77777777" w:rsidR="00B96CFB" w:rsidRPr="00C900C3" w:rsidRDefault="0080051C">
      <w:pPr>
        <w:rPr>
          <w:rFonts w:ascii="Arial" w:hAnsi="Arial" w:cs="Arial"/>
        </w:rPr>
      </w:pPr>
      <w:r w:rsidRPr="00C900C3">
        <w:rPr>
          <w:rFonts w:ascii="Arial" w:hAnsi="Arial" w:cs="Arial"/>
        </w:rPr>
        <w:t>A balanced financing strategy is essential for Hyundai. Combining short-term liquidity solutions with long-term capital funding can optimise financial stability. The firm needs to minimize the reliance on short-term debt and enhance equity funding to sustain growth and risk management (</w:t>
      </w:r>
      <w:proofErr w:type="spellStart"/>
      <w:r w:rsidRPr="00C900C3">
        <w:rPr>
          <w:rFonts w:ascii="Arial" w:hAnsi="Arial" w:cs="Arial"/>
        </w:rPr>
        <w:t>Awodire</w:t>
      </w:r>
      <w:proofErr w:type="spellEnd"/>
      <w:r w:rsidRPr="00C900C3">
        <w:rPr>
          <w:rFonts w:ascii="Arial" w:hAnsi="Arial" w:cs="Arial"/>
        </w:rPr>
        <w:t xml:space="preserve"> et al., 2023; </w:t>
      </w:r>
      <w:proofErr w:type="spellStart"/>
      <w:r w:rsidRPr="00C900C3">
        <w:rPr>
          <w:rFonts w:ascii="Arial" w:hAnsi="Arial" w:cs="Arial"/>
        </w:rPr>
        <w:t>Purnamasari</w:t>
      </w:r>
      <w:proofErr w:type="spellEnd"/>
      <w:r w:rsidRPr="00C900C3">
        <w:rPr>
          <w:rFonts w:ascii="Arial" w:hAnsi="Arial" w:cs="Arial"/>
        </w:rPr>
        <w:t xml:space="preserve"> and </w:t>
      </w:r>
      <w:proofErr w:type="spellStart"/>
      <w:r w:rsidRPr="00C900C3">
        <w:rPr>
          <w:rFonts w:ascii="Arial" w:hAnsi="Arial" w:cs="Arial"/>
        </w:rPr>
        <w:t>Adriza</w:t>
      </w:r>
      <w:proofErr w:type="spellEnd"/>
      <w:r w:rsidRPr="00C900C3">
        <w:rPr>
          <w:rFonts w:ascii="Arial" w:hAnsi="Arial" w:cs="Arial"/>
        </w:rPr>
        <w:t>, 2024). This would help increase the flexibility of finances and fit the long-term strategic goals.</w:t>
      </w:r>
    </w:p>
    <w:p w14:paraId="7BE4987E" w14:textId="6B3FAF4D" w:rsidR="00B96CFB" w:rsidRPr="00C900C3" w:rsidRDefault="0080051C">
      <w:pPr>
        <w:pStyle w:val="Heading1"/>
        <w:rPr>
          <w:rFonts w:ascii="Arial" w:hAnsi="Arial" w:cs="Arial"/>
          <w:sz w:val="24"/>
          <w:szCs w:val="24"/>
        </w:rPr>
      </w:pPr>
      <w:bookmarkStart w:id="35" w:name="_Toc227452779"/>
      <w:r w:rsidRPr="00C900C3">
        <w:rPr>
          <w:rFonts w:ascii="Arial" w:hAnsi="Arial" w:cs="Arial"/>
          <w:sz w:val="24"/>
          <w:szCs w:val="24"/>
        </w:rPr>
        <w:t>4.0 Strategic Financial Restructuring Plan</w:t>
      </w:r>
      <w:bookmarkEnd w:id="35"/>
    </w:p>
    <w:p w14:paraId="0BBB0453" w14:textId="77777777" w:rsidR="00B96CFB" w:rsidRPr="00C900C3" w:rsidRDefault="0080051C">
      <w:pPr>
        <w:pStyle w:val="Heading2"/>
        <w:rPr>
          <w:rFonts w:ascii="Arial" w:hAnsi="Arial" w:cs="Arial"/>
          <w:sz w:val="24"/>
          <w:szCs w:val="24"/>
        </w:rPr>
      </w:pPr>
      <w:bookmarkStart w:id="36" w:name="_Toc227452780"/>
      <w:r w:rsidRPr="00C900C3">
        <w:rPr>
          <w:rFonts w:ascii="Arial" w:hAnsi="Arial" w:cs="Arial"/>
          <w:sz w:val="24"/>
          <w:szCs w:val="24"/>
        </w:rPr>
        <w:t>4.1 Identification of Financial Problems</w:t>
      </w:r>
      <w:bookmarkEnd w:id="36"/>
    </w:p>
    <w:p w14:paraId="20A1A305" w14:textId="77777777" w:rsidR="00B96CFB" w:rsidRPr="00C900C3" w:rsidRDefault="0080051C">
      <w:pPr>
        <w:pStyle w:val="Heading3"/>
        <w:rPr>
          <w:rFonts w:ascii="Arial" w:hAnsi="Arial" w:cs="Arial"/>
        </w:rPr>
      </w:pPr>
      <w:bookmarkStart w:id="37" w:name="_Toc227452781"/>
      <w:r w:rsidRPr="00C900C3">
        <w:rPr>
          <w:rFonts w:ascii="Arial" w:hAnsi="Arial" w:cs="Arial"/>
        </w:rPr>
        <w:t>Rising Leverage and Financial Risk</w:t>
      </w:r>
      <w:bookmarkEnd w:id="37"/>
    </w:p>
    <w:p w14:paraId="73F7B980" w14:textId="77777777" w:rsidR="00B96CFB" w:rsidRPr="00C900C3" w:rsidRDefault="0080051C">
      <w:pPr>
        <w:rPr>
          <w:rFonts w:ascii="Arial" w:hAnsi="Arial" w:cs="Arial"/>
        </w:rPr>
      </w:pPr>
      <w:r w:rsidRPr="00C900C3">
        <w:rPr>
          <w:rFonts w:ascii="Arial" w:hAnsi="Arial" w:cs="Arial"/>
        </w:rPr>
        <w:t>The financial risk of Hyundai Motor Company is increasingly becoming risky with the increase in leverage, as indicated by a steadily high debt-to-equity ratio of approximately 1.83 in 2024. It means that to finance its growth, the company heavily depends on debt financing, especially in the development of electric vehicles (EVs) (</w:t>
      </w:r>
      <w:proofErr w:type="spellStart"/>
      <w:r w:rsidRPr="00C900C3">
        <w:rPr>
          <w:rFonts w:ascii="Arial" w:hAnsi="Arial" w:cs="Arial"/>
        </w:rPr>
        <w:t>Zaramella</w:t>
      </w:r>
      <w:proofErr w:type="spellEnd"/>
      <w:r w:rsidRPr="00C900C3">
        <w:rPr>
          <w:rFonts w:ascii="Arial" w:hAnsi="Arial" w:cs="Arial"/>
        </w:rPr>
        <w:t>, 2023; Celestin, 2024). Although debt is a good strategy to grow, too much leverage can lead to higher interest rates and financial exposure, particularly in a recession.</w:t>
      </w:r>
    </w:p>
    <w:p w14:paraId="019456AB" w14:textId="77777777" w:rsidR="00B96CFB" w:rsidRPr="00C900C3" w:rsidRDefault="0080051C">
      <w:pPr>
        <w:pStyle w:val="Heading3"/>
        <w:rPr>
          <w:rFonts w:ascii="Arial" w:hAnsi="Arial" w:cs="Arial"/>
        </w:rPr>
      </w:pPr>
      <w:bookmarkStart w:id="38" w:name="_Toc227452782"/>
      <w:r w:rsidRPr="00C900C3">
        <w:rPr>
          <w:rFonts w:ascii="Arial" w:hAnsi="Arial" w:cs="Arial"/>
        </w:rPr>
        <w:t>Declining Working Capital Efficiency</w:t>
      </w:r>
      <w:bookmarkEnd w:id="38"/>
    </w:p>
    <w:p w14:paraId="32CD98A4" w14:textId="77777777" w:rsidR="00B96CFB" w:rsidRPr="00C900C3" w:rsidRDefault="0080051C">
      <w:pPr>
        <w:rPr>
          <w:rFonts w:ascii="Arial" w:hAnsi="Arial" w:cs="Arial"/>
        </w:rPr>
      </w:pPr>
      <w:r w:rsidRPr="00C900C3">
        <w:rPr>
          <w:rFonts w:ascii="Arial" w:hAnsi="Arial" w:cs="Arial"/>
        </w:rPr>
        <w:t>The working capital efficiency of the company has deteriorated, as shown by increasing cash conversion cycle and increasing inventory and receivable days. This indicates reduced cash flows and increased capital investments in operation (</w:t>
      </w:r>
      <w:proofErr w:type="spellStart"/>
      <w:r w:rsidRPr="00C900C3">
        <w:rPr>
          <w:rFonts w:ascii="Arial" w:hAnsi="Arial" w:cs="Arial"/>
        </w:rPr>
        <w:t>Kiymaz</w:t>
      </w:r>
      <w:proofErr w:type="spellEnd"/>
      <w:r w:rsidRPr="00C900C3">
        <w:rPr>
          <w:rFonts w:ascii="Arial" w:hAnsi="Arial" w:cs="Arial"/>
        </w:rPr>
        <w:t xml:space="preserve"> et al., 2024; Karim et al., 2024). Moreover, decreasing payable days decreases the capacity of the firm to use supplier financing, which further strains liquidity and working cash flows.</w:t>
      </w:r>
    </w:p>
    <w:p w14:paraId="1465A01A" w14:textId="77777777" w:rsidR="00B96CFB" w:rsidRPr="00C900C3" w:rsidRDefault="0080051C">
      <w:pPr>
        <w:pStyle w:val="Heading3"/>
        <w:rPr>
          <w:rFonts w:ascii="Arial" w:hAnsi="Arial" w:cs="Arial"/>
        </w:rPr>
      </w:pPr>
      <w:bookmarkStart w:id="39" w:name="_Toc227452783"/>
      <w:r w:rsidRPr="00C900C3">
        <w:rPr>
          <w:rFonts w:ascii="Arial" w:hAnsi="Arial" w:cs="Arial"/>
        </w:rPr>
        <w:lastRenderedPageBreak/>
        <w:t>Cash Flow Constraints and Liquidity Pressure</w:t>
      </w:r>
      <w:bookmarkEnd w:id="39"/>
    </w:p>
    <w:p w14:paraId="19BBC03B" w14:textId="6B1DD542" w:rsidR="00B96CFB" w:rsidRPr="00C900C3" w:rsidRDefault="0080051C">
      <w:pPr>
        <w:rPr>
          <w:rFonts w:ascii="Arial" w:hAnsi="Arial" w:cs="Arial"/>
        </w:rPr>
      </w:pPr>
      <w:r w:rsidRPr="00C900C3">
        <w:rPr>
          <w:rFonts w:ascii="Arial" w:hAnsi="Arial" w:cs="Arial"/>
        </w:rPr>
        <w:t>Hyundai has negative operating cash flow ratios over the last several years, which means it has not generated enough internal cash to meet its short-term liabilities, although they are very profitable. It generates the reliance on external financing and questions the sustainability of liquidity (</w:t>
      </w:r>
      <w:proofErr w:type="spellStart"/>
      <w:r w:rsidRPr="00C900C3">
        <w:rPr>
          <w:rFonts w:ascii="Arial" w:hAnsi="Arial" w:cs="Arial"/>
        </w:rPr>
        <w:t>Tarkom</w:t>
      </w:r>
      <w:proofErr w:type="spellEnd"/>
      <w:r w:rsidRPr="00C900C3">
        <w:rPr>
          <w:rFonts w:ascii="Arial" w:hAnsi="Arial" w:cs="Arial"/>
        </w:rPr>
        <w:t xml:space="preserve">, 2022; Hyundai, 2024). They are </w:t>
      </w:r>
      <w:r w:rsidR="00662596" w:rsidRPr="00C900C3">
        <w:rPr>
          <w:rFonts w:ascii="Arial" w:hAnsi="Arial" w:cs="Arial"/>
        </w:rPr>
        <w:t>largely</w:t>
      </w:r>
      <w:r w:rsidRPr="00C900C3">
        <w:rPr>
          <w:rFonts w:ascii="Arial" w:hAnsi="Arial" w:cs="Arial"/>
        </w:rPr>
        <w:t xml:space="preserve"> propelled by the heavy capital spending and entering the EV markets, which demand high initial investment.</w:t>
      </w:r>
    </w:p>
    <w:p w14:paraId="52CA4ACC" w14:textId="77777777" w:rsidR="00B96CFB" w:rsidRPr="00C900C3" w:rsidRDefault="0080051C">
      <w:pPr>
        <w:pStyle w:val="Heading2"/>
        <w:rPr>
          <w:rFonts w:ascii="Arial" w:hAnsi="Arial" w:cs="Arial"/>
          <w:sz w:val="24"/>
          <w:szCs w:val="24"/>
        </w:rPr>
      </w:pPr>
      <w:bookmarkStart w:id="40" w:name="_Toc227452784"/>
      <w:r w:rsidRPr="00C900C3">
        <w:rPr>
          <w:rFonts w:ascii="Arial" w:hAnsi="Arial" w:cs="Arial"/>
          <w:sz w:val="24"/>
          <w:szCs w:val="24"/>
        </w:rPr>
        <w:t>4.2 Proposed Restructuring Strategies</w:t>
      </w:r>
      <w:bookmarkEnd w:id="40"/>
    </w:p>
    <w:p w14:paraId="35A44E83" w14:textId="77777777" w:rsidR="00B96CFB" w:rsidRPr="00C900C3" w:rsidRDefault="0080051C">
      <w:pPr>
        <w:pStyle w:val="Heading3"/>
        <w:rPr>
          <w:rFonts w:ascii="Arial" w:hAnsi="Arial" w:cs="Arial"/>
        </w:rPr>
      </w:pPr>
      <w:bookmarkStart w:id="41" w:name="_Toc227452785"/>
      <w:r w:rsidRPr="00C900C3">
        <w:rPr>
          <w:rFonts w:ascii="Arial" w:hAnsi="Arial" w:cs="Arial"/>
        </w:rPr>
        <w:t>Debt Restructuring and Capital Rebalancing</w:t>
      </w:r>
      <w:bookmarkEnd w:id="41"/>
    </w:p>
    <w:p w14:paraId="7B64C403" w14:textId="77777777" w:rsidR="00B96CFB" w:rsidRPr="00C900C3" w:rsidRDefault="0080051C">
      <w:pPr>
        <w:rPr>
          <w:rFonts w:ascii="Arial" w:hAnsi="Arial" w:cs="Arial"/>
        </w:rPr>
      </w:pPr>
      <w:r w:rsidRPr="00C900C3">
        <w:rPr>
          <w:rFonts w:ascii="Arial" w:hAnsi="Arial" w:cs="Arial"/>
        </w:rPr>
        <w:t>Hyundai Motor Company needs to focus on reorganising its debt structure by refinancing high-cost borrowings with long-term, low-cost instruments. Prolonging the debt maturities would help to alleviate the short-term repayment pressure and enhance the liquidity (</w:t>
      </w:r>
      <w:proofErr w:type="spellStart"/>
      <w:r w:rsidRPr="00C900C3">
        <w:rPr>
          <w:rFonts w:ascii="Arial" w:hAnsi="Arial" w:cs="Arial"/>
        </w:rPr>
        <w:t>Zaramella</w:t>
      </w:r>
      <w:proofErr w:type="spellEnd"/>
      <w:r w:rsidRPr="00C900C3">
        <w:rPr>
          <w:rFonts w:ascii="Arial" w:hAnsi="Arial" w:cs="Arial"/>
        </w:rPr>
        <w:t>, 2023; Celestin, 2024). Moreover, the capital structure can be rebalanced by such partial deleveraging as equity financing, which reduces financial risk and increases creditworthiness. This type of strategy promotes sustainable financial viability and allows growth potential.</w:t>
      </w:r>
    </w:p>
    <w:p w14:paraId="63C0B1C8" w14:textId="77777777" w:rsidR="00B96CFB" w:rsidRPr="00C900C3" w:rsidRDefault="0080051C">
      <w:pPr>
        <w:pStyle w:val="Heading3"/>
        <w:rPr>
          <w:rFonts w:ascii="Arial" w:hAnsi="Arial" w:cs="Arial"/>
        </w:rPr>
      </w:pPr>
      <w:bookmarkStart w:id="42" w:name="_Toc227452786"/>
      <w:r w:rsidRPr="00C900C3">
        <w:rPr>
          <w:rFonts w:ascii="Arial" w:hAnsi="Arial" w:cs="Arial"/>
        </w:rPr>
        <w:t>Asset Rationalisation and Divestment</w:t>
      </w:r>
      <w:bookmarkEnd w:id="42"/>
    </w:p>
    <w:p w14:paraId="727127E2" w14:textId="77777777" w:rsidR="00B96CFB" w:rsidRPr="00C900C3" w:rsidRDefault="0080051C">
      <w:pPr>
        <w:rPr>
          <w:rFonts w:ascii="Arial" w:hAnsi="Arial" w:cs="Arial"/>
        </w:rPr>
      </w:pPr>
      <w:r w:rsidRPr="00C900C3">
        <w:rPr>
          <w:rFonts w:ascii="Arial" w:hAnsi="Arial" w:cs="Arial"/>
        </w:rPr>
        <w:t>Dividing the non-core or poorly performing assets will help the company to enhance its financial efficiency. Asset rationalisation enables Hyundai to release capital, simplify operations, and shift resources to high-growth areas like electric vehicles and digital technologies (</w:t>
      </w:r>
      <w:proofErr w:type="spellStart"/>
      <w:r w:rsidRPr="00C900C3">
        <w:rPr>
          <w:rFonts w:ascii="Arial" w:hAnsi="Arial" w:cs="Arial"/>
        </w:rPr>
        <w:t>Awodire</w:t>
      </w:r>
      <w:proofErr w:type="spellEnd"/>
      <w:r w:rsidRPr="00C900C3">
        <w:rPr>
          <w:rFonts w:ascii="Arial" w:hAnsi="Arial" w:cs="Arial"/>
        </w:rPr>
        <w:t xml:space="preserve"> et al., 2023; Ryu and Do, 2023). This strategic focus enhances operational efficiency and supports long-term value creation.</w:t>
      </w:r>
    </w:p>
    <w:p w14:paraId="7A140E52" w14:textId="77777777" w:rsidR="00B96CFB" w:rsidRPr="00C900C3" w:rsidRDefault="0080051C">
      <w:pPr>
        <w:pStyle w:val="Heading3"/>
        <w:rPr>
          <w:rFonts w:ascii="Arial" w:hAnsi="Arial" w:cs="Arial"/>
        </w:rPr>
      </w:pPr>
      <w:bookmarkStart w:id="43" w:name="_Toc227452787"/>
      <w:r w:rsidRPr="00C900C3">
        <w:rPr>
          <w:rFonts w:ascii="Arial" w:hAnsi="Arial" w:cs="Arial"/>
        </w:rPr>
        <w:t>Strategic Partnerships and Investment Optimisation</w:t>
      </w:r>
      <w:bookmarkEnd w:id="43"/>
    </w:p>
    <w:p w14:paraId="6E765E7E" w14:textId="77777777" w:rsidR="00B96CFB" w:rsidRPr="00C900C3" w:rsidRDefault="0080051C">
      <w:pPr>
        <w:rPr>
          <w:rFonts w:ascii="Arial" w:hAnsi="Arial" w:cs="Arial"/>
        </w:rPr>
      </w:pPr>
      <w:r w:rsidRPr="00C900C3">
        <w:rPr>
          <w:rFonts w:ascii="Arial" w:hAnsi="Arial" w:cs="Arial"/>
        </w:rPr>
        <w:t>Capital burden can be minimized through forming strategic alliances or joint ventures, and innovation can be accelerated. Financial risk can be shared in collaborations in EV technology, battery development, and global distribution, and the competitiveness can be enhanced (</w:t>
      </w:r>
      <w:proofErr w:type="spellStart"/>
      <w:r w:rsidRPr="00C900C3">
        <w:rPr>
          <w:rFonts w:ascii="Arial" w:hAnsi="Arial" w:cs="Arial"/>
        </w:rPr>
        <w:t>Purnamasari</w:t>
      </w:r>
      <w:proofErr w:type="spellEnd"/>
      <w:r w:rsidRPr="00C900C3">
        <w:rPr>
          <w:rFonts w:ascii="Arial" w:hAnsi="Arial" w:cs="Arial"/>
        </w:rPr>
        <w:t xml:space="preserve"> and </w:t>
      </w:r>
      <w:proofErr w:type="spellStart"/>
      <w:r w:rsidRPr="00C900C3">
        <w:rPr>
          <w:rFonts w:ascii="Arial" w:hAnsi="Arial" w:cs="Arial"/>
        </w:rPr>
        <w:t>Adriza</w:t>
      </w:r>
      <w:proofErr w:type="spellEnd"/>
      <w:r w:rsidRPr="00C900C3">
        <w:rPr>
          <w:rFonts w:ascii="Arial" w:hAnsi="Arial" w:cs="Arial"/>
        </w:rPr>
        <w:t xml:space="preserve">, 2024; </w:t>
      </w:r>
      <w:proofErr w:type="spellStart"/>
      <w:r w:rsidRPr="00C900C3">
        <w:rPr>
          <w:rFonts w:ascii="Arial" w:hAnsi="Arial" w:cs="Arial"/>
        </w:rPr>
        <w:t>Awodire</w:t>
      </w:r>
      <w:proofErr w:type="spellEnd"/>
      <w:r w:rsidRPr="00C900C3">
        <w:rPr>
          <w:rFonts w:ascii="Arial" w:hAnsi="Arial" w:cs="Arial"/>
        </w:rPr>
        <w:t xml:space="preserve"> et al., 2023). Moreover, </w:t>
      </w:r>
      <w:r w:rsidRPr="00C900C3">
        <w:rPr>
          <w:rFonts w:ascii="Arial" w:hAnsi="Arial" w:cs="Arial"/>
        </w:rPr>
        <w:lastRenderedPageBreak/>
        <w:t>disciplined capital budgeting practices will help ensure that investments are geared to profitability and long-term strategic goals, enhancing financial performance.</w:t>
      </w:r>
    </w:p>
    <w:p w14:paraId="4E13E79B" w14:textId="77777777" w:rsidR="00B96CFB" w:rsidRPr="00C900C3" w:rsidRDefault="0080051C">
      <w:pPr>
        <w:pStyle w:val="Heading2"/>
        <w:rPr>
          <w:rFonts w:ascii="Arial" w:hAnsi="Arial" w:cs="Arial"/>
          <w:sz w:val="24"/>
          <w:szCs w:val="24"/>
        </w:rPr>
      </w:pPr>
      <w:bookmarkStart w:id="44" w:name="_Toc227452788"/>
      <w:r w:rsidRPr="00C900C3">
        <w:rPr>
          <w:rFonts w:ascii="Arial" w:hAnsi="Arial" w:cs="Arial"/>
          <w:sz w:val="24"/>
          <w:szCs w:val="24"/>
        </w:rPr>
        <w:t>4.3 Impact Evaluation</w:t>
      </w:r>
      <w:bookmarkEnd w:id="44"/>
    </w:p>
    <w:p w14:paraId="6CA90B6F" w14:textId="77777777" w:rsidR="00B96CFB" w:rsidRPr="00C900C3" w:rsidRDefault="0080051C">
      <w:pPr>
        <w:pStyle w:val="Heading3"/>
        <w:rPr>
          <w:rFonts w:ascii="Arial" w:hAnsi="Arial" w:cs="Arial"/>
        </w:rPr>
      </w:pPr>
      <w:bookmarkStart w:id="45" w:name="_Toc227452789"/>
      <w:r w:rsidRPr="00C900C3">
        <w:rPr>
          <w:rFonts w:ascii="Arial" w:hAnsi="Arial" w:cs="Arial"/>
        </w:rPr>
        <w:t>Impact on Shareholder Value</w:t>
      </w:r>
      <w:bookmarkEnd w:id="45"/>
    </w:p>
    <w:p w14:paraId="2C289145" w14:textId="77777777" w:rsidR="00B96CFB" w:rsidRPr="00C900C3" w:rsidRDefault="0080051C">
      <w:pPr>
        <w:rPr>
          <w:rFonts w:ascii="Arial" w:hAnsi="Arial" w:cs="Arial"/>
        </w:rPr>
      </w:pPr>
      <w:r w:rsidRPr="00C900C3">
        <w:rPr>
          <w:rFonts w:ascii="Arial" w:hAnsi="Arial" w:cs="Arial"/>
        </w:rPr>
        <w:t>The restructuring plans offered are likely to boost shareholder value through profitability and minimizing financial risk. The reduced level of debt and enhanced capital efficiency can raise the level of return on equity and investor confidence (</w:t>
      </w:r>
      <w:proofErr w:type="spellStart"/>
      <w:r w:rsidRPr="00C900C3">
        <w:rPr>
          <w:rFonts w:ascii="Arial" w:hAnsi="Arial" w:cs="Arial"/>
        </w:rPr>
        <w:t>Purnamasari</w:t>
      </w:r>
      <w:proofErr w:type="spellEnd"/>
      <w:r w:rsidRPr="00C900C3">
        <w:rPr>
          <w:rFonts w:ascii="Arial" w:hAnsi="Arial" w:cs="Arial"/>
        </w:rPr>
        <w:t xml:space="preserve"> and </w:t>
      </w:r>
      <w:proofErr w:type="spellStart"/>
      <w:r w:rsidRPr="00C900C3">
        <w:rPr>
          <w:rFonts w:ascii="Arial" w:hAnsi="Arial" w:cs="Arial"/>
        </w:rPr>
        <w:t>Adriza</w:t>
      </w:r>
      <w:proofErr w:type="spellEnd"/>
      <w:r w:rsidRPr="00C900C3">
        <w:rPr>
          <w:rFonts w:ascii="Arial" w:hAnsi="Arial" w:cs="Arial"/>
        </w:rPr>
        <w:t xml:space="preserve">, 2024; </w:t>
      </w:r>
      <w:proofErr w:type="spellStart"/>
      <w:r w:rsidRPr="00C900C3">
        <w:rPr>
          <w:rFonts w:ascii="Arial" w:hAnsi="Arial" w:cs="Arial"/>
        </w:rPr>
        <w:t>Awodire</w:t>
      </w:r>
      <w:proofErr w:type="spellEnd"/>
      <w:r w:rsidRPr="00C900C3">
        <w:rPr>
          <w:rFonts w:ascii="Arial" w:hAnsi="Arial" w:cs="Arial"/>
        </w:rPr>
        <w:t xml:space="preserve"> et al., 2023). Additionally, focusing investments on high-growth areas such as electric vehicles can generate sustainable returns and long-term value creation.</w:t>
      </w:r>
    </w:p>
    <w:p w14:paraId="2B59C5EE" w14:textId="77777777" w:rsidR="00B96CFB" w:rsidRPr="00C900C3" w:rsidRDefault="0080051C">
      <w:pPr>
        <w:pStyle w:val="Heading3"/>
        <w:rPr>
          <w:rFonts w:ascii="Arial" w:hAnsi="Arial" w:cs="Arial"/>
        </w:rPr>
      </w:pPr>
      <w:bookmarkStart w:id="46" w:name="_Toc227452790"/>
      <w:r w:rsidRPr="00C900C3">
        <w:rPr>
          <w:rFonts w:ascii="Arial" w:hAnsi="Arial" w:cs="Arial"/>
        </w:rPr>
        <w:t>Impact on Financial Risk and Debt Structure</w:t>
      </w:r>
      <w:bookmarkEnd w:id="46"/>
    </w:p>
    <w:p w14:paraId="2E0B0857" w14:textId="77777777" w:rsidR="00B96CFB" w:rsidRPr="00C900C3" w:rsidRDefault="0080051C">
      <w:pPr>
        <w:rPr>
          <w:rFonts w:ascii="Arial" w:hAnsi="Arial" w:cs="Arial"/>
        </w:rPr>
      </w:pPr>
      <w:r w:rsidRPr="00C900C3">
        <w:rPr>
          <w:rFonts w:ascii="Arial" w:hAnsi="Arial" w:cs="Arial"/>
        </w:rPr>
        <w:t>The restructuring of debts and rebalancing of capital will greatly decrease financial risk through decreasing leverage and interest payments. Prolongation of debt maturity increases liquidity and minimizes the refinancing risk. Nevertheless, equity financing can also water down the ownership of current shareholders (</w:t>
      </w:r>
      <w:proofErr w:type="spellStart"/>
      <w:r w:rsidRPr="00C900C3">
        <w:rPr>
          <w:rFonts w:ascii="Arial" w:hAnsi="Arial" w:cs="Arial"/>
        </w:rPr>
        <w:t>Zaramella</w:t>
      </w:r>
      <w:proofErr w:type="spellEnd"/>
      <w:r w:rsidRPr="00C900C3">
        <w:rPr>
          <w:rFonts w:ascii="Arial" w:hAnsi="Arial" w:cs="Arial"/>
        </w:rPr>
        <w:t xml:space="preserve">, 2023; Celestin, 2024). </w:t>
      </w:r>
      <w:proofErr w:type="gramStart"/>
      <w:r w:rsidRPr="00C900C3">
        <w:rPr>
          <w:rFonts w:ascii="Arial" w:hAnsi="Arial" w:cs="Arial"/>
        </w:rPr>
        <w:t>On the whole</w:t>
      </w:r>
      <w:proofErr w:type="gramEnd"/>
      <w:r w:rsidRPr="00C900C3">
        <w:rPr>
          <w:rFonts w:ascii="Arial" w:hAnsi="Arial" w:cs="Arial"/>
        </w:rPr>
        <w:t>, a balanced capital structure enhances financial stability and resilience to economic uncertainties.</w:t>
      </w:r>
    </w:p>
    <w:p w14:paraId="784BB304" w14:textId="77777777" w:rsidR="00B96CFB" w:rsidRPr="00C900C3" w:rsidRDefault="0080051C">
      <w:pPr>
        <w:pStyle w:val="Heading3"/>
        <w:rPr>
          <w:rFonts w:ascii="Arial" w:hAnsi="Arial" w:cs="Arial"/>
        </w:rPr>
      </w:pPr>
      <w:bookmarkStart w:id="47" w:name="_Toc227452791"/>
      <w:r w:rsidRPr="00C900C3">
        <w:rPr>
          <w:rFonts w:ascii="Arial" w:hAnsi="Arial" w:cs="Arial"/>
        </w:rPr>
        <w:t>Impact on Operational Flexibility and Growth</w:t>
      </w:r>
      <w:bookmarkEnd w:id="47"/>
    </w:p>
    <w:p w14:paraId="0B1F9040" w14:textId="77777777" w:rsidR="00B96CFB" w:rsidRPr="00C900C3" w:rsidRDefault="0080051C">
      <w:pPr>
        <w:rPr>
          <w:rFonts w:ascii="Arial" w:hAnsi="Arial" w:cs="Arial"/>
        </w:rPr>
      </w:pPr>
      <w:r w:rsidRPr="00C900C3">
        <w:rPr>
          <w:rFonts w:ascii="Arial" w:hAnsi="Arial" w:cs="Arial"/>
        </w:rPr>
        <w:t xml:space="preserve">Asset rationalisation and strategic alliances enhance business flexibility through the redistribution of resources to strategic business segments. This will help Hyundai be more responsive to changes in the market and technological progress (Ryu &amp; Do, 2023; </w:t>
      </w:r>
      <w:proofErr w:type="spellStart"/>
      <w:r w:rsidRPr="00C900C3">
        <w:rPr>
          <w:rFonts w:ascii="Arial" w:hAnsi="Arial" w:cs="Arial"/>
        </w:rPr>
        <w:t>Kiymaz</w:t>
      </w:r>
      <w:proofErr w:type="spellEnd"/>
      <w:r w:rsidRPr="00C900C3">
        <w:rPr>
          <w:rFonts w:ascii="Arial" w:hAnsi="Arial" w:cs="Arial"/>
        </w:rPr>
        <w:t xml:space="preserve"> et al., 2024). Moreover, efficient investment choices improve efficiency and contribute to long-term expansion, especially in the competitive EV market, and uphold financial discipline.</w:t>
      </w:r>
    </w:p>
    <w:p w14:paraId="54ED9B06" w14:textId="77777777" w:rsidR="00B96CFB" w:rsidRPr="00C900C3" w:rsidRDefault="0080051C">
      <w:pPr>
        <w:pStyle w:val="Heading2"/>
        <w:rPr>
          <w:rFonts w:ascii="Arial" w:hAnsi="Arial" w:cs="Arial"/>
          <w:sz w:val="24"/>
          <w:szCs w:val="24"/>
        </w:rPr>
      </w:pPr>
      <w:bookmarkStart w:id="48" w:name="_Toc227452792"/>
      <w:r w:rsidRPr="00C900C3">
        <w:rPr>
          <w:rFonts w:ascii="Arial" w:hAnsi="Arial" w:cs="Arial"/>
          <w:sz w:val="24"/>
          <w:szCs w:val="24"/>
        </w:rPr>
        <w:lastRenderedPageBreak/>
        <w:t>4.4 International &amp; Ethical Considerations</w:t>
      </w:r>
      <w:bookmarkEnd w:id="48"/>
    </w:p>
    <w:p w14:paraId="3A6122BA" w14:textId="77777777" w:rsidR="00B96CFB" w:rsidRPr="00C900C3" w:rsidRDefault="0080051C">
      <w:pPr>
        <w:pStyle w:val="Heading3"/>
        <w:rPr>
          <w:rFonts w:ascii="Arial" w:hAnsi="Arial" w:cs="Arial"/>
        </w:rPr>
      </w:pPr>
      <w:bookmarkStart w:id="49" w:name="_Toc227452793"/>
      <w:r w:rsidRPr="00C900C3">
        <w:rPr>
          <w:rFonts w:ascii="Arial" w:hAnsi="Arial" w:cs="Arial"/>
        </w:rPr>
        <w:t>Global Financial Risks and Currency Exposure</w:t>
      </w:r>
      <w:bookmarkEnd w:id="49"/>
    </w:p>
    <w:p w14:paraId="3B7E027A" w14:textId="77777777" w:rsidR="00B96CFB" w:rsidRPr="00C900C3" w:rsidRDefault="0080051C">
      <w:pPr>
        <w:rPr>
          <w:rFonts w:ascii="Arial" w:hAnsi="Arial" w:cs="Arial"/>
        </w:rPr>
      </w:pPr>
      <w:r w:rsidRPr="00C900C3">
        <w:rPr>
          <w:rFonts w:ascii="Arial" w:hAnsi="Arial" w:cs="Arial"/>
        </w:rPr>
        <w:t>Hyundai Motor Company has several foreign markets that it operates in, and this has subjected it to the risks of currency fluctuations and macroeconomic risks. The volatility of the exchange rate has the potential to impact revenue, cost, and profitability, especially in an export-based operation. Financing costs and investment decisions are also affected by inflation and different interest rates in different regions (</w:t>
      </w:r>
      <w:proofErr w:type="spellStart"/>
      <w:r w:rsidRPr="00C900C3">
        <w:rPr>
          <w:rFonts w:ascii="Arial" w:hAnsi="Arial" w:cs="Arial"/>
        </w:rPr>
        <w:t>Kiymaz</w:t>
      </w:r>
      <w:proofErr w:type="spellEnd"/>
      <w:r w:rsidRPr="00C900C3">
        <w:rPr>
          <w:rFonts w:ascii="Arial" w:hAnsi="Arial" w:cs="Arial"/>
        </w:rPr>
        <w:t xml:space="preserve"> et al., 2024; Hyundai, 2024). The global financial risks mentioned need to be addressed through effective hedging strategies and diversified market operations.</w:t>
      </w:r>
    </w:p>
    <w:p w14:paraId="6C31D20B" w14:textId="77777777" w:rsidR="00B96CFB" w:rsidRPr="00C900C3" w:rsidRDefault="0080051C">
      <w:pPr>
        <w:pStyle w:val="Heading3"/>
        <w:rPr>
          <w:rFonts w:ascii="Arial" w:hAnsi="Arial" w:cs="Arial"/>
        </w:rPr>
      </w:pPr>
      <w:bookmarkStart w:id="50" w:name="_Toc227452794"/>
      <w:r w:rsidRPr="00C900C3">
        <w:rPr>
          <w:rFonts w:ascii="Arial" w:hAnsi="Arial" w:cs="Arial"/>
        </w:rPr>
        <w:t>Regulatory and Taxation Considerations</w:t>
      </w:r>
      <w:bookmarkEnd w:id="50"/>
    </w:p>
    <w:p w14:paraId="4E53D406" w14:textId="77777777" w:rsidR="00B96CFB" w:rsidRPr="00C900C3" w:rsidRDefault="0080051C">
      <w:pPr>
        <w:rPr>
          <w:rFonts w:ascii="Arial" w:hAnsi="Arial" w:cs="Arial"/>
        </w:rPr>
      </w:pPr>
      <w:r w:rsidRPr="00C900C3">
        <w:rPr>
          <w:rFonts w:ascii="Arial" w:hAnsi="Arial" w:cs="Arial"/>
        </w:rPr>
        <w:t xml:space="preserve">International business demands the adoption of various regulations, such as taxation policies, environmental regulations, and financial reporting standards. The profitability and efficiency of operations may be affected by changes in trade policies and international taxation (Celestin, 2024; </w:t>
      </w:r>
      <w:proofErr w:type="spellStart"/>
      <w:r w:rsidRPr="00C900C3">
        <w:rPr>
          <w:rFonts w:ascii="Arial" w:hAnsi="Arial" w:cs="Arial"/>
        </w:rPr>
        <w:t>Zaramella</w:t>
      </w:r>
      <w:proofErr w:type="spellEnd"/>
      <w:r w:rsidRPr="00C900C3">
        <w:rPr>
          <w:rFonts w:ascii="Arial" w:hAnsi="Arial" w:cs="Arial"/>
        </w:rPr>
        <w:t>, 2023). Hyundai should make sure that it complies with these rules to prevent legal fines and preserve its international image.</w:t>
      </w:r>
    </w:p>
    <w:p w14:paraId="00F9D6E8" w14:textId="77777777" w:rsidR="00B96CFB" w:rsidRPr="00C900C3" w:rsidRDefault="0080051C">
      <w:pPr>
        <w:pStyle w:val="Heading3"/>
        <w:rPr>
          <w:rFonts w:ascii="Arial" w:hAnsi="Arial" w:cs="Arial"/>
        </w:rPr>
      </w:pPr>
      <w:bookmarkStart w:id="51" w:name="_Toc227452795"/>
      <w:r w:rsidRPr="00C900C3">
        <w:rPr>
          <w:rFonts w:ascii="Arial" w:hAnsi="Arial" w:cs="Arial"/>
        </w:rPr>
        <w:t>Ethical Responsibility and Sustainability (CSR)</w:t>
      </w:r>
      <w:bookmarkEnd w:id="51"/>
    </w:p>
    <w:p w14:paraId="0BB624E7" w14:textId="77777777" w:rsidR="00B96CFB" w:rsidRPr="00C900C3" w:rsidRDefault="0080051C">
      <w:pPr>
        <w:rPr>
          <w:rFonts w:ascii="Arial" w:hAnsi="Arial" w:cs="Arial"/>
        </w:rPr>
      </w:pPr>
      <w:r w:rsidRPr="00C900C3">
        <w:rPr>
          <w:rFonts w:ascii="Arial" w:hAnsi="Arial" w:cs="Arial"/>
        </w:rPr>
        <w:t>Ethics are of paramount importance to Hyundai in strategic decisions, especially in sustainability and corporate social responsibility (CSR). Electric cars are a sign of a desire to be environmentally friendly (Ryu and Do, 2023; Chen et al., 2023). Open governance, transparent financial management, and responsible use of resources will increase stakeholder confidence and long-term sustainability, which is taking on more significance in global markets.</w:t>
      </w:r>
    </w:p>
    <w:p w14:paraId="4588B30E" w14:textId="7AD10696" w:rsidR="00871206" w:rsidRPr="00C900C3" w:rsidRDefault="00871206">
      <w:pPr>
        <w:rPr>
          <w:rFonts w:ascii="Arial" w:hAnsi="Arial" w:cs="Arial"/>
        </w:rPr>
      </w:pPr>
      <w:r w:rsidRPr="00C900C3">
        <w:rPr>
          <w:rFonts w:ascii="Arial" w:hAnsi="Arial" w:cs="Arial"/>
        </w:rPr>
        <w:t>The analysis reveals major financial issues of Hyundai Motor Company such as increasing leverage, decreased working capital efficiency and continuous cash flow limitation. There has been high reliance on debt financing which has led to higher financial risk, and long cash conversion cycle is an indicator of inefficiency in utilizing operational resources (</w:t>
      </w:r>
      <w:proofErr w:type="spellStart"/>
      <w:r w:rsidRPr="00C900C3">
        <w:rPr>
          <w:rFonts w:ascii="Arial" w:hAnsi="Arial" w:cs="Arial"/>
        </w:rPr>
        <w:t>Purnamasari</w:t>
      </w:r>
      <w:proofErr w:type="spellEnd"/>
      <w:r w:rsidRPr="00C900C3">
        <w:rPr>
          <w:rFonts w:ascii="Arial" w:hAnsi="Arial" w:cs="Arial"/>
        </w:rPr>
        <w:t xml:space="preserve"> and </w:t>
      </w:r>
      <w:proofErr w:type="spellStart"/>
      <w:r w:rsidRPr="00C900C3">
        <w:rPr>
          <w:rFonts w:ascii="Arial" w:hAnsi="Arial" w:cs="Arial"/>
        </w:rPr>
        <w:t>Adriza</w:t>
      </w:r>
      <w:proofErr w:type="spellEnd"/>
      <w:r w:rsidRPr="00C900C3">
        <w:rPr>
          <w:rFonts w:ascii="Arial" w:hAnsi="Arial" w:cs="Arial"/>
        </w:rPr>
        <w:t xml:space="preserve">, 2024). Though the profitability is good, the presence of negative operating cash flows indicates liquidity strains and </w:t>
      </w:r>
      <w:r w:rsidRPr="00C900C3">
        <w:rPr>
          <w:rFonts w:ascii="Arial" w:hAnsi="Arial" w:cs="Arial"/>
        </w:rPr>
        <w:lastRenderedPageBreak/>
        <w:t xml:space="preserve">dependence on outside financing. In response to these problems, </w:t>
      </w:r>
      <w:proofErr w:type="gramStart"/>
      <w:r w:rsidRPr="00C900C3">
        <w:rPr>
          <w:rFonts w:ascii="Arial" w:hAnsi="Arial" w:cs="Arial"/>
        </w:rPr>
        <w:t>a number of</w:t>
      </w:r>
      <w:proofErr w:type="gramEnd"/>
      <w:r w:rsidRPr="00C900C3">
        <w:rPr>
          <w:rFonts w:ascii="Arial" w:hAnsi="Arial" w:cs="Arial"/>
        </w:rPr>
        <w:t xml:space="preserve"> restructuring plans are suggested, such as debt refinancing, equity rebalancing, asset rationalisation, and strategic partnerships. These are done to enhance liquidity, minimize financial risk and increase operational efficiency</w:t>
      </w:r>
      <w:r w:rsidR="00566743" w:rsidRPr="00C900C3">
        <w:rPr>
          <w:rFonts w:ascii="Arial" w:hAnsi="Arial" w:cs="Arial"/>
        </w:rPr>
        <w:t xml:space="preserve"> (Phan et al., 2025)</w:t>
      </w:r>
      <w:r w:rsidRPr="00C900C3">
        <w:rPr>
          <w:rFonts w:ascii="Arial" w:hAnsi="Arial" w:cs="Arial"/>
        </w:rPr>
        <w:t>. The analysis indicates that these strategies can enhance shareholder value, maximise the capital structure and be more financially resilient (</w:t>
      </w:r>
      <w:proofErr w:type="spellStart"/>
      <w:r w:rsidRPr="00C900C3">
        <w:rPr>
          <w:rFonts w:ascii="Arial" w:hAnsi="Arial" w:cs="Arial"/>
        </w:rPr>
        <w:t>Awodire</w:t>
      </w:r>
      <w:proofErr w:type="spellEnd"/>
      <w:r w:rsidRPr="00C900C3">
        <w:rPr>
          <w:rFonts w:ascii="Arial" w:hAnsi="Arial" w:cs="Arial"/>
        </w:rPr>
        <w:t xml:space="preserve"> et al., 2023). Besides, global and ethical factors underline addressing currency risks, regulatory compliance, and sustainability practices. The emphasis on the electric vehicles and responsible governance helps Hyundai to become competitive in the long-term. In general, the restructuring plan enhances the financial stability, flexibility and sustainability of growth in a dynamic global environment.</w:t>
      </w:r>
    </w:p>
    <w:p w14:paraId="65B2623F" w14:textId="392F00C1" w:rsidR="00B96CFB" w:rsidRPr="00C900C3" w:rsidRDefault="0080051C">
      <w:pPr>
        <w:pStyle w:val="Heading1"/>
        <w:rPr>
          <w:rFonts w:ascii="Arial" w:hAnsi="Arial" w:cs="Arial"/>
          <w:sz w:val="24"/>
          <w:szCs w:val="24"/>
        </w:rPr>
      </w:pPr>
      <w:bookmarkStart w:id="52" w:name="_Toc227452796"/>
      <w:r w:rsidRPr="00C900C3">
        <w:rPr>
          <w:rFonts w:ascii="Arial" w:hAnsi="Arial" w:cs="Arial"/>
          <w:sz w:val="24"/>
          <w:szCs w:val="24"/>
        </w:rPr>
        <w:t>5.0 Investment Appraisal &amp; Capital Budgeting</w:t>
      </w:r>
      <w:bookmarkEnd w:id="52"/>
    </w:p>
    <w:p w14:paraId="1D1FF14A" w14:textId="1A2BE8E5" w:rsidR="00662596" w:rsidRPr="00C900C3" w:rsidRDefault="00662596" w:rsidP="00871206">
      <w:pPr>
        <w:pStyle w:val="Heading2"/>
        <w:rPr>
          <w:rFonts w:ascii="Arial" w:hAnsi="Arial" w:cs="Arial"/>
          <w:sz w:val="24"/>
          <w:szCs w:val="24"/>
        </w:rPr>
      </w:pPr>
      <w:bookmarkStart w:id="53" w:name="_Toc227452797"/>
      <w:r w:rsidRPr="00C900C3">
        <w:rPr>
          <w:rFonts w:ascii="Arial" w:hAnsi="Arial" w:cs="Arial"/>
          <w:sz w:val="24"/>
          <w:szCs w:val="24"/>
        </w:rPr>
        <w:t>5.1</w:t>
      </w:r>
      <w:r w:rsidR="004D460E" w:rsidRPr="00C900C3">
        <w:rPr>
          <w:rFonts w:ascii="Arial" w:hAnsi="Arial" w:cs="Arial"/>
          <w:sz w:val="24"/>
          <w:szCs w:val="24"/>
        </w:rPr>
        <w:t xml:space="preserve"> Overview of Investment Appraisal as well as Capital Budgeting</w:t>
      </w:r>
      <w:bookmarkEnd w:id="53"/>
    </w:p>
    <w:p w14:paraId="2F505131" w14:textId="094EE46D" w:rsidR="00662596" w:rsidRPr="00C900C3" w:rsidRDefault="00871206" w:rsidP="00871206">
      <w:pPr>
        <w:rPr>
          <w:rFonts w:ascii="Arial" w:hAnsi="Arial" w:cs="Arial"/>
        </w:rPr>
      </w:pPr>
      <w:r w:rsidRPr="00C900C3">
        <w:rPr>
          <w:rFonts w:ascii="Arial" w:hAnsi="Arial" w:cs="Arial"/>
        </w:rPr>
        <w:t>Investment appraisal and capital budgeting are key financial management tools employed to assess the feasibility and profitability of long-term investment choices. The methods are used to assist organisations to determine whether the proposed projects will pay off adequately against the cost and risks involved. The most popular ones are Net Present Value (NPV) and Internal Rate of Return (IRR), Payback Period (PBP), Accounting rate of return (ARR), and Profitability Index (PI). Of these NPV is said to be the most effective, because it quantifies value creation by discounting cash flows in the future at a cost of capital. Capital budgeting is the process of investing scarce financial resources in competing investment opportunities to maximise shareholder value</w:t>
      </w:r>
      <w:r w:rsidR="00566743" w:rsidRPr="00C900C3">
        <w:rPr>
          <w:rFonts w:ascii="Arial" w:hAnsi="Arial" w:cs="Arial"/>
        </w:rPr>
        <w:t xml:space="preserve"> (</w:t>
      </w:r>
      <w:proofErr w:type="spellStart"/>
      <w:r w:rsidR="00566743" w:rsidRPr="00C900C3">
        <w:rPr>
          <w:rFonts w:ascii="Arial" w:hAnsi="Arial" w:cs="Arial"/>
        </w:rPr>
        <w:t>Zaramella</w:t>
      </w:r>
      <w:proofErr w:type="spellEnd"/>
      <w:r w:rsidR="00566743" w:rsidRPr="00C900C3">
        <w:rPr>
          <w:rFonts w:ascii="Arial" w:hAnsi="Arial" w:cs="Arial"/>
        </w:rPr>
        <w:t>, 2023)</w:t>
      </w:r>
      <w:r w:rsidRPr="00C900C3">
        <w:rPr>
          <w:rFonts w:ascii="Arial" w:hAnsi="Arial" w:cs="Arial"/>
        </w:rPr>
        <w:t>. It involves a keen evaluation of cash flows, risk determinants, and strategic orientation with organisational goals. The concept of capital budgeting in relation to Hyundai Motor Company is critical in assisting the investments in electric vehicles and technology</w:t>
      </w:r>
      <w:r w:rsidR="00566743" w:rsidRPr="00C900C3">
        <w:rPr>
          <w:rFonts w:ascii="Arial" w:hAnsi="Arial" w:cs="Arial"/>
        </w:rPr>
        <w:t xml:space="preserve"> (</w:t>
      </w:r>
      <w:proofErr w:type="spellStart"/>
      <w:r w:rsidR="00566743" w:rsidRPr="00C900C3">
        <w:rPr>
          <w:rFonts w:ascii="Arial" w:hAnsi="Arial" w:cs="Arial"/>
        </w:rPr>
        <w:t>Haralayya</w:t>
      </w:r>
      <w:proofErr w:type="spellEnd"/>
      <w:r w:rsidR="00566743" w:rsidRPr="00C900C3">
        <w:rPr>
          <w:rFonts w:ascii="Arial" w:hAnsi="Arial" w:cs="Arial"/>
        </w:rPr>
        <w:t>, 2022)</w:t>
      </w:r>
      <w:r w:rsidRPr="00C900C3">
        <w:rPr>
          <w:rFonts w:ascii="Arial" w:hAnsi="Arial" w:cs="Arial"/>
        </w:rPr>
        <w:t>. Efficient investment appraisal will facilitate the allocation of resources towards the project that maximize profits in the long-run, financial stability and competitive advantage in a dynamic global environment.</w:t>
      </w:r>
    </w:p>
    <w:p w14:paraId="076FF64D" w14:textId="0AA438A0" w:rsidR="00B96CFB" w:rsidRPr="00C900C3" w:rsidRDefault="0080051C">
      <w:pPr>
        <w:pStyle w:val="Heading2"/>
        <w:rPr>
          <w:rFonts w:ascii="Arial" w:hAnsi="Arial" w:cs="Arial"/>
          <w:sz w:val="24"/>
          <w:szCs w:val="24"/>
        </w:rPr>
      </w:pPr>
      <w:bookmarkStart w:id="54" w:name="_Toc227452798"/>
      <w:r w:rsidRPr="00C900C3">
        <w:rPr>
          <w:rFonts w:ascii="Arial" w:hAnsi="Arial" w:cs="Arial"/>
          <w:sz w:val="24"/>
          <w:szCs w:val="24"/>
        </w:rPr>
        <w:lastRenderedPageBreak/>
        <w:t>5.</w:t>
      </w:r>
      <w:r w:rsidR="00566743" w:rsidRPr="00C900C3">
        <w:rPr>
          <w:rFonts w:ascii="Arial" w:hAnsi="Arial" w:cs="Arial"/>
          <w:sz w:val="24"/>
          <w:szCs w:val="24"/>
        </w:rPr>
        <w:t>2</w:t>
      </w:r>
      <w:r w:rsidRPr="00C900C3">
        <w:rPr>
          <w:rFonts w:ascii="Arial" w:hAnsi="Arial" w:cs="Arial"/>
          <w:sz w:val="24"/>
          <w:szCs w:val="24"/>
        </w:rPr>
        <w:t xml:space="preserve"> Investment Projects</w:t>
      </w:r>
      <w:bookmarkEnd w:id="54"/>
    </w:p>
    <w:p w14:paraId="6D4896E0" w14:textId="77777777" w:rsidR="00B96CFB" w:rsidRPr="00C900C3" w:rsidRDefault="0080051C">
      <w:pPr>
        <w:pStyle w:val="Heading3"/>
        <w:rPr>
          <w:rFonts w:ascii="Arial" w:hAnsi="Arial" w:cs="Arial"/>
        </w:rPr>
      </w:pPr>
      <w:bookmarkStart w:id="55" w:name="_Toc227452799"/>
      <w:r w:rsidRPr="00C900C3">
        <w:rPr>
          <w:rFonts w:ascii="Arial" w:hAnsi="Arial" w:cs="Arial"/>
        </w:rPr>
        <w:t>Payback Period (PBP) of Projects A, B, and C</w:t>
      </w:r>
      <w:bookmarkEnd w:id="55"/>
    </w:p>
    <w:p w14:paraId="6406862A" w14:textId="4CBA9591" w:rsidR="00662596" w:rsidRPr="00C900C3" w:rsidRDefault="00662596" w:rsidP="00662596">
      <w:pPr>
        <w:jc w:val="center"/>
        <w:rPr>
          <w:rFonts w:ascii="Arial" w:hAnsi="Arial" w:cs="Arial"/>
        </w:rPr>
      </w:pPr>
      <w:r w:rsidRPr="00C900C3">
        <w:rPr>
          <w:rFonts w:ascii="Arial" w:hAnsi="Arial" w:cs="Arial"/>
          <w:noProof/>
        </w:rPr>
        <w:drawing>
          <wp:inline distT="0" distB="0" distL="0" distR="0" wp14:anchorId="1566D3DA" wp14:editId="24DA0E24">
            <wp:extent cx="5258534" cy="1629002"/>
            <wp:effectExtent l="0" t="0" r="0" b="9525"/>
            <wp:docPr id="2055091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091030" name=""/>
                    <pic:cNvPicPr/>
                  </pic:nvPicPr>
                  <pic:blipFill>
                    <a:blip r:embed="rId14"/>
                    <a:stretch>
                      <a:fillRect/>
                    </a:stretch>
                  </pic:blipFill>
                  <pic:spPr>
                    <a:xfrm>
                      <a:off x="0" y="0"/>
                      <a:ext cx="5258534" cy="1629002"/>
                    </a:xfrm>
                    <a:prstGeom prst="rect">
                      <a:avLst/>
                    </a:prstGeom>
                  </pic:spPr>
                </pic:pic>
              </a:graphicData>
            </a:graphic>
          </wp:inline>
        </w:drawing>
      </w:r>
      <w:r w:rsidRPr="00C900C3">
        <w:rPr>
          <w:rFonts w:ascii="Arial" w:hAnsi="Arial" w:cs="Arial"/>
          <w:noProof/>
        </w:rPr>
        <w:drawing>
          <wp:inline distT="0" distB="0" distL="0" distR="0" wp14:anchorId="0850EC3C" wp14:editId="660A9EE6">
            <wp:extent cx="5295900" cy="1614167"/>
            <wp:effectExtent l="0" t="0" r="0" b="5715"/>
            <wp:docPr id="773681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681303" name=""/>
                    <pic:cNvPicPr/>
                  </pic:nvPicPr>
                  <pic:blipFill>
                    <a:blip r:embed="rId15"/>
                    <a:stretch>
                      <a:fillRect/>
                    </a:stretch>
                  </pic:blipFill>
                  <pic:spPr>
                    <a:xfrm>
                      <a:off x="0" y="0"/>
                      <a:ext cx="5311950" cy="1619059"/>
                    </a:xfrm>
                    <a:prstGeom prst="rect">
                      <a:avLst/>
                    </a:prstGeom>
                  </pic:spPr>
                </pic:pic>
              </a:graphicData>
            </a:graphic>
          </wp:inline>
        </w:drawing>
      </w:r>
      <w:r w:rsidRPr="00C900C3">
        <w:rPr>
          <w:rFonts w:ascii="Arial" w:hAnsi="Arial" w:cs="Arial"/>
          <w:noProof/>
        </w:rPr>
        <w:drawing>
          <wp:inline distT="0" distB="0" distL="0" distR="0" wp14:anchorId="39ADE729" wp14:editId="1F6F5899">
            <wp:extent cx="5273040" cy="1611288"/>
            <wp:effectExtent l="0" t="0" r="3810" b="8255"/>
            <wp:docPr id="1042780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780325" name=""/>
                    <pic:cNvPicPr/>
                  </pic:nvPicPr>
                  <pic:blipFill>
                    <a:blip r:embed="rId16"/>
                    <a:stretch>
                      <a:fillRect/>
                    </a:stretch>
                  </pic:blipFill>
                  <pic:spPr>
                    <a:xfrm>
                      <a:off x="0" y="0"/>
                      <a:ext cx="5279249" cy="1613185"/>
                    </a:xfrm>
                    <a:prstGeom prst="rect">
                      <a:avLst/>
                    </a:prstGeom>
                  </pic:spPr>
                </pic:pic>
              </a:graphicData>
            </a:graphic>
          </wp:inline>
        </w:drawing>
      </w:r>
    </w:p>
    <w:p w14:paraId="15F3DCE4" w14:textId="2789F47A" w:rsidR="00662596" w:rsidRPr="00C900C3" w:rsidRDefault="00662596" w:rsidP="00662596">
      <w:pPr>
        <w:jc w:val="center"/>
        <w:rPr>
          <w:rFonts w:ascii="Arial" w:hAnsi="Arial" w:cs="Arial"/>
          <w:b/>
          <w:bCs/>
        </w:rPr>
      </w:pPr>
      <w:r w:rsidRPr="00C900C3">
        <w:rPr>
          <w:rFonts w:ascii="Arial" w:hAnsi="Arial" w:cs="Arial"/>
          <w:b/>
          <w:bCs/>
        </w:rPr>
        <w:t>Figure 10: Payback Period (PBP)</w:t>
      </w:r>
    </w:p>
    <w:p w14:paraId="1B47361E" w14:textId="5AA91BFD" w:rsidR="00662596" w:rsidRPr="00C900C3" w:rsidRDefault="00662596" w:rsidP="00662596">
      <w:pPr>
        <w:jc w:val="center"/>
        <w:rPr>
          <w:rFonts w:ascii="Arial" w:hAnsi="Arial" w:cs="Arial"/>
        </w:rPr>
      </w:pPr>
      <w:r w:rsidRPr="00C900C3">
        <w:rPr>
          <w:rFonts w:ascii="Arial" w:hAnsi="Arial" w:cs="Arial"/>
        </w:rPr>
        <w:t>(Source: Excel)</w:t>
      </w:r>
    </w:p>
    <w:p w14:paraId="14D10457" w14:textId="728B45ED" w:rsidR="00B96CFB" w:rsidRPr="00C900C3" w:rsidRDefault="0080051C">
      <w:pPr>
        <w:rPr>
          <w:rFonts w:ascii="Arial" w:hAnsi="Arial" w:cs="Arial"/>
        </w:rPr>
      </w:pPr>
      <w:r w:rsidRPr="00C900C3">
        <w:rPr>
          <w:rFonts w:ascii="Arial" w:hAnsi="Arial" w:cs="Arial"/>
        </w:rPr>
        <w:t>The payback period is a measure of the speed of the initial investment recovery. None of the three projects (A, B, and C) recovers the investment of £50 million in five years because the cumulative discounted cash flows are negative (A: -£8.68, B: -£8.30, C: -£1.98). Project C is somewhat more advantageous in terms of greater cash inflows in the future, yet it does not recover completely. This implies increased risk and reduced liquidity creation for any projects.</w:t>
      </w:r>
    </w:p>
    <w:p w14:paraId="31A045EA" w14:textId="77777777" w:rsidR="00B96CFB" w:rsidRPr="00C900C3" w:rsidRDefault="0080051C">
      <w:pPr>
        <w:pStyle w:val="Heading3"/>
        <w:rPr>
          <w:rFonts w:ascii="Arial" w:hAnsi="Arial" w:cs="Arial"/>
        </w:rPr>
      </w:pPr>
      <w:bookmarkStart w:id="56" w:name="_Toc227452800"/>
      <w:r w:rsidRPr="00C900C3">
        <w:rPr>
          <w:rFonts w:ascii="Arial" w:hAnsi="Arial" w:cs="Arial"/>
        </w:rPr>
        <w:lastRenderedPageBreak/>
        <w:t>Accounting Rate of Return (ARR) of Projects A, B, and C</w:t>
      </w:r>
      <w:bookmarkEnd w:id="56"/>
    </w:p>
    <w:p w14:paraId="330B0459" w14:textId="066497BD" w:rsidR="00662596" w:rsidRPr="00C900C3" w:rsidRDefault="00662596" w:rsidP="00662596">
      <w:pPr>
        <w:jc w:val="center"/>
        <w:rPr>
          <w:rFonts w:ascii="Arial" w:hAnsi="Arial" w:cs="Arial"/>
          <w:b/>
          <w:bCs/>
        </w:rPr>
      </w:pPr>
      <w:r w:rsidRPr="00C900C3">
        <w:rPr>
          <w:rFonts w:ascii="Arial" w:hAnsi="Arial" w:cs="Arial"/>
          <w:b/>
          <w:bCs/>
          <w:noProof/>
        </w:rPr>
        <w:drawing>
          <wp:inline distT="0" distB="0" distL="0" distR="0" wp14:anchorId="588C6F35" wp14:editId="1E932729">
            <wp:extent cx="5249008" cy="1638529"/>
            <wp:effectExtent l="0" t="0" r="0" b="0"/>
            <wp:docPr id="232840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840687" name=""/>
                    <pic:cNvPicPr/>
                  </pic:nvPicPr>
                  <pic:blipFill>
                    <a:blip r:embed="rId17"/>
                    <a:stretch>
                      <a:fillRect/>
                    </a:stretch>
                  </pic:blipFill>
                  <pic:spPr>
                    <a:xfrm>
                      <a:off x="0" y="0"/>
                      <a:ext cx="5249008" cy="1638529"/>
                    </a:xfrm>
                    <a:prstGeom prst="rect">
                      <a:avLst/>
                    </a:prstGeom>
                  </pic:spPr>
                </pic:pic>
              </a:graphicData>
            </a:graphic>
          </wp:inline>
        </w:drawing>
      </w:r>
      <w:r w:rsidRPr="00C900C3">
        <w:rPr>
          <w:rFonts w:ascii="Arial" w:hAnsi="Arial" w:cs="Arial"/>
          <w:noProof/>
        </w:rPr>
        <w:t xml:space="preserve"> </w:t>
      </w:r>
      <w:r w:rsidRPr="00C900C3">
        <w:rPr>
          <w:rFonts w:ascii="Arial" w:hAnsi="Arial" w:cs="Arial"/>
          <w:noProof/>
        </w:rPr>
        <w:drawing>
          <wp:inline distT="0" distB="0" distL="0" distR="0" wp14:anchorId="6ADD9683" wp14:editId="76F544BC">
            <wp:extent cx="5234940" cy="1536448"/>
            <wp:effectExtent l="0" t="0" r="3810" b="6985"/>
            <wp:docPr id="1728848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848976" name=""/>
                    <pic:cNvPicPr/>
                  </pic:nvPicPr>
                  <pic:blipFill>
                    <a:blip r:embed="rId18"/>
                    <a:stretch>
                      <a:fillRect/>
                    </a:stretch>
                  </pic:blipFill>
                  <pic:spPr>
                    <a:xfrm>
                      <a:off x="0" y="0"/>
                      <a:ext cx="5266413" cy="1545685"/>
                    </a:xfrm>
                    <a:prstGeom prst="rect">
                      <a:avLst/>
                    </a:prstGeom>
                  </pic:spPr>
                </pic:pic>
              </a:graphicData>
            </a:graphic>
          </wp:inline>
        </w:drawing>
      </w:r>
      <w:r w:rsidRPr="00C900C3">
        <w:rPr>
          <w:rFonts w:ascii="Arial" w:hAnsi="Arial" w:cs="Arial"/>
          <w:noProof/>
        </w:rPr>
        <w:t xml:space="preserve"> </w:t>
      </w:r>
      <w:r w:rsidRPr="00C900C3">
        <w:rPr>
          <w:rFonts w:ascii="Arial" w:hAnsi="Arial" w:cs="Arial"/>
          <w:noProof/>
        </w:rPr>
        <w:drawing>
          <wp:inline distT="0" distB="0" distL="0" distR="0" wp14:anchorId="5D9A2CE0" wp14:editId="119426AC">
            <wp:extent cx="5135880" cy="1582459"/>
            <wp:effectExtent l="0" t="0" r="7620" b="0"/>
            <wp:docPr id="1019560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560865" name=""/>
                    <pic:cNvPicPr/>
                  </pic:nvPicPr>
                  <pic:blipFill>
                    <a:blip r:embed="rId19"/>
                    <a:stretch>
                      <a:fillRect/>
                    </a:stretch>
                  </pic:blipFill>
                  <pic:spPr>
                    <a:xfrm>
                      <a:off x="0" y="0"/>
                      <a:ext cx="5154026" cy="1588050"/>
                    </a:xfrm>
                    <a:prstGeom prst="rect">
                      <a:avLst/>
                    </a:prstGeom>
                  </pic:spPr>
                </pic:pic>
              </a:graphicData>
            </a:graphic>
          </wp:inline>
        </w:drawing>
      </w:r>
    </w:p>
    <w:p w14:paraId="582CD2CB" w14:textId="76FF1664" w:rsidR="00662596" w:rsidRPr="00C900C3" w:rsidRDefault="00662596" w:rsidP="00662596">
      <w:pPr>
        <w:jc w:val="center"/>
        <w:rPr>
          <w:rFonts w:ascii="Arial" w:hAnsi="Arial" w:cs="Arial"/>
          <w:b/>
          <w:bCs/>
        </w:rPr>
      </w:pPr>
      <w:r w:rsidRPr="00C900C3">
        <w:rPr>
          <w:rFonts w:ascii="Arial" w:hAnsi="Arial" w:cs="Arial"/>
          <w:b/>
          <w:bCs/>
        </w:rPr>
        <w:t>Figure 11: Accounting Rate of Return (ARR)</w:t>
      </w:r>
    </w:p>
    <w:p w14:paraId="609F3E7B" w14:textId="672335DA" w:rsidR="00662596" w:rsidRPr="00C900C3" w:rsidRDefault="00662596" w:rsidP="00662596">
      <w:pPr>
        <w:jc w:val="center"/>
        <w:rPr>
          <w:rFonts w:ascii="Arial" w:hAnsi="Arial" w:cs="Arial"/>
        </w:rPr>
      </w:pPr>
      <w:r w:rsidRPr="00C900C3">
        <w:rPr>
          <w:rFonts w:ascii="Arial" w:hAnsi="Arial" w:cs="Arial"/>
        </w:rPr>
        <w:t>(Source: Excel)</w:t>
      </w:r>
    </w:p>
    <w:p w14:paraId="6CA6E059" w14:textId="63521FEA" w:rsidR="00B96CFB" w:rsidRPr="00C900C3" w:rsidRDefault="0080051C">
      <w:pPr>
        <w:rPr>
          <w:rFonts w:ascii="Arial" w:hAnsi="Arial" w:cs="Arial"/>
        </w:rPr>
      </w:pPr>
      <w:r w:rsidRPr="00C900C3">
        <w:rPr>
          <w:rFonts w:ascii="Arial" w:hAnsi="Arial" w:cs="Arial"/>
        </w:rPr>
        <w:t>The ARR is the ratio of average accounting profitability to investment. Project C has the most ARR of 6.00%, and then Project B has 2.00%, and lastly Project A with 1.60%. This suggests Project C generates better average returns from accounting profits. The increased ARR of Project C is influenced by increased mid-term cash flows, whereas Projects A and B depict lower profitability given the reduced incremental gains over time.</w:t>
      </w:r>
    </w:p>
    <w:p w14:paraId="48DBD3FD" w14:textId="1513DBCE" w:rsidR="00662596" w:rsidRPr="00C900C3" w:rsidRDefault="0080051C" w:rsidP="00662596">
      <w:pPr>
        <w:pStyle w:val="Heading3"/>
        <w:rPr>
          <w:rFonts w:ascii="Arial" w:hAnsi="Arial" w:cs="Arial"/>
        </w:rPr>
      </w:pPr>
      <w:bookmarkStart w:id="57" w:name="_Toc227452801"/>
      <w:r w:rsidRPr="00C900C3">
        <w:rPr>
          <w:rFonts w:ascii="Arial" w:hAnsi="Arial" w:cs="Arial"/>
        </w:rPr>
        <w:lastRenderedPageBreak/>
        <w:t>Net Present Value (NPV) of Projects A, B, and C</w:t>
      </w:r>
      <w:bookmarkEnd w:id="57"/>
    </w:p>
    <w:p w14:paraId="151607E2" w14:textId="0EDFFB5A" w:rsidR="00662596" w:rsidRPr="00C900C3" w:rsidRDefault="00662596" w:rsidP="00662596">
      <w:pPr>
        <w:jc w:val="center"/>
        <w:rPr>
          <w:rFonts w:ascii="Arial" w:hAnsi="Arial" w:cs="Arial"/>
          <w:b/>
          <w:bCs/>
        </w:rPr>
      </w:pPr>
      <w:r w:rsidRPr="00C900C3">
        <w:rPr>
          <w:rFonts w:ascii="Arial" w:hAnsi="Arial" w:cs="Arial"/>
          <w:b/>
          <w:bCs/>
          <w:noProof/>
        </w:rPr>
        <w:drawing>
          <wp:inline distT="0" distB="0" distL="0" distR="0" wp14:anchorId="207A78EB" wp14:editId="157D89AB">
            <wp:extent cx="5258534" cy="1810003"/>
            <wp:effectExtent l="0" t="0" r="0" b="0"/>
            <wp:docPr id="285232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232720" name=""/>
                    <pic:cNvPicPr/>
                  </pic:nvPicPr>
                  <pic:blipFill>
                    <a:blip r:embed="rId20"/>
                    <a:stretch>
                      <a:fillRect/>
                    </a:stretch>
                  </pic:blipFill>
                  <pic:spPr>
                    <a:xfrm>
                      <a:off x="0" y="0"/>
                      <a:ext cx="5258534" cy="1810003"/>
                    </a:xfrm>
                    <a:prstGeom prst="rect">
                      <a:avLst/>
                    </a:prstGeom>
                  </pic:spPr>
                </pic:pic>
              </a:graphicData>
            </a:graphic>
          </wp:inline>
        </w:drawing>
      </w:r>
      <w:r w:rsidRPr="00C900C3">
        <w:rPr>
          <w:rFonts w:ascii="Arial" w:hAnsi="Arial" w:cs="Arial"/>
          <w:noProof/>
        </w:rPr>
        <w:t xml:space="preserve"> </w:t>
      </w:r>
      <w:r w:rsidRPr="00C900C3">
        <w:rPr>
          <w:rFonts w:ascii="Arial" w:hAnsi="Arial" w:cs="Arial"/>
          <w:b/>
          <w:bCs/>
          <w:noProof/>
        </w:rPr>
        <w:drawing>
          <wp:inline distT="0" distB="0" distL="0" distR="0" wp14:anchorId="4CCD42D3" wp14:editId="1C89E939">
            <wp:extent cx="5135880" cy="1874263"/>
            <wp:effectExtent l="0" t="0" r="7620" b="0"/>
            <wp:docPr id="1993045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045952" name=""/>
                    <pic:cNvPicPr/>
                  </pic:nvPicPr>
                  <pic:blipFill>
                    <a:blip r:embed="rId21"/>
                    <a:stretch>
                      <a:fillRect/>
                    </a:stretch>
                  </pic:blipFill>
                  <pic:spPr>
                    <a:xfrm>
                      <a:off x="0" y="0"/>
                      <a:ext cx="5147202" cy="1878395"/>
                    </a:xfrm>
                    <a:prstGeom prst="rect">
                      <a:avLst/>
                    </a:prstGeom>
                  </pic:spPr>
                </pic:pic>
              </a:graphicData>
            </a:graphic>
          </wp:inline>
        </w:drawing>
      </w:r>
      <w:r w:rsidRPr="00C900C3">
        <w:rPr>
          <w:rFonts w:ascii="Arial" w:hAnsi="Arial" w:cs="Arial"/>
          <w:noProof/>
        </w:rPr>
        <w:t xml:space="preserve"> </w:t>
      </w:r>
      <w:r w:rsidRPr="00C900C3">
        <w:rPr>
          <w:rFonts w:ascii="Arial" w:hAnsi="Arial" w:cs="Arial"/>
          <w:noProof/>
        </w:rPr>
        <w:drawing>
          <wp:inline distT="0" distB="0" distL="0" distR="0" wp14:anchorId="1ECF2559" wp14:editId="13739A12">
            <wp:extent cx="5082540" cy="1861553"/>
            <wp:effectExtent l="0" t="0" r="3810" b="5715"/>
            <wp:docPr id="210135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352974" name=""/>
                    <pic:cNvPicPr/>
                  </pic:nvPicPr>
                  <pic:blipFill>
                    <a:blip r:embed="rId22"/>
                    <a:stretch>
                      <a:fillRect/>
                    </a:stretch>
                  </pic:blipFill>
                  <pic:spPr>
                    <a:xfrm>
                      <a:off x="0" y="0"/>
                      <a:ext cx="5098256" cy="1867309"/>
                    </a:xfrm>
                    <a:prstGeom prst="rect">
                      <a:avLst/>
                    </a:prstGeom>
                  </pic:spPr>
                </pic:pic>
              </a:graphicData>
            </a:graphic>
          </wp:inline>
        </w:drawing>
      </w:r>
    </w:p>
    <w:p w14:paraId="34768160" w14:textId="52EACF0D" w:rsidR="00662596" w:rsidRPr="00C900C3" w:rsidRDefault="00662596" w:rsidP="00662596">
      <w:pPr>
        <w:jc w:val="center"/>
        <w:rPr>
          <w:rFonts w:ascii="Arial" w:hAnsi="Arial" w:cs="Arial"/>
          <w:b/>
          <w:bCs/>
        </w:rPr>
      </w:pPr>
      <w:r w:rsidRPr="00C900C3">
        <w:rPr>
          <w:rFonts w:ascii="Arial" w:hAnsi="Arial" w:cs="Arial"/>
          <w:b/>
          <w:bCs/>
        </w:rPr>
        <w:t xml:space="preserve">Figure 12: Net Present Value (NPV) </w:t>
      </w:r>
    </w:p>
    <w:p w14:paraId="5AD4E588" w14:textId="09391AA2" w:rsidR="00662596" w:rsidRPr="00C900C3" w:rsidRDefault="00662596" w:rsidP="00662596">
      <w:pPr>
        <w:jc w:val="center"/>
        <w:rPr>
          <w:rFonts w:ascii="Arial" w:hAnsi="Arial" w:cs="Arial"/>
        </w:rPr>
      </w:pPr>
      <w:r w:rsidRPr="00C900C3">
        <w:rPr>
          <w:rFonts w:ascii="Arial" w:hAnsi="Arial" w:cs="Arial"/>
        </w:rPr>
        <w:t>(Source: Excel)</w:t>
      </w:r>
    </w:p>
    <w:p w14:paraId="2B795F17" w14:textId="1F715C0A" w:rsidR="00662596" w:rsidRPr="00C900C3" w:rsidRDefault="0080051C" w:rsidP="00662596">
      <w:pPr>
        <w:rPr>
          <w:rFonts w:ascii="Arial" w:hAnsi="Arial" w:cs="Arial"/>
        </w:rPr>
      </w:pPr>
      <w:r w:rsidRPr="00C900C3">
        <w:rPr>
          <w:rFonts w:ascii="Arial" w:hAnsi="Arial" w:cs="Arial"/>
        </w:rPr>
        <w:t>NPV evaluates the value generated by a project after discounting the cash flows. All projects show negative NPVs (A: -£8.68, B: -£8.30, C: -£1.98), indicating they do not meet the required 10% return. Project C has the least negative NPV, implying that it is closest to value creation. This is because it has greater cash inflows towards the end years, unlike Projects A and B, which have inadequate discount returns.</w:t>
      </w:r>
    </w:p>
    <w:p w14:paraId="6FA8944B" w14:textId="77777777" w:rsidR="00B96CFB" w:rsidRPr="00C900C3" w:rsidRDefault="0080051C">
      <w:pPr>
        <w:pStyle w:val="Heading3"/>
        <w:rPr>
          <w:rFonts w:ascii="Arial" w:hAnsi="Arial" w:cs="Arial"/>
        </w:rPr>
      </w:pPr>
      <w:bookmarkStart w:id="58" w:name="_Toc227452802"/>
      <w:r w:rsidRPr="00C900C3">
        <w:rPr>
          <w:rFonts w:ascii="Arial" w:hAnsi="Arial" w:cs="Arial"/>
        </w:rPr>
        <w:lastRenderedPageBreak/>
        <w:t>Profitability Index (PI) of Projects A, B, and C</w:t>
      </w:r>
      <w:bookmarkEnd w:id="58"/>
    </w:p>
    <w:p w14:paraId="40CBBA42" w14:textId="638BFAE1" w:rsidR="00662596" w:rsidRPr="00C900C3" w:rsidRDefault="00662596" w:rsidP="00662596">
      <w:pPr>
        <w:jc w:val="center"/>
        <w:rPr>
          <w:rFonts w:ascii="Arial" w:hAnsi="Arial" w:cs="Arial"/>
          <w:b/>
          <w:bCs/>
        </w:rPr>
      </w:pPr>
      <w:r w:rsidRPr="00C900C3">
        <w:rPr>
          <w:rFonts w:ascii="Arial" w:hAnsi="Arial" w:cs="Arial"/>
          <w:b/>
          <w:bCs/>
          <w:noProof/>
        </w:rPr>
        <w:drawing>
          <wp:inline distT="0" distB="0" distL="0" distR="0" wp14:anchorId="2411EE4A" wp14:editId="5EEF6213">
            <wp:extent cx="5229955" cy="600159"/>
            <wp:effectExtent l="0" t="0" r="0" b="9525"/>
            <wp:docPr id="526749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749280" name=""/>
                    <pic:cNvPicPr/>
                  </pic:nvPicPr>
                  <pic:blipFill>
                    <a:blip r:embed="rId23"/>
                    <a:stretch>
                      <a:fillRect/>
                    </a:stretch>
                  </pic:blipFill>
                  <pic:spPr>
                    <a:xfrm>
                      <a:off x="0" y="0"/>
                      <a:ext cx="5229955" cy="600159"/>
                    </a:xfrm>
                    <a:prstGeom prst="rect">
                      <a:avLst/>
                    </a:prstGeom>
                  </pic:spPr>
                </pic:pic>
              </a:graphicData>
            </a:graphic>
          </wp:inline>
        </w:drawing>
      </w:r>
      <w:r w:rsidRPr="00C900C3">
        <w:rPr>
          <w:rFonts w:ascii="Arial" w:hAnsi="Arial" w:cs="Arial"/>
          <w:noProof/>
        </w:rPr>
        <w:t xml:space="preserve"> </w:t>
      </w:r>
      <w:r w:rsidRPr="00C900C3">
        <w:rPr>
          <w:rFonts w:ascii="Arial" w:hAnsi="Arial" w:cs="Arial"/>
          <w:b/>
          <w:bCs/>
          <w:noProof/>
        </w:rPr>
        <w:drawing>
          <wp:inline distT="0" distB="0" distL="0" distR="0" wp14:anchorId="264B4D1E" wp14:editId="7EB39A70">
            <wp:extent cx="5295900" cy="503555"/>
            <wp:effectExtent l="0" t="0" r="0" b="0"/>
            <wp:docPr id="525820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820234" name=""/>
                    <pic:cNvPicPr/>
                  </pic:nvPicPr>
                  <pic:blipFill>
                    <a:blip r:embed="rId24"/>
                    <a:stretch>
                      <a:fillRect/>
                    </a:stretch>
                  </pic:blipFill>
                  <pic:spPr>
                    <a:xfrm>
                      <a:off x="0" y="0"/>
                      <a:ext cx="5295900" cy="503555"/>
                    </a:xfrm>
                    <a:prstGeom prst="rect">
                      <a:avLst/>
                    </a:prstGeom>
                  </pic:spPr>
                </pic:pic>
              </a:graphicData>
            </a:graphic>
          </wp:inline>
        </w:drawing>
      </w:r>
      <w:r w:rsidRPr="00C900C3">
        <w:rPr>
          <w:rFonts w:ascii="Arial" w:hAnsi="Arial" w:cs="Arial"/>
          <w:noProof/>
        </w:rPr>
        <w:t xml:space="preserve"> </w:t>
      </w:r>
      <w:r w:rsidRPr="00C900C3">
        <w:rPr>
          <w:rFonts w:ascii="Arial" w:hAnsi="Arial" w:cs="Arial"/>
          <w:noProof/>
        </w:rPr>
        <w:drawing>
          <wp:inline distT="0" distB="0" distL="0" distR="0" wp14:anchorId="1BA235E2" wp14:editId="4C866A52">
            <wp:extent cx="5204460" cy="469900"/>
            <wp:effectExtent l="0" t="0" r="0" b="6350"/>
            <wp:docPr id="1151003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003260" name=""/>
                    <pic:cNvPicPr/>
                  </pic:nvPicPr>
                  <pic:blipFill>
                    <a:blip r:embed="rId25"/>
                    <a:stretch>
                      <a:fillRect/>
                    </a:stretch>
                  </pic:blipFill>
                  <pic:spPr>
                    <a:xfrm>
                      <a:off x="0" y="0"/>
                      <a:ext cx="5204460" cy="469900"/>
                    </a:xfrm>
                    <a:prstGeom prst="rect">
                      <a:avLst/>
                    </a:prstGeom>
                  </pic:spPr>
                </pic:pic>
              </a:graphicData>
            </a:graphic>
          </wp:inline>
        </w:drawing>
      </w:r>
    </w:p>
    <w:p w14:paraId="771D4556" w14:textId="54EA6FB1" w:rsidR="00662596" w:rsidRPr="00C900C3" w:rsidRDefault="00662596" w:rsidP="00662596">
      <w:pPr>
        <w:jc w:val="center"/>
        <w:rPr>
          <w:rFonts w:ascii="Arial" w:hAnsi="Arial" w:cs="Arial"/>
          <w:b/>
          <w:bCs/>
        </w:rPr>
      </w:pPr>
      <w:r w:rsidRPr="00C900C3">
        <w:rPr>
          <w:rFonts w:ascii="Arial" w:hAnsi="Arial" w:cs="Arial"/>
          <w:b/>
          <w:bCs/>
        </w:rPr>
        <w:t>Figure 13: Profitability Index (PI)</w:t>
      </w:r>
    </w:p>
    <w:p w14:paraId="2F0BEA03" w14:textId="657A49E2" w:rsidR="00662596" w:rsidRPr="00C900C3" w:rsidRDefault="00662596" w:rsidP="00662596">
      <w:pPr>
        <w:jc w:val="center"/>
        <w:rPr>
          <w:rFonts w:ascii="Arial" w:hAnsi="Arial" w:cs="Arial"/>
        </w:rPr>
      </w:pPr>
      <w:r w:rsidRPr="00C900C3">
        <w:rPr>
          <w:rFonts w:ascii="Arial" w:hAnsi="Arial" w:cs="Arial"/>
        </w:rPr>
        <w:t>(Source: Excel)</w:t>
      </w:r>
    </w:p>
    <w:p w14:paraId="314DE37A" w14:textId="6C4BB281" w:rsidR="00B96CFB" w:rsidRPr="00C900C3" w:rsidRDefault="0080051C">
      <w:pPr>
        <w:rPr>
          <w:rFonts w:ascii="Arial" w:hAnsi="Arial" w:cs="Arial"/>
        </w:rPr>
      </w:pPr>
      <w:r w:rsidRPr="00C900C3">
        <w:rPr>
          <w:rFonts w:ascii="Arial" w:hAnsi="Arial" w:cs="Arial"/>
        </w:rPr>
        <w:t>The profitability index is used to measure the value earned in relation to the investment unit. The PI of Projects A and B is 1.17, and the PI of Project C is lower at 1.04. All projects have a value that is greater than 1.0, which shows that they are marginally acceptable, but Projects A and B seem more effective in terms of returns per pound invested. This can be misleading since their NPVs are still negative, constraining financial appeal.</w:t>
      </w:r>
    </w:p>
    <w:p w14:paraId="141C9E42" w14:textId="77777777" w:rsidR="00B96CFB" w:rsidRPr="00C900C3" w:rsidRDefault="0080051C">
      <w:pPr>
        <w:pStyle w:val="Heading3"/>
        <w:rPr>
          <w:rFonts w:ascii="Arial" w:hAnsi="Arial" w:cs="Arial"/>
        </w:rPr>
      </w:pPr>
      <w:bookmarkStart w:id="59" w:name="_Toc227452803"/>
      <w:r w:rsidRPr="00C900C3">
        <w:rPr>
          <w:rFonts w:ascii="Arial" w:hAnsi="Arial" w:cs="Arial"/>
        </w:rPr>
        <w:t>Internal Rate of Return (IRR) of Projects A, B, and C</w:t>
      </w:r>
      <w:bookmarkEnd w:id="59"/>
    </w:p>
    <w:p w14:paraId="28F002C6" w14:textId="77777777" w:rsidR="00B96CFB" w:rsidRPr="00C900C3" w:rsidRDefault="0080051C">
      <w:pPr>
        <w:rPr>
          <w:rFonts w:ascii="Arial" w:hAnsi="Arial" w:cs="Arial"/>
        </w:rPr>
      </w:pPr>
      <w:r w:rsidRPr="00C900C3">
        <w:rPr>
          <w:rFonts w:ascii="Arial" w:hAnsi="Arial" w:cs="Arial"/>
        </w:rPr>
        <w:t>IRR is the discount rate where NPV is zero. The IRR of Project C is the highest, being 8.59%, then Project B with 3.26%, and lastly, Project A has 2.72%. Although Project C is doing better than the rest, all IRRs are lower than 10% cost of capital, which means that none of the projects are economically viable. The IRR of Project C is relatively higher due to high cash flows during later years.</w:t>
      </w:r>
    </w:p>
    <w:p w14:paraId="1AA733A2" w14:textId="77777777" w:rsidR="00B96CFB" w:rsidRPr="00C900C3" w:rsidRDefault="0080051C">
      <w:pPr>
        <w:pStyle w:val="Heading2"/>
        <w:rPr>
          <w:rFonts w:ascii="Arial" w:hAnsi="Arial" w:cs="Arial"/>
          <w:sz w:val="24"/>
          <w:szCs w:val="24"/>
        </w:rPr>
      </w:pPr>
      <w:bookmarkStart w:id="60" w:name="_Toc227452804"/>
      <w:r w:rsidRPr="00C900C3">
        <w:rPr>
          <w:rFonts w:ascii="Arial" w:hAnsi="Arial" w:cs="Arial"/>
          <w:sz w:val="24"/>
          <w:szCs w:val="24"/>
        </w:rPr>
        <w:t>5.3 Results Comparison</w:t>
      </w:r>
      <w:bookmarkEnd w:id="60"/>
      <w:r w:rsidRPr="00C900C3">
        <w:rPr>
          <w:rFonts w:ascii="Arial" w:hAnsi="Arial" w:cs="Arial"/>
          <w:sz w:val="24"/>
          <w:szCs w:val="24"/>
        </w:rPr>
        <w:t xml:space="preserve"> </w:t>
      </w:r>
    </w:p>
    <w:p w14:paraId="1B748F31" w14:textId="77777777" w:rsidR="00B96CFB" w:rsidRPr="00C900C3" w:rsidRDefault="0080051C">
      <w:pPr>
        <w:rPr>
          <w:rFonts w:ascii="Arial" w:hAnsi="Arial" w:cs="Arial"/>
        </w:rPr>
      </w:pPr>
      <w:r w:rsidRPr="00C900C3">
        <w:rPr>
          <w:rFonts w:ascii="Arial" w:hAnsi="Arial" w:cs="Arial"/>
        </w:rPr>
        <w:t xml:space="preserve">The comparative analysis of Projects A, B, and C indicates that there are considerable differences among the appraisal methods. Every project has a negative NPV (A: -£8.68, B: -£8.30, C: -£1.98), which means that the project is destroying value at a 10% discount rate. Project C is comparatively better with the highest IRR (8.59%) and ARR </w:t>
      </w:r>
      <w:r w:rsidRPr="00C900C3">
        <w:rPr>
          <w:rFonts w:ascii="Arial" w:hAnsi="Arial" w:cs="Arial"/>
        </w:rPr>
        <w:lastRenderedPageBreak/>
        <w:t>(6.00%), whereas Projects A and B have a higher PI (1.17). Nonetheless, none of them has the required minimum return, implying low financial appeal overall.</w:t>
      </w:r>
    </w:p>
    <w:p w14:paraId="61A60D43" w14:textId="77777777" w:rsidR="00B96CFB" w:rsidRPr="00C900C3" w:rsidRDefault="0080051C">
      <w:pPr>
        <w:pStyle w:val="Heading2"/>
        <w:rPr>
          <w:rFonts w:ascii="Arial" w:hAnsi="Arial" w:cs="Arial"/>
          <w:sz w:val="24"/>
          <w:szCs w:val="24"/>
        </w:rPr>
      </w:pPr>
      <w:bookmarkStart w:id="61" w:name="_Toc227452805"/>
      <w:r w:rsidRPr="00C900C3">
        <w:rPr>
          <w:rFonts w:ascii="Arial" w:hAnsi="Arial" w:cs="Arial"/>
          <w:sz w:val="24"/>
          <w:szCs w:val="24"/>
        </w:rPr>
        <w:t>5.4 Decision Making</w:t>
      </w:r>
      <w:bookmarkEnd w:id="61"/>
    </w:p>
    <w:p w14:paraId="3A57A19A" w14:textId="77777777" w:rsidR="00B96CFB" w:rsidRPr="00C900C3" w:rsidRDefault="0080051C">
      <w:pPr>
        <w:rPr>
          <w:rFonts w:ascii="Arial" w:hAnsi="Arial" w:cs="Arial"/>
        </w:rPr>
      </w:pPr>
      <w:r w:rsidRPr="00C900C3">
        <w:rPr>
          <w:rFonts w:ascii="Arial" w:hAnsi="Arial" w:cs="Arial"/>
        </w:rPr>
        <w:t>Financially, none of the projects may be accepted since none of them meet the positive NPV and above 10% cost of capital IRR. Nevertheless, Project C can be deemed as the most feasible alternative because it has a relatively higher IRR (8.59%) and the lowest negative NPV (-£1.98). The strategic factors also need to be incorporated in the decision-making process, including the potential of future growth and compatibility with the Hyundai EV-expansion strategy (</w:t>
      </w:r>
      <w:proofErr w:type="spellStart"/>
      <w:r w:rsidRPr="00C900C3">
        <w:rPr>
          <w:rFonts w:ascii="Arial" w:hAnsi="Arial" w:cs="Arial"/>
        </w:rPr>
        <w:t>Purnamasari</w:t>
      </w:r>
      <w:proofErr w:type="spellEnd"/>
      <w:r w:rsidRPr="00C900C3">
        <w:rPr>
          <w:rFonts w:ascii="Arial" w:hAnsi="Arial" w:cs="Arial"/>
        </w:rPr>
        <w:t xml:space="preserve"> and </w:t>
      </w:r>
      <w:proofErr w:type="spellStart"/>
      <w:r w:rsidRPr="00C900C3">
        <w:rPr>
          <w:rFonts w:ascii="Arial" w:hAnsi="Arial" w:cs="Arial"/>
        </w:rPr>
        <w:t>Adriza</w:t>
      </w:r>
      <w:proofErr w:type="spellEnd"/>
      <w:r w:rsidRPr="00C900C3">
        <w:rPr>
          <w:rFonts w:ascii="Arial" w:hAnsi="Arial" w:cs="Arial"/>
        </w:rPr>
        <w:t>, 2024; Hyundai, 2024).</w:t>
      </w:r>
    </w:p>
    <w:p w14:paraId="4EDF57C1" w14:textId="77777777" w:rsidR="00B96CFB" w:rsidRPr="00C900C3" w:rsidRDefault="0080051C">
      <w:pPr>
        <w:pStyle w:val="Heading2"/>
        <w:rPr>
          <w:rFonts w:ascii="Arial" w:hAnsi="Arial" w:cs="Arial"/>
          <w:sz w:val="24"/>
          <w:szCs w:val="24"/>
        </w:rPr>
      </w:pPr>
      <w:bookmarkStart w:id="62" w:name="_Toc227452806"/>
      <w:r w:rsidRPr="00C900C3">
        <w:rPr>
          <w:rFonts w:ascii="Arial" w:hAnsi="Arial" w:cs="Arial"/>
          <w:sz w:val="24"/>
          <w:szCs w:val="24"/>
        </w:rPr>
        <w:t>5.5 Capital Rationing Decision</w:t>
      </w:r>
      <w:bookmarkEnd w:id="62"/>
    </w:p>
    <w:p w14:paraId="452EFF23" w14:textId="3C61FF72" w:rsidR="004D460E" w:rsidRPr="00C900C3" w:rsidRDefault="004D460E" w:rsidP="004D460E">
      <w:pPr>
        <w:rPr>
          <w:rFonts w:ascii="Arial" w:hAnsi="Arial" w:cs="Arial"/>
        </w:rPr>
      </w:pPr>
      <w:r w:rsidRPr="00C900C3">
        <w:rPr>
          <w:rFonts w:ascii="Arial" w:hAnsi="Arial" w:cs="Arial"/>
        </w:rPr>
        <w:t xml:space="preserve">In capital rationing, Hyundai Motor Company </w:t>
      </w:r>
      <w:proofErr w:type="gramStart"/>
      <w:r w:rsidRPr="00C900C3">
        <w:rPr>
          <w:rFonts w:ascii="Arial" w:hAnsi="Arial" w:cs="Arial"/>
        </w:rPr>
        <w:t>has to</w:t>
      </w:r>
      <w:proofErr w:type="gramEnd"/>
      <w:r w:rsidRPr="00C900C3">
        <w:rPr>
          <w:rFonts w:ascii="Arial" w:hAnsi="Arial" w:cs="Arial"/>
        </w:rPr>
        <w:t xml:space="preserve"> choose the mix of projects that will optimise returns given the constraint of the 100 million pounds. Only two projects can be undertaken since each project needs £50 million. According to the analysis, all projects have negative NPVs (A: -£1.868, B: -£1.830, C: -£1.98), and consequently none of them can generate shareholder value at the 10% cost of capital. Capital rationing involves choosing the least value destroying alternative </w:t>
      </w:r>
      <w:proofErr w:type="gramStart"/>
      <w:r w:rsidRPr="00C900C3">
        <w:rPr>
          <w:rFonts w:ascii="Arial" w:hAnsi="Arial" w:cs="Arial"/>
        </w:rPr>
        <w:t>with regard to</w:t>
      </w:r>
      <w:proofErr w:type="gramEnd"/>
      <w:r w:rsidRPr="00C900C3">
        <w:rPr>
          <w:rFonts w:ascii="Arial" w:hAnsi="Arial" w:cs="Arial"/>
        </w:rPr>
        <w:t xml:space="preserve"> relative performance. According to financial indicators, a combination of Projects B and C might be the best option, as they have a relatively higher IRR and PI than Project A. Nevertheless, since the NPVs of all the projects are negative, the capital rationing must focus on the projects with the least value erosion and strategic fit</w:t>
      </w:r>
      <w:r w:rsidR="00566743" w:rsidRPr="00C900C3">
        <w:rPr>
          <w:rFonts w:ascii="Arial" w:hAnsi="Arial" w:cs="Arial"/>
        </w:rPr>
        <w:t xml:space="preserve"> (Hieu and Trang, 2022)</w:t>
      </w:r>
      <w:r w:rsidRPr="00C900C3">
        <w:rPr>
          <w:rFonts w:ascii="Arial" w:hAnsi="Arial" w:cs="Arial"/>
        </w:rPr>
        <w:t>.</w:t>
      </w:r>
    </w:p>
    <w:p w14:paraId="4C06DE0B" w14:textId="749D546A" w:rsidR="004D460E" w:rsidRPr="00C900C3" w:rsidRDefault="004D460E" w:rsidP="004D460E">
      <w:pPr>
        <w:rPr>
          <w:rFonts w:ascii="Arial" w:hAnsi="Arial" w:cs="Arial"/>
        </w:rPr>
      </w:pPr>
      <w:r w:rsidRPr="00C900C3">
        <w:rPr>
          <w:rFonts w:ascii="Arial" w:hAnsi="Arial" w:cs="Arial"/>
        </w:rPr>
        <w:t xml:space="preserve">Project C has the best financial profile, indicating the highest IRR (8.59%), highest ARR (6.00%), and lowest negative NPV (-£1.98). Project B is also relatively superior to Project A, having a higher IRR (3.26%), and a lower negative NPV (-£8.30). Projects A and B have higher profitability index (1.17), but this is deceptive because of their negative NPVs, which mean that they erode value. Thus, the best combination when taking capital rationing into consideration is Projects B and C, because this combination will lead to the minimal amount of value loss in total, compared to other combinations. This choice offers a more normalized balance between good returns </w:t>
      </w:r>
      <w:r w:rsidRPr="00C900C3">
        <w:rPr>
          <w:rFonts w:ascii="Arial" w:hAnsi="Arial" w:cs="Arial"/>
        </w:rPr>
        <w:lastRenderedPageBreak/>
        <w:t>and lower financial risk. It should be mentioned, though, that even this combination does not meet the financial acceptability criteria altogether. In turn, strategic alignment, especially long-term investment of Hyundai in electric vehicles, should also be taken into consideration</w:t>
      </w:r>
      <w:r w:rsidR="00871206" w:rsidRPr="00C900C3">
        <w:rPr>
          <w:rFonts w:ascii="Arial" w:hAnsi="Arial" w:cs="Arial"/>
        </w:rPr>
        <w:t xml:space="preserve"> (Celestin, 2024)</w:t>
      </w:r>
      <w:r w:rsidRPr="00C900C3">
        <w:rPr>
          <w:rFonts w:ascii="Arial" w:hAnsi="Arial" w:cs="Arial"/>
        </w:rPr>
        <w:t xml:space="preserve">. Using strict financial standards, all projects would be better postponed or rejected </w:t>
      </w:r>
      <w:proofErr w:type="gramStart"/>
      <w:r w:rsidRPr="00C900C3">
        <w:rPr>
          <w:rFonts w:ascii="Arial" w:hAnsi="Arial" w:cs="Arial"/>
        </w:rPr>
        <w:t>in order to</w:t>
      </w:r>
      <w:proofErr w:type="gramEnd"/>
      <w:r w:rsidRPr="00C900C3">
        <w:rPr>
          <w:rFonts w:ascii="Arial" w:hAnsi="Arial" w:cs="Arial"/>
        </w:rPr>
        <w:t xml:space="preserve"> maintain shareholder value.</w:t>
      </w:r>
    </w:p>
    <w:p w14:paraId="642FB976" w14:textId="77777777" w:rsidR="00B96CFB" w:rsidRPr="00C900C3" w:rsidRDefault="0080051C">
      <w:pPr>
        <w:pStyle w:val="Heading2"/>
        <w:rPr>
          <w:rFonts w:ascii="Arial" w:hAnsi="Arial" w:cs="Arial"/>
          <w:sz w:val="24"/>
          <w:szCs w:val="24"/>
        </w:rPr>
      </w:pPr>
      <w:bookmarkStart w:id="63" w:name="_Toc227452807"/>
      <w:r w:rsidRPr="00C900C3">
        <w:rPr>
          <w:rFonts w:ascii="Arial" w:hAnsi="Arial" w:cs="Arial"/>
          <w:sz w:val="24"/>
          <w:szCs w:val="24"/>
        </w:rPr>
        <w:t>5.6 Risk Analysis</w:t>
      </w:r>
      <w:bookmarkEnd w:id="63"/>
    </w:p>
    <w:p w14:paraId="15EAC607" w14:textId="77777777" w:rsidR="00B96CFB" w:rsidRPr="00C900C3" w:rsidRDefault="0080051C">
      <w:pPr>
        <w:rPr>
          <w:rFonts w:ascii="Arial" w:hAnsi="Arial" w:cs="Arial"/>
        </w:rPr>
      </w:pPr>
      <w:r w:rsidRPr="00C900C3">
        <w:rPr>
          <w:rFonts w:ascii="Arial" w:hAnsi="Arial" w:cs="Arial"/>
        </w:rPr>
        <w:t>The investment projects pose many financial and operational risks. Negative NPVs imply a high possibility of value loss, whereas low IRRs imply low returns compared to the cost of capital. Also, a cash inflow delay raises the risk of liquidity since the payback is not achieved within five years (</w:t>
      </w:r>
      <w:proofErr w:type="spellStart"/>
      <w:r w:rsidRPr="00C900C3">
        <w:rPr>
          <w:rFonts w:ascii="Arial" w:hAnsi="Arial" w:cs="Arial"/>
        </w:rPr>
        <w:t>Tarkom</w:t>
      </w:r>
      <w:proofErr w:type="spellEnd"/>
      <w:r w:rsidRPr="00C900C3">
        <w:rPr>
          <w:rFonts w:ascii="Arial" w:hAnsi="Arial" w:cs="Arial"/>
        </w:rPr>
        <w:t>, 2022; Hyundai, 2024). There are external threats like market uncertainties, technological uncertainties in EV adoption, and macroeconomic factors that add more risk to the project, and this should be critically evaluated in the strategy.</w:t>
      </w:r>
    </w:p>
    <w:p w14:paraId="6ABBAC11" w14:textId="77777777" w:rsidR="00B96CFB" w:rsidRPr="00C900C3" w:rsidRDefault="0080051C">
      <w:pPr>
        <w:pStyle w:val="Heading1"/>
        <w:rPr>
          <w:rFonts w:ascii="Arial" w:hAnsi="Arial" w:cs="Arial"/>
          <w:sz w:val="24"/>
          <w:szCs w:val="24"/>
        </w:rPr>
      </w:pPr>
      <w:bookmarkStart w:id="64" w:name="_Toc227452808"/>
      <w:r w:rsidRPr="00C900C3">
        <w:rPr>
          <w:rFonts w:ascii="Arial" w:hAnsi="Arial" w:cs="Arial"/>
          <w:sz w:val="24"/>
          <w:szCs w:val="24"/>
        </w:rPr>
        <w:t>6.0 Conclusion</w:t>
      </w:r>
      <w:bookmarkEnd w:id="64"/>
    </w:p>
    <w:p w14:paraId="3CC50ADA" w14:textId="77777777" w:rsidR="00B96CFB" w:rsidRPr="00C900C3" w:rsidRDefault="0080051C">
      <w:pPr>
        <w:pStyle w:val="Heading2"/>
        <w:rPr>
          <w:rFonts w:ascii="Arial" w:hAnsi="Arial" w:cs="Arial"/>
          <w:sz w:val="24"/>
          <w:szCs w:val="24"/>
        </w:rPr>
      </w:pPr>
      <w:bookmarkStart w:id="65" w:name="_Toc227452809"/>
      <w:r w:rsidRPr="00C900C3">
        <w:rPr>
          <w:rFonts w:ascii="Arial" w:hAnsi="Arial" w:cs="Arial"/>
          <w:sz w:val="24"/>
          <w:szCs w:val="24"/>
        </w:rPr>
        <w:t>6.1 Summary of Findings</w:t>
      </w:r>
      <w:bookmarkEnd w:id="65"/>
    </w:p>
    <w:p w14:paraId="6E3E1EA4" w14:textId="77777777" w:rsidR="00B96CFB" w:rsidRPr="00C900C3" w:rsidRDefault="0080051C">
      <w:pPr>
        <w:rPr>
          <w:rFonts w:ascii="Arial" w:hAnsi="Arial" w:cs="Arial"/>
        </w:rPr>
      </w:pPr>
      <w:r w:rsidRPr="00C900C3">
        <w:rPr>
          <w:rFonts w:ascii="Arial" w:hAnsi="Arial" w:cs="Arial"/>
        </w:rPr>
        <w:t>The evaluation reveals that Hyundai Motor Company has been able to show excellent financial performance through growing sales, profitability, and strategic diversification into electric vehicles. Financial ratios indicate an increase in profitability and stable liquidity, but efficiency has decreased because of increased inventory and receivables. The level of leverage is high, and negative cash flow ratios suggest higher financial risk and reliance on external financing. The working capital analysis indica</w:t>
      </w:r>
      <w:r w:rsidRPr="00C900C3">
        <w:rPr>
          <w:rFonts w:ascii="Arial" w:hAnsi="Arial" w:cs="Arial"/>
        </w:rPr>
        <w:t xml:space="preserve">tes that the cash conversion cycle is increasing, indicative of operational strains. Moreover, the outcomes of the investment appraisal indicate that </w:t>
      </w:r>
      <w:proofErr w:type="gramStart"/>
      <w:r w:rsidRPr="00C900C3">
        <w:rPr>
          <w:rFonts w:ascii="Arial" w:hAnsi="Arial" w:cs="Arial"/>
        </w:rPr>
        <w:t>all of</w:t>
      </w:r>
      <w:proofErr w:type="gramEnd"/>
      <w:r w:rsidRPr="00C900C3">
        <w:rPr>
          <w:rFonts w:ascii="Arial" w:hAnsi="Arial" w:cs="Arial"/>
        </w:rPr>
        <w:t xml:space="preserve"> the proposed projects have negative NPVs, which implies a low financial viability. The performance of Hyundai indicates a balance between good growth potential and increased financial complexity, which means that the strategic financial management should be taken care of to secure long-term sustainability.</w:t>
      </w:r>
    </w:p>
    <w:p w14:paraId="602A646D" w14:textId="77777777" w:rsidR="00B96CFB" w:rsidRPr="00C900C3" w:rsidRDefault="0080051C">
      <w:pPr>
        <w:pStyle w:val="Heading2"/>
        <w:rPr>
          <w:rFonts w:ascii="Arial" w:hAnsi="Arial" w:cs="Arial"/>
          <w:sz w:val="24"/>
          <w:szCs w:val="24"/>
        </w:rPr>
      </w:pPr>
      <w:bookmarkStart w:id="66" w:name="_Toc227452810"/>
      <w:r w:rsidRPr="00C900C3">
        <w:rPr>
          <w:rFonts w:ascii="Arial" w:hAnsi="Arial" w:cs="Arial"/>
          <w:sz w:val="24"/>
          <w:szCs w:val="24"/>
        </w:rPr>
        <w:lastRenderedPageBreak/>
        <w:t>6.2 Final Investment Recommendation</w:t>
      </w:r>
      <w:bookmarkEnd w:id="66"/>
    </w:p>
    <w:p w14:paraId="555B8456" w14:textId="77777777" w:rsidR="00B96CFB" w:rsidRPr="00C900C3" w:rsidRDefault="0080051C">
      <w:pPr>
        <w:rPr>
          <w:rFonts w:ascii="Arial" w:hAnsi="Arial" w:cs="Arial"/>
        </w:rPr>
      </w:pPr>
      <w:r w:rsidRPr="00C900C3">
        <w:rPr>
          <w:rFonts w:ascii="Arial" w:hAnsi="Arial" w:cs="Arial"/>
        </w:rPr>
        <w:t>According to financial analysis, Hyundai Motor Company is advised not to venture into any of the suggested investment projects since they all have negative NPVs and IRRs lower than the required cost of capital of 10 per cent. But when strategic considerations require an investment, then Project C can be seen as the most possible choice since it has a relatively high IRR (8.59) and the lowest negative NPV (-1.98). The firm must focus on initiatives that are consistent with its long-term EV strategy and provi</w:t>
      </w:r>
      <w:r w:rsidRPr="00C900C3">
        <w:rPr>
          <w:rFonts w:ascii="Arial" w:hAnsi="Arial" w:cs="Arial"/>
        </w:rPr>
        <w:t>de financial discipline. Moreover, Hyundai needs to tighten capital budgeting procedures and concentrate on investments that yield positive cash flows and sustainable returns to improve shareholder value and financial stability.</w:t>
      </w:r>
      <w:r w:rsidRPr="00C900C3">
        <w:rPr>
          <w:rFonts w:ascii="Arial" w:hAnsi="Arial" w:cs="Arial"/>
        </w:rPr>
        <w:br w:type="page"/>
      </w:r>
    </w:p>
    <w:p w14:paraId="32F0AFCF" w14:textId="77777777" w:rsidR="00B96CFB" w:rsidRPr="00C900C3" w:rsidRDefault="0080051C">
      <w:pPr>
        <w:pStyle w:val="Heading1"/>
        <w:rPr>
          <w:rFonts w:ascii="Arial" w:hAnsi="Arial" w:cs="Arial"/>
          <w:sz w:val="24"/>
          <w:szCs w:val="24"/>
        </w:rPr>
      </w:pPr>
      <w:bookmarkStart w:id="67" w:name="_Toc227452811"/>
      <w:r w:rsidRPr="00C900C3">
        <w:rPr>
          <w:rFonts w:ascii="Arial" w:hAnsi="Arial" w:cs="Arial"/>
          <w:sz w:val="24"/>
          <w:szCs w:val="24"/>
        </w:rPr>
        <w:lastRenderedPageBreak/>
        <w:t>7.0 Reference List</w:t>
      </w:r>
      <w:bookmarkEnd w:id="67"/>
    </w:p>
    <w:p w14:paraId="1CBFE9D7" w14:textId="77777777" w:rsidR="0052277D" w:rsidRPr="00C900C3" w:rsidRDefault="0052277D">
      <w:pPr>
        <w:rPr>
          <w:rFonts w:ascii="Arial" w:hAnsi="Arial" w:cs="Arial"/>
        </w:rPr>
      </w:pPr>
      <w:proofErr w:type="spellStart"/>
      <w:r w:rsidRPr="00C900C3">
        <w:rPr>
          <w:rFonts w:ascii="Arial" w:hAnsi="Arial" w:cs="Arial"/>
        </w:rPr>
        <w:t>Awodire</w:t>
      </w:r>
      <w:proofErr w:type="spellEnd"/>
      <w:r w:rsidRPr="00C900C3">
        <w:rPr>
          <w:rFonts w:ascii="Arial" w:hAnsi="Arial" w:cs="Arial"/>
        </w:rPr>
        <w:t xml:space="preserve">, M., Agboola, O., </w:t>
      </w:r>
      <w:proofErr w:type="spellStart"/>
      <w:r w:rsidRPr="00C900C3">
        <w:rPr>
          <w:rFonts w:ascii="Arial" w:hAnsi="Arial" w:cs="Arial"/>
        </w:rPr>
        <w:t>Ogundojutimi</w:t>
      </w:r>
      <w:proofErr w:type="spellEnd"/>
      <w:r w:rsidRPr="00C900C3">
        <w:rPr>
          <w:rFonts w:ascii="Arial" w:hAnsi="Arial" w:cs="Arial"/>
        </w:rPr>
        <w:t xml:space="preserve">, O. and </w:t>
      </w:r>
      <w:proofErr w:type="spellStart"/>
      <w:r w:rsidRPr="00C900C3">
        <w:rPr>
          <w:rFonts w:ascii="Arial" w:hAnsi="Arial" w:cs="Arial"/>
        </w:rPr>
        <w:t>Odumuwagun</w:t>
      </w:r>
      <w:proofErr w:type="spellEnd"/>
      <w:r w:rsidRPr="00C900C3">
        <w:rPr>
          <w:rFonts w:ascii="Arial" w:hAnsi="Arial" w:cs="Arial"/>
        </w:rPr>
        <w:t xml:space="preserve">, O., 2023. Capital budgeting and financial investment appraisal: A review of archival literature. </w:t>
      </w:r>
      <w:r w:rsidRPr="00C900C3">
        <w:rPr>
          <w:rFonts w:ascii="Arial" w:hAnsi="Arial" w:cs="Arial"/>
          <w:i/>
          <w:iCs/>
        </w:rPr>
        <w:t>American Journal of Multidisciplinary Research in Africa</w:t>
      </w:r>
      <w:r w:rsidRPr="00C900C3">
        <w:rPr>
          <w:rFonts w:ascii="Arial" w:hAnsi="Arial" w:cs="Arial"/>
        </w:rPr>
        <w:t xml:space="preserve">, </w:t>
      </w:r>
      <w:r w:rsidRPr="00C900C3">
        <w:rPr>
          <w:rFonts w:ascii="Arial" w:hAnsi="Arial" w:cs="Arial"/>
          <w:i/>
          <w:iCs/>
        </w:rPr>
        <w:t>3</w:t>
      </w:r>
      <w:r w:rsidRPr="00C900C3">
        <w:rPr>
          <w:rFonts w:ascii="Arial" w:hAnsi="Arial" w:cs="Arial"/>
        </w:rPr>
        <w:t xml:space="preserve">(10.58314). </w:t>
      </w:r>
      <w:hyperlink r:id="rId26">
        <w:r w:rsidRPr="00C900C3">
          <w:rPr>
            <w:rFonts w:ascii="Arial" w:hAnsi="Arial" w:cs="Arial"/>
            <w:color w:val="1155CC"/>
            <w:u w:val="single"/>
          </w:rPr>
          <w:t>https://www.academia.edu/download/115377930/Capital_Budgeting_and_Financial_Investme.pdf</w:t>
        </w:r>
      </w:hyperlink>
      <w:r w:rsidRPr="00C900C3">
        <w:rPr>
          <w:rFonts w:ascii="Arial" w:hAnsi="Arial" w:cs="Arial"/>
        </w:rPr>
        <w:t xml:space="preserve"> </w:t>
      </w:r>
    </w:p>
    <w:p w14:paraId="097A9202" w14:textId="77777777" w:rsidR="0052277D" w:rsidRPr="00C900C3" w:rsidRDefault="0052277D">
      <w:pPr>
        <w:rPr>
          <w:rFonts w:ascii="Arial" w:hAnsi="Arial" w:cs="Arial"/>
        </w:rPr>
      </w:pPr>
      <w:r w:rsidRPr="00C900C3">
        <w:rPr>
          <w:rFonts w:ascii="Arial" w:hAnsi="Arial" w:cs="Arial"/>
        </w:rPr>
        <w:t xml:space="preserve">Celestin, P., 2024. The Impact of Corporate Bankruptcy Laws on Financial Restructuring and Business Continuity Strategies. </w:t>
      </w:r>
      <w:proofErr w:type="spellStart"/>
      <w:r w:rsidRPr="00C900C3">
        <w:rPr>
          <w:rFonts w:ascii="Arial" w:hAnsi="Arial" w:cs="Arial"/>
          <w:i/>
          <w:iCs/>
        </w:rPr>
        <w:t>Mbonigaba</w:t>
      </w:r>
      <w:proofErr w:type="spellEnd"/>
      <w:r w:rsidRPr="00C900C3">
        <w:rPr>
          <w:rFonts w:ascii="Arial" w:hAnsi="Arial" w:cs="Arial"/>
          <w:i/>
          <w:iCs/>
        </w:rPr>
        <w:t xml:space="preserve">, The Impact </w:t>
      </w:r>
      <w:proofErr w:type="gramStart"/>
      <w:r w:rsidRPr="00C900C3">
        <w:rPr>
          <w:rFonts w:ascii="Arial" w:hAnsi="Arial" w:cs="Arial"/>
          <w:i/>
          <w:iCs/>
        </w:rPr>
        <w:t>Of</w:t>
      </w:r>
      <w:proofErr w:type="gramEnd"/>
      <w:r w:rsidRPr="00C900C3">
        <w:rPr>
          <w:rFonts w:ascii="Arial" w:hAnsi="Arial" w:cs="Arial"/>
          <w:i/>
          <w:iCs/>
        </w:rPr>
        <w:t xml:space="preserve"> Corporate Bankruptcy Laws </w:t>
      </w:r>
      <w:proofErr w:type="gramStart"/>
      <w:r w:rsidRPr="00C900C3">
        <w:rPr>
          <w:rFonts w:ascii="Arial" w:hAnsi="Arial" w:cs="Arial"/>
          <w:i/>
          <w:iCs/>
        </w:rPr>
        <w:t>On</w:t>
      </w:r>
      <w:proofErr w:type="gramEnd"/>
      <w:r w:rsidRPr="00C900C3">
        <w:rPr>
          <w:rFonts w:ascii="Arial" w:hAnsi="Arial" w:cs="Arial"/>
          <w:i/>
          <w:iCs/>
        </w:rPr>
        <w:t xml:space="preserve"> Financial Restructuring </w:t>
      </w:r>
      <w:proofErr w:type="gramStart"/>
      <w:r w:rsidRPr="00C900C3">
        <w:rPr>
          <w:rFonts w:ascii="Arial" w:hAnsi="Arial" w:cs="Arial"/>
          <w:i/>
          <w:iCs/>
        </w:rPr>
        <w:t>And</w:t>
      </w:r>
      <w:proofErr w:type="gramEnd"/>
      <w:r w:rsidRPr="00C900C3">
        <w:rPr>
          <w:rFonts w:ascii="Arial" w:hAnsi="Arial" w:cs="Arial"/>
          <w:i/>
          <w:iCs/>
        </w:rPr>
        <w:t xml:space="preserve"> Business Continuity Strategies (October 30, 2024)</w:t>
      </w:r>
      <w:r w:rsidRPr="00C900C3">
        <w:rPr>
          <w:rFonts w:ascii="Arial" w:hAnsi="Arial" w:cs="Arial"/>
        </w:rPr>
        <w:t xml:space="preserve">. </w:t>
      </w:r>
      <w:hyperlink r:id="rId27">
        <w:r w:rsidRPr="00C900C3">
          <w:rPr>
            <w:rFonts w:ascii="Arial" w:hAnsi="Arial" w:cs="Arial"/>
            <w:color w:val="1155CC"/>
            <w:u w:val="single"/>
          </w:rPr>
          <w:t>https://papers.ssrn.com/sol3/Delivery.cfm?abstractid=5188095</w:t>
        </w:r>
      </w:hyperlink>
      <w:r w:rsidRPr="00C900C3">
        <w:rPr>
          <w:rFonts w:ascii="Arial" w:hAnsi="Arial" w:cs="Arial"/>
        </w:rPr>
        <w:t xml:space="preserve"> </w:t>
      </w:r>
    </w:p>
    <w:p w14:paraId="3E401358" w14:textId="77777777" w:rsidR="0052277D" w:rsidRPr="00C900C3" w:rsidRDefault="0052277D">
      <w:pPr>
        <w:rPr>
          <w:rFonts w:ascii="Arial" w:hAnsi="Arial" w:cs="Arial"/>
        </w:rPr>
      </w:pPr>
      <w:r w:rsidRPr="00C900C3">
        <w:rPr>
          <w:rFonts w:ascii="Arial" w:hAnsi="Arial" w:cs="Arial"/>
        </w:rPr>
        <w:t xml:space="preserve">Chen, Y., Bush, J., Nguyen, T., Harp, T. and </w:t>
      </w:r>
      <w:proofErr w:type="spellStart"/>
      <w:r w:rsidRPr="00C900C3">
        <w:rPr>
          <w:rFonts w:ascii="Arial" w:hAnsi="Arial" w:cs="Arial"/>
        </w:rPr>
        <w:t>Lahiji</w:t>
      </w:r>
      <w:proofErr w:type="spellEnd"/>
      <w:r w:rsidRPr="00C900C3">
        <w:rPr>
          <w:rFonts w:ascii="Arial" w:hAnsi="Arial" w:cs="Arial"/>
        </w:rPr>
        <w:t xml:space="preserve">, N., 2023. Economic Contribution Study of Hyundai Motor America’s US Operations. </w:t>
      </w:r>
      <w:proofErr w:type="spellStart"/>
      <w:r w:rsidRPr="00C900C3">
        <w:rPr>
          <w:rFonts w:ascii="Arial" w:hAnsi="Arial" w:cs="Arial"/>
          <w:i/>
          <w:iCs/>
        </w:rPr>
        <w:t>Center</w:t>
      </w:r>
      <w:proofErr w:type="spellEnd"/>
      <w:r w:rsidRPr="00C900C3">
        <w:rPr>
          <w:rFonts w:ascii="Arial" w:hAnsi="Arial" w:cs="Arial"/>
          <w:i/>
          <w:iCs/>
        </w:rPr>
        <w:t xml:space="preserve"> for Automotive Research</w:t>
      </w:r>
      <w:r w:rsidRPr="00C900C3">
        <w:rPr>
          <w:rFonts w:ascii="Arial" w:hAnsi="Arial" w:cs="Arial"/>
        </w:rPr>
        <w:t xml:space="preserve">. </w:t>
      </w:r>
      <w:hyperlink r:id="rId28">
        <w:r w:rsidRPr="00C900C3">
          <w:rPr>
            <w:rFonts w:ascii="Arial" w:hAnsi="Arial" w:cs="Arial"/>
            <w:color w:val="1155CC"/>
            <w:u w:val="single"/>
          </w:rPr>
          <w:t>https://www.hyundainews.com/assets/documents/original/57081-EconomicContributionStudyofHyundaiMotorAmericasUSOperations.pdf</w:t>
        </w:r>
      </w:hyperlink>
      <w:r w:rsidRPr="00C900C3">
        <w:rPr>
          <w:rFonts w:ascii="Arial" w:hAnsi="Arial" w:cs="Arial"/>
        </w:rPr>
        <w:t xml:space="preserve"> </w:t>
      </w:r>
    </w:p>
    <w:p w14:paraId="3B32EEC9" w14:textId="77777777" w:rsidR="0052277D" w:rsidRPr="00C900C3" w:rsidRDefault="0052277D">
      <w:pPr>
        <w:rPr>
          <w:rFonts w:ascii="Arial" w:hAnsi="Arial" w:cs="Arial"/>
        </w:rPr>
      </w:pPr>
      <w:r w:rsidRPr="00C900C3">
        <w:rPr>
          <w:rFonts w:ascii="Arial" w:hAnsi="Arial" w:cs="Arial"/>
        </w:rPr>
        <w:t xml:space="preserve">Haralayya, B., 2022. Working capital management in </w:t>
      </w:r>
      <w:proofErr w:type="spellStart"/>
      <w:r w:rsidRPr="00C900C3">
        <w:rPr>
          <w:rFonts w:ascii="Arial" w:hAnsi="Arial" w:cs="Arial"/>
        </w:rPr>
        <w:t>hyundai</w:t>
      </w:r>
      <w:proofErr w:type="spellEnd"/>
      <w:r w:rsidRPr="00C900C3">
        <w:rPr>
          <w:rFonts w:ascii="Arial" w:hAnsi="Arial" w:cs="Arial"/>
        </w:rPr>
        <w:t xml:space="preserve"> showroom bidar. </w:t>
      </w:r>
      <w:r w:rsidRPr="00C900C3">
        <w:rPr>
          <w:rFonts w:ascii="Arial" w:hAnsi="Arial" w:cs="Arial"/>
          <w:i/>
          <w:iCs/>
        </w:rPr>
        <w:t xml:space="preserve">Iconic Research </w:t>
      </w:r>
      <w:proofErr w:type="gramStart"/>
      <w:r w:rsidRPr="00C900C3">
        <w:rPr>
          <w:rFonts w:ascii="Arial" w:hAnsi="Arial" w:cs="Arial"/>
          <w:i/>
          <w:iCs/>
        </w:rPr>
        <w:t>And</w:t>
      </w:r>
      <w:proofErr w:type="gramEnd"/>
      <w:r w:rsidRPr="00C900C3">
        <w:rPr>
          <w:rFonts w:ascii="Arial" w:hAnsi="Arial" w:cs="Arial"/>
          <w:i/>
          <w:iCs/>
        </w:rPr>
        <w:t xml:space="preserve"> Engineering Journals</w:t>
      </w:r>
      <w:r w:rsidRPr="00C900C3">
        <w:rPr>
          <w:rFonts w:ascii="Arial" w:hAnsi="Arial" w:cs="Arial"/>
        </w:rPr>
        <w:t xml:space="preserve">, </w:t>
      </w:r>
      <w:r w:rsidRPr="00C900C3">
        <w:rPr>
          <w:rFonts w:ascii="Arial" w:hAnsi="Arial" w:cs="Arial"/>
          <w:i/>
          <w:iCs/>
        </w:rPr>
        <w:t>5</w:t>
      </w:r>
      <w:r w:rsidRPr="00C900C3">
        <w:rPr>
          <w:rFonts w:ascii="Arial" w:hAnsi="Arial" w:cs="Arial"/>
        </w:rPr>
        <w:t xml:space="preserve">(9), pp.299-308. </w:t>
      </w:r>
      <w:hyperlink r:id="rId29">
        <w:r w:rsidRPr="00C900C3">
          <w:rPr>
            <w:rFonts w:ascii="Arial" w:hAnsi="Arial" w:cs="Arial"/>
            <w:color w:val="1155CC"/>
            <w:u w:val="single"/>
          </w:rPr>
          <w:t>https://www.researchgate.net/profile/Dr-Haralayya/publication/359186994_Working_Capital_Management_in_Hyundai_Showroom_Bidar/links/622c485f3c53d31ba4bcf7a3/Working-Capital-Management-in-Hyundai-Showroom-Bidar.pdf</w:t>
        </w:r>
      </w:hyperlink>
      <w:r w:rsidRPr="00C900C3">
        <w:rPr>
          <w:rFonts w:ascii="Arial" w:hAnsi="Arial" w:cs="Arial"/>
        </w:rPr>
        <w:t xml:space="preserve"> </w:t>
      </w:r>
    </w:p>
    <w:p w14:paraId="2BFF6A5D" w14:textId="77777777" w:rsidR="0052277D" w:rsidRPr="00C900C3" w:rsidRDefault="0052277D">
      <w:pPr>
        <w:rPr>
          <w:rFonts w:ascii="Arial" w:hAnsi="Arial" w:cs="Arial"/>
        </w:rPr>
      </w:pPr>
      <w:r w:rsidRPr="00C900C3">
        <w:rPr>
          <w:rFonts w:ascii="Arial" w:hAnsi="Arial" w:cs="Arial"/>
        </w:rPr>
        <w:t xml:space="preserve">Hieu, L.Q. and Trang, T.D., 2022. Analysis of Marketing Strategy and Successful Leadership in a Case of Hyundai Motor Company. </w:t>
      </w:r>
      <w:r w:rsidRPr="00C900C3">
        <w:rPr>
          <w:rFonts w:ascii="Arial" w:hAnsi="Arial" w:cs="Arial"/>
          <w:i/>
          <w:iCs/>
        </w:rPr>
        <w:t>Mediterranean Journal of Basic and Applied Sciences (MJBAS) Volume</w:t>
      </w:r>
      <w:r w:rsidRPr="00C900C3">
        <w:rPr>
          <w:rFonts w:ascii="Arial" w:hAnsi="Arial" w:cs="Arial"/>
        </w:rPr>
        <w:t xml:space="preserve">, </w:t>
      </w:r>
      <w:r w:rsidRPr="00C900C3">
        <w:rPr>
          <w:rFonts w:ascii="Arial" w:hAnsi="Arial" w:cs="Arial"/>
          <w:i/>
          <w:iCs/>
        </w:rPr>
        <w:t>6</w:t>
      </w:r>
      <w:r w:rsidRPr="00C900C3">
        <w:rPr>
          <w:rFonts w:ascii="Arial" w:hAnsi="Arial" w:cs="Arial"/>
        </w:rPr>
        <w:t xml:space="preserve">, pp.36-47. </w:t>
      </w:r>
      <w:hyperlink r:id="rId30">
        <w:r w:rsidRPr="00C900C3">
          <w:rPr>
            <w:rFonts w:ascii="Arial" w:hAnsi="Arial" w:cs="Arial"/>
            <w:color w:val="1155CC"/>
            <w:u w:val="single"/>
          </w:rPr>
          <w:t>https://papers.ssrn.com/sol3/Delivery.cfm?abstractid=4116810</w:t>
        </w:r>
      </w:hyperlink>
      <w:r w:rsidRPr="00C900C3">
        <w:rPr>
          <w:rFonts w:ascii="Arial" w:hAnsi="Arial" w:cs="Arial"/>
        </w:rPr>
        <w:t xml:space="preserve"> </w:t>
      </w:r>
    </w:p>
    <w:p w14:paraId="00A0475C" w14:textId="77777777" w:rsidR="0052277D" w:rsidRPr="00C900C3" w:rsidRDefault="0052277D">
      <w:pPr>
        <w:rPr>
          <w:rFonts w:ascii="Arial" w:hAnsi="Arial" w:cs="Arial"/>
        </w:rPr>
      </w:pPr>
      <w:r w:rsidRPr="00C900C3">
        <w:rPr>
          <w:rFonts w:ascii="Arial" w:hAnsi="Arial" w:cs="Arial"/>
        </w:rPr>
        <w:t>Hyundai. 2020.</w:t>
      </w:r>
      <w:r w:rsidRPr="00C900C3">
        <w:rPr>
          <w:rFonts w:ascii="Arial" w:hAnsi="Arial" w:cs="Arial"/>
          <w:i/>
          <w:iCs/>
        </w:rPr>
        <w:t xml:space="preserve"> Annual report of HYUNDAI MOTOR COMPANY of 2020. </w:t>
      </w:r>
      <w:r w:rsidRPr="00C900C3">
        <w:rPr>
          <w:rFonts w:ascii="Arial" w:hAnsi="Arial" w:cs="Arial"/>
        </w:rPr>
        <w:t xml:space="preserve">Available at: </w:t>
      </w:r>
      <w:hyperlink r:id="rId31">
        <w:r w:rsidRPr="00C900C3">
          <w:rPr>
            <w:rFonts w:ascii="Arial" w:hAnsi="Arial" w:cs="Arial"/>
            <w:color w:val="1155CC"/>
            <w:u w:val="single"/>
          </w:rPr>
          <w:t>https://www.annualreports.com/HostedData/AnnualReportArchive/h/OTC_HYMTF_2020.pdf</w:t>
        </w:r>
      </w:hyperlink>
      <w:r w:rsidRPr="00C900C3">
        <w:rPr>
          <w:rFonts w:ascii="Arial" w:hAnsi="Arial" w:cs="Arial"/>
        </w:rPr>
        <w:t xml:space="preserve"> [Accessed 18th April 2026]</w:t>
      </w:r>
    </w:p>
    <w:p w14:paraId="1FDE322C" w14:textId="77777777" w:rsidR="0052277D" w:rsidRPr="00C900C3" w:rsidRDefault="0052277D">
      <w:pPr>
        <w:rPr>
          <w:rFonts w:ascii="Arial" w:hAnsi="Arial" w:cs="Arial"/>
        </w:rPr>
      </w:pPr>
      <w:r w:rsidRPr="00C900C3">
        <w:rPr>
          <w:rFonts w:ascii="Arial" w:hAnsi="Arial" w:cs="Arial"/>
        </w:rPr>
        <w:lastRenderedPageBreak/>
        <w:t xml:space="preserve">Hyundai. 2021. </w:t>
      </w:r>
      <w:r w:rsidRPr="00C900C3">
        <w:rPr>
          <w:rFonts w:ascii="Arial" w:hAnsi="Arial" w:cs="Arial"/>
          <w:i/>
          <w:iCs/>
        </w:rPr>
        <w:t xml:space="preserve">Annual report of HYUNDAI MOTOR COMPANY of 2021. </w:t>
      </w:r>
      <w:r w:rsidRPr="00C900C3">
        <w:rPr>
          <w:rFonts w:ascii="Arial" w:hAnsi="Arial" w:cs="Arial"/>
        </w:rPr>
        <w:t xml:space="preserve">Available at: </w:t>
      </w:r>
      <w:hyperlink r:id="rId32">
        <w:r w:rsidRPr="00C900C3">
          <w:rPr>
            <w:rFonts w:ascii="Arial" w:hAnsi="Arial" w:cs="Arial"/>
            <w:color w:val="1155CC"/>
            <w:u w:val="single"/>
          </w:rPr>
          <w:t>https://www.annualreports.com/HostedData/AnnualReportArchive/h/OTC_HYMTF_2021.pdf</w:t>
        </w:r>
      </w:hyperlink>
      <w:r w:rsidRPr="00C900C3">
        <w:rPr>
          <w:rFonts w:ascii="Arial" w:hAnsi="Arial" w:cs="Arial"/>
        </w:rPr>
        <w:t xml:space="preserve"> [Accessed 18th April 2026]</w:t>
      </w:r>
    </w:p>
    <w:p w14:paraId="2A3779BC" w14:textId="77777777" w:rsidR="0052277D" w:rsidRPr="00C900C3" w:rsidRDefault="0052277D">
      <w:pPr>
        <w:rPr>
          <w:rFonts w:ascii="Arial" w:hAnsi="Arial" w:cs="Arial"/>
        </w:rPr>
      </w:pPr>
      <w:r w:rsidRPr="00C900C3">
        <w:rPr>
          <w:rFonts w:ascii="Arial" w:hAnsi="Arial" w:cs="Arial"/>
        </w:rPr>
        <w:t>Hyundai. 2022.</w:t>
      </w:r>
      <w:r w:rsidRPr="00C900C3">
        <w:rPr>
          <w:rFonts w:ascii="Arial" w:hAnsi="Arial" w:cs="Arial"/>
          <w:i/>
          <w:iCs/>
        </w:rPr>
        <w:t xml:space="preserve"> Annual report of HYUNDAI MOTOR COMPANY of 2022. </w:t>
      </w:r>
      <w:r w:rsidRPr="00C900C3">
        <w:rPr>
          <w:rFonts w:ascii="Arial" w:hAnsi="Arial" w:cs="Arial"/>
        </w:rPr>
        <w:t xml:space="preserve">Available at: </w:t>
      </w:r>
      <w:hyperlink r:id="rId33">
        <w:r w:rsidRPr="00C900C3">
          <w:rPr>
            <w:rFonts w:ascii="Arial" w:hAnsi="Arial" w:cs="Arial"/>
            <w:color w:val="1155CC"/>
            <w:u w:val="single"/>
          </w:rPr>
          <w:t>https://www.annualreports.com/HostedData/AnnualReportArchive/h/OTC_HYMTF_2022.pdf</w:t>
        </w:r>
      </w:hyperlink>
      <w:r w:rsidRPr="00C900C3">
        <w:rPr>
          <w:rFonts w:ascii="Arial" w:hAnsi="Arial" w:cs="Arial"/>
        </w:rPr>
        <w:t xml:space="preserve"> [Accessed 18th April 2026]</w:t>
      </w:r>
    </w:p>
    <w:p w14:paraId="2D45E5AC" w14:textId="77777777" w:rsidR="0052277D" w:rsidRPr="00C900C3" w:rsidRDefault="0052277D">
      <w:pPr>
        <w:rPr>
          <w:rFonts w:ascii="Arial" w:hAnsi="Arial" w:cs="Arial"/>
        </w:rPr>
      </w:pPr>
      <w:r w:rsidRPr="00C900C3">
        <w:rPr>
          <w:rFonts w:ascii="Arial" w:hAnsi="Arial" w:cs="Arial"/>
        </w:rPr>
        <w:t>Hyundai. 2023.</w:t>
      </w:r>
      <w:r w:rsidRPr="00C900C3">
        <w:rPr>
          <w:rFonts w:ascii="Arial" w:hAnsi="Arial" w:cs="Arial"/>
          <w:i/>
          <w:iCs/>
        </w:rPr>
        <w:t xml:space="preserve"> Annual report of HYUNDAI MOTOR COMPANY of 2023. </w:t>
      </w:r>
      <w:r w:rsidRPr="00C900C3">
        <w:rPr>
          <w:rFonts w:ascii="Arial" w:hAnsi="Arial" w:cs="Arial"/>
        </w:rPr>
        <w:t xml:space="preserve">Available at: </w:t>
      </w:r>
      <w:hyperlink r:id="rId34">
        <w:r w:rsidRPr="00C900C3">
          <w:rPr>
            <w:rFonts w:ascii="Arial" w:hAnsi="Arial" w:cs="Arial"/>
            <w:color w:val="1155CC"/>
            <w:u w:val="single"/>
          </w:rPr>
          <w:t>https://www.annualreports.com/HostedData/AnnualReportArchive/h/OTC_HYMTF_2023.pdf</w:t>
        </w:r>
      </w:hyperlink>
      <w:r w:rsidRPr="00C900C3">
        <w:rPr>
          <w:rFonts w:ascii="Arial" w:hAnsi="Arial" w:cs="Arial"/>
        </w:rPr>
        <w:t xml:space="preserve"> [Accessed 18th April 2026]</w:t>
      </w:r>
    </w:p>
    <w:p w14:paraId="6D88B470" w14:textId="77777777" w:rsidR="0052277D" w:rsidRPr="00C900C3" w:rsidRDefault="0052277D">
      <w:pPr>
        <w:rPr>
          <w:rFonts w:ascii="Arial" w:hAnsi="Arial" w:cs="Arial"/>
        </w:rPr>
      </w:pPr>
      <w:r w:rsidRPr="00C900C3">
        <w:rPr>
          <w:rFonts w:ascii="Arial" w:hAnsi="Arial" w:cs="Arial"/>
        </w:rPr>
        <w:t xml:space="preserve">Hyundai. 2024. </w:t>
      </w:r>
      <w:r w:rsidRPr="00C900C3">
        <w:rPr>
          <w:rFonts w:ascii="Arial" w:hAnsi="Arial" w:cs="Arial"/>
          <w:i/>
          <w:iCs/>
        </w:rPr>
        <w:t xml:space="preserve">Annual report of HYUNDAI MOTOR COMPANY of 2024. </w:t>
      </w:r>
      <w:r w:rsidRPr="00C900C3">
        <w:rPr>
          <w:rFonts w:ascii="Arial" w:hAnsi="Arial" w:cs="Arial"/>
        </w:rPr>
        <w:t xml:space="preserve">Available at: </w:t>
      </w:r>
      <w:hyperlink r:id="rId35">
        <w:r w:rsidRPr="00C900C3">
          <w:rPr>
            <w:rFonts w:ascii="Arial" w:hAnsi="Arial" w:cs="Arial"/>
            <w:color w:val="1155CC"/>
            <w:u w:val="single"/>
          </w:rPr>
          <w:t>https://www.annualreports.com/HostedData/AnnualReports/PDF/OTC_HYMTF_2024.pdf</w:t>
        </w:r>
      </w:hyperlink>
      <w:r w:rsidRPr="00C900C3">
        <w:rPr>
          <w:rFonts w:ascii="Arial" w:hAnsi="Arial" w:cs="Arial"/>
        </w:rPr>
        <w:t xml:space="preserve"> [Accessed 18th April 2026]</w:t>
      </w:r>
    </w:p>
    <w:p w14:paraId="307F10AE" w14:textId="77777777" w:rsidR="0052277D" w:rsidRPr="00C900C3" w:rsidRDefault="0052277D">
      <w:pPr>
        <w:rPr>
          <w:rFonts w:ascii="Arial" w:hAnsi="Arial" w:cs="Arial"/>
        </w:rPr>
      </w:pPr>
      <w:r w:rsidRPr="00C900C3">
        <w:rPr>
          <w:rFonts w:ascii="Arial" w:hAnsi="Arial" w:cs="Arial"/>
        </w:rPr>
        <w:t>Hyundai. 2026.</w:t>
      </w:r>
      <w:r w:rsidRPr="00C900C3">
        <w:rPr>
          <w:rFonts w:ascii="Arial" w:hAnsi="Arial" w:cs="Arial"/>
          <w:i/>
          <w:iCs/>
        </w:rPr>
        <w:t xml:space="preserve"> Corporate Governance - Hyundai India. </w:t>
      </w:r>
      <w:r w:rsidRPr="00C900C3">
        <w:rPr>
          <w:rFonts w:ascii="Arial" w:hAnsi="Arial" w:cs="Arial"/>
        </w:rPr>
        <w:t xml:space="preserve">Available at: </w:t>
      </w:r>
      <w:hyperlink r:id="rId36">
        <w:r w:rsidRPr="00C900C3">
          <w:rPr>
            <w:rFonts w:ascii="Arial" w:hAnsi="Arial" w:cs="Arial"/>
            <w:color w:val="1155CC"/>
            <w:u w:val="single"/>
          </w:rPr>
          <w:t>https://www.hyundai.com/in/en/investor-relations/corporate-governance/committees</w:t>
        </w:r>
      </w:hyperlink>
      <w:r w:rsidRPr="00C900C3">
        <w:rPr>
          <w:rFonts w:ascii="Arial" w:hAnsi="Arial" w:cs="Arial"/>
        </w:rPr>
        <w:t xml:space="preserve"> [Accessed 18th April 2026]</w:t>
      </w:r>
    </w:p>
    <w:p w14:paraId="15AFB94E" w14:textId="77777777" w:rsidR="0052277D" w:rsidRPr="00C900C3" w:rsidRDefault="0052277D">
      <w:pPr>
        <w:rPr>
          <w:rFonts w:ascii="Arial" w:hAnsi="Arial" w:cs="Arial"/>
        </w:rPr>
      </w:pPr>
      <w:r w:rsidRPr="00C900C3">
        <w:rPr>
          <w:rFonts w:ascii="Arial" w:hAnsi="Arial" w:cs="Arial"/>
        </w:rPr>
        <w:t xml:space="preserve">Jo, H.J., Jeong, J.H. and Kim, C., 2023. An Overview of Hyundai Motor’s Production System. </w:t>
      </w:r>
      <w:r w:rsidRPr="00C900C3">
        <w:rPr>
          <w:rFonts w:ascii="Arial" w:hAnsi="Arial" w:cs="Arial"/>
          <w:i/>
          <w:iCs/>
        </w:rPr>
        <w:t>Agile Against Lean: An Inquiry into the Production System of Hyundai Motor</w:t>
      </w:r>
      <w:r w:rsidRPr="00C900C3">
        <w:rPr>
          <w:rFonts w:ascii="Arial" w:hAnsi="Arial" w:cs="Arial"/>
        </w:rPr>
        <w:t xml:space="preserve">, pp.65-116. </w:t>
      </w:r>
      <w:hyperlink r:id="rId37">
        <w:r w:rsidRPr="00C900C3">
          <w:rPr>
            <w:rFonts w:ascii="Arial" w:hAnsi="Arial" w:cs="Arial"/>
            <w:color w:val="1155CC"/>
            <w:u w:val="single"/>
          </w:rPr>
          <w:t>https://link.springer.com/chapter/10.1007/978-981-99-2042-6_2</w:t>
        </w:r>
      </w:hyperlink>
      <w:r w:rsidRPr="00C900C3">
        <w:rPr>
          <w:rFonts w:ascii="Arial" w:hAnsi="Arial" w:cs="Arial"/>
        </w:rPr>
        <w:t xml:space="preserve"> </w:t>
      </w:r>
    </w:p>
    <w:p w14:paraId="1164B3DD" w14:textId="77777777" w:rsidR="0052277D" w:rsidRPr="00C900C3" w:rsidRDefault="0052277D">
      <w:pPr>
        <w:rPr>
          <w:rFonts w:ascii="Arial" w:hAnsi="Arial" w:cs="Arial"/>
        </w:rPr>
      </w:pPr>
      <w:r w:rsidRPr="00C900C3">
        <w:rPr>
          <w:rFonts w:ascii="Arial" w:hAnsi="Arial" w:cs="Arial"/>
        </w:rPr>
        <w:t xml:space="preserve">Karim, R., Mamun, M.A.A. and </w:t>
      </w:r>
      <w:proofErr w:type="spellStart"/>
      <w:r w:rsidRPr="00C900C3">
        <w:rPr>
          <w:rFonts w:ascii="Arial" w:hAnsi="Arial" w:cs="Arial"/>
        </w:rPr>
        <w:t>Kamruzzaman</w:t>
      </w:r>
      <w:proofErr w:type="spellEnd"/>
      <w:r w:rsidRPr="00C900C3">
        <w:rPr>
          <w:rFonts w:ascii="Arial" w:hAnsi="Arial" w:cs="Arial"/>
        </w:rPr>
        <w:t xml:space="preserve">, A.S.M., 2024. Cash conversion cycle and financial performance: evidence from manufacturing firms of Bangladesh. </w:t>
      </w:r>
      <w:r w:rsidRPr="00C900C3">
        <w:rPr>
          <w:rFonts w:ascii="Arial" w:hAnsi="Arial" w:cs="Arial"/>
          <w:i/>
          <w:iCs/>
        </w:rPr>
        <w:t>Asian Journal of Economics and Banking</w:t>
      </w:r>
      <w:r w:rsidRPr="00C900C3">
        <w:rPr>
          <w:rFonts w:ascii="Arial" w:hAnsi="Arial" w:cs="Arial"/>
        </w:rPr>
        <w:t xml:space="preserve">, </w:t>
      </w:r>
      <w:r w:rsidRPr="00C900C3">
        <w:rPr>
          <w:rFonts w:ascii="Arial" w:hAnsi="Arial" w:cs="Arial"/>
          <w:i/>
          <w:iCs/>
        </w:rPr>
        <w:t>8</w:t>
      </w:r>
      <w:r w:rsidRPr="00C900C3">
        <w:rPr>
          <w:rFonts w:ascii="Arial" w:hAnsi="Arial" w:cs="Arial"/>
        </w:rPr>
        <w:t xml:space="preserve">(1), pp.67-82. </w:t>
      </w:r>
      <w:hyperlink r:id="rId38">
        <w:r w:rsidRPr="00C900C3">
          <w:rPr>
            <w:rFonts w:ascii="Arial" w:hAnsi="Arial" w:cs="Arial"/>
            <w:color w:val="1155CC"/>
            <w:u w:val="single"/>
          </w:rPr>
          <w:t>https://www.emerald.com/ajeb/article-pdf/8/1/67/9525823/ajeb-03-2022-0033.pdf</w:t>
        </w:r>
      </w:hyperlink>
      <w:r w:rsidRPr="00C900C3">
        <w:rPr>
          <w:rFonts w:ascii="Arial" w:hAnsi="Arial" w:cs="Arial"/>
        </w:rPr>
        <w:t xml:space="preserve"> </w:t>
      </w:r>
    </w:p>
    <w:p w14:paraId="5F54E68C" w14:textId="77777777" w:rsidR="0052277D" w:rsidRPr="00C900C3" w:rsidRDefault="0052277D">
      <w:pPr>
        <w:rPr>
          <w:rFonts w:ascii="Arial" w:hAnsi="Arial" w:cs="Arial"/>
        </w:rPr>
      </w:pPr>
      <w:proofErr w:type="spellStart"/>
      <w:r w:rsidRPr="00C900C3">
        <w:rPr>
          <w:rFonts w:ascii="Arial" w:hAnsi="Arial" w:cs="Arial"/>
        </w:rPr>
        <w:t>Kiymaz</w:t>
      </w:r>
      <w:proofErr w:type="spellEnd"/>
      <w:r w:rsidRPr="00C900C3">
        <w:rPr>
          <w:rFonts w:ascii="Arial" w:hAnsi="Arial" w:cs="Arial"/>
        </w:rPr>
        <w:t xml:space="preserve">, H., Haque, S. and Choudhury, A.A., 2024. Working capital management and firm performance: A comparative analysis of developed and emerging economies. </w:t>
      </w:r>
      <w:r w:rsidRPr="00C900C3">
        <w:rPr>
          <w:rFonts w:ascii="Arial" w:hAnsi="Arial" w:cs="Arial"/>
          <w:i/>
          <w:iCs/>
        </w:rPr>
        <w:t>Borsa Istanbul Review</w:t>
      </w:r>
      <w:r w:rsidRPr="00C900C3">
        <w:rPr>
          <w:rFonts w:ascii="Arial" w:hAnsi="Arial" w:cs="Arial"/>
        </w:rPr>
        <w:t xml:space="preserve">, </w:t>
      </w:r>
      <w:r w:rsidRPr="00C900C3">
        <w:rPr>
          <w:rFonts w:ascii="Arial" w:hAnsi="Arial" w:cs="Arial"/>
          <w:i/>
          <w:iCs/>
        </w:rPr>
        <w:t>24</w:t>
      </w:r>
      <w:r w:rsidRPr="00C900C3">
        <w:rPr>
          <w:rFonts w:ascii="Arial" w:hAnsi="Arial" w:cs="Arial"/>
        </w:rPr>
        <w:t xml:space="preserve">(3), pp.634-642. </w:t>
      </w:r>
      <w:hyperlink r:id="rId39">
        <w:r w:rsidRPr="00C900C3">
          <w:rPr>
            <w:rFonts w:ascii="Arial" w:hAnsi="Arial" w:cs="Arial"/>
            <w:color w:val="1155CC"/>
            <w:u w:val="single"/>
          </w:rPr>
          <w:t>https://www.sciencedirect.com/science/article/pii/S2214845024000462</w:t>
        </w:r>
      </w:hyperlink>
      <w:r w:rsidRPr="00C900C3">
        <w:rPr>
          <w:rFonts w:ascii="Arial" w:hAnsi="Arial" w:cs="Arial"/>
        </w:rPr>
        <w:t xml:space="preserve"> </w:t>
      </w:r>
    </w:p>
    <w:p w14:paraId="571D6AB7" w14:textId="77777777" w:rsidR="0052277D" w:rsidRPr="00C900C3" w:rsidRDefault="0052277D">
      <w:pPr>
        <w:rPr>
          <w:rFonts w:ascii="Arial" w:hAnsi="Arial" w:cs="Arial"/>
        </w:rPr>
      </w:pPr>
      <w:r w:rsidRPr="00C900C3">
        <w:rPr>
          <w:rFonts w:ascii="Arial" w:hAnsi="Arial" w:cs="Arial"/>
        </w:rPr>
        <w:t xml:space="preserve">Phan, T.D., Nguyen, M.H. and Thanh, N.N.T., 2025. Working capital management and profitability: Cash threshold effects in Vietnam's transportation sector. </w:t>
      </w:r>
      <w:r w:rsidRPr="00C900C3">
        <w:rPr>
          <w:rFonts w:ascii="Arial" w:hAnsi="Arial" w:cs="Arial"/>
          <w:i/>
          <w:iCs/>
        </w:rPr>
        <w:t>Investment Management &amp; Financial Innovations</w:t>
      </w:r>
      <w:r w:rsidRPr="00C900C3">
        <w:rPr>
          <w:rFonts w:ascii="Arial" w:hAnsi="Arial" w:cs="Arial"/>
        </w:rPr>
        <w:t xml:space="preserve">, </w:t>
      </w:r>
      <w:r w:rsidRPr="00C900C3">
        <w:rPr>
          <w:rFonts w:ascii="Arial" w:hAnsi="Arial" w:cs="Arial"/>
          <w:i/>
          <w:iCs/>
        </w:rPr>
        <w:t>22</w:t>
      </w:r>
      <w:r w:rsidRPr="00C900C3">
        <w:rPr>
          <w:rFonts w:ascii="Arial" w:hAnsi="Arial" w:cs="Arial"/>
        </w:rPr>
        <w:t xml:space="preserve">(3), p.293. </w:t>
      </w:r>
      <w:hyperlink r:id="rId40">
        <w:r w:rsidRPr="00C900C3">
          <w:rPr>
            <w:rFonts w:ascii="Arial" w:hAnsi="Arial" w:cs="Arial"/>
            <w:color w:val="1155CC"/>
            <w:u w:val="single"/>
          </w:rPr>
          <w:t>https://search.proquest.com/openview/d159a7dd71a3a32a58cf0a5d3c28e690/1?pq-origsite=gscholar&amp;cbl=4368392</w:t>
        </w:r>
      </w:hyperlink>
      <w:r w:rsidRPr="00C900C3">
        <w:rPr>
          <w:rFonts w:ascii="Arial" w:hAnsi="Arial" w:cs="Arial"/>
        </w:rPr>
        <w:t xml:space="preserve"> </w:t>
      </w:r>
    </w:p>
    <w:p w14:paraId="1E93D0DD" w14:textId="77777777" w:rsidR="0052277D" w:rsidRPr="00C900C3" w:rsidRDefault="0052277D">
      <w:pPr>
        <w:rPr>
          <w:rFonts w:ascii="Arial" w:hAnsi="Arial" w:cs="Arial"/>
        </w:rPr>
      </w:pPr>
      <w:proofErr w:type="spellStart"/>
      <w:r w:rsidRPr="00C900C3">
        <w:rPr>
          <w:rFonts w:ascii="Arial" w:hAnsi="Arial" w:cs="Arial"/>
        </w:rPr>
        <w:t>Purnamasari</w:t>
      </w:r>
      <w:proofErr w:type="spellEnd"/>
      <w:r w:rsidRPr="00C900C3">
        <w:rPr>
          <w:rFonts w:ascii="Arial" w:hAnsi="Arial" w:cs="Arial"/>
        </w:rPr>
        <w:t xml:space="preserve">, P. and </w:t>
      </w:r>
      <w:proofErr w:type="spellStart"/>
      <w:r w:rsidRPr="00C900C3">
        <w:rPr>
          <w:rFonts w:ascii="Arial" w:hAnsi="Arial" w:cs="Arial"/>
        </w:rPr>
        <w:t>Adriza</w:t>
      </w:r>
      <w:proofErr w:type="spellEnd"/>
      <w:r w:rsidRPr="00C900C3">
        <w:rPr>
          <w:rFonts w:ascii="Arial" w:hAnsi="Arial" w:cs="Arial"/>
        </w:rPr>
        <w:t xml:space="preserve">, 2024. Capital budgeting techniques and financial performance: a comparison between SMEs and large listed firms. </w:t>
      </w:r>
      <w:r w:rsidRPr="00C900C3">
        <w:rPr>
          <w:rFonts w:ascii="Arial" w:hAnsi="Arial" w:cs="Arial"/>
          <w:i/>
          <w:iCs/>
        </w:rPr>
        <w:t>Cogent Economics &amp; Finance</w:t>
      </w:r>
      <w:r w:rsidRPr="00C900C3">
        <w:rPr>
          <w:rFonts w:ascii="Arial" w:hAnsi="Arial" w:cs="Arial"/>
        </w:rPr>
        <w:t xml:space="preserve">, </w:t>
      </w:r>
      <w:r w:rsidRPr="00C900C3">
        <w:rPr>
          <w:rFonts w:ascii="Arial" w:hAnsi="Arial" w:cs="Arial"/>
          <w:i/>
          <w:iCs/>
        </w:rPr>
        <w:t>12</w:t>
      </w:r>
      <w:r w:rsidRPr="00C900C3">
        <w:rPr>
          <w:rFonts w:ascii="Arial" w:hAnsi="Arial" w:cs="Arial"/>
        </w:rPr>
        <w:t xml:space="preserve">(1), p.2404707. </w:t>
      </w:r>
      <w:hyperlink r:id="rId41">
        <w:r w:rsidRPr="00C900C3">
          <w:rPr>
            <w:rFonts w:ascii="Arial" w:hAnsi="Arial" w:cs="Arial"/>
            <w:color w:val="1155CC"/>
            <w:u w:val="single"/>
          </w:rPr>
          <w:t>https://www.tandfonline.com/doi/pdf/10.1080/23322039.2024.2404707</w:t>
        </w:r>
      </w:hyperlink>
      <w:r w:rsidRPr="00C900C3">
        <w:rPr>
          <w:rFonts w:ascii="Arial" w:hAnsi="Arial" w:cs="Arial"/>
        </w:rPr>
        <w:t xml:space="preserve"> </w:t>
      </w:r>
    </w:p>
    <w:p w14:paraId="27C074B8" w14:textId="77777777" w:rsidR="0052277D" w:rsidRPr="00C900C3" w:rsidRDefault="0052277D">
      <w:pPr>
        <w:rPr>
          <w:rFonts w:ascii="Arial" w:hAnsi="Arial" w:cs="Arial"/>
        </w:rPr>
      </w:pPr>
      <w:r w:rsidRPr="00C900C3">
        <w:rPr>
          <w:rFonts w:ascii="Arial" w:hAnsi="Arial" w:cs="Arial"/>
        </w:rPr>
        <w:t xml:space="preserve">Rahman, A. and Acharya, P., 2022. An examination of five financial ratios: The Altman Z Score is a technique used to assess the creditworthiness of selected passenger car companies. </w:t>
      </w:r>
      <w:r w:rsidRPr="00C900C3">
        <w:rPr>
          <w:rFonts w:ascii="Arial" w:hAnsi="Arial" w:cs="Arial"/>
          <w:i/>
          <w:iCs/>
        </w:rPr>
        <w:t>International Journal of Multidisciplinary Research and Explorer</w:t>
      </w:r>
      <w:r w:rsidRPr="00C900C3">
        <w:rPr>
          <w:rFonts w:ascii="Arial" w:hAnsi="Arial" w:cs="Arial"/>
        </w:rPr>
        <w:t xml:space="preserve">, </w:t>
      </w:r>
      <w:r w:rsidRPr="00C900C3">
        <w:rPr>
          <w:rFonts w:ascii="Arial" w:hAnsi="Arial" w:cs="Arial"/>
          <w:i/>
          <w:iCs/>
        </w:rPr>
        <w:t>2</w:t>
      </w:r>
      <w:r w:rsidRPr="00C900C3">
        <w:rPr>
          <w:rFonts w:ascii="Arial" w:hAnsi="Arial" w:cs="Arial"/>
        </w:rPr>
        <w:t xml:space="preserve">(1), pp.1-6. </w:t>
      </w:r>
      <w:hyperlink r:id="rId42">
        <w:r w:rsidRPr="00C900C3">
          <w:rPr>
            <w:rFonts w:ascii="Arial" w:hAnsi="Arial" w:cs="Arial"/>
            <w:color w:val="1155CC"/>
            <w:u w:val="single"/>
          </w:rPr>
          <w:t>https://www.academia.edu/download/79702829/IJMRE_V2N1AI217_published_paper.pdf</w:t>
        </w:r>
      </w:hyperlink>
      <w:r w:rsidRPr="00C900C3">
        <w:rPr>
          <w:rFonts w:ascii="Arial" w:hAnsi="Arial" w:cs="Arial"/>
        </w:rPr>
        <w:t xml:space="preserve"> </w:t>
      </w:r>
    </w:p>
    <w:p w14:paraId="1D4A86CB" w14:textId="77777777" w:rsidR="0052277D" w:rsidRPr="00C900C3" w:rsidRDefault="0052277D">
      <w:pPr>
        <w:rPr>
          <w:rFonts w:ascii="Arial" w:hAnsi="Arial" w:cs="Arial"/>
        </w:rPr>
      </w:pPr>
      <w:r w:rsidRPr="00C900C3">
        <w:rPr>
          <w:rFonts w:ascii="Arial" w:hAnsi="Arial" w:cs="Arial"/>
        </w:rPr>
        <w:t xml:space="preserve">Rahman, A., 2022. Relationship between working capital management and profitability of Indian automobile manufacturers. </w:t>
      </w:r>
      <w:r w:rsidRPr="00C900C3">
        <w:rPr>
          <w:rFonts w:ascii="Arial" w:hAnsi="Arial" w:cs="Arial"/>
          <w:i/>
          <w:iCs/>
        </w:rPr>
        <w:t>Available at SSRN 4173907</w:t>
      </w:r>
      <w:r w:rsidRPr="00C900C3">
        <w:rPr>
          <w:rFonts w:ascii="Arial" w:hAnsi="Arial" w:cs="Arial"/>
        </w:rPr>
        <w:t xml:space="preserve">. </w:t>
      </w:r>
      <w:hyperlink r:id="rId43">
        <w:r w:rsidRPr="00C900C3">
          <w:rPr>
            <w:rFonts w:ascii="Arial" w:hAnsi="Arial" w:cs="Arial"/>
            <w:color w:val="1155CC"/>
            <w:u w:val="single"/>
          </w:rPr>
          <w:t>https://papers.ssrn.com/sol3/Delivery.cfm?abstractid=4173907</w:t>
        </w:r>
      </w:hyperlink>
      <w:r w:rsidRPr="00C900C3">
        <w:rPr>
          <w:rFonts w:ascii="Arial" w:hAnsi="Arial" w:cs="Arial"/>
        </w:rPr>
        <w:t xml:space="preserve"> </w:t>
      </w:r>
    </w:p>
    <w:p w14:paraId="4F21EC51" w14:textId="77777777" w:rsidR="0052277D" w:rsidRPr="00C900C3" w:rsidRDefault="0052277D">
      <w:pPr>
        <w:rPr>
          <w:rFonts w:ascii="Arial" w:hAnsi="Arial" w:cs="Arial"/>
        </w:rPr>
      </w:pPr>
      <w:r w:rsidRPr="00C900C3">
        <w:rPr>
          <w:rFonts w:ascii="Arial" w:hAnsi="Arial" w:cs="Arial"/>
        </w:rPr>
        <w:t xml:space="preserve">Rahman, A., 2023. Impact of working capital ratios on profitability in selected four-wheeler automobile companies. </w:t>
      </w:r>
      <w:r w:rsidRPr="00C900C3">
        <w:rPr>
          <w:rFonts w:ascii="Arial" w:hAnsi="Arial" w:cs="Arial"/>
          <w:i/>
          <w:iCs/>
        </w:rPr>
        <w:t>The Lumbini Journal of Business and Economics</w:t>
      </w:r>
      <w:r w:rsidRPr="00C900C3">
        <w:rPr>
          <w:rFonts w:ascii="Arial" w:hAnsi="Arial" w:cs="Arial"/>
        </w:rPr>
        <w:t xml:space="preserve">, </w:t>
      </w:r>
      <w:r w:rsidRPr="00C900C3">
        <w:rPr>
          <w:rFonts w:ascii="Arial" w:hAnsi="Arial" w:cs="Arial"/>
          <w:i/>
          <w:iCs/>
        </w:rPr>
        <w:t>11</w:t>
      </w:r>
      <w:r w:rsidRPr="00C900C3">
        <w:rPr>
          <w:rFonts w:ascii="Arial" w:hAnsi="Arial" w:cs="Arial"/>
        </w:rPr>
        <w:t>(1), pp.100-115.</w:t>
      </w:r>
      <w:hyperlink r:id="rId44">
        <w:r w:rsidRPr="00C900C3">
          <w:rPr>
            <w:rFonts w:ascii="Arial" w:hAnsi="Arial" w:cs="Arial"/>
            <w:color w:val="1155CC"/>
            <w:u w:val="single"/>
          </w:rPr>
          <w:t>https://nepjol.info/index.php/ljbe/article/download/54320/40697</w:t>
        </w:r>
      </w:hyperlink>
      <w:r w:rsidRPr="00C900C3">
        <w:rPr>
          <w:rFonts w:ascii="Arial" w:hAnsi="Arial" w:cs="Arial"/>
        </w:rPr>
        <w:t xml:space="preserve"> </w:t>
      </w:r>
    </w:p>
    <w:p w14:paraId="6373BFB5" w14:textId="77777777" w:rsidR="0052277D" w:rsidRPr="00C900C3" w:rsidRDefault="0052277D">
      <w:pPr>
        <w:rPr>
          <w:rFonts w:ascii="Arial" w:hAnsi="Arial" w:cs="Arial"/>
        </w:rPr>
      </w:pPr>
      <w:r w:rsidRPr="00C900C3">
        <w:rPr>
          <w:rFonts w:ascii="Arial" w:hAnsi="Arial" w:cs="Arial"/>
        </w:rPr>
        <w:t xml:space="preserve">Ryu, C. and Do, S., 2023. A Method for Managing Software Assets in the Automotive Industry (Focusing on the Case of Hyundai Motor Company and Parts Makers). </w:t>
      </w:r>
      <w:r w:rsidRPr="00C900C3">
        <w:rPr>
          <w:rFonts w:ascii="Arial" w:hAnsi="Arial" w:cs="Arial"/>
          <w:i/>
          <w:iCs/>
        </w:rPr>
        <w:t>Applied Sciences</w:t>
      </w:r>
      <w:r w:rsidRPr="00C900C3">
        <w:rPr>
          <w:rFonts w:ascii="Arial" w:hAnsi="Arial" w:cs="Arial"/>
        </w:rPr>
        <w:t xml:space="preserve">, </w:t>
      </w:r>
      <w:r w:rsidRPr="00C900C3">
        <w:rPr>
          <w:rFonts w:ascii="Arial" w:hAnsi="Arial" w:cs="Arial"/>
          <w:i/>
          <w:iCs/>
        </w:rPr>
        <w:t>13</w:t>
      </w:r>
      <w:r w:rsidRPr="00C900C3">
        <w:rPr>
          <w:rFonts w:ascii="Arial" w:hAnsi="Arial" w:cs="Arial"/>
        </w:rPr>
        <w:t xml:space="preserve">(7), p.4174. </w:t>
      </w:r>
      <w:hyperlink r:id="rId45">
        <w:r w:rsidRPr="00C900C3">
          <w:rPr>
            <w:rFonts w:ascii="Arial" w:hAnsi="Arial" w:cs="Arial"/>
            <w:color w:val="1155CC"/>
            <w:u w:val="single"/>
          </w:rPr>
          <w:t>https://www.mdpi.com/2076-3417/13/7/4174</w:t>
        </w:r>
      </w:hyperlink>
      <w:r w:rsidRPr="00C900C3">
        <w:rPr>
          <w:rFonts w:ascii="Arial" w:hAnsi="Arial" w:cs="Arial"/>
        </w:rPr>
        <w:t xml:space="preserve"> </w:t>
      </w:r>
    </w:p>
    <w:p w14:paraId="6A8E6C40" w14:textId="77777777" w:rsidR="0052277D" w:rsidRPr="00C900C3" w:rsidRDefault="0052277D">
      <w:pPr>
        <w:rPr>
          <w:rFonts w:ascii="Arial" w:hAnsi="Arial" w:cs="Arial"/>
        </w:rPr>
      </w:pPr>
      <w:proofErr w:type="spellStart"/>
      <w:r w:rsidRPr="00C900C3">
        <w:rPr>
          <w:rFonts w:ascii="Arial" w:hAnsi="Arial" w:cs="Arial"/>
        </w:rPr>
        <w:t>Tarkom</w:t>
      </w:r>
      <w:proofErr w:type="spellEnd"/>
      <w:r w:rsidRPr="00C900C3">
        <w:rPr>
          <w:rFonts w:ascii="Arial" w:hAnsi="Arial" w:cs="Arial"/>
        </w:rPr>
        <w:t xml:space="preserve">, A., 2022. Impact of COVID-19 exposure on working capital management: The moderating effect of investment opportunities and government incentives. </w:t>
      </w:r>
      <w:r w:rsidRPr="00C900C3">
        <w:rPr>
          <w:rFonts w:ascii="Arial" w:hAnsi="Arial" w:cs="Arial"/>
          <w:i/>
          <w:iCs/>
        </w:rPr>
        <w:t>Finance Research Letters</w:t>
      </w:r>
      <w:r w:rsidRPr="00C900C3">
        <w:rPr>
          <w:rFonts w:ascii="Arial" w:hAnsi="Arial" w:cs="Arial"/>
        </w:rPr>
        <w:t xml:space="preserve">, </w:t>
      </w:r>
      <w:r w:rsidRPr="00C900C3">
        <w:rPr>
          <w:rFonts w:ascii="Arial" w:hAnsi="Arial" w:cs="Arial"/>
          <w:i/>
          <w:iCs/>
        </w:rPr>
        <w:t>47</w:t>
      </w:r>
      <w:r w:rsidRPr="00C900C3">
        <w:rPr>
          <w:rFonts w:ascii="Arial" w:hAnsi="Arial" w:cs="Arial"/>
        </w:rPr>
        <w:t xml:space="preserve">, p.102666. </w:t>
      </w:r>
      <w:hyperlink r:id="rId46">
        <w:r w:rsidRPr="00C900C3">
          <w:rPr>
            <w:rFonts w:ascii="Arial" w:hAnsi="Arial" w:cs="Arial"/>
            <w:color w:val="1155CC"/>
            <w:u w:val="single"/>
          </w:rPr>
          <w:t>https://pmc.ncbi.nlm.nih.gov/articles/PMC8721513/pdf/main.pdf</w:t>
        </w:r>
      </w:hyperlink>
      <w:r w:rsidRPr="00C900C3">
        <w:rPr>
          <w:rFonts w:ascii="Arial" w:hAnsi="Arial" w:cs="Arial"/>
        </w:rPr>
        <w:t xml:space="preserve"> </w:t>
      </w:r>
    </w:p>
    <w:p w14:paraId="74DBC9DC" w14:textId="77777777" w:rsidR="0052277D" w:rsidRPr="00C900C3" w:rsidRDefault="0052277D">
      <w:pPr>
        <w:rPr>
          <w:rFonts w:ascii="Arial" w:hAnsi="Arial" w:cs="Arial"/>
        </w:rPr>
      </w:pPr>
      <w:proofErr w:type="spellStart"/>
      <w:r w:rsidRPr="00C900C3">
        <w:rPr>
          <w:rFonts w:ascii="Arial" w:hAnsi="Arial" w:cs="Arial"/>
        </w:rPr>
        <w:t>Zaramella</w:t>
      </w:r>
      <w:proofErr w:type="spellEnd"/>
      <w:r w:rsidRPr="00C900C3">
        <w:rPr>
          <w:rFonts w:ascii="Arial" w:hAnsi="Arial" w:cs="Arial"/>
        </w:rPr>
        <w:t xml:space="preserve">, G., 2023. Financial Restructuring: analysis and applications. </w:t>
      </w:r>
      <w:hyperlink r:id="rId47">
        <w:r w:rsidRPr="00C900C3">
          <w:rPr>
            <w:rFonts w:ascii="Arial" w:hAnsi="Arial" w:cs="Arial"/>
            <w:color w:val="1155CC"/>
            <w:u w:val="single"/>
          </w:rPr>
          <w:t>https://unitesi.unive.it/bitstream/20.500.14247/4284/1/872666-1280209.pdf</w:t>
        </w:r>
      </w:hyperlink>
      <w:r w:rsidRPr="00C900C3">
        <w:rPr>
          <w:rFonts w:ascii="Arial" w:hAnsi="Arial" w:cs="Arial"/>
        </w:rPr>
        <w:t xml:space="preserve"> </w:t>
      </w:r>
    </w:p>
    <w:p w14:paraId="14CCC7FC" w14:textId="77777777" w:rsidR="00B96CFB" w:rsidRPr="00C900C3" w:rsidRDefault="0080051C">
      <w:pPr>
        <w:pStyle w:val="Heading2"/>
        <w:rPr>
          <w:rFonts w:ascii="Arial" w:hAnsi="Arial" w:cs="Arial"/>
          <w:sz w:val="24"/>
          <w:szCs w:val="24"/>
        </w:rPr>
      </w:pPr>
      <w:bookmarkStart w:id="68" w:name="_bfyr4ufss5e6" w:colFirst="0" w:colLast="0"/>
      <w:bookmarkEnd w:id="68"/>
      <w:r w:rsidRPr="00C900C3">
        <w:rPr>
          <w:rFonts w:ascii="Arial" w:hAnsi="Arial" w:cs="Arial"/>
          <w:sz w:val="24"/>
          <w:szCs w:val="24"/>
        </w:rPr>
        <w:br w:type="page"/>
      </w:r>
    </w:p>
    <w:p w14:paraId="0F20DB5A" w14:textId="77777777" w:rsidR="00B96CFB" w:rsidRPr="00C900C3" w:rsidRDefault="0080051C">
      <w:pPr>
        <w:pStyle w:val="Heading1"/>
        <w:rPr>
          <w:rFonts w:ascii="Arial" w:hAnsi="Arial" w:cs="Arial"/>
          <w:sz w:val="24"/>
          <w:szCs w:val="24"/>
        </w:rPr>
      </w:pPr>
      <w:bookmarkStart w:id="69" w:name="_Toc227452812"/>
      <w:r w:rsidRPr="00C900C3">
        <w:rPr>
          <w:rFonts w:ascii="Arial" w:hAnsi="Arial" w:cs="Arial"/>
          <w:sz w:val="24"/>
          <w:szCs w:val="24"/>
        </w:rPr>
        <w:lastRenderedPageBreak/>
        <w:t>8.0 Appendices</w:t>
      </w:r>
      <w:bookmarkEnd w:id="69"/>
    </w:p>
    <w:p w14:paraId="7A8BC623" w14:textId="77777777" w:rsidR="00B96CFB" w:rsidRPr="00C900C3" w:rsidRDefault="0080051C">
      <w:pPr>
        <w:pStyle w:val="Heading2"/>
        <w:rPr>
          <w:rFonts w:ascii="Arial" w:hAnsi="Arial" w:cs="Arial"/>
          <w:sz w:val="24"/>
          <w:szCs w:val="24"/>
        </w:rPr>
      </w:pPr>
      <w:bookmarkStart w:id="70" w:name="_Toc227452813"/>
      <w:r w:rsidRPr="00C900C3">
        <w:rPr>
          <w:rFonts w:ascii="Arial" w:hAnsi="Arial" w:cs="Arial"/>
          <w:sz w:val="24"/>
          <w:szCs w:val="24"/>
        </w:rPr>
        <w:t>Appendix A: Statements of Financial Position of Hyundai Motor Company for Five Years</w:t>
      </w:r>
      <w:bookmarkEnd w:id="70"/>
    </w:p>
    <w:p w14:paraId="5F3D20A1" w14:textId="77777777" w:rsidR="00B96CFB" w:rsidRPr="00C900C3" w:rsidRDefault="0080051C">
      <w:pPr>
        <w:jc w:val="center"/>
        <w:rPr>
          <w:rFonts w:ascii="Arial" w:hAnsi="Arial" w:cs="Arial"/>
        </w:rPr>
      </w:pPr>
      <w:r w:rsidRPr="00C900C3">
        <w:rPr>
          <w:rFonts w:ascii="Arial" w:hAnsi="Arial" w:cs="Arial"/>
          <w:noProof/>
        </w:rPr>
        <w:drawing>
          <wp:inline distT="114300" distB="114300" distL="114300" distR="114300" wp14:anchorId="2B6DBD42" wp14:editId="3D891B07">
            <wp:extent cx="5074920" cy="3230880"/>
            <wp:effectExtent l="0" t="0" r="0" b="7620"/>
            <wp:docPr id="1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8"/>
                    <a:srcRect/>
                    <a:stretch>
                      <a:fillRect/>
                    </a:stretch>
                  </pic:blipFill>
                  <pic:spPr>
                    <a:xfrm>
                      <a:off x="0" y="0"/>
                      <a:ext cx="5075211" cy="3231065"/>
                    </a:xfrm>
                    <a:prstGeom prst="rect">
                      <a:avLst/>
                    </a:prstGeom>
                    <a:ln/>
                  </pic:spPr>
                </pic:pic>
              </a:graphicData>
            </a:graphic>
          </wp:inline>
        </w:drawing>
      </w:r>
      <w:r w:rsidRPr="00C900C3">
        <w:rPr>
          <w:rFonts w:ascii="Arial" w:hAnsi="Arial" w:cs="Arial"/>
          <w:noProof/>
        </w:rPr>
        <w:drawing>
          <wp:inline distT="114300" distB="114300" distL="114300" distR="114300" wp14:anchorId="70B3F9AD" wp14:editId="675E0528">
            <wp:extent cx="4975860" cy="4084320"/>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9"/>
                    <a:srcRect/>
                    <a:stretch>
                      <a:fillRect/>
                    </a:stretch>
                  </pic:blipFill>
                  <pic:spPr>
                    <a:xfrm>
                      <a:off x="0" y="0"/>
                      <a:ext cx="4976144" cy="4084553"/>
                    </a:xfrm>
                    <a:prstGeom prst="rect">
                      <a:avLst/>
                    </a:prstGeom>
                    <a:ln/>
                  </pic:spPr>
                </pic:pic>
              </a:graphicData>
            </a:graphic>
          </wp:inline>
        </w:drawing>
      </w:r>
      <w:r w:rsidRPr="00C900C3">
        <w:rPr>
          <w:rFonts w:ascii="Arial" w:hAnsi="Arial" w:cs="Arial"/>
          <w:noProof/>
        </w:rPr>
        <w:lastRenderedPageBreak/>
        <w:drawing>
          <wp:inline distT="114300" distB="114300" distL="114300" distR="114300" wp14:anchorId="6326C720" wp14:editId="447128EB">
            <wp:extent cx="5113020" cy="3916680"/>
            <wp:effectExtent l="0" t="0" r="0" b="762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0"/>
                    <a:srcRect/>
                    <a:stretch>
                      <a:fillRect/>
                    </a:stretch>
                  </pic:blipFill>
                  <pic:spPr>
                    <a:xfrm>
                      <a:off x="0" y="0"/>
                      <a:ext cx="5113020" cy="3916680"/>
                    </a:xfrm>
                    <a:prstGeom prst="rect">
                      <a:avLst/>
                    </a:prstGeom>
                    <a:ln/>
                  </pic:spPr>
                </pic:pic>
              </a:graphicData>
            </a:graphic>
          </wp:inline>
        </w:drawing>
      </w:r>
      <w:r w:rsidRPr="00C900C3">
        <w:rPr>
          <w:rFonts w:ascii="Arial" w:hAnsi="Arial" w:cs="Arial"/>
          <w:noProof/>
        </w:rPr>
        <w:drawing>
          <wp:inline distT="114300" distB="114300" distL="114300" distR="114300" wp14:anchorId="02713642" wp14:editId="5E434447">
            <wp:extent cx="4937760" cy="4282440"/>
            <wp:effectExtent l="0" t="0" r="0" b="3810"/>
            <wp:docPr id="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1"/>
                    <a:srcRect/>
                    <a:stretch>
                      <a:fillRect/>
                    </a:stretch>
                  </pic:blipFill>
                  <pic:spPr>
                    <a:xfrm>
                      <a:off x="0" y="0"/>
                      <a:ext cx="4937760" cy="4282440"/>
                    </a:xfrm>
                    <a:prstGeom prst="rect">
                      <a:avLst/>
                    </a:prstGeom>
                    <a:ln/>
                  </pic:spPr>
                </pic:pic>
              </a:graphicData>
            </a:graphic>
          </wp:inline>
        </w:drawing>
      </w:r>
      <w:r w:rsidRPr="00C900C3">
        <w:rPr>
          <w:rFonts w:ascii="Arial" w:hAnsi="Arial" w:cs="Arial"/>
          <w:noProof/>
        </w:rPr>
        <w:lastRenderedPageBreak/>
        <w:drawing>
          <wp:inline distT="114300" distB="114300" distL="114300" distR="114300" wp14:anchorId="191676F1" wp14:editId="01F2079C">
            <wp:extent cx="2259082" cy="3585845"/>
            <wp:effectExtent l="0" t="0" r="8255"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2"/>
                    <a:srcRect/>
                    <a:stretch>
                      <a:fillRect/>
                    </a:stretch>
                  </pic:blipFill>
                  <pic:spPr>
                    <a:xfrm>
                      <a:off x="0" y="0"/>
                      <a:ext cx="2261443" cy="3589593"/>
                    </a:xfrm>
                    <a:prstGeom prst="rect">
                      <a:avLst/>
                    </a:prstGeom>
                    <a:ln/>
                  </pic:spPr>
                </pic:pic>
              </a:graphicData>
            </a:graphic>
          </wp:inline>
        </w:drawing>
      </w:r>
      <w:r w:rsidRPr="00C900C3">
        <w:rPr>
          <w:rFonts w:ascii="Arial" w:hAnsi="Arial" w:cs="Arial"/>
          <w:noProof/>
        </w:rPr>
        <w:drawing>
          <wp:inline distT="114300" distB="114300" distL="114300" distR="114300" wp14:anchorId="1102BE01" wp14:editId="747AEE9A">
            <wp:extent cx="2232660" cy="3639185"/>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3"/>
                    <a:srcRect/>
                    <a:stretch>
                      <a:fillRect/>
                    </a:stretch>
                  </pic:blipFill>
                  <pic:spPr>
                    <a:xfrm>
                      <a:off x="0" y="0"/>
                      <a:ext cx="2232999" cy="3639738"/>
                    </a:xfrm>
                    <a:prstGeom prst="rect">
                      <a:avLst/>
                    </a:prstGeom>
                    <a:ln/>
                  </pic:spPr>
                </pic:pic>
              </a:graphicData>
            </a:graphic>
          </wp:inline>
        </w:drawing>
      </w:r>
    </w:p>
    <w:p w14:paraId="47199A54" w14:textId="77777777" w:rsidR="00B96CFB" w:rsidRPr="00C900C3" w:rsidRDefault="0080051C">
      <w:pPr>
        <w:jc w:val="center"/>
        <w:rPr>
          <w:rFonts w:ascii="Arial" w:hAnsi="Arial" w:cs="Arial"/>
        </w:rPr>
      </w:pPr>
      <w:r w:rsidRPr="00C900C3">
        <w:rPr>
          <w:rFonts w:ascii="Arial" w:hAnsi="Arial" w:cs="Arial"/>
        </w:rPr>
        <w:t>(Source: Hyundai, 2024; Hyundai, 2022; Hyundai, 2020)</w:t>
      </w:r>
    </w:p>
    <w:p w14:paraId="588ABCD3" w14:textId="2C8F441C" w:rsidR="00B96CFB" w:rsidRPr="00C900C3" w:rsidRDefault="0080051C" w:rsidP="00DA512E">
      <w:pPr>
        <w:pStyle w:val="Heading2"/>
        <w:rPr>
          <w:rFonts w:ascii="Arial" w:hAnsi="Arial" w:cs="Arial"/>
          <w:sz w:val="24"/>
          <w:szCs w:val="24"/>
        </w:rPr>
      </w:pPr>
      <w:bookmarkStart w:id="71" w:name="_Toc227452814"/>
      <w:r w:rsidRPr="00C900C3">
        <w:rPr>
          <w:rFonts w:ascii="Arial" w:hAnsi="Arial" w:cs="Arial"/>
          <w:sz w:val="24"/>
          <w:szCs w:val="24"/>
        </w:rPr>
        <w:lastRenderedPageBreak/>
        <w:t>Appendix B: Statements of Income of Hyundai Motor Company for Five Years</w:t>
      </w:r>
      <w:bookmarkEnd w:id="71"/>
      <w:r w:rsidRPr="00C900C3">
        <w:rPr>
          <w:rFonts w:ascii="Arial" w:hAnsi="Arial" w:cs="Arial"/>
          <w:noProof/>
          <w:sz w:val="24"/>
          <w:szCs w:val="24"/>
        </w:rPr>
        <w:drawing>
          <wp:inline distT="114300" distB="114300" distL="114300" distR="114300" wp14:anchorId="7D102F07" wp14:editId="5431BE5A">
            <wp:extent cx="4914900" cy="318516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4"/>
                    <a:srcRect/>
                    <a:stretch>
                      <a:fillRect/>
                    </a:stretch>
                  </pic:blipFill>
                  <pic:spPr>
                    <a:xfrm>
                      <a:off x="0" y="0"/>
                      <a:ext cx="4915363" cy="3185460"/>
                    </a:xfrm>
                    <a:prstGeom prst="rect">
                      <a:avLst/>
                    </a:prstGeom>
                    <a:ln/>
                  </pic:spPr>
                </pic:pic>
              </a:graphicData>
            </a:graphic>
          </wp:inline>
        </w:drawing>
      </w:r>
      <w:r w:rsidRPr="00C900C3">
        <w:rPr>
          <w:rFonts w:ascii="Arial" w:hAnsi="Arial" w:cs="Arial"/>
          <w:noProof/>
          <w:sz w:val="24"/>
          <w:szCs w:val="24"/>
        </w:rPr>
        <w:lastRenderedPageBreak/>
        <w:drawing>
          <wp:inline distT="114300" distB="114300" distL="114300" distR="114300" wp14:anchorId="3C11A183" wp14:editId="0B6DED0B">
            <wp:extent cx="4956338" cy="3390900"/>
            <wp:effectExtent l="0" t="0" r="0" b="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5"/>
                    <a:srcRect/>
                    <a:stretch>
                      <a:fillRect/>
                    </a:stretch>
                  </pic:blipFill>
                  <pic:spPr>
                    <a:xfrm>
                      <a:off x="0" y="0"/>
                      <a:ext cx="4956338" cy="3390900"/>
                    </a:xfrm>
                    <a:prstGeom prst="rect">
                      <a:avLst/>
                    </a:prstGeom>
                    <a:ln/>
                  </pic:spPr>
                </pic:pic>
              </a:graphicData>
            </a:graphic>
          </wp:inline>
        </w:drawing>
      </w:r>
      <w:r w:rsidRPr="00C900C3">
        <w:rPr>
          <w:rFonts w:ascii="Arial" w:hAnsi="Arial" w:cs="Arial"/>
          <w:noProof/>
          <w:sz w:val="24"/>
          <w:szCs w:val="24"/>
        </w:rPr>
        <w:drawing>
          <wp:inline distT="114300" distB="114300" distL="114300" distR="114300" wp14:anchorId="132B794B" wp14:editId="05D8F1DD">
            <wp:extent cx="4968713" cy="3295650"/>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6"/>
                    <a:srcRect/>
                    <a:stretch>
                      <a:fillRect/>
                    </a:stretch>
                  </pic:blipFill>
                  <pic:spPr>
                    <a:xfrm>
                      <a:off x="0" y="0"/>
                      <a:ext cx="4968713" cy="3295650"/>
                    </a:xfrm>
                    <a:prstGeom prst="rect">
                      <a:avLst/>
                    </a:prstGeom>
                    <a:ln/>
                  </pic:spPr>
                </pic:pic>
              </a:graphicData>
            </a:graphic>
          </wp:inline>
        </w:drawing>
      </w:r>
    </w:p>
    <w:p w14:paraId="5D7ADF3D" w14:textId="77777777" w:rsidR="00B96CFB" w:rsidRPr="00C900C3" w:rsidRDefault="0080051C">
      <w:pPr>
        <w:jc w:val="center"/>
        <w:rPr>
          <w:rFonts w:ascii="Arial" w:hAnsi="Arial" w:cs="Arial"/>
        </w:rPr>
      </w:pPr>
      <w:r w:rsidRPr="00C900C3">
        <w:rPr>
          <w:rFonts w:ascii="Arial" w:hAnsi="Arial" w:cs="Arial"/>
        </w:rPr>
        <w:t>(Source: Hyundai, 2024; Hyundai, 2022; Hyundai, 2020)</w:t>
      </w:r>
    </w:p>
    <w:p w14:paraId="4DD31947" w14:textId="77777777" w:rsidR="00B96CFB" w:rsidRPr="00C900C3" w:rsidRDefault="0080051C">
      <w:pPr>
        <w:pStyle w:val="Heading2"/>
        <w:rPr>
          <w:rFonts w:ascii="Arial" w:hAnsi="Arial" w:cs="Arial"/>
          <w:sz w:val="24"/>
          <w:szCs w:val="24"/>
        </w:rPr>
      </w:pPr>
      <w:bookmarkStart w:id="72" w:name="_Toc227452815"/>
      <w:r w:rsidRPr="00C900C3">
        <w:rPr>
          <w:rFonts w:ascii="Arial" w:hAnsi="Arial" w:cs="Arial"/>
          <w:sz w:val="24"/>
          <w:szCs w:val="24"/>
        </w:rPr>
        <w:lastRenderedPageBreak/>
        <w:t>Appendix C: Statements of Cash Flows of Hyundai Motor Company for Five Years</w:t>
      </w:r>
      <w:bookmarkEnd w:id="72"/>
    </w:p>
    <w:p w14:paraId="367D84C5" w14:textId="77777777" w:rsidR="00B96CFB" w:rsidRPr="00C900C3" w:rsidRDefault="0080051C">
      <w:pPr>
        <w:jc w:val="center"/>
        <w:rPr>
          <w:rFonts w:ascii="Arial" w:hAnsi="Arial" w:cs="Arial"/>
        </w:rPr>
      </w:pPr>
      <w:r w:rsidRPr="00C900C3">
        <w:rPr>
          <w:rFonts w:ascii="Arial" w:hAnsi="Arial" w:cs="Arial"/>
          <w:noProof/>
        </w:rPr>
        <w:drawing>
          <wp:inline distT="114300" distB="114300" distL="114300" distR="114300" wp14:anchorId="6EC366ED" wp14:editId="6470341D">
            <wp:extent cx="5372100" cy="3840480"/>
            <wp:effectExtent l="0" t="0" r="0" b="762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7"/>
                    <a:srcRect/>
                    <a:stretch>
                      <a:fillRect/>
                    </a:stretch>
                  </pic:blipFill>
                  <pic:spPr>
                    <a:xfrm>
                      <a:off x="0" y="0"/>
                      <a:ext cx="5372100" cy="3840480"/>
                    </a:xfrm>
                    <a:prstGeom prst="rect">
                      <a:avLst/>
                    </a:prstGeom>
                    <a:ln/>
                  </pic:spPr>
                </pic:pic>
              </a:graphicData>
            </a:graphic>
          </wp:inline>
        </w:drawing>
      </w:r>
      <w:r w:rsidRPr="00C900C3">
        <w:rPr>
          <w:rFonts w:ascii="Arial" w:hAnsi="Arial" w:cs="Arial"/>
          <w:noProof/>
        </w:rPr>
        <w:drawing>
          <wp:inline distT="114300" distB="114300" distL="114300" distR="114300" wp14:anchorId="00A80124" wp14:editId="1083DA84">
            <wp:extent cx="5210175" cy="3695700"/>
            <wp:effectExtent l="0" t="0" r="9525"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8"/>
                    <a:srcRect/>
                    <a:stretch>
                      <a:fillRect/>
                    </a:stretch>
                  </pic:blipFill>
                  <pic:spPr>
                    <a:xfrm>
                      <a:off x="0" y="0"/>
                      <a:ext cx="5210175" cy="3695700"/>
                    </a:xfrm>
                    <a:prstGeom prst="rect">
                      <a:avLst/>
                    </a:prstGeom>
                    <a:ln/>
                  </pic:spPr>
                </pic:pic>
              </a:graphicData>
            </a:graphic>
          </wp:inline>
        </w:drawing>
      </w:r>
      <w:r w:rsidRPr="00C900C3">
        <w:rPr>
          <w:rFonts w:ascii="Arial" w:hAnsi="Arial" w:cs="Arial"/>
          <w:noProof/>
        </w:rPr>
        <w:lastRenderedPageBreak/>
        <w:drawing>
          <wp:inline distT="114300" distB="114300" distL="114300" distR="114300" wp14:anchorId="6B973E02" wp14:editId="0154AA5B">
            <wp:extent cx="5610225" cy="4099560"/>
            <wp:effectExtent l="0" t="0" r="9525"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9"/>
                    <a:srcRect/>
                    <a:stretch>
                      <a:fillRect/>
                    </a:stretch>
                  </pic:blipFill>
                  <pic:spPr>
                    <a:xfrm>
                      <a:off x="0" y="0"/>
                      <a:ext cx="5610225" cy="4099560"/>
                    </a:xfrm>
                    <a:prstGeom prst="rect">
                      <a:avLst/>
                    </a:prstGeom>
                    <a:ln/>
                  </pic:spPr>
                </pic:pic>
              </a:graphicData>
            </a:graphic>
          </wp:inline>
        </w:drawing>
      </w:r>
      <w:r w:rsidRPr="00C900C3">
        <w:rPr>
          <w:rFonts w:ascii="Arial" w:hAnsi="Arial" w:cs="Arial"/>
          <w:noProof/>
        </w:rPr>
        <w:drawing>
          <wp:inline distT="114300" distB="114300" distL="114300" distR="114300" wp14:anchorId="49632DC8" wp14:editId="7CE02D11">
            <wp:extent cx="5543550" cy="36861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0"/>
                    <a:srcRect/>
                    <a:stretch>
                      <a:fillRect/>
                    </a:stretch>
                  </pic:blipFill>
                  <pic:spPr>
                    <a:xfrm>
                      <a:off x="0" y="0"/>
                      <a:ext cx="5543550" cy="3686175"/>
                    </a:xfrm>
                    <a:prstGeom prst="rect">
                      <a:avLst/>
                    </a:prstGeom>
                    <a:ln/>
                  </pic:spPr>
                </pic:pic>
              </a:graphicData>
            </a:graphic>
          </wp:inline>
        </w:drawing>
      </w:r>
      <w:r w:rsidRPr="00C900C3">
        <w:rPr>
          <w:rFonts w:ascii="Arial" w:hAnsi="Arial" w:cs="Arial"/>
          <w:noProof/>
        </w:rPr>
        <w:lastRenderedPageBreak/>
        <w:drawing>
          <wp:inline distT="114300" distB="114300" distL="114300" distR="114300" wp14:anchorId="3F2DD618" wp14:editId="28FB0AC9">
            <wp:extent cx="5414645" cy="4739640"/>
            <wp:effectExtent l="0" t="0" r="0" b="381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1"/>
                    <a:srcRect/>
                    <a:stretch>
                      <a:fillRect/>
                    </a:stretch>
                  </pic:blipFill>
                  <pic:spPr>
                    <a:xfrm>
                      <a:off x="0" y="0"/>
                      <a:ext cx="5414964" cy="4739919"/>
                    </a:xfrm>
                    <a:prstGeom prst="rect">
                      <a:avLst/>
                    </a:prstGeom>
                    <a:ln/>
                  </pic:spPr>
                </pic:pic>
              </a:graphicData>
            </a:graphic>
          </wp:inline>
        </w:drawing>
      </w:r>
      <w:r w:rsidRPr="00C900C3">
        <w:rPr>
          <w:rFonts w:ascii="Arial" w:hAnsi="Arial" w:cs="Arial"/>
          <w:noProof/>
        </w:rPr>
        <w:drawing>
          <wp:inline distT="114300" distB="114300" distL="114300" distR="114300" wp14:anchorId="7B7BC135" wp14:editId="55AFFF05">
            <wp:extent cx="5163975" cy="3524250"/>
            <wp:effectExtent l="0" t="0" r="0" b="0"/>
            <wp:docPr id="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62"/>
                    <a:srcRect/>
                    <a:stretch>
                      <a:fillRect/>
                    </a:stretch>
                  </pic:blipFill>
                  <pic:spPr>
                    <a:xfrm>
                      <a:off x="0" y="0"/>
                      <a:ext cx="5163975" cy="3524250"/>
                    </a:xfrm>
                    <a:prstGeom prst="rect">
                      <a:avLst/>
                    </a:prstGeom>
                    <a:ln/>
                  </pic:spPr>
                </pic:pic>
              </a:graphicData>
            </a:graphic>
          </wp:inline>
        </w:drawing>
      </w:r>
    </w:p>
    <w:p w14:paraId="085B5A74" w14:textId="77777777" w:rsidR="00B96CFB" w:rsidRPr="00C900C3" w:rsidRDefault="0080051C">
      <w:pPr>
        <w:jc w:val="center"/>
        <w:rPr>
          <w:rFonts w:ascii="Arial" w:hAnsi="Arial" w:cs="Arial"/>
        </w:rPr>
      </w:pPr>
      <w:r w:rsidRPr="00C900C3">
        <w:rPr>
          <w:rFonts w:ascii="Arial" w:hAnsi="Arial" w:cs="Arial"/>
        </w:rPr>
        <w:t>(Source: Hyundai, 2024; Hyundai, 2022; Hyundai, 2020)</w:t>
      </w:r>
    </w:p>
    <w:p w14:paraId="33A9C24C" w14:textId="76B47FD0" w:rsidR="00B96CFB" w:rsidRPr="00C900C3" w:rsidRDefault="0080051C">
      <w:pPr>
        <w:pStyle w:val="Heading2"/>
        <w:rPr>
          <w:rFonts w:ascii="Arial" w:hAnsi="Arial" w:cs="Arial"/>
          <w:sz w:val="24"/>
          <w:szCs w:val="24"/>
        </w:rPr>
      </w:pPr>
      <w:bookmarkStart w:id="73" w:name="_Toc227452816"/>
      <w:r w:rsidRPr="00C900C3">
        <w:rPr>
          <w:rFonts w:ascii="Arial" w:hAnsi="Arial" w:cs="Arial"/>
          <w:sz w:val="24"/>
          <w:szCs w:val="24"/>
        </w:rPr>
        <w:lastRenderedPageBreak/>
        <w:t>Appendix D: Ratios</w:t>
      </w:r>
      <w:r w:rsidR="00076D53" w:rsidRPr="00C900C3">
        <w:rPr>
          <w:rFonts w:ascii="Arial" w:hAnsi="Arial" w:cs="Arial"/>
          <w:sz w:val="24"/>
          <w:szCs w:val="24"/>
        </w:rPr>
        <w:t xml:space="preserve"> and CCC</w:t>
      </w:r>
      <w:r w:rsidRPr="00C900C3">
        <w:rPr>
          <w:rFonts w:ascii="Arial" w:hAnsi="Arial" w:cs="Arial"/>
          <w:sz w:val="24"/>
          <w:szCs w:val="24"/>
        </w:rPr>
        <w:t xml:space="preserve"> of Hyundai Motor Company for Five Years</w:t>
      </w:r>
      <w:bookmarkEnd w:id="73"/>
    </w:p>
    <w:tbl>
      <w:tblPr>
        <w:tblW w:w="5000" w:type="pct"/>
        <w:tblLook w:val="04A0" w:firstRow="1" w:lastRow="0" w:firstColumn="1" w:lastColumn="0" w:noHBand="0" w:noVBand="1"/>
      </w:tblPr>
      <w:tblGrid>
        <w:gridCol w:w="805"/>
        <w:gridCol w:w="651"/>
        <w:gridCol w:w="588"/>
        <w:gridCol w:w="588"/>
        <w:gridCol w:w="588"/>
        <w:gridCol w:w="588"/>
        <w:gridCol w:w="588"/>
        <w:gridCol w:w="820"/>
        <w:gridCol w:w="628"/>
        <w:gridCol w:w="590"/>
        <w:gridCol w:w="590"/>
        <w:gridCol w:w="588"/>
        <w:gridCol w:w="590"/>
        <w:gridCol w:w="590"/>
        <w:gridCol w:w="217"/>
      </w:tblGrid>
      <w:tr w:rsidR="00076D53" w:rsidRPr="00C900C3" w14:paraId="1D079FA5" w14:textId="77777777" w:rsidTr="00076D53">
        <w:trPr>
          <w:gridAfter w:val="1"/>
          <w:wAfter w:w="39" w:type="pct"/>
          <w:trHeight w:val="894"/>
        </w:trPr>
        <w:tc>
          <w:tcPr>
            <w:tcW w:w="4961" w:type="pct"/>
            <w:gridSpan w:val="14"/>
            <w:vMerge w:val="restart"/>
            <w:tcBorders>
              <w:top w:val="single" w:sz="8" w:space="0" w:color="auto"/>
              <w:left w:val="single" w:sz="8" w:space="0" w:color="auto"/>
              <w:bottom w:val="single" w:sz="8" w:space="0" w:color="000000"/>
              <w:right w:val="single" w:sz="8" w:space="0" w:color="000000"/>
            </w:tcBorders>
            <w:shd w:val="clear" w:color="000000" w:fill="4D93D9"/>
            <w:noWrap/>
            <w:vAlign w:val="center"/>
            <w:hideMark/>
          </w:tcPr>
          <w:p w14:paraId="4402085D" w14:textId="491E1A0C"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HYUNDAI MOTOR COMPANY’</w:t>
            </w:r>
            <w:r w:rsidR="00253FFB" w:rsidRPr="00C900C3">
              <w:rPr>
                <w:rFonts w:ascii="Arial" w:hAnsi="Arial" w:cs="Arial"/>
                <w:b/>
                <w:bCs/>
                <w:color w:val="000000"/>
                <w:lang w:val="en-IN"/>
              </w:rPr>
              <w:t>S</w:t>
            </w:r>
            <w:r w:rsidRPr="00C900C3">
              <w:rPr>
                <w:rFonts w:ascii="Arial" w:hAnsi="Arial" w:cs="Arial"/>
                <w:b/>
                <w:bCs/>
                <w:color w:val="000000"/>
                <w:lang w:val="en-IN"/>
              </w:rPr>
              <w:t xml:space="preserve"> FINANCIAL RATIOS</w:t>
            </w:r>
          </w:p>
        </w:tc>
      </w:tr>
      <w:tr w:rsidR="00076D53" w:rsidRPr="00C900C3" w14:paraId="396D8310" w14:textId="77777777" w:rsidTr="00076D53">
        <w:trPr>
          <w:trHeight w:val="312"/>
        </w:trPr>
        <w:tc>
          <w:tcPr>
            <w:tcW w:w="4961" w:type="pct"/>
            <w:gridSpan w:val="14"/>
            <w:vMerge/>
            <w:tcBorders>
              <w:top w:val="single" w:sz="8" w:space="0" w:color="auto"/>
              <w:left w:val="single" w:sz="8" w:space="0" w:color="auto"/>
              <w:bottom w:val="single" w:sz="8" w:space="0" w:color="000000"/>
              <w:right w:val="single" w:sz="8" w:space="0" w:color="000000"/>
            </w:tcBorders>
            <w:vAlign w:val="center"/>
            <w:hideMark/>
          </w:tcPr>
          <w:p w14:paraId="488437D6" w14:textId="77777777" w:rsidR="00076D53" w:rsidRPr="00C900C3" w:rsidRDefault="00076D53" w:rsidP="00076D53">
            <w:pPr>
              <w:spacing w:before="0" w:after="0" w:line="240" w:lineRule="auto"/>
              <w:jc w:val="left"/>
              <w:rPr>
                <w:rFonts w:ascii="Arial" w:hAnsi="Arial" w:cs="Arial"/>
                <w:b/>
                <w:bCs/>
                <w:color w:val="000000"/>
                <w:lang w:val="en-IN"/>
              </w:rPr>
            </w:pPr>
          </w:p>
        </w:tc>
        <w:tc>
          <w:tcPr>
            <w:tcW w:w="39" w:type="pct"/>
            <w:tcBorders>
              <w:top w:val="nil"/>
              <w:left w:val="nil"/>
              <w:bottom w:val="nil"/>
              <w:right w:val="nil"/>
            </w:tcBorders>
            <w:noWrap/>
            <w:vAlign w:val="bottom"/>
            <w:hideMark/>
          </w:tcPr>
          <w:p w14:paraId="135EDDBE" w14:textId="77777777" w:rsidR="00076D53" w:rsidRPr="00C900C3" w:rsidRDefault="00076D53" w:rsidP="00076D53">
            <w:pPr>
              <w:spacing w:before="0" w:after="0" w:line="240" w:lineRule="auto"/>
              <w:jc w:val="center"/>
              <w:rPr>
                <w:rFonts w:ascii="Arial" w:hAnsi="Arial" w:cs="Arial"/>
                <w:b/>
                <w:bCs/>
                <w:color w:val="000000"/>
                <w:lang w:val="en-IN"/>
              </w:rPr>
            </w:pPr>
          </w:p>
        </w:tc>
      </w:tr>
      <w:tr w:rsidR="00076D53" w:rsidRPr="00C900C3" w14:paraId="2CB001FD" w14:textId="77777777" w:rsidTr="00076D53">
        <w:trPr>
          <w:trHeight w:val="312"/>
        </w:trPr>
        <w:tc>
          <w:tcPr>
            <w:tcW w:w="2514" w:type="pct"/>
            <w:gridSpan w:val="7"/>
            <w:tcBorders>
              <w:top w:val="single" w:sz="8" w:space="0" w:color="auto"/>
              <w:left w:val="single" w:sz="8" w:space="0" w:color="auto"/>
              <w:bottom w:val="single" w:sz="4" w:space="0" w:color="auto"/>
              <w:right w:val="single" w:sz="8" w:space="0" w:color="000000"/>
            </w:tcBorders>
            <w:shd w:val="clear" w:color="000000" w:fill="FFFFFF"/>
            <w:noWrap/>
            <w:vAlign w:val="bottom"/>
            <w:hideMark/>
          </w:tcPr>
          <w:p w14:paraId="3949C9C4"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"Profitability Ratio"</w:t>
            </w:r>
          </w:p>
        </w:tc>
        <w:tc>
          <w:tcPr>
            <w:tcW w:w="2447" w:type="pct"/>
            <w:gridSpan w:val="7"/>
            <w:tcBorders>
              <w:top w:val="single" w:sz="8" w:space="0" w:color="auto"/>
              <w:left w:val="nil"/>
              <w:bottom w:val="single" w:sz="4" w:space="0" w:color="auto"/>
              <w:right w:val="single" w:sz="8" w:space="0" w:color="000000"/>
            </w:tcBorders>
            <w:shd w:val="clear" w:color="000000" w:fill="FFFFFF"/>
            <w:noWrap/>
            <w:vAlign w:val="bottom"/>
            <w:hideMark/>
          </w:tcPr>
          <w:p w14:paraId="5ECE2C95"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"Gearing Ratio"</w:t>
            </w:r>
          </w:p>
        </w:tc>
        <w:tc>
          <w:tcPr>
            <w:tcW w:w="39" w:type="pct"/>
            <w:vAlign w:val="center"/>
            <w:hideMark/>
          </w:tcPr>
          <w:p w14:paraId="26913BCE"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A39E312" w14:textId="77777777" w:rsidTr="00076D53">
        <w:trPr>
          <w:trHeight w:val="312"/>
        </w:trPr>
        <w:tc>
          <w:tcPr>
            <w:tcW w:w="2514" w:type="pct"/>
            <w:gridSpan w:val="7"/>
            <w:tcBorders>
              <w:top w:val="single" w:sz="4" w:space="0" w:color="auto"/>
              <w:left w:val="single" w:sz="8" w:space="0" w:color="auto"/>
              <w:bottom w:val="single" w:sz="4" w:space="0" w:color="auto"/>
              <w:right w:val="single" w:sz="8" w:space="0" w:color="000000"/>
            </w:tcBorders>
            <w:shd w:val="clear" w:color="000000" w:fill="A6C9EC"/>
            <w:noWrap/>
            <w:vAlign w:val="bottom"/>
            <w:hideMark/>
          </w:tcPr>
          <w:p w14:paraId="77490A91"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"Return on Equity"</w:t>
            </w:r>
          </w:p>
        </w:tc>
        <w:tc>
          <w:tcPr>
            <w:tcW w:w="2447" w:type="pct"/>
            <w:gridSpan w:val="7"/>
            <w:tcBorders>
              <w:top w:val="single" w:sz="4" w:space="0" w:color="auto"/>
              <w:left w:val="nil"/>
              <w:bottom w:val="single" w:sz="4" w:space="0" w:color="auto"/>
              <w:right w:val="single" w:sz="8" w:space="0" w:color="000000"/>
            </w:tcBorders>
            <w:shd w:val="clear" w:color="000000" w:fill="A6C9EC"/>
            <w:noWrap/>
            <w:vAlign w:val="bottom"/>
            <w:hideMark/>
          </w:tcPr>
          <w:p w14:paraId="48275DB4"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"Debt to Equity Ratio"</w:t>
            </w:r>
          </w:p>
        </w:tc>
        <w:tc>
          <w:tcPr>
            <w:tcW w:w="39" w:type="pct"/>
            <w:vAlign w:val="center"/>
            <w:hideMark/>
          </w:tcPr>
          <w:p w14:paraId="2942942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4385EEFE" w14:textId="77777777" w:rsidTr="00076D53">
        <w:trPr>
          <w:trHeight w:val="312"/>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19C91A02"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"Financial aspects"</w:t>
            </w:r>
          </w:p>
        </w:tc>
        <w:tc>
          <w:tcPr>
            <w:tcW w:w="473" w:type="pct"/>
            <w:tcBorders>
              <w:top w:val="nil"/>
              <w:left w:val="nil"/>
              <w:bottom w:val="single" w:sz="4" w:space="0" w:color="auto"/>
              <w:right w:val="single" w:sz="4" w:space="0" w:color="auto"/>
            </w:tcBorders>
            <w:shd w:val="clear" w:color="000000" w:fill="A6C9EC"/>
            <w:noWrap/>
            <w:vAlign w:val="bottom"/>
            <w:hideMark/>
          </w:tcPr>
          <w:p w14:paraId="52F78AEE"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"Formula"</w:t>
            </w:r>
          </w:p>
        </w:tc>
        <w:tc>
          <w:tcPr>
            <w:tcW w:w="347" w:type="pct"/>
            <w:tcBorders>
              <w:top w:val="nil"/>
              <w:left w:val="nil"/>
              <w:bottom w:val="single" w:sz="4" w:space="0" w:color="auto"/>
              <w:right w:val="single" w:sz="4" w:space="0" w:color="auto"/>
            </w:tcBorders>
            <w:shd w:val="clear" w:color="000000" w:fill="A6C9EC"/>
            <w:noWrap/>
            <w:vAlign w:val="bottom"/>
            <w:hideMark/>
          </w:tcPr>
          <w:p w14:paraId="7D999BE2"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2024</w:t>
            </w:r>
          </w:p>
        </w:tc>
        <w:tc>
          <w:tcPr>
            <w:tcW w:w="347" w:type="pct"/>
            <w:tcBorders>
              <w:top w:val="nil"/>
              <w:left w:val="nil"/>
              <w:bottom w:val="single" w:sz="4" w:space="0" w:color="auto"/>
              <w:right w:val="single" w:sz="4" w:space="0" w:color="auto"/>
            </w:tcBorders>
            <w:shd w:val="clear" w:color="000000" w:fill="A6C9EC"/>
            <w:noWrap/>
            <w:vAlign w:val="bottom"/>
            <w:hideMark/>
          </w:tcPr>
          <w:p w14:paraId="08FE1BA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2023</w:t>
            </w:r>
          </w:p>
        </w:tc>
        <w:tc>
          <w:tcPr>
            <w:tcW w:w="347" w:type="pct"/>
            <w:tcBorders>
              <w:top w:val="nil"/>
              <w:left w:val="nil"/>
              <w:bottom w:val="single" w:sz="4" w:space="0" w:color="auto"/>
              <w:right w:val="single" w:sz="4" w:space="0" w:color="auto"/>
            </w:tcBorders>
            <w:shd w:val="clear" w:color="000000" w:fill="A6C9EC"/>
            <w:noWrap/>
            <w:vAlign w:val="bottom"/>
            <w:hideMark/>
          </w:tcPr>
          <w:p w14:paraId="1776799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2022</w:t>
            </w:r>
          </w:p>
        </w:tc>
        <w:tc>
          <w:tcPr>
            <w:tcW w:w="347" w:type="pct"/>
            <w:tcBorders>
              <w:top w:val="nil"/>
              <w:left w:val="nil"/>
              <w:bottom w:val="single" w:sz="4" w:space="0" w:color="auto"/>
              <w:right w:val="single" w:sz="4" w:space="0" w:color="auto"/>
            </w:tcBorders>
            <w:shd w:val="clear" w:color="000000" w:fill="A6C9EC"/>
            <w:noWrap/>
            <w:vAlign w:val="bottom"/>
            <w:hideMark/>
          </w:tcPr>
          <w:p w14:paraId="3723F6C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2021</w:t>
            </w:r>
          </w:p>
        </w:tc>
        <w:tc>
          <w:tcPr>
            <w:tcW w:w="347" w:type="pct"/>
            <w:tcBorders>
              <w:top w:val="nil"/>
              <w:left w:val="nil"/>
              <w:bottom w:val="single" w:sz="4" w:space="0" w:color="auto"/>
              <w:right w:val="single" w:sz="8" w:space="0" w:color="auto"/>
            </w:tcBorders>
            <w:shd w:val="clear" w:color="000000" w:fill="A6C9EC"/>
            <w:noWrap/>
            <w:vAlign w:val="bottom"/>
            <w:hideMark/>
          </w:tcPr>
          <w:p w14:paraId="79BF8828"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2020</w:t>
            </w:r>
          </w:p>
        </w:tc>
        <w:tc>
          <w:tcPr>
            <w:tcW w:w="260" w:type="pct"/>
            <w:tcBorders>
              <w:top w:val="nil"/>
              <w:left w:val="nil"/>
              <w:bottom w:val="single" w:sz="4" w:space="0" w:color="auto"/>
              <w:right w:val="single" w:sz="4" w:space="0" w:color="auto"/>
            </w:tcBorders>
            <w:shd w:val="clear" w:color="000000" w:fill="A6C9EC"/>
            <w:noWrap/>
            <w:vAlign w:val="bottom"/>
            <w:hideMark/>
          </w:tcPr>
          <w:p w14:paraId="43D7727F"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"Financial aspects"</w:t>
            </w:r>
          </w:p>
        </w:tc>
        <w:tc>
          <w:tcPr>
            <w:tcW w:w="451" w:type="pct"/>
            <w:tcBorders>
              <w:top w:val="nil"/>
              <w:left w:val="nil"/>
              <w:bottom w:val="single" w:sz="4" w:space="0" w:color="auto"/>
              <w:right w:val="single" w:sz="4" w:space="0" w:color="auto"/>
            </w:tcBorders>
            <w:shd w:val="clear" w:color="000000" w:fill="A6C9EC"/>
            <w:noWrap/>
            <w:vAlign w:val="bottom"/>
            <w:hideMark/>
          </w:tcPr>
          <w:p w14:paraId="3B5057AA"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"Formula"</w:t>
            </w:r>
          </w:p>
        </w:tc>
        <w:tc>
          <w:tcPr>
            <w:tcW w:w="347" w:type="pct"/>
            <w:tcBorders>
              <w:top w:val="nil"/>
              <w:left w:val="nil"/>
              <w:bottom w:val="single" w:sz="4" w:space="0" w:color="auto"/>
              <w:right w:val="single" w:sz="4" w:space="0" w:color="auto"/>
            </w:tcBorders>
            <w:shd w:val="clear" w:color="000000" w:fill="A6C9EC"/>
            <w:noWrap/>
            <w:vAlign w:val="bottom"/>
            <w:hideMark/>
          </w:tcPr>
          <w:p w14:paraId="143FF352"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2024</w:t>
            </w:r>
          </w:p>
        </w:tc>
        <w:tc>
          <w:tcPr>
            <w:tcW w:w="347" w:type="pct"/>
            <w:tcBorders>
              <w:top w:val="nil"/>
              <w:left w:val="nil"/>
              <w:bottom w:val="single" w:sz="4" w:space="0" w:color="auto"/>
              <w:right w:val="single" w:sz="4" w:space="0" w:color="auto"/>
            </w:tcBorders>
            <w:shd w:val="clear" w:color="000000" w:fill="A6C9EC"/>
            <w:noWrap/>
            <w:vAlign w:val="bottom"/>
            <w:hideMark/>
          </w:tcPr>
          <w:p w14:paraId="74664D1A"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2023</w:t>
            </w:r>
          </w:p>
        </w:tc>
        <w:tc>
          <w:tcPr>
            <w:tcW w:w="347" w:type="pct"/>
            <w:tcBorders>
              <w:top w:val="nil"/>
              <w:left w:val="nil"/>
              <w:bottom w:val="single" w:sz="4" w:space="0" w:color="auto"/>
              <w:right w:val="single" w:sz="4" w:space="0" w:color="auto"/>
            </w:tcBorders>
            <w:shd w:val="clear" w:color="000000" w:fill="A6C9EC"/>
            <w:noWrap/>
            <w:vAlign w:val="bottom"/>
            <w:hideMark/>
          </w:tcPr>
          <w:p w14:paraId="13A8E71E"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2022</w:t>
            </w:r>
          </w:p>
        </w:tc>
        <w:tc>
          <w:tcPr>
            <w:tcW w:w="347" w:type="pct"/>
            <w:tcBorders>
              <w:top w:val="nil"/>
              <w:left w:val="nil"/>
              <w:bottom w:val="single" w:sz="4" w:space="0" w:color="auto"/>
              <w:right w:val="single" w:sz="4" w:space="0" w:color="auto"/>
            </w:tcBorders>
            <w:shd w:val="clear" w:color="000000" w:fill="A6C9EC"/>
            <w:noWrap/>
            <w:vAlign w:val="bottom"/>
            <w:hideMark/>
          </w:tcPr>
          <w:p w14:paraId="51B7295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2021</w:t>
            </w:r>
          </w:p>
        </w:tc>
        <w:tc>
          <w:tcPr>
            <w:tcW w:w="347" w:type="pct"/>
            <w:tcBorders>
              <w:top w:val="nil"/>
              <w:left w:val="nil"/>
              <w:bottom w:val="single" w:sz="4" w:space="0" w:color="auto"/>
              <w:right w:val="single" w:sz="8" w:space="0" w:color="auto"/>
            </w:tcBorders>
            <w:shd w:val="clear" w:color="000000" w:fill="A6C9EC"/>
            <w:noWrap/>
            <w:vAlign w:val="bottom"/>
            <w:hideMark/>
          </w:tcPr>
          <w:p w14:paraId="7ABAA8DA"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2020</w:t>
            </w:r>
          </w:p>
        </w:tc>
        <w:tc>
          <w:tcPr>
            <w:tcW w:w="39" w:type="pct"/>
            <w:vAlign w:val="center"/>
            <w:hideMark/>
          </w:tcPr>
          <w:p w14:paraId="65ECABC1"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14D511DD"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042E64F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"Net Income"</w:t>
            </w:r>
          </w:p>
        </w:tc>
        <w:tc>
          <w:tcPr>
            <w:tcW w:w="473" w:type="pct"/>
            <w:vMerge w:val="restart"/>
            <w:tcBorders>
              <w:top w:val="nil"/>
              <w:left w:val="single" w:sz="4" w:space="0" w:color="auto"/>
              <w:bottom w:val="single" w:sz="4" w:space="0" w:color="auto"/>
              <w:right w:val="single" w:sz="4" w:space="0" w:color="auto"/>
            </w:tcBorders>
            <w:shd w:val="clear" w:color="000000" w:fill="A6C9EC"/>
            <w:vAlign w:val="center"/>
            <w:hideMark/>
          </w:tcPr>
          <w:p w14:paraId="02E4E1CE"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"(Net income/Shareholders equity)"</w:t>
            </w:r>
          </w:p>
        </w:tc>
        <w:tc>
          <w:tcPr>
            <w:tcW w:w="347" w:type="pct"/>
            <w:tcBorders>
              <w:top w:val="nil"/>
              <w:left w:val="nil"/>
              <w:bottom w:val="single" w:sz="4" w:space="0" w:color="auto"/>
              <w:right w:val="single" w:sz="4" w:space="0" w:color="auto"/>
            </w:tcBorders>
            <w:shd w:val="clear" w:color="000000" w:fill="A6C9EC"/>
            <w:noWrap/>
            <w:vAlign w:val="bottom"/>
            <w:hideMark/>
          </w:tcPr>
          <w:p w14:paraId="21B74F8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1,35,49,018.00 </w:t>
            </w:r>
          </w:p>
        </w:tc>
        <w:tc>
          <w:tcPr>
            <w:tcW w:w="347" w:type="pct"/>
            <w:tcBorders>
              <w:top w:val="nil"/>
              <w:left w:val="nil"/>
              <w:bottom w:val="single" w:sz="4" w:space="0" w:color="auto"/>
              <w:right w:val="single" w:sz="4" w:space="0" w:color="auto"/>
            </w:tcBorders>
            <w:shd w:val="clear" w:color="000000" w:fill="A6C9EC"/>
            <w:noWrap/>
            <w:vAlign w:val="bottom"/>
            <w:hideMark/>
          </w:tcPr>
          <w:p w14:paraId="1073215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1,29,92,022.00 </w:t>
            </w:r>
          </w:p>
        </w:tc>
        <w:tc>
          <w:tcPr>
            <w:tcW w:w="347" w:type="pct"/>
            <w:tcBorders>
              <w:top w:val="nil"/>
              <w:left w:val="nil"/>
              <w:bottom w:val="single" w:sz="4" w:space="0" w:color="auto"/>
              <w:right w:val="single" w:sz="4" w:space="0" w:color="auto"/>
            </w:tcBorders>
            <w:shd w:val="clear" w:color="000000" w:fill="A6C9EC"/>
            <w:noWrap/>
            <w:vAlign w:val="bottom"/>
            <w:hideMark/>
          </w:tcPr>
          <w:p w14:paraId="2BD3375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79,83,614.00 </w:t>
            </w:r>
          </w:p>
        </w:tc>
        <w:tc>
          <w:tcPr>
            <w:tcW w:w="347" w:type="pct"/>
            <w:tcBorders>
              <w:top w:val="nil"/>
              <w:left w:val="nil"/>
              <w:bottom w:val="single" w:sz="4" w:space="0" w:color="auto"/>
              <w:right w:val="single" w:sz="4" w:space="0" w:color="auto"/>
            </w:tcBorders>
            <w:shd w:val="clear" w:color="000000" w:fill="A6C9EC"/>
            <w:noWrap/>
            <w:vAlign w:val="bottom"/>
            <w:hideMark/>
          </w:tcPr>
          <w:p w14:paraId="60FFB11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56,93,077.00 </w:t>
            </w:r>
          </w:p>
        </w:tc>
        <w:tc>
          <w:tcPr>
            <w:tcW w:w="347" w:type="pct"/>
            <w:tcBorders>
              <w:top w:val="nil"/>
              <w:left w:val="nil"/>
              <w:bottom w:val="single" w:sz="4" w:space="0" w:color="auto"/>
              <w:right w:val="single" w:sz="8" w:space="0" w:color="auto"/>
            </w:tcBorders>
            <w:shd w:val="clear" w:color="000000" w:fill="A6C9EC"/>
            <w:noWrap/>
            <w:vAlign w:val="bottom"/>
            <w:hideMark/>
          </w:tcPr>
          <w:p w14:paraId="4C38C18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19,24,553.00 </w:t>
            </w:r>
          </w:p>
        </w:tc>
        <w:tc>
          <w:tcPr>
            <w:tcW w:w="260" w:type="pct"/>
            <w:tcBorders>
              <w:top w:val="nil"/>
              <w:left w:val="nil"/>
              <w:bottom w:val="single" w:sz="4" w:space="0" w:color="auto"/>
              <w:right w:val="single" w:sz="4" w:space="0" w:color="auto"/>
            </w:tcBorders>
            <w:shd w:val="clear" w:color="000000" w:fill="A6C9EC"/>
            <w:noWrap/>
            <w:vAlign w:val="bottom"/>
            <w:hideMark/>
          </w:tcPr>
          <w:p w14:paraId="3866190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"Total Debt"</w:t>
            </w:r>
          </w:p>
        </w:tc>
        <w:tc>
          <w:tcPr>
            <w:tcW w:w="451" w:type="pct"/>
            <w:vMerge w:val="restart"/>
            <w:tcBorders>
              <w:top w:val="nil"/>
              <w:left w:val="single" w:sz="4" w:space="0" w:color="auto"/>
              <w:bottom w:val="single" w:sz="4" w:space="0" w:color="auto"/>
              <w:right w:val="single" w:sz="4" w:space="0" w:color="auto"/>
            </w:tcBorders>
            <w:shd w:val="clear" w:color="000000" w:fill="A6C9EC"/>
            <w:vAlign w:val="center"/>
            <w:hideMark/>
          </w:tcPr>
          <w:p w14:paraId="3FDB4DCE"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"(Total debt/Total equity)"</w:t>
            </w:r>
          </w:p>
        </w:tc>
        <w:tc>
          <w:tcPr>
            <w:tcW w:w="347" w:type="pct"/>
            <w:tcBorders>
              <w:top w:val="nil"/>
              <w:left w:val="nil"/>
              <w:bottom w:val="single" w:sz="4" w:space="0" w:color="auto"/>
              <w:right w:val="single" w:sz="4" w:space="0" w:color="auto"/>
            </w:tcBorders>
            <w:shd w:val="clear" w:color="000000" w:fill="A6C9EC"/>
            <w:noWrap/>
            <w:vAlign w:val="bottom"/>
            <w:hideMark/>
          </w:tcPr>
          <w:p w14:paraId="5B44A20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21,95,22,496.00 </w:t>
            </w:r>
          </w:p>
        </w:tc>
        <w:tc>
          <w:tcPr>
            <w:tcW w:w="347" w:type="pct"/>
            <w:tcBorders>
              <w:top w:val="nil"/>
              <w:left w:val="nil"/>
              <w:bottom w:val="single" w:sz="4" w:space="0" w:color="auto"/>
              <w:right w:val="single" w:sz="4" w:space="0" w:color="auto"/>
            </w:tcBorders>
            <w:shd w:val="clear" w:color="000000" w:fill="A6C9EC"/>
            <w:noWrap/>
            <w:vAlign w:val="bottom"/>
            <w:hideMark/>
          </w:tcPr>
          <w:p w14:paraId="7308468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18,06,53,915.00 </w:t>
            </w:r>
          </w:p>
        </w:tc>
        <w:tc>
          <w:tcPr>
            <w:tcW w:w="347" w:type="pct"/>
            <w:tcBorders>
              <w:top w:val="nil"/>
              <w:left w:val="nil"/>
              <w:bottom w:val="single" w:sz="4" w:space="0" w:color="auto"/>
              <w:right w:val="single" w:sz="4" w:space="0" w:color="auto"/>
            </w:tcBorders>
            <w:shd w:val="clear" w:color="000000" w:fill="A6C9EC"/>
            <w:noWrap/>
            <w:vAlign w:val="bottom"/>
            <w:hideMark/>
          </w:tcPr>
          <w:p w14:paraId="1F87538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16,48,45,917.00 </w:t>
            </w:r>
          </w:p>
        </w:tc>
        <w:tc>
          <w:tcPr>
            <w:tcW w:w="347" w:type="pct"/>
            <w:tcBorders>
              <w:top w:val="nil"/>
              <w:left w:val="nil"/>
              <w:bottom w:val="single" w:sz="4" w:space="0" w:color="auto"/>
              <w:right w:val="single" w:sz="4" w:space="0" w:color="auto"/>
            </w:tcBorders>
            <w:shd w:val="clear" w:color="000000" w:fill="A6C9EC"/>
            <w:noWrap/>
            <w:vAlign w:val="bottom"/>
            <w:hideMark/>
          </w:tcPr>
          <w:p w14:paraId="259D619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15,13,30,626.00 </w:t>
            </w:r>
          </w:p>
        </w:tc>
        <w:tc>
          <w:tcPr>
            <w:tcW w:w="347" w:type="pct"/>
            <w:tcBorders>
              <w:top w:val="nil"/>
              <w:left w:val="nil"/>
              <w:bottom w:val="single" w:sz="4" w:space="0" w:color="auto"/>
              <w:right w:val="single" w:sz="8" w:space="0" w:color="auto"/>
            </w:tcBorders>
            <w:shd w:val="clear" w:color="000000" w:fill="A6C9EC"/>
            <w:noWrap/>
            <w:vAlign w:val="bottom"/>
            <w:hideMark/>
          </w:tcPr>
          <w:p w14:paraId="21B623D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13,30,03,242.00 </w:t>
            </w:r>
          </w:p>
        </w:tc>
        <w:tc>
          <w:tcPr>
            <w:tcW w:w="39" w:type="pct"/>
            <w:vAlign w:val="center"/>
            <w:hideMark/>
          </w:tcPr>
          <w:p w14:paraId="6388DEB8"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415C9F3"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4D1AF6A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Shareholders Equity"</w:t>
            </w:r>
          </w:p>
        </w:tc>
        <w:tc>
          <w:tcPr>
            <w:tcW w:w="473" w:type="pct"/>
            <w:vMerge/>
            <w:tcBorders>
              <w:top w:val="nil"/>
              <w:left w:val="single" w:sz="4" w:space="0" w:color="auto"/>
              <w:bottom w:val="single" w:sz="4" w:space="0" w:color="auto"/>
              <w:right w:val="single" w:sz="4" w:space="0" w:color="auto"/>
            </w:tcBorders>
            <w:vAlign w:val="center"/>
            <w:hideMark/>
          </w:tcPr>
          <w:p w14:paraId="1E75DE7B"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2AE4DEC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12,02,75,933.00 </w:t>
            </w:r>
          </w:p>
        </w:tc>
        <w:tc>
          <w:tcPr>
            <w:tcW w:w="347" w:type="pct"/>
            <w:tcBorders>
              <w:top w:val="nil"/>
              <w:left w:val="nil"/>
              <w:bottom w:val="single" w:sz="4" w:space="0" w:color="auto"/>
              <w:right w:val="single" w:sz="4" w:space="0" w:color="auto"/>
            </w:tcBorders>
            <w:shd w:val="clear" w:color="000000" w:fill="A6C9EC"/>
            <w:noWrap/>
            <w:vAlign w:val="bottom"/>
            <w:hideMark/>
          </w:tcPr>
          <w:p w14:paraId="2943B78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10,18,09,440.00 </w:t>
            </w:r>
          </w:p>
        </w:tc>
        <w:tc>
          <w:tcPr>
            <w:tcW w:w="347" w:type="pct"/>
            <w:tcBorders>
              <w:top w:val="nil"/>
              <w:left w:val="nil"/>
              <w:bottom w:val="single" w:sz="4" w:space="0" w:color="auto"/>
              <w:right w:val="single" w:sz="4" w:space="0" w:color="auto"/>
            </w:tcBorders>
            <w:shd w:val="clear" w:color="000000" w:fill="A6C9EC"/>
            <w:noWrap/>
            <w:vAlign w:val="bottom"/>
            <w:hideMark/>
          </w:tcPr>
          <w:p w14:paraId="25E3E50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9,08,96,545.00 </w:t>
            </w:r>
          </w:p>
        </w:tc>
        <w:tc>
          <w:tcPr>
            <w:tcW w:w="347" w:type="pct"/>
            <w:tcBorders>
              <w:top w:val="nil"/>
              <w:left w:val="nil"/>
              <w:bottom w:val="single" w:sz="4" w:space="0" w:color="auto"/>
              <w:right w:val="single" w:sz="4" w:space="0" w:color="auto"/>
            </w:tcBorders>
            <w:shd w:val="clear" w:color="000000" w:fill="A6C9EC"/>
            <w:noWrap/>
            <w:vAlign w:val="bottom"/>
            <w:hideMark/>
          </w:tcPr>
          <w:p w14:paraId="32D6C9A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8,26,15,789.00 </w:t>
            </w:r>
          </w:p>
        </w:tc>
        <w:tc>
          <w:tcPr>
            <w:tcW w:w="347" w:type="pct"/>
            <w:tcBorders>
              <w:top w:val="nil"/>
              <w:left w:val="nil"/>
              <w:bottom w:val="single" w:sz="4" w:space="0" w:color="auto"/>
              <w:right w:val="single" w:sz="8" w:space="0" w:color="auto"/>
            </w:tcBorders>
            <w:shd w:val="clear" w:color="000000" w:fill="A6C9EC"/>
            <w:noWrap/>
            <w:vAlign w:val="bottom"/>
            <w:hideMark/>
          </w:tcPr>
          <w:p w14:paraId="7502489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7,63,40,970.00 </w:t>
            </w:r>
          </w:p>
        </w:tc>
        <w:tc>
          <w:tcPr>
            <w:tcW w:w="260" w:type="pct"/>
            <w:tcBorders>
              <w:top w:val="nil"/>
              <w:left w:val="nil"/>
              <w:bottom w:val="single" w:sz="4" w:space="0" w:color="auto"/>
              <w:right w:val="single" w:sz="4" w:space="0" w:color="auto"/>
            </w:tcBorders>
            <w:shd w:val="clear" w:color="000000" w:fill="A6C9EC"/>
            <w:noWrap/>
            <w:vAlign w:val="bottom"/>
            <w:hideMark/>
          </w:tcPr>
          <w:p w14:paraId="73A84CB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Total Equity"</w:t>
            </w:r>
          </w:p>
        </w:tc>
        <w:tc>
          <w:tcPr>
            <w:tcW w:w="451" w:type="pct"/>
            <w:vMerge/>
            <w:tcBorders>
              <w:top w:val="nil"/>
              <w:left w:val="single" w:sz="4" w:space="0" w:color="auto"/>
              <w:bottom w:val="single" w:sz="4" w:space="0" w:color="auto"/>
              <w:right w:val="single" w:sz="4" w:space="0" w:color="auto"/>
            </w:tcBorders>
            <w:vAlign w:val="center"/>
            <w:hideMark/>
          </w:tcPr>
          <w:p w14:paraId="1A9392E6"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2A773E9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12,02,75,933.00 </w:t>
            </w:r>
          </w:p>
        </w:tc>
        <w:tc>
          <w:tcPr>
            <w:tcW w:w="347" w:type="pct"/>
            <w:tcBorders>
              <w:top w:val="nil"/>
              <w:left w:val="nil"/>
              <w:bottom w:val="single" w:sz="4" w:space="0" w:color="auto"/>
              <w:right w:val="single" w:sz="4" w:space="0" w:color="auto"/>
            </w:tcBorders>
            <w:shd w:val="clear" w:color="000000" w:fill="A6C9EC"/>
            <w:noWrap/>
            <w:vAlign w:val="bottom"/>
            <w:hideMark/>
          </w:tcPr>
          <w:p w14:paraId="3BAA350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10,18,09,440.00 </w:t>
            </w:r>
          </w:p>
        </w:tc>
        <w:tc>
          <w:tcPr>
            <w:tcW w:w="347" w:type="pct"/>
            <w:tcBorders>
              <w:top w:val="nil"/>
              <w:left w:val="nil"/>
              <w:bottom w:val="single" w:sz="4" w:space="0" w:color="auto"/>
              <w:right w:val="single" w:sz="4" w:space="0" w:color="auto"/>
            </w:tcBorders>
            <w:shd w:val="clear" w:color="000000" w:fill="A6C9EC"/>
            <w:noWrap/>
            <w:vAlign w:val="bottom"/>
            <w:hideMark/>
          </w:tcPr>
          <w:p w14:paraId="0BC10A2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9,08,96,545.00 </w:t>
            </w:r>
          </w:p>
        </w:tc>
        <w:tc>
          <w:tcPr>
            <w:tcW w:w="347" w:type="pct"/>
            <w:tcBorders>
              <w:top w:val="nil"/>
              <w:left w:val="nil"/>
              <w:bottom w:val="single" w:sz="4" w:space="0" w:color="auto"/>
              <w:right w:val="single" w:sz="4" w:space="0" w:color="auto"/>
            </w:tcBorders>
            <w:shd w:val="clear" w:color="000000" w:fill="A6C9EC"/>
            <w:noWrap/>
            <w:vAlign w:val="bottom"/>
            <w:hideMark/>
          </w:tcPr>
          <w:p w14:paraId="07AF9EB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8,26,15,789.00 </w:t>
            </w:r>
          </w:p>
        </w:tc>
        <w:tc>
          <w:tcPr>
            <w:tcW w:w="347" w:type="pct"/>
            <w:tcBorders>
              <w:top w:val="nil"/>
              <w:left w:val="nil"/>
              <w:bottom w:val="single" w:sz="4" w:space="0" w:color="auto"/>
              <w:right w:val="single" w:sz="8" w:space="0" w:color="auto"/>
            </w:tcBorders>
            <w:shd w:val="clear" w:color="000000" w:fill="A6C9EC"/>
            <w:noWrap/>
            <w:vAlign w:val="bottom"/>
            <w:hideMark/>
          </w:tcPr>
          <w:p w14:paraId="77688175"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7,63,40,970.00 </w:t>
            </w:r>
          </w:p>
        </w:tc>
        <w:tc>
          <w:tcPr>
            <w:tcW w:w="39" w:type="pct"/>
            <w:vAlign w:val="center"/>
            <w:hideMark/>
          </w:tcPr>
          <w:p w14:paraId="7F3B616F"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5BA71CE" w14:textId="77777777" w:rsidTr="00076D53">
        <w:trPr>
          <w:trHeight w:val="312"/>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72F13508"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"Return on Equity"</w:t>
            </w:r>
          </w:p>
        </w:tc>
        <w:tc>
          <w:tcPr>
            <w:tcW w:w="473" w:type="pct"/>
            <w:vMerge/>
            <w:tcBorders>
              <w:top w:val="nil"/>
              <w:left w:val="single" w:sz="4" w:space="0" w:color="auto"/>
              <w:bottom w:val="single" w:sz="4" w:space="0" w:color="auto"/>
              <w:right w:val="single" w:sz="4" w:space="0" w:color="auto"/>
            </w:tcBorders>
            <w:vAlign w:val="center"/>
            <w:hideMark/>
          </w:tcPr>
          <w:p w14:paraId="2A8C783B"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69ED40E1"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11.26%</w:t>
            </w:r>
          </w:p>
        </w:tc>
        <w:tc>
          <w:tcPr>
            <w:tcW w:w="347" w:type="pct"/>
            <w:tcBorders>
              <w:top w:val="nil"/>
              <w:left w:val="nil"/>
              <w:bottom w:val="single" w:sz="4" w:space="0" w:color="auto"/>
              <w:right w:val="single" w:sz="4" w:space="0" w:color="auto"/>
            </w:tcBorders>
            <w:shd w:val="clear" w:color="000000" w:fill="A6C9EC"/>
            <w:noWrap/>
            <w:vAlign w:val="bottom"/>
            <w:hideMark/>
          </w:tcPr>
          <w:p w14:paraId="4DDEE296"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12.76%</w:t>
            </w:r>
          </w:p>
        </w:tc>
        <w:tc>
          <w:tcPr>
            <w:tcW w:w="347" w:type="pct"/>
            <w:tcBorders>
              <w:top w:val="nil"/>
              <w:left w:val="nil"/>
              <w:bottom w:val="single" w:sz="4" w:space="0" w:color="auto"/>
              <w:right w:val="single" w:sz="4" w:space="0" w:color="auto"/>
            </w:tcBorders>
            <w:shd w:val="clear" w:color="000000" w:fill="A6C9EC"/>
            <w:noWrap/>
            <w:vAlign w:val="bottom"/>
            <w:hideMark/>
          </w:tcPr>
          <w:p w14:paraId="7AA76F14"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8.78%</w:t>
            </w:r>
          </w:p>
        </w:tc>
        <w:tc>
          <w:tcPr>
            <w:tcW w:w="347" w:type="pct"/>
            <w:tcBorders>
              <w:top w:val="nil"/>
              <w:left w:val="nil"/>
              <w:bottom w:val="single" w:sz="4" w:space="0" w:color="auto"/>
              <w:right w:val="single" w:sz="4" w:space="0" w:color="auto"/>
            </w:tcBorders>
            <w:shd w:val="clear" w:color="000000" w:fill="A6C9EC"/>
            <w:noWrap/>
            <w:vAlign w:val="bottom"/>
            <w:hideMark/>
          </w:tcPr>
          <w:p w14:paraId="045D4343"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6.89%</w:t>
            </w:r>
          </w:p>
        </w:tc>
        <w:tc>
          <w:tcPr>
            <w:tcW w:w="347" w:type="pct"/>
            <w:tcBorders>
              <w:top w:val="nil"/>
              <w:left w:val="nil"/>
              <w:bottom w:val="single" w:sz="4" w:space="0" w:color="auto"/>
              <w:right w:val="single" w:sz="8" w:space="0" w:color="auto"/>
            </w:tcBorders>
            <w:shd w:val="clear" w:color="000000" w:fill="A6C9EC"/>
            <w:noWrap/>
            <w:vAlign w:val="bottom"/>
            <w:hideMark/>
          </w:tcPr>
          <w:p w14:paraId="08EA1186"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2.52%</w:t>
            </w:r>
          </w:p>
        </w:tc>
        <w:tc>
          <w:tcPr>
            <w:tcW w:w="260" w:type="pct"/>
            <w:tcBorders>
              <w:top w:val="nil"/>
              <w:left w:val="nil"/>
              <w:bottom w:val="single" w:sz="4" w:space="0" w:color="auto"/>
              <w:right w:val="single" w:sz="4" w:space="0" w:color="auto"/>
            </w:tcBorders>
            <w:shd w:val="clear" w:color="000000" w:fill="A6C9EC"/>
            <w:noWrap/>
            <w:vAlign w:val="bottom"/>
            <w:hideMark/>
          </w:tcPr>
          <w:p w14:paraId="16AEED4A"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"Debt to Equity Ratio"</w:t>
            </w:r>
          </w:p>
        </w:tc>
        <w:tc>
          <w:tcPr>
            <w:tcW w:w="451" w:type="pct"/>
            <w:vMerge/>
            <w:tcBorders>
              <w:top w:val="nil"/>
              <w:left w:val="single" w:sz="4" w:space="0" w:color="auto"/>
              <w:bottom w:val="single" w:sz="4" w:space="0" w:color="auto"/>
              <w:right w:val="single" w:sz="4" w:space="0" w:color="auto"/>
            </w:tcBorders>
            <w:vAlign w:val="center"/>
            <w:hideMark/>
          </w:tcPr>
          <w:p w14:paraId="4FD1FEC8"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462822C3"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1.83</w:t>
            </w:r>
          </w:p>
        </w:tc>
        <w:tc>
          <w:tcPr>
            <w:tcW w:w="347" w:type="pct"/>
            <w:tcBorders>
              <w:top w:val="nil"/>
              <w:left w:val="nil"/>
              <w:bottom w:val="single" w:sz="4" w:space="0" w:color="auto"/>
              <w:right w:val="single" w:sz="4" w:space="0" w:color="auto"/>
            </w:tcBorders>
            <w:shd w:val="clear" w:color="000000" w:fill="A6C9EC"/>
            <w:noWrap/>
            <w:vAlign w:val="bottom"/>
            <w:hideMark/>
          </w:tcPr>
          <w:p w14:paraId="0CCA6018"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1.77</w:t>
            </w:r>
          </w:p>
        </w:tc>
        <w:tc>
          <w:tcPr>
            <w:tcW w:w="347" w:type="pct"/>
            <w:tcBorders>
              <w:top w:val="nil"/>
              <w:left w:val="nil"/>
              <w:bottom w:val="single" w:sz="4" w:space="0" w:color="auto"/>
              <w:right w:val="single" w:sz="4" w:space="0" w:color="auto"/>
            </w:tcBorders>
            <w:shd w:val="clear" w:color="000000" w:fill="A6C9EC"/>
            <w:noWrap/>
            <w:vAlign w:val="bottom"/>
            <w:hideMark/>
          </w:tcPr>
          <w:p w14:paraId="4AD5369C"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1.81</w:t>
            </w:r>
          </w:p>
        </w:tc>
        <w:tc>
          <w:tcPr>
            <w:tcW w:w="347" w:type="pct"/>
            <w:tcBorders>
              <w:top w:val="nil"/>
              <w:left w:val="nil"/>
              <w:bottom w:val="single" w:sz="4" w:space="0" w:color="auto"/>
              <w:right w:val="single" w:sz="4" w:space="0" w:color="auto"/>
            </w:tcBorders>
            <w:shd w:val="clear" w:color="000000" w:fill="A6C9EC"/>
            <w:noWrap/>
            <w:vAlign w:val="bottom"/>
            <w:hideMark/>
          </w:tcPr>
          <w:p w14:paraId="709CD9DB"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1.83</w:t>
            </w:r>
          </w:p>
        </w:tc>
        <w:tc>
          <w:tcPr>
            <w:tcW w:w="347" w:type="pct"/>
            <w:tcBorders>
              <w:top w:val="nil"/>
              <w:left w:val="nil"/>
              <w:bottom w:val="single" w:sz="4" w:space="0" w:color="auto"/>
              <w:right w:val="single" w:sz="8" w:space="0" w:color="auto"/>
            </w:tcBorders>
            <w:shd w:val="clear" w:color="000000" w:fill="A6C9EC"/>
            <w:noWrap/>
            <w:vAlign w:val="bottom"/>
            <w:hideMark/>
          </w:tcPr>
          <w:p w14:paraId="4C5EA8EF"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1.74</w:t>
            </w:r>
          </w:p>
        </w:tc>
        <w:tc>
          <w:tcPr>
            <w:tcW w:w="39" w:type="pct"/>
            <w:vAlign w:val="center"/>
            <w:hideMark/>
          </w:tcPr>
          <w:p w14:paraId="6683B4C2"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53EED3FE"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3CACEB4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73" w:type="pct"/>
            <w:tcBorders>
              <w:top w:val="nil"/>
              <w:left w:val="nil"/>
              <w:bottom w:val="single" w:sz="4" w:space="0" w:color="auto"/>
              <w:right w:val="single" w:sz="4" w:space="0" w:color="auto"/>
            </w:tcBorders>
            <w:shd w:val="clear" w:color="000000" w:fill="A6C9EC"/>
            <w:noWrap/>
            <w:vAlign w:val="bottom"/>
            <w:hideMark/>
          </w:tcPr>
          <w:p w14:paraId="50CB4E9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22931FD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013885C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70709F2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2B97353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8" w:space="0" w:color="auto"/>
            </w:tcBorders>
            <w:shd w:val="clear" w:color="000000" w:fill="A6C9EC"/>
            <w:noWrap/>
            <w:vAlign w:val="bottom"/>
            <w:hideMark/>
          </w:tcPr>
          <w:p w14:paraId="62E0BF3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260" w:type="pct"/>
            <w:tcBorders>
              <w:top w:val="nil"/>
              <w:left w:val="nil"/>
              <w:bottom w:val="single" w:sz="4" w:space="0" w:color="auto"/>
              <w:right w:val="single" w:sz="4" w:space="0" w:color="auto"/>
            </w:tcBorders>
            <w:shd w:val="clear" w:color="000000" w:fill="A6C9EC"/>
            <w:noWrap/>
            <w:vAlign w:val="bottom"/>
            <w:hideMark/>
          </w:tcPr>
          <w:p w14:paraId="63148B1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51" w:type="pct"/>
            <w:tcBorders>
              <w:top w:val="nil"/>
              <w:left w:val="nil"/>
              <w:bottom w:val="single" w:sz="4" w:space="0" w:color="auto"/>
              <w:right w:val="single" w:sz="4" w:space="0" w:color="auto"/>
            </w:tcBorders>
            <w:shd w:val="clear" w:color="000000" w:fill="A6C9EC"/>
            <w:noWrap/>
            <w:vAlign w:val="bottom"/>
            <w:hideMark/>
          </w:tcPr>
          <w:p w14:paraId="26285FE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75F3C80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244DADB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530DA14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4CF177F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8" w:space="0" w:color="auto"/>
            </w:tcBorders>
            <w:shd w:val="clear" w:color="000000" w:fill="A6C9EC"/>
            <w:noWrap/>
            <w:vAlign w:val="bottom"/>
            <w:hideMark/>
          </w:tcPr>
          <w:p w14:paraId="6694F22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9" w:type="pct"/>
            <w:vAlign w:val="center"/>
            <w:hideMark/>
          </w:tcPr>
          <w:p w14:paraId="7B1AF325"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13748B5" w14:textId="77777777" w:rsidTr="00076D53">
        <w:trPr>
          <w:trHeight w:val="312"/>
        </w:trPr>
        <w:tc>
          <w:tcPr>
            <w:tcW w:w="2514" w:type="pct"/>
            <w:gridSpan w:val="7"/>
            <w:tcBorders>
              <w:top w:val="single" w:sz="4" w:space="0" w:color="auto"/>
              <w:left w:val="single" w:sz="8" w:space="0" w:color="auto"/>
              <w:bottom w:val="single" w:sz="4" w:space="0" w:color="auto"/>
              <w:right w:val="single" w:sz="8" w:space="0" w:color="000000"/>
            </w:tcBorders>
            <w:shd w:val="clear" w:color="000000" w:fill="A6C9EC"/>
            <w:noWrap/>
            <w:vAlign w:val="bottom"/>
            <w:hideMark/>
          </w:tcPr>
          <w:p w14:paraId="0C47935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"Net Profit Margin"</w:t>
            </w:r>
          </w:p>
        </w:tc>
        <w:tc>
          <w:tcPr>
            <w:tcW w:w="1406" w:type="pct"/>
            <w:gridSpan w:val="4"/>
            <w:tcBorders>
              <w:top w:val="single" w:sz="4" w:space="0" w:color="auto"/>
              <w:left w:val="nil"/>
              <w:bottom w:val="single" w:sz="4" w:space="0" w:color="auto"/>
              <w:right w:val="single" w:sz="4" w:space="0" w:color="auto"/>
            </w:tcBorders>
            <w:shd w:val="clear" w:color="000000" w:fill="A6C9EC"/>
            <w:noWrap/>
            <w:vAlign w:val="bottom"/>
            <w:hideMark/>
          </w:tcPr>
          <w:p w14:paraId="30ED1354"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"Times Interest Earned Ratio"</w:t>
            </w:r>
          </w:p>
        </w:tc>
        <w:tc>
          <w:tcPr>
            <w:tcW w:w="347" w:type="pct"/>
            <w:tcBorders>
              <w:top w:val="nil"/>
              <w:left w:val="nil"/>
              <w:bottom w:val="single" w:sz="4" w:space="0" w:color="auto"/>
              <w:right w:val="single" w:sz="4" w:space="0" w:color="auto"/>
            </w:tcBorders>
            <w:shd w:val="clear" w:color="000000" w:fill="A6C9EC"/>
            <w:noWrap/>
            <w:vAlign w:val="bottom"/>
            <w:hideMark/>
          </w:tcPr>
          <w:p w14:paraId="120B4E5E"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56CA1F4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8" w:space="0" w:color="auto"/>
            </w:tcBorders>
            <w:shd w:val="clear" w:color="000000" w:fill="A6C9EC"/>
            <w:noWrap/>
            <w:vAlign w:val="bottom"/>
            <w:hideMark/>
          </w:tcPr>
          <w:p w14:paraId="231DAF7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9" w:type="pct"/>
            <w:shd w:val="clear" w:color="000000" w:fill="A6C9EC"/>
            <w:vAlign w:val="center"/>
            <w:hideMark/>
          </w:tcPr>
          <w:p w14:paraId="44E0700C"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24DC9DD" w14:textId="77777777" w:rsidTr="00076D53">
        <w:trPr>
          <w:trHeight w:val="312"/>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70ED4B7A"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"Financial aspects"</w:t>
            </w:r>
          </w:p>
        </w:tc>
        <w:tc>
          <w:tcPr>
            <w:tcW w:w="473" w:type="pct"/>
            <w:tcBorders>
              <w:top w:val="nil"/>
              <w:left w:val="nil"/>
              <w:bottom w:val="single" w:sz="4" w:space="0" w:color="auto"/>
              <w:right w:val="single" w:sz="4" w:space="0" w:color="auto"/>
            </w:tcBorders>
            <w:shd w:val="clear" w:color="000000" w:fill="A6C9EC"/>
            <w:noWrap/>
            <w:vAlign w:val="bottom"/>
            <w:hideMark/>
          </w:tcPr>
          <w:p w14:paraId="5A756DBF"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"Formula"</w:t>
            </w:r>
          </w:p>
        </w:tc>
        <w:tc>
          <w:tcPr>
            <w:tcW w:w="347" w:type="pct"/>
            <w:tcBorders>
              <w:top w:val="nil"/>
              <w:left w:val="nil"/>
              <w:bottom w:val="single" w:sz="4" w:space="0" w:color="auto"/>
              <w:right w:val="single" w:sz="4" w:space="0" w:color="auto"/>
            </w:tcBorders>
            <w:shd w:val="clear" w:color="000000" w:fill="A6C9EC"/>
            <w:noWrap/>
            <w:vAlign w:val="bottom"/>
            <w:hideMark/>
          </w:tcPr>
          <w:p w14:paraId="66001DEA"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2024</w:t>
            </w:r>
          </w:p>
        </w:tc>
        <w:tc>
          <w:tcPr>
            <w:tcW w:w="347" w:type="pct"/>
            <w:tcBorders>
              <w:top w:val="nil"/>
              <w:left w:val="nil"/>
              <w:bottom w:val="single" w:sz="4" w:space="0" w:color="auto"/>
              <w:right w:val="single" w:sz="4" w:space="0" w:color="auto"/>
            </w:tcBorders>
            <w:shd w:val="clear" w:color="000000" w:fill="A6C9EC"/>
            <w:noWrap/>
            <w:vAlign w:val="bottom"/>
            <w:hideMark/>
          </w:tcPr>
          <w:p w14:paraId="2D887892"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2023</w:t>
            </w:r>
          </w:p>
        </w:tc>
        <w:tc>
          <w:tcPr>
            <w:tcW w:w="347" w:type="pct"/>
            <w:tcBorders>
              <w:top w:val="nil"/>
              <w:left w:val="nil"/>
              <w:bottom w:val="single" w:sz="4" w:space="0" w:color="auto"/>
              <w:right w:val="single" w:sz="4" w:space="0" w:color="auto"/>
            </w:tcBorders>
            <w:shd w:val="clear" w:color="000000" w:fill="A6C9EC"/>
            <w:noWrap/>
            <w:vAlign w:val="bottom"/>
            <w:hideMark/>
          </w:tcPr>
          <w:p w14:paraId="6786355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2022</w:t>
            </w:r>
          </w:p>
        </w:tc>
        <w:tc>
          <w:tcPr>
            <w:tcW w:w="347" w:type="pct"/>
            <w:tcBorders>
              <w:top w:val="nil"/>
              <w:left w:val="nil"/>
              <w:bottom w:val="single" w:sz="4" w:space="0" w:color="auto"/>
              <w:right w:val="single" w:sz="4" w:space="0" w:color="auto"/>
            </w:tcBorders>
            <w:shd w:val="clear" w:color="000000" w:fill="A6C9EC"/>
            <w:noWrap/>
            <w:vAlign w:val="bottom"/>
            <w:hideMark/>
          </w:tcPr>
          <w:p w14:paraId="22B9C65E"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2021</w:t>
            </w:r>
          </w:p>
        </w:tc>
        <w:tc>
          <w:tcPr>
            <w:tcW w:w="347" w:type="pct"/>
            <w:tcBorders>
              <w:top w:val="nil"/>
              <w:left w:val="nil"/>
              <w:bottom w:val="single" w:sz="4" w:space="0" w:color="auto"/>
              <w:right w:val="single" w:sz="8" w:space="0" w:color="auto"/>
            </w:tcBorders>
            <w:shd w:val="clear" w:color="000000" w:fill="A6C9EC"/>
            <w:noWrap/>
            <w:vAlign w:val="bottom"/>
            <w:hideMark/>
          </w:tcPr>
          <w:p w14:paraId="4BFBC39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2020</w:t>
            </w:r>
          </w:p>
        </w:tc>
        <w:tc>
          <w:tcPr>
            <w:tcW w:w="260" w:type="pct"/>
            <w:tcBorders>
              <w:top w:val="nil"/>
              <w:left w:val="nil"/>
              <w:bottom w:val="single" w:sz="4" w:space="0" w:color="auto"/>
              <w:right w:val="single" w:sz="4" w:space="0" w:color="auto"/>
            </w:tcBorders>
            <w:shd w:val="clear" w:color="000000" w:fill="A6C9EC"/>
            <w:noWrap/>
            <w:vAlign w:val="bottom"/>
            <w:hideMark/>
          </w:tcPr>
          <w:p w14:paraId="148C321C"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"Financial aspects"</w:t>
            </w:r>
          </w:p>
        </w:tc>
        <w:tc>
          <w:tcPr>
            <w:tcW w:w="451" w:type="pct"/>
            <w:tcBorders>
              <w:top w:val="nil"/>
              <w:left w:val="nil"/>
              <w:bottom w:val="single" w:sz="4" w:space="0" w:color="auto"/>
              <w:right w:val="single" w:sz="4" w:space="0" w:color="auto"/>
            </w:tcBorders>
            <w:shd w:val="clear" w:color="000000" w:fill="A6C9EC"/>
            <w:noWrap/>
            <w:vAlign w:val="bottom"/>
            <w:hideMark/>
          </w:tcPr>
          <w:p w14:paraId="616B0801"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"Formula"</w:t>
            </w:r>
          </w:p>
        </w:tc>
        <w:tc>
          <w:tcPr>
            <w:tcW w:w="347" w:type="pct"/>
            <w:tcBorders>
              <w:top w:val="nil"/>
              <w:left w:val="nil"/>
              <w:bottom w:val="single" w:sz="4" w:space="0" w:color="auto"/>
              <w:right w:val="single" w:sz="4" w:space="0" w:color="auto"/>
            </w:tcBorders>
            <w:shd w:val="clear" w:color="000000" w:fill="A6C9EC"/>
            <w:noWrap/>
            <w:vAlign w:val="bottom"/>
            <w:hideMark/>
          </w:tcPr>
          <w:p w14:paraId="621EF22A"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2024</w:t>
            </w:r>
          </w:p>
        </w:tc>
        <w:tc>
          <w:tcPr>
            <w:tcW w:w="347" w:type="pct"/>
            <w:tcBorders>
              <w:top w:val="nil"/>
              <w:left w:val="nil"/>
              <w:bottom w:val="single" w:sz="4" w:space="0" w:color="auto"/>
              <w:right w:val="single" w:sz="4" w:space="0" w:color="auto"/>
            </w:tcBorders>
            <w:shd w:val="clear" w:color="000000" w:fill="A6C9EC"/>
            <w:noWrap/>
            <w:vAlign w:val="bottom"/>
            <w:hideMark/>
          </w:tcPr>
          <w:p w14:paraId="583D335C"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2023</w:t>
            </w:r>
          </w:p>
        </w:tc>
        <w:tc>
          <w:tcPr>
            <w:tcW w:w="347" w:type="pct"/>
            <w:tcBorders>
              <w:top w:val="nil"/>
              <w:left w:val="nil"/>
              <w:bottom w:val="single" w:sz="4" w:space="0" w:color="auto"/>
              <w:right w:val="single" w:sz="4" w:space="0" w:color="auto"/>
            </w:tcBorders>
            <w:shd w:val="clear" w:color="000000" w:fill="A6C9EC"/>
            <w:noWrap/>
            <w:vAlign w:val="bottom"/>
            <w:hideMark/>
          </w:tcPr>
          <w:p w14:paraId="3EE8452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2022</w:t>
            </w:r>
          </w:p>
        </w:tc>
        <w:tc>
          <w:tcPr>
            <w:tcW w:w="347" w:type="pct"/>
            <w:tcBorders>
              <w:top w:val="nil"/>
              <w:left w:val="nil"/>
              <w:bottom w:val="single" w:sz="4" w:space="0" w:color="auto"/>
              <w:right w:val="single" w:sz="4" w:space="0" w:color="auto"/>
            </w:tcBorders>
            <w:shd w:val="clear" w:color="000000" w:fill="A6C9EC"/>
            <w:noWrap/>
            <w:vAlign w:val="bottom"/>
            <w:hideMark/>
          </w:tcPr>
          <w:p w14:paraId="6FB20F95"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2021</w:t>
            </w:r>
          </w:p>
        </w:tc>
        <w:tc>
          <w:tcPr>
            <w:tcW w:w="347" w:type="pct"/>
            <w:tcBorders>
              <w:top w:val="nil"/>
              <w:left w:val="nil"/>
              <w:bottom w:val="single" w:sz="4" w:space="0" w:color="auto"/>
              <w:right w:val="single" w:sz="8" w:space="0" w:color="auto"/>
            </w:tcBorders>
            <w:shd w:val="clear" w:color="000000" w:fill="A6C9EC"/>
            <w:noWrap/>
            <w:vAlign w:val="bottom"/>
            <w:hideMark/>
          </w:tcPr>
          <w:p w14:paraId="1D0CB13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2020</w:t>
            </w:r>
          </w:p>
        </w:tc>
        <w:tc>
          <w:tcPr>
            <w:tcW w:w="39" w:type="pct"/>
            <w:vAlign w:val="center"/>
            <w:hideMark/>
          </w:tcPr>
          <w:p w14:paraId="0AF7DFB5"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1DF5A088"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5D461C7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"Net Income"</w:t>
            </w:r>
          </w:p>
        </w:tc>
        <w:tc>
          <w:tcPr>
            <w:tcW w:w="473" w:type="pct"/>
            <w:vMerge w:val="restart"/>
            <w:tcBorders>
              <w:top w:val="nil"/>
              <w:left w:val="single" w:sz="4" w:space="0" w:color="auto"/>
              <w:bottom w:val="single" w:sz="8" w:space="0" w:color="000000"/>
              <w:right w:val="single" w:sz="4" w:space="0" w:color="auto"/>
            </w:tcBorders>
            <w:shd w:val="clear" w:color="000000" w:fill="A6C9EC"/>
            <w:vAlign w:val="center"/>
            <w:hideMark/>
          </w:tcPr>
          <w:p w14:paraId="65BE103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"(Net income/S</w:t>
            </w:r>
            <w:r w:rsidRPr="00C900C3">
              <w:rPr>
                <w:rFonts w:ascii="Arial" w:hAnsi="Arial" w:cs="Arial"/>
                <w:b/>
                <w:bCs/>
                <w:color w:val="000000"/>
                <w:lang w:val="en-IN"/>
              </w:rPr>
              <w:lastRenderedPageBreak/>
              <w:t>ales)"</w:t>
            </w:r>
          </w:p>
        </w:tc>
        <w:tc>
          <w:tcPr>
            <w:tcW w:w="347" w:type="pct"/>
            <w:tcBorders>
              <w:top w:val="nil"/>
              <w:left w:val="nil"/>
              <w:bottom w:val="single" w:sz="4" w:space="0" w:color="auto"/>
              <w:right w:val="single" w:sz="4" w:space="0" w:color="auto"/>
            </w:tcBorders>
            <w:shd w:val="clear" w:color="000000" w:fill="A6C9EC"/>
            <w:noWrap/>
            <w:vAlign w:val="bottom"/>
            <w:hideMark/>
          </w:tcPr>
          <w:p w14:paraId="4781D14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1,35,49,018.00 </w:t>
            </w:r>
          </w:p>
        </w:tc>
        <w:tc>
          <w:tcPr>
            <w:tcW w:w="347" w:type="pct"/>
            <w:tcBorders>
              <w:top w:val="nil"/>
              <w:left w:val="nil"/>
              <w:bottom w:val="single" w:sz="4" w:space="0" w:color="auto"/>
              <w:right w:val="single" w:sz="4" w:space="0" w:color="auto"/>
            </w:tcBorders>
            <w:shd w:val="clear" w:color="000000" w:fill="A6C9EC"/>
            <w:noWrap/>
            <w:vAlign w:val="bottom"/>
            <w:hideMark/>
          </w:tcPr>
          <w:p w14:paraId="5A4721F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1,29,92,022.00 </w:t>
            </w:r>
          </w:p>
        </w:tc>
        <w:tc>
          <w:tcPr>
            <w:tcW w:w="347" w:type="pct"/>
            <w:tcBorders>
              <w:top w:val="nil"/>
              <w:left w:val="nil"/>
              <w:bottom w:val="single" w:sz="4" w:space="0" w:color="auto"/>
              <w:right w:val="single" w:sz="4" w:space="0" w:color="auto"/>
            </w:tcBorders>
            <w:shd w:val="clear" w:color="000000" w:fill="A6C9EC"/>
            <w:noWrap/>
            <w:vAlign w:val="bottom"/>
            <w:hideMark/>
          </w:tcPr>
          <w:p w14:paraId="75EF7E0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79,83,614.00 </w:t>
            </w:r>
          </w:p>
        </w:tc>
        <w:tc>
          <w:tcPr>
            <w:tcW w:w="347" w:type="pct"/>
            <w:tcBorders>
              <w:top w:val="nil"/>
              <w:left w:val="nil"/>
              <w:bottom w:val="single" w:sz="4" w:space="0" w:color="auto"/>
              <w:right w:val="single" w:sz="4" w:space="0" w:color="auto"/>
            </w:tcBorders>
            <w:shd w:val="clear" w:color="000000" w:fill="A6C9EC"/>
            <w:noWrap/>
            <w:vAlign w:val="bottom"/>
            <w:hideMark/>
          </w:tcPr>
          <w:p w14:paraId="7FC40A85"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56,93,077.00 </w:t>
            </w:r>
          </w:p>
        </w:tc>
        <w:tc>
          <w:tcPr>
            <w:tcW w:w="347" w:type="pct"/>
            <w:tcBorders>
              <w:top w:val="nil"/>
              <w:left w:val="nil"/>
              <w:bottom w:val="single" w:sz="4" w:space="0" w:color="auto"/>
              <w:right w:val="single" w:sz="8" w:space="0" w:color="auto"/>
            </w:tcBorders>
            <w:shd w:val="clear" w:color="000000" w:fill="A6C9EC"/>
            <w:noWrap/>
            <w:vAlign w:val="bottom"/>
            <w:hideMark/>
          </w:tcPr>
          <w:p w14:paraId="1ED480F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19,24,553.00 </w:t>
            </w:r>
          </w:p>
        </w:tc>
        <w:tc>
          <w:tcPr>
            <w:tcW w:w="260" w:type="pct"/>
            <w:tcBorders>
              <w:top w:val="nil"/>
              <w:left w:val="nil"/>
              <w:bottom w:val="single" w:sz="4" w:space="0" w:color="auto"/>
              <w:right w:val="single" w:sz="4" w:space="0" w:color="auto"/>
            </w:tcBorders>
            <w:shd w:val="clear" w:color="000000" w:fill="A6C9EC"/>
            <w:noWrap/>
            <w:vAlign w:val="bottom"/>
            <w:hideMark/>
          </w:tcPr>
          <w:p w14:paraId="59632AF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"EBIT"</w:t>
            </w:r>
          </w:p>
        </w:tc>
        <w:tc>
          <w:tcPr>
            <w:tcW w:w="451" w:type="pct"/>
            <w:vMerge w:val="restart"/>
            <w:tcBorders>
              <w:top w:val="nil"/>
              <w:left w:val="single" w:sz="4" w:space="0" w:color="auto"/>
              <w:bottom w:val="single" w:sz="8" w:space="0" w:color="000000"/>
              <w:right w:val="single" w:sz="4" w:space="0" w:color="auto"/>
            </w:tcBorders>
            <w:shd w:val="clear" w:color="000000" w:fill="A6C9EC"/>
            <w:vAlign w:val="center"/>
            <w:hideMark/>
          </w:tcPr>
          <w:p w14:paraId="4C740CE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"(EBIT/Interest pa</w:t>
            </w:r>
            <w:r w:rsidRPr="00C900C3">
              <w:rPr>
                <w:rFonts w:ascii="Arial" w:hAnsi="Arial" w:cs="Arial"/>
                <w:b/>
                <w:bCs/>
                <w:color w:val="000000"/>
                <w:lang w:val="en-IN"/>
              </w:rPr>
              <w:lastRenderedPageBreak/>
              <w:t>yable)"</w:t>
            </w:r>
          </w:p>
        </w:tc>
        <w:tc>
          <w:tcPr>
            <w:tcW w:w="347" w:type="pct"/>
            <w:tcBorders>
              <w:top w:val="nil"/>
              <w:left w:val="nil"/>
              <w:bottom w:val="single" w:sz="4" w:space="0" w:color="auto"/>
              <w:right w:val="single" w:sz="4" w:space="0" w:color="auto"/>
            </w:tcBorders>
            <w:shd w:val="clear" w:color="000000" w:fill="A6C9EC"/>
            <w:noWrap/>
            <w:vAlign w:val="bottom"/>
            <w:hideMark/>
          </w:tcPr>
          <w:p w14:paraId="1B2035E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1,77,81,436.00 </w:t>
            </w:r>
          </w:p>
        </w:tc>
        <w:tc>
          <w:tcPr>
            <w:tcW w:w="347" w:type="pct"/>
            <w:tcBorders>
              <w:top w:val="nil"/>
              <w:left w:val="nil"/>
              <w:bottom w:val="single" w:sz="4" w:space="0" w:color="auto"/>
              <w:right w:val="single" w:sz="4" w:space="0" w:color="auto"/>
            </w:tcBorders>
            <w:shd w:val="clear" w:color="000000" w:fill="A6C9EC"/>
            <w:noWrap/>
            <w:vAlign w:val="bottom"/>
            <w:hideMark/>
          </w:tcPr>
          <w:p w14:paraId="3DC121B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1,76,18,662.00 </w:t>
            </w:r>
          </w:p>
        </w:tc>
        <w:tc>
          <w:tcPr>
            <w:tcW w:w="347" w:type="pct"/>
            <w:tcBorders>
              <w:top w:val="nil"/>
              <w:left w:val="nil"/>
              <w:bottom w:val="single" w:sz="4" w:space="0" w:color="auto"/>
              <w:right w:val="single" w:sz="4" w:space="0" w:color="auto"/>
            </w:tcBorders>
            <w:shd w:val="clear" w:color="000000" w:fill="A6C9EC"/>
            <w:noWrap/>
            <w:vAlign w:val="bottom"/>
            <w:hideMark/>
          </w:tcPr>
          <w:p w14:paraId="3537E6F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1,09,47,943.00 </w:t>
            </w:r>
          </w:p>
        </w:tc>
        <w:tc>
          <w:tcPr>
            <w:tcW w:w="347" w:type="pct"/>
            <w:tcBorders>
              <w:top w:val="nil"/>
              <w:left w:val="nil"/>
              <w:bottom w:val="single" w:sz="4" w:space="0" w:color="auto"/>
              <w:right w:val="single" w:sz="4" w:space="0" w:color="auto"/>
            </w:tcBorders>
            <w:shd w:val="clear" w:color="000000" w:fill="A6C9EC"/>
            <w:noWrap/>
            <w:vAlign w:val="bottom"/>
            <w:hideMark/>
          </w:tcPr>
          <w:p w14:paraId="3CA4580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79,59,562.00 </w:t>
            </w:r>
          </w:p>
        </w:tc>
        <w:tc>
          <w:tcPr>
            <w:tcW w:w="347" w:type="pct"/>
            <w:tcBorders>
              <w:top w:val="nil"/>
              <w:left w:val="nil"/>
              <w:bottom w:val="single" w:sz="4" w:space="0" w:color="auto"/>
              <w:right w:val="single" w:sz="8" w:space="0" w:color="auto"/>
            </w:tcBorders>
            <w:shd w:val="clear" w:color="000000" w:fill="A6C9EC"/>
            <w:noWrap/>
            <w:vAlign w:val="bottom"/>
            <w:hideMark/>
          </w:tcPr>
          <w:p w14:paraId="07D1537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20,93,256.00 </w:t>
            </w:r>
          </w:p>
        </w:tc>
        <w:tc>
          <w:tcPr>
            <w:tcW w:w="39" w:type="pct"/>
            <w:vAlign w:val="center"/>
            <w:hideMark/>
          </w:tcPr>
          <w:p w14:paraId="047BD70C"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5AB2610"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731C4B95"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Sales"</w:t>
            </w:r>
          </w:p>
        </w:tc>
        <w:tc>
          <w:tcPr>
            <w:tcW w:w="473" w:type="pct"/>
            <w:vMerge/>
            <w:tcBorders>
              <w:top w:val="nil"/>
              <w:left w:val="single" w:sz="4" w:space="0" w:color="auto"/>
              <w:bottom w:val="single" w:sz="8" w:space="0" w:color="000000"/>
              <w:right w:val="single" w:sz="4" w:space="0" w:color="auto"/>
            </w:tcBorders>
            <w:vAlign w:val="center"/>
            <w:hideMark/>
          </w:tcPr>
          <w:p w14:paraId="1F8C8C97"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6DFA414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17,52,31,153.00 </w:t>
            </w:r>
          </w:p>
        </w:tc>
        <w:tc>
          <w:tcPr>
            <w:tcW w:w="347" w:type="pct"/>
            <w:tcBorders>
              <w:top w:val="nil"/>
              <w:left w:val="nil"/>
              <w:bottom w:val="single" w:sz="4" w:space="0" w:color="auto"/>
              <w:right w:val="single" w:sz="4" w:space="0" w:color="auto"/>
            </w:tcBorders>
            <w:shd w:val="clear" w:color="000000" w:fill="A6C9EC"/>
            <w:noWrap/>
            <w:vAlign w:val="bottom"/>
            <w:hideMark/>
          </w:tcPr>
          <w:p w14:paraId="34A6A15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16,26,63,579.00 </w:t>
            </w:r>
          </w:p>
        </w:tc>
        <w:tc>
          <w:tcPr>
            <w:tcW w:w="347" w:type="pct"/>
            <w:tcBorders>
              <w:top w:val="nil"/>
              <w:left w:val="nil"/>
              <w:bottom w:val="single" w:sz="4" w:space="0" w:color="auto"/>
              <w:right w:val="single" w:sz="4" w:space="0" w:color="auto"/>
            </w:tcBorders>
            <w:shd w:val="clear" w:color="000000" w:fill="A6C9EC"/>
            <w:noWrap/>
            <w:vAlign w:val="bottom"/>
            <w:hideMark/>
          </w:tcPr>
          <w:p w14:paraId="7787BBE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14,25,27,535.00 </w:t>
            </w:r>
          </w:p>
        </w:tc>
        <w:tc>
          <w:tcPr>
            <w:tcW w:w="347" w:type="pct"/>
            <w:tcBorders>
              <w:top w:val="nil"/>
              <w:left w:val="nil"/>
              <w:bottom w:val="single" w:sz="4" w:space="0" w:color="auto"/>
              <w:right w:val="single" w:sz="4" w:space="0" w:color="auto"/>
            </w:tcBorders>
            <w:shd w:val="clear" w:color="000000" w:fill="A6C9EC"/>
            <w:noWrap/>
            <w:vAlign w:val="bottom"/>
            <w:hideMark/>
          </w:tcPr>
          <w:p w14:paraId="2D40631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11,76,10,626.00 </w:t>
            </w:r>
          </w:p>
        </w:tc>
        <w:tc>
          <w:tcPr>
            <w:tcW w:w="347" w:type="pct"/>
            <w:tcBorders>
              <w:top w:val="nil"/>
              <w:left w:val="nil"/>
              <w:bottom w:val="single" w:sz="4" w:space="0" w:color="auto"/>
              <w:right w:val="single" w:sz="8" w:space="0" w:color="auto"/>
            </w:tcBorders>
            <w:shd w:val="clear" w:color="000000" w:fill="A6C9EC"/>
            <w:noWrap/>
            <w:vAlign w:val="bottom"/>
            <w:hideMark/>
          </w:tcPr>
          <w:p w14:paraId="1A2618A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10,39,97,601.00 </w:t>
            </w:r>
          </w:p>
        </w:tc>
        <w:tc>
          <w:tcPr>
            <w:tcW w:w="260" w:type="pct"/>
            <w:tcBorders>
              <w:top w:val="nil"/>
              <w:left w:val="nil"/>
              <w:bottom w:val="single" w:sz="4" w:space="0" w:color="auto"/>
              <w:right w:val="single" w:sz="4" w:space="0" w:color="auto"/>
            </w:tcBorders>
            <w:shd w:val="clear" w:color="000000" w:fill="A6C9EC"/>
            <w:noWrap/>
            <w:vAlign w:val="bottom"/>
            <w:hideMark/>
          </w:tcPr>
          <w:p w14:paraId="428BF04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Interest Payable"</w:t>
            </w:r>
          </w:p>
        </w:tc>
        <w:tc>
          <w:tcPr>
            <w:tcW w:w="451" w:type="pct"/>
            <w:vMerge/>
            <w:tcBorders>
              <w:top w:val="nil"/>
              <w:left w:val="single" w:sz="4" w:space="0" w:color="auto"/>
              <w:bottom w:val="single" w:sz="8" w:space="0" w:color="000000"/>
              <w:right w:val="single" w:sz="4" w:space="0" w:color="auto"/>
            </w:tcBorders>
            <w:vAlign w:val="center"/>
            <w:hideMark/>
          </w:tcPr>
          <w:p w14:paraId="0D8E473D"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264FA86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59,32,388.00 </w:t>
            </w:r>
          </w:p>
        </w:tc>
        <w:tc>
          <w:tcPr>
            <w:tcW w:w="347" w:type="pct"/>
            <w:tcBorders>
              <w:top w:val="nil"/>
              <w:left w:val="nil"/>
              <w:bottom w:val="single" w:sz="4" w:space="0" w:color="auto"/>
              <w:right w:val="single" w:sz="4" w:space="0" w:color="auto"/>
            </w:tcBorders>
            <w:shd w:val="clear" w:color="000000" w:fill="A6C9EC"/>
            <w:noWrap/>
            <w:vAlign w:val="bottom"/>
            <w:hideMark/>
          </w:tcPr>
          <w:p w14:paraId="58FC6EE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42,37,818.00 </w:t>
            </w:r>
          </w:p>
        </w:tc>
        <w:tc>
          <w:tcPr>
            <w:tcW w:w="347" w:type="pct"/>
            <w:tcBorders>
              <w:top w:val="nil"/>
              <w:left w:val="nil"/>
              <w:bottom w:val="single" w:sz="4" w:space="0" w:color="auto"/>
              <w:right w:val="single" w:sz="4" w:space="0" w:color="auto"/>
            </w:tcBorders>
            <w:shd w:val="clear" w:color="000000" w:fill="A6C9EC"/>
            <w:noWrap/>
            <w:vAlign w:val="bottom"/>
            <w:hideMark/>
          </w:tcPr>
          <w:p w14:paraId="67386F6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26,95,029.00 </w:t>
            </w:r>
          </w:p>
        </w:tc>
        <w:tc>
          <w:tcPr>
            <w:tcW w:w="347" w:type="pct"/>
            <w:tcBorders>
              <w:top w:val="nil"/>
              <w:left w:val="nil"/>
              <w:bottom w:val="single" w:sz="4" w:space="0" w:color="auto"/>
              <w:right w:val="single" w:sz="4" w:space="0" w:color="auto"/>
            </w:tcBorders>
            <w:shd w:val="clear" w:color="000000" w:fill="A6C9EC"/>
            <w:noWrap/>
            <w:vAlign w:val="bottom"/>
            <w:hideMark/>
          </w:tcPr>
          <w:p w14:paraId="7B17E065"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19,05,945.00 </w:t>
            </w:r>
          </w:p>
        </w:tc>
        <w:tc>
          <w:tcPr>
            <w:tcW w:w="347" w:type="pct"/>
            <w:tcBorders>
              <w:top w:val="nil"/>
              <w:left w:val="nil"/>
              <w:bottom w:val="single" w:sz="4" w:space="0" w:color="auto"/>
              <w:right w:val="single" w:sz="8" w:space="0" w:color="auto"/>
            </w:tcBorders>
            <w:shd w:val="clear" w:color="000000" w:fill="A6C9EC"/>
            <w:noWrap/>
            <w:vAlign w:val="bottom"/>
            <w:hideMark/>
          </w:tcPr>
          <w:p w14:paraId="5E08722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20,08,084.00 </w:t>
            </w:r>
          </w:p>
        </w:tc>
        <w:tc>
          <w:tcPr>
            <w:tcW w:w="39" w:type="pct"/>
            <w:vAlign w:val="center"/>
            <w:hideMark/>
          </w:tcPr>
          <w:p w14:paraId="051159B5"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552F89DD" w14:textId="77777777" w:rsidTr="00076D53">
        <w:trPr>
          <w:trHeight w:val="324"/>
        </w:trPr>
        <w:tc>
          <w:tcPr>
            <w:tcW w:w="306" w:type="pct"/>
            <w:tcBorders>
              <w:top w:val="nil"/>
              <w:left w:val="single" w:sz="8" w:space="0" w:color="auto"/>
              <w:bottom w:val="single" w:sz="8" w:space="0" w:color="auto"/>
              <w:right w:val="single" w:sz="4" w:space="0" w:color="auto"/>
            </w:tcBorders>
            <w:shd w:val="clear" w:color="000000" w:fill="A6C9EC"/>
            <w:noWrap/>
            <w:vAlign w:val="bottom"/>
            <w:hideMark/>
          </w:tcPr>
          <w:p w14:paraId="11DFD4DC"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"Net Profit Margin"</w:t>
            </w:r>
          </w:p>
        </w:tc>
        <w:tc>
          <w:tcPr>
            <w:tcW w:w="473" w:type="pct"/>
            <w:vMerge/>
            <w:tcBorders>
              <w:top w:val="nil"/>
              <w:left w:val="single" w:sz="4" w:space="0" w:color="auto"/>
              <w:bottom w:val="single" w:sz="8" w:space="0" w:color="000000"/>
              <w:right w:val="single" w:sz="4" w:space="0" w:color="auto"/>
            </w:tcBorders>
            <w:vAlign w:val="center"/>
            <w:hideMark/>
          </w:tcPr>
          <w:p w14:paraId="52F5B35E"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8" w:space="0" w:color="auto"/>
              <w:right w:val="single" w:sz="4" w:space="0" w:color="auto"/>
            </w:tcBorders>
            <w:shd w:val="clear" w:color="000000" w:fill="A6C9EC"/>
            <w:noWrap/>
            <w:vAlign w:val="bottom"/>
            <w:hideMark/>
          </w:tcPr>
          <w:p w14:paraId="36EF06E0"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7.73%</w:t>
            </w:r>
          </w:p>
        </w:tc>
        <w:tc>
          <w:tcPr>
            <w:tcW w:w="347" w:type="pct"/>
            <w:tcBorders>
              <w:top w:val="nil"/>
              <w:left w:val="nil"/>
              <w:bottom w:val="single" w:sz="8" w:space="0" w:color="auto"/>
              <w:right w:val="single" w:sz="4" w:space="0" w:color="auto"/>
            </w:tcBorders>
            <w:shd w:val="clear" w:color="000000" w:fill="A6C9EC"/>
            <w:noWrap/>
            <w:vAlign w:val="bottom"/>
            <w:hideMark/>
          </w:tcPr>
          <w:p w14:paraId="0AE77E2B"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7.99%</w:t>
            </w:r>
          </w:p>
        </w:tc>
        <w:tc>
          <w:tcPr>
            <w:tcW w:w="347" w:type="pct"/>
            <w:tcBorders>
              <w:top w:val="nil"/>
              <w:left w:val="nil"/>
              <w:bottom w:val="single" w:sz="8" w:space="0" w:color="auto"/>
              <w:right w:val="single" w:sz="4" w:space="0" w:color="auto"/>
            </w:tcBorders>
            <w:shd w:val="clear" w:color="000000" w:fill="A6C9EC"/>
            <w:noWrap/>
            <w:vAlign w:val="bottom"/>
            <w:hideMark/>
          </w:tcPr>
          <w:p w14:paraId="6DDFF356"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5.60%</w:t>
            </w:r>
          </w:p>
        </w:tc>
        <w:tc>
          <w:tcPr>
            <w:tcW w:w="347" w:type="pct"/>
            <w:tcBorders>
              <w:top w:val="nil"/>
              <w:left w:val="nil"/>
              <w:bottom w:val="single" w:sz="8" w:space="0" w:color="auto"/>
              <w:right w:val="single" w:sz="4" w:space="0" w:color="auto"/>
            </w:tcBorders>
            <w:shd w:val="clear" w:color="000000" w:fill="A6C9EC"/>
            <w:noWrap/>
            <w:vAlign w:val="bottom"/>
            <w:hideMark/>
          </w:tcPr>
          <w:p w14:paraId="43872187"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4.84%</w:t>
            </w:r>
          </w:p>
        </w:tc>
        <w:tc>
          <w:tcPr>
            <w:tcW w:w="347" w:type="pct"/>
            <w:tcBorders>
              <w:top w:val="nil"/>
              <w:left w:val="nil"/>
              <w:bottom w:val="single" w:sz="8" w:space="0" w:color="auto"/>
              <w:right w:val="single" w:sz="8" w:space="0" w:color="auto"/>
            </w:tcBorders>
            <w:shd w:val="clear" w:color="000000" w:fill="A6C9EC"/>
            <w:noWrap/>
            <w:vAlign w:val="bottom"/>
            <w:hideMark/>
          </w:tcPr>
          <w:p w14:paraId="321E187A"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1.85%</w:t>
            </w:r>
          </w:p>
        </w:tc>
        <w:tc>
          <w:tcPr>
            <w:tcW w:w="260" w:type="pct"/>
            <w:tcBorders>
              <w:top w:val="nil"/>
              <w:left w:val="nil"/>
              <w:bottom w:val="single" w:sz="8" w:space="0" w:color="auto"/>
              <w:right w:val="single" w:sz="4" w:space="0" w:color="auto"/>
            </w:tcBorders>
            <w:shd w:val="clear" w:color="000000" w:fill="A6C9EC"/>
            <w:noWrap/>
            <w:vAlign w:val="bottom"/>
            <w:hideMark/>
          </w:tcPr>
          <w:p w14:paraId="479DD165"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"Times Interest Earned Ratio"</w:t>
            </w:r>
          </w:p>
        </w:tc>
        <w:tc>
          <w:tcPr>
            <w:tcW w:w="451" w:type="pct"/>
            <w:vMerge/>
            <w:tcBorders>
              <w:top w:val="nil"/>
              <w:left w:val="single" w:sz="4" w:space="0" w:color="auto"/>
              <w:bottom w:val="single" w:sz="8" w:space="0" w:color="000000"/>
              <w:right w:val="single" w:sz="4" w:space="0" w:color="auto"/>
            </w:tcBorders>
            <w:vAlign w:val="center"/>
            <w:hideMark/>
          </w:tcPr>
          <w:p w14:paraId="0C76D7B3"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8" w:space="0" w:color="auto"/>
              <w:right w:val="single" w:sz="4" w:space="0" w:color="auto"/>
            </w:tcBorders>
            <w:shd w:val="clear" w:color="000000" w:fill="A6C9EC"/>
            <w:noWrap/>
            <w:vAlign w:val="bottom"/>
            <w:hideMark/>
          </w:tcPr>
          <w:p w14:paraId="463DB6DC"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3.00</w:t>
            </w:r>
          </w:p>
        </w:tc>
        <w:tc>
          <w:tcPr>
            <w:tcW w:w="347" w:type="pct"/>
            <w:tcBorders>
              <w:top w:val="nil"/>
              <w:left w:val="nil"/>
              <w:bottom w:val="single" w:sz="8" w:space="0" w:color="auto"/>
              <w:right w:val="single" w:sz="4" w:space="0" w:color="auto"/>
            </w:tcBorders>
            <w:shd w:val="clear" w:color="000000" w:fill="A6C9EC"/>
            <w:noWrap/>
            <w:vAlign w:val="bottom"/>
            <w:hideMark/>
          </w:tcPr>
          <w:p w14:paraId="489CDEAD"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4.16</w:t>
            </w:r>
          </w:p>
        </w:tc>
        <w:tc>
          <w:tcPr>
            <w:tcW w:w="347" w:type="pct"/>
            <w:tcBorders>
              <w:top w:val="nil"/>
              <w:left w:val="nil"/>
              <w:bottom w:val="single" w:sz="8" w:space="0" w:color="auto"/>
              <w:right w:val="single" w:sz="4" w:space="0" w:color="auto"/>
            </w:tcBorders>
            <w:shd w:val="clear" w:color="000000" w:fill="A6C9EC"/>
            <w:noWrap/>
            <w:vAlign w:val="bottom"/>
            <w:hideMark/>
          </w:tcPr>
          <w:p w14:paraId="45177AFF"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4.06</w:t>
            </w:r>
          </w:p>
        </w:tc>
        <w:tc>
          <w:tcPr>
            <w:tcW w:w="347" w:type="pct"/>
            <w:tcBorders>
              <w:top w:val="nil"/>
              <w:left w:val="nil"/>
              <w:bottom w:val="single" w:sz="8" w:space="0" w:color="auto"/>
              <w:right w:val="single" w:sz="4" w:space="0" w:color="auto"/>
            </w:tcBorders>
            <w:shd w:val="clear" w:color="000000" w:fill="A6C9EC"/>
            <w:noWrap/>
            <w:vAlign w:val="bottom"/>
            <w:hideMark/>
          </w:tcPr>
          <w:p w14:paraId="30D674E9"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4.18</w:t>
            </w:r>
          </w:p>
        </w:tc>
        <w:tc>
          <w:tcPr>
            <w:tcW w:w="347" w:type="pct"/>
            <w:tcBorders>
              <w:top w:val="nil"/>
              <w:left w:val="nil"/>
              <w:bottom w:val="single" w:sz="8" w:space="0" w:color="auto"/>
              <w:right w:val="single" w:sz="8" w:space="0" w:color="auto"/>
            </w:tcBorders>
            <w:shd w:val="clear" w:color="000000" w:fill="A6C9EC"/>
            <w:noWrap/>
            <w:vAlign w:val="bottom"/>
            <w:hideMark/>
          </w:tcPr>
          <w:p w14:paraId="2E4FD42E"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1.04</w:t>
            </w:r>
          </w:p>
        </w:tc>
        <w:tc>
          <w:tcPr>
            <w:tcW w:w="39" w:type="pct"/>
            <w:vAlign w:val="center"/>
            <w:hideMark/>
          </w:tcPr>
          <w:p w14:paraId="478BB1C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3131FA3" w14:textId="77777777" w:rsidTr="00076D53">
        <w:trPr>
          <w:trHeight w:val="312"/>
        </w:trPr>
        <w:tc>
          <w:tcPr>
            <w:tcW w:w="306" w:type="pct"/>
            <w:tcBorders>
              <w:top w:val="nil"/>
              <w:left w:val="single" w:sz="8" w:space="0" w:color="auto"/>
              <w:bottom w:val="nil"/>
              <w:right w:val="nil"/>
            </w:tcBorders>
            <w:shd w:val="clear" w:color="000000" w:fill="A6C9EC"/>
            <w:noWrap/>
            <w:vAlign w:val="bottom"/>
            <w:hideMark/>
          </w:tcPr>
          <w:p w14:paraId="1BC8BF1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73" w:type="pct"/>
            <w:tcBorders>
              <w:top w:val="nil"/>
              <w:left w:val="nil"/>
              <w:bottom w:val="nil"/>
              <w:right w:val="nil"/>
            </w:tcBorders>
            <w:shd w:val="clear" w:color="000000" w:fill="A6C9EC"/>
            <w:noWrap/>
            <w:vAlign w:val="bottom"/>
            <w:hideMark/>
          </w:tcPr>
          <w:p w14:paraId="7F5702EE"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48186C2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6BFA129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73A7554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757FC13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single" w:sz="8" w:space="0" w:color="auto"/>
            </w:tcBorders>
            <w:shd w:val="clear" w:color="000000" w:fill="A6C9EC"/>
            <w:noWrap/>
            <w:vAlign w:val="bottom"/>
            <w:hideMark/>
          </w:tcPr>
          <w:p w14:paraId="4125146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260" w:type="pct"/>
            <w:tcBorders>
              <w:top w:val="nil"/>
              <w:left w:val="nil"/>
              <w:bottom w:val="nil"/>
              <w:right w:val="nil"/>
            </w:tcBorders>
            <w:shd w:val="clear" w:color="000000" w:fill="A6C9EC"/>
            <w:noWrap/>
            <w:vAlign w:val="bottom"/>
            <w:hideMark/>
          </w:tcPr>
          <w:p w14:paraId="468CAC2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51" w:type="pct"/>
            <w:tcBorders>
              <w:top w:val="nil"/>
              <w:left w:val="nil"/>
              <w:bottom w:val="nil"/>
              <w:right w:val="nil"/>
            </w:tcBorders>
            <w:shd w:val="clear" w:color="000000" w:fill="A6C9EC"/>
            <w:noWrap/>
            <w:vAlign w:val="bottom"/>
            <w:hideMark/>
          </w:tcPr>
          <w:p w14:paraId="1DB4395E"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26099AA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597EA16E"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6A03CB9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2EA6E09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single" w:sz="8" w:space="0" w:color="auto"/>
            </w:tcBorders>
            <w:shd w:val="clear" w:color="000000" w:fill="A6C9EC"/>
            <w:noWrap/>
            <w:vAlign w:val="bottom"/>
            <w:hideMark/>
          </w:tcPr>
          <w:p w14:paraId="5301B35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9" w:type="pct"/>
            <w:vAlign w:val="center"/>
            <w:hideMark/>
          </w:tcPr>
          <w:p w14:paraId="03496E2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C2F1F32" w14:textId="77777777" w:rsidTr="00076D53">
        <w:trPr>
          <w:trHeight w:val="312"/>
        </w:trPr>
        <w:tc>
          <w:tcPr>
            <w:tcW w:w="2514" w:type="pct"/>
            <w:gridSpan w:val="7"/>
            <w:tcBorders>
              <w:top w:val="single" w:sz="8" w:space="0" w:color="auto"/>
              <w:left w:val="single" w:sz="8" w:space="0" w:color="auto"/>
              <w:bottom w:val="single" w:sz="4" w:space="0" w:color="auto"/>
              <w:right w:val="single" w:sz="8" w:space="0" w:color="000000"/>
            </w:tcBorders>
            <w:shd w:val="clear" w:color="000000" w:fill="FFFFFF"/>
            <w:noWrap/>
            <w:vAlign w:val="bottom"/>
            <w:hideMark/>
          </w:tcPr>
          <w:p w14:paraId="7FB191C5"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"Liquidity ratio"</w:t>
            </w:r>
          </w:p>
        </w:tc>
        <w:tc>
          <w:tcPr>
            <w:tcW w:w="2447" w:type="pct"/>
            <w:gridSpan w:val="7"/>
            <w:tcBorders>
              <w:top w:val="single" w:sz="8" w:space="0" w:color="auto"/>
              <w:left w:val="nil"/>
              <w:bottom w:val="single" w:sz="4" w:space="0" w:color="auto"/>
              <w:right w:val="single" w:sz="8" w:space="0" w:color="000000"/>
            </w:tcBorders>
            <w:shd w:val="clear" w:color="000000" w:fill="FFFFFF"/>
            <w:noWrap/>
            <w:vAlign w:val="bottom"/>
            <w:hideMark/>
          </w:tcPr>
          <w:p w14:paraId="5A32367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"Investment ratio"</w:t>
            </w:r>
          </w:p>
        </w:tc>
        <w:tc>
          <w:tcPr>
            <w:tcW w:w="39" w:type="pct"/>
            <w:vAlign w:val="center"/>
            <w:hideMark/>
          </w:tcPr>
          <w:p w14:paraId="535F5AE7"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F4BD521" w14:textId="77777777" w:rsidTr="00076D53">
        <w:trPr>
          <w:trHeight w:val="312"/>
        </w:trPr>
        <w:tc>
          <w:tcPr>
            <w:tcW w:w="2514" w:type="pct"/>
            <w:gridSpan w:val="7"/>
            <w:tcBorders>
              <w:top w:val="single" w:sz="4" w:space="0" w:color="auto"/>
              <w:left w:val="single" w:sz="8" w:space="0" w:color="auto"/>
              <w:bottom w:val="single" w:sz="4" w:space="0" w:color="auto"/>
              <w:right w:val="single" w:sz="8" w:space="0" w:color="000000"/>
            </w:tcBorders>
            <w:shd w:val="clear" w:color="000000" w:fill="A6C9EC"/>
            <w:noWrap/>
            <w:vAlign w:val="bottom"/>
            <w:hideMark/>
          </w:tcPr>
          <w:p w14:paraId="06CC7B6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"Current ratio"</w:t>
            </w:r>
          </w:p>
        </w:tc>
        <w:tc>
          <w:tcPr>
            <w:tcW w:w="2447" w:type="pct"/>
            <w:gridSpan w:val="7"/>
            <w:tcBorders>
              <w:top w:val="single" w:sz="4" w:space="0" w:color="auto"/>
              <w:left w:val="nil"/>
              <w:bottom w:val="single" w:sz="4" w:space="0" w:color="auto"/>
              <w:right w:val="single" w:sz="8" w:space="0" w:color="000000"/>
            </w:tcBorders>
            <w:shd w:val="clear" w:color="000000" w:fill="A6C9EC"/>
            <w:noWrap/>
            <w:vAlign w:val="bottom"/>
            <w:hideMark/>
          </w:tcPr>
          <w:p w14:paraId="6DA63D9C"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"Dividend Payout"</w:t>
            </w:r>
          </w:p>
        </w:tc>
        <w:tc>
          <w:tcPr>
            <w:tcW w:w="39" w:type="pct"/>
            <w:vAlign w:val="center"/>
            <w:hideMark/>
          </w:tcPr>
          <w:p w14:paraId="1D966FCD"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FC9F70C" w14:textId="77777777" w:rsidTr="00076D53">
        <w:trPr>
          <w:trHeight w:val="312"/>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0B3C1BAC"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"Financial aspects"</w:t>
            </w:r>
          </w:p>
        </w:tc>
        <w:tc>
          <w:tcPr>
            <w:tcW w:w="473" w:type="pct"/>
            <w:tcBorders>
              <w:top w:val="nil"/>
              <w:left w:val="nil"/>
              <w:bottom w:val="single" w:sz="4" w:space="0" w:color="auto"/>
              <w:right w:val="single" w:sz="4" w:space="0" w:color="auto"/>
            </w:tcBorders>
            <w:shd w:val="clear" w:color="000000" w:fill="A6C9EC"/>
            <w:noWrap/>
            <w:vAlign w:val="bottom"/>
            <w:hideMark/>
          </w:tcPr>
          <w:p w14:paraId="1BFE504E"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"Formula"</w:t>
            </w:r>
          </w:p>
        </w:tc>
        <w:tc>
          <w:tcPr>
            <w:tcW w:w="347" w:type="pct"/>
            <w:tcBorders>
              <w:top w:val="nil"/>
              <w:left w:val="nil"/>
              <w:bottom w:val="single" w:sz="4" w:space="0" w:color="auto"/>
              <w:right w:val="single" w:sz="4" w:space="0" w:color="auto"/>
            </w:tcBorders>
            <w:shd w:val="clear" w:color="000000" w:fill="A6C9EC"/>
            <w:noWrap/>
            <w:vAlign w:val="bottom"/>
            <w:hideMark/>
          </w:tcPr>
          <w:p w14:paraId="065B8A5E"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2024</w:t>
            </w:r>
          </w:p>
        </w:tc>
        <w:tc>
          <w:tcPr>
            <w:tcW w:w="347" w:type="pct"/>
            <w:tcBorders>
              <w:top w:val="nil"/>
              <w:left w:val="nil"/>
              <w:bottom w:val="single" w:sz="4" w:space="0" w:color="auto"/>
              <w:right w:val="single" w:sz="4" w:space="0" w:color="auto"/>
            </w:tcBorders>
            <w:shd w:val="clear" w:color="000000" w:fill="A6C9EC"/>
            <w:noWrap/>
            <w:vAlign w:val="bottom"/>
            <w:hideMark/>
          </w:tcPr>
          <w:p w14:paraId="00D7FD5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2023</w:t>
            </w:r>
          </w:p>
        </w:tc>
        <w:tc>
          <w:tcPr>
            <w:tcW w:w="347" w:type="pct"/>
            <w:tcBorders>
              <w:top w:val="nil"/>
              <w:left w:val="nil"/>
              <w:bottom w:val="single" w:sz="4" w:space="0" w:color="auto"/>
              <w:right w:val="single" w:sz="4" w:space="0" w:color="auto"/>
            </w:tcBorders>
            <w:shd w:val="clear" w:color="000000" w:fill="A6C9EC"/>
            <w:noWrap/>
            <w:vAlign w:val="bottom"/>
            <w:hideMark/>
          </w:tcPr>
          <w:p w14:paraId="791D8C46"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2022</w:t>
            </w:r>
          </w:p>
        </w:tc>
        <w:tc>
          <w:tcPr>
            <w:tcW w:w="347" w:type="pct"/>
            <w:tcBorders>
              <w:top w:val="nil"/>
              <w:left w:val="nil"/>
              <w:bottom w:val="single" w:sz="4" w:space="0" w:color="auto"/>
              <w:right w:val="single" w:sz="4" w:space="0" w:color="auto"/>
            </w:tcBorders>
            <w:shd w:val="clear" w:color="000000" w:fill="A6C9EC"/>
            <w:noWrap/>
            <w:vAlign w:val="bottom"/>
            <w:hideMark/>
          </w:tcPr>
          <w:p w14:paraId="7D9B4BB1"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2021</w:t>
            </w:r>
          </w:p>
        </w:tc>
        <w:tc>
          <w:tcPr>
            <w:tcW w:w="347" w:type="pct"/>
            <w:tcBorders>
              <w:top w:val="nil"/>
              <w:left w:val="nil"/>
              <w:bottom w:val="single" w:sz="4" w:space="0" w:color="auto"/>
              <w:right w:val="single" w:sz="8" w:space="0" w:color="auto"/>
            </w:tcBorders>
            <w:shd w:val="clear" w:color="000000" w:fill="A6C9EC"/>
            <w:noWrap/>
            <w:vAlign w:val="bottom"/>
            <w:hideMark/>
          </w:tcPr>
          <w:p w14:paraId="49B3D131"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2020</w:t>
            </w:r>
          </w:p>
        </w:tc>
        <w:tc>
          <w:tcPr>
            <w:tcW w:w="260" w:type="pct"/>
            <w:tcBorders>
              <w:top w:val="nil"/>
              <w:left w:val="nil"/>
              <w:bottom w:val="single" w:sz="4" w:space="0" w:color="auto"/>
              <w:right w:val="single" w:sz="4" w:space="0" w:color="auto"/>
            </w:tcBorders>
            <w:shd w:val="clear" w:color="000000" w:fill="A6C9EC"/>
            <w:noWrap/>
            <w:vAlign w:val="bottom"/>
            <w:hideMark/>
          </w:tcPr>
          <w:p w14:paraId="126D237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"Financial aspects"</w:t>
            </w:r>
          </w:p>
        </w:tc>
        <w:tc>
          <w:tcPr>
            <w:tcW w:w="451" w:type="pct"/>
            <w:tcBorders>
              <w:top w:val="nil"/>
              <w:left w:val="nil"/>
              <w:bottom w:val="single" w:sz="4" w:space="0" w:color="auto"/>
              <w:right w:val="single" w:sz="4" w:space="0" w:color="auto"/>
            </w:tcBorders>
            <w:shd w:val="clear" w:color="000000" w:fill="A6C9EC"/>
            <w:noWrap/>
            <w:vAlign w:val="bottom"/>
            <w:hideMark/>
          </w:tcPr>
          <w:p w14:paraId="7FF542F8"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"Formula"</w:t>
            </w:r>
          </w:p>
        </w:tc>
        <w:tc>
          <w:tcPr>
            <w:tcW w:w="347" w:type="pct"/>
            <w:tcBorders>
              <w:top w:val="nil"/>
              <w:left w:val="nil"/>
              <w:bottom w:val="single" w:sz="4" w:space="0" w:color="auto"/>
              <w:right w:val="single" w:sz="4" w:space="0" w:color="auto"/>
            </w:tcBorders>
            <w:shd w:val="clear" w:color="000000" w:fill="A6C9EC"/>
            <w:noWrap/>
            <w:vAlign w:val="bottom"/>
            <w:hideMark/>
          </w:tcPr>
          <w:p w14:paraId="7F1728A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2024</w:t>
            </w:r>
          </w:p>
        </w:tc>
        <w:tc>
          <w:tcPr>
            <w:tcW w:w="347" w:type="pct"/>
            <w:tcBorders>
              <w:top w:val="nil"/>
              <w:left w:val="nil"/>
              <w:bottom w:val="single" w:sz="4" w:space="0" w:color="auto"/>
              <w:right w:val="single" w:sz="4" w:space="0" w:color="auto"/>
            </w:tcBorders>
            <w:shd w:val="clear" w:color="000000" w:fill="A6C9EC"/>
            <w:noWrap/>
            <w:vAlign w:val="bottom"/>
            <w:hideMark/>
          </w:tcPr>
          <w:p w14:paraId="367F01D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2023</w:t>
            </w:r>
          </w:p>
        </w:tc>
        <w:tc>
          <w:tcPr>
            <w:tcW w:w="347" w:type="pct"/>
            <w:tcBorders>
              <w:top w:val="nil"/>
              <w:left w:val="nil"/>
              <w:bottom w:val="single" w:sz="4" w:space="0" w:color="auto"/>
              <w:right w:val="single" w:sz="4" w:space="0" w:color="auto"/>
            </w:tcBorders>
            <w:shd w:val="clear" w:color="000000" w:fill="A6C9EC"/>
            <w:noWrap/>
            <w:vAlign w:val="bottom"/>
            <w:hideMark/>
          </w:tcPr>
          <w:p w14:paraId="41770626"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2022</w:t>
            </w:r>
          </w:p>
        </w:tc>
        <w:tc>
          <w:tcPr>
            <w:tcW w:w="347" w:type="pct"/>
            <w:tcBorders>
              <w:top w:val="nil"/>
              <w:left w:val="nil"/>
              <w:bottom w:val="single" w:sz="4" w:space="0" w:color="auto"/>
              <w:right w:val="single" w:sz="4" w:space="0" w:color="auto"/>
            </w:tcBorders>
            <w:shd w:val="clear" w:color="000000" w:fill="A6C9EC"/>
            <w:noWrap/>
            <w:vAlign w:val="bottom"/>
            <w:hideMark/>
          </w:tcPr>
          <w:p w14:paraId="0E33C69C"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2021</w:t>
            </w:r>
          </w:p>
        </w:tc>
        <w:tc>
          <w:tcPr>
            <w:tcW w:w="347" w:type="pct"/>
            <w:tcBorders>
              <w:top w:val="nil"/>
              <w:left w:val="nil"/>
              <w:bottom w:val="single" w:sz="4" w:space="0" w:color="auto"/>
              <w:right w:val="single" w:sz="8" w:space="0" w:color="auto"/>
            </w:tcBorders>
            <w:shd w:val="clear" w:color="000000" w:fill="A6C9EC"/>
            <w:noWrap/>
            <w:vAlign w:val="bottom"/>
            <w:hideMark/>
          </w:tcPr>
          <w:p w14:paraId="73570A3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2020</w:t>
            </w:r>
          </w:p>
        </w:tc>
        <w:tc>
          <w:tcPr>
            <w:tcW w:w="39" w:type="pct"/>
            <w:vAlign w:val="center"/>
            <w:hideMark/>
          </w:tcPr>
          <w:p w14:paraId="6D30AF82"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49FF5E0"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02178C1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"Current assets"</w:t>
            </w:r>
          </w:p>
        </w:tc>
        <w:tc>
          <w:tcPr>
            <w:tcW w:w="473" w:type="pct"/>
            <w:vMerge w:val="restart"/>
            <w:tcBorders>
              <w:top w:val="nil"/>
              <w:left w:val="single" w:sz="4" w:space="0" w:color="auto"/>
              <w:bottom w:val="single" w:sz="4" w:space="0" w:color="auto"/>
              <w:right w:val="single" w:sz="4" w:space="0" w:color="auto"/>
            </w:tcBorders>
            <w:shd w:val="clear" w:color="000000" w:fill="A6C9EC"/>
            <w:vAlign w:val="center"/>
            <w:hideMark/>
          </w:tcPr>
          <w:p w14:paraId="5C64E94C"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"Current assets/Current liabilities"</w:t>
            </w:r>
          </w:p>
        </w:tc>
        <w:tc>
          <w:tcPr>
            <w:tcW w:w="347" w:type="pct"/>
            <w:tcBorders>
              <w:top w:val="nil"/>
              <w:left w:val="nil"/>
              <w:bottom w:val="single" w:sz="4" w:space="0" w:color="auto"/>
              <w:right w:val="single" w:sz="4" w:space="0" w:color="auto"/>
            </w:tcBorders>
            <w:shd w:val="clear" w:color="000000" w:fill="A6C9EC"/>
            <w:noWrap/>
            <w:vAlign w:val="bottom"/>
            <w:hideMark/>
          </w:tcPr>
          <w:p w14:paraId="2656FE4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11,57,64,287.00 </w:t>
            </w:r>
          </w:p>
        </w:tc>
        <w:tc>
          <w:tcPr>
            <w:tcW w:w="347" w:type="pct"/>
            <w:tcBorders>
              <w:top w:val="nil"/>
              <w:left w:val="nil"/>
              <w:bottom w:val="single" w:sz="4" w:space="0" w:color="auto"/>
              <w:right w:val="single" w:sz="4" w:space="0" w:color="auto"/>
            </w:tcBorders>
            <w:shd w:val="clear" w:color="000000" w:fill="A6C9EC"/>
            <w:noWrap/>
            <w:vAlign w:val="bottom"/>
            <w:hideMark/>
          </w:tcPr>
          <w:p w14:paraId="7264AE7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10,17,24,717.00 </w:t>
            </w:r>
          </w:p>
        </w:tc>
        <w:tc>
          <w:tcPr>
            <w:tcW w:w="347" w:type="pct"/>
            <w:tcBorders>
              <w:top w:val="nil"/>
              <w:left w:val="nil"/>
              <w:bottom w:val="single" w:sz="4" w:space="0" w:color="auto"/>
              <w:right w:val="single" w:sz="4" w:space="0" w:color="auto"/>
            </w:tcBorders>
            <w:shd w:val="clear" w:color="000000" w:fill="A6C9EC"/>
            <w:noWrap/>
            <w:vAlign w:val="bottom"/>
            <w:hideMark/>
          </w:tcPr>
          <w:p w14:paraId="1B862DE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9,63,89,273.00 </w:t>
            </w:r>
          </w:p>
        </w:tc>
        <w:tc>
          <w:tcPr>
            <w:tcW w:w="347" w:type="pct"/>
            <w:tcBorders>
              <w:top w:val="nil"/>
              <w:left w:val="nil"/>
              <w:bottom w:val="single" w:sz="4" w:space="0" w:color="auto"/>
              <w:right w:val="single" w:sz="4" w:space="0" w:color="auto"/>
            </w:tcBorders>
            <w:shd w:val="clear" w:color="000000" w:fill="A6C9EC"/>
            <w:noWrap/>
            <w:vAlign w:val="bottom"/>
            <w:hideMark/>
          </w:tcPr>
          <w:p w14:paraId="059BB79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8,85,65,366.00 </w:t>
            </w:r>
          </w:p>
        </w:tc>
        <w:tc>
          <w:tcPr>
            <w:tcW w:w="347" w:type="pct"/>
            <w:tcBorders>
              <w:top w:val="nil"/>
              <w:left w:val="nil"/>
              <w:bottom w:val="single" w:sz="4" w:space="0" w:color="auto"/>
              <w:right w:val="single" w:sz="8" w:space="0" w:color="auto"/>
            </w:tcBorders>
            <w:shd w:val="clear" w:color="000000" w:fill="A6C9EC"/>
            <w:noWrap/>
            <w:vAlign w:val="bottom"/>
            <w:hideMark/>
          </w:tcPr>
          <w:p w14:paraId="41DE9F9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8,36,86,357.00 </w:t>
            </w:r>
          </w:p>
        </w:tc>
        <w:tc>
          <w:tcPr>
            <w:tcW w:w="260" w:type="pct"/>
            <w:tcBorders>
              <w:top w:val="nil"/>
              <w:left w:val="nil"/>
              <w:bottom w:val="single" w:sz="4" w:space="0" w:color="auto"/>
              <w:right w:val="single" w:sz="4" w:space="0" w:color="auto"/>
            </w:tcBorders>
            <w:shd w:val="clear" w:color="000000" w:fill="A6C9EC"/>
            <w:noWrap/>
            <w:vAlign w:val="bottom"/>
            <w:hideMark/>
          </w:tcPr>
          <w:p w14:paraId="149DB3E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"Dividend"</w:t>
            </w:r>
          </w:p>
        </w:tc>
        <w:tc>
          <w:tcPr>
            <w:tcW w:w="451" w:type="pct"/>
            <w:vMerge w:val="restart"/>
            <w:tcBorders>
              <w:top w:val="nil"/>
              <w:left w:val="single" w:sz="4" w:space="0" w:color="auto"/>
              <w:bottom w:val="single" w:sz="4" w:space="0" w:color="auto"/>
              <w:right w:val="single" w:sz="4" w:space="0" w:color="auto"/>
            </w:tcBorders>
            <w:shd w:val="clear" w:color="000000" w:fill="A6C9EC"/>
            <w:vAlign w:val="center"/>
            <w:hideMark/>
          </w:tcPr>
          <w:p w14:paraId="010C9B44"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"(Net income/Outstanding shares)"</w:t>
            </w:r>
          </w:p>
        </w:tc>
        <w:tc>
          <w:tcPr>
            <w:tcW w:w="347" w:type="pct"/>
            <w:tcBorders>
              <w:top w:val="nil"/>
              <w:left w:val="nil"/>
              <w:bottom w:val="single" w:sz="4" w:space="0" w:color="auto"/>
              <w:right w:val="single" w:sz="4" w:space="0" w:color="auto"/>
            </w:tcBorders>
            <w:shd w:val="clear" w:color="000000" w:fill="A6C9EC"/>
            <w:noWrap/>
            <w:vAlign w:val="bottom"/>
            <w:hideMark/>
          </w:tcPr>
          <w:p w14:paraId="5BAD1F1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39,13,280.00 </w:t>
            </w:r>
          </w:p>
        </w:tc>
        <w:tc>
          <w:tcPr>
            <w:tcW w:w="347" w:type="pct"/>
            <w:tcBorders>
              <w:top w:val="nil"/>
              <w:left w:val="nil"/>
              <w:bottom w:val="single" w:sz="4" w:space="0" w:color="auto"/>
              <w:right w:val="single" w:sz="4" w:space="0" w:color="auto"/>
            </w:tcBorders>
            <w:shd w:val="clear" w:color="000000" w:fill="A6C9EC"/>
            <w:noWrap/>
            <w:vAlign w:val="bottom"/>
            <w:hideMark/>
          </w:tcPr>
          <w:p w14:paraId="1B8EE00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24,99,050.00 </w:t>
            </w:r>
          </w:p>
        </w:tc>
        <w:tc>
          <w:tcPr>
            <w:tcW w:w="347" w:type="pct"/>
            <w:tcBorders>
              <w:top w:val="nil"/>
              <w:left w:val="nil"/>
              <w:bottom w:val="single" w:sz="4" w:space="0" w:color="auto"/>
              <w:right w:val="single" w:sz="4" w:space="0" w:color="auto"/>
            </w:tcBorders>
            <w:shd w:val="clear" w:color="000000" w:fill="A6C9EC"/>
            <w:noWrap/>
            <w:vAlign w:val="bottom"/>
            <w:hideMark/>
          </w:tcPr>
          <w:p w14:paraId="5335E2C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13,54,996.00 </w:t>
            </w:r>
          </w:p>
        </w:tc>
        <w:tc>
          <w:tcPr>
            <w:tcW w:w="347" w:type="pct"/>
            <w:tcBorders>
              <w:top w:val="nil"/>
              <w:left w:val="nil"/>
              <w:bottom w:val="single" w:sz="4" w:space="0" w:color="auto"/>
              <w:right w:val="single" w:sz="4" w:space="0" w:color="auto"/>
            </w:tcBorders>
            <w:shd w:val="clear" w:color="000000" w:fill="A6C9EC"/>
            <w:noWrap/>
            <w:vAlign w:val="bottom"/>
            <w:hideMark/>
          </w:tcPr>
          <w:p w14:paraId="5549015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11,86,800.00 </w:t>
            </w:r>
          </w:p>
        </w:tc>
        <w:tc>
          <w:tcPr>
            <w:tcW w:w="347" w:type="pct"/>
            <w:tcBorders>
              <w:top w:val="nil"/>
              <w:left w:val="nil"/>
              <w:bottom w:val="single" w:sz="4" w:space="0" w:color="auto"/>
              <w:right w:val="single" w:sz="8" w:space="0" w:color="auto"/>
            </w:tcBorders>
            <w:shd w:val="clear" w:color="000000" w:fill="A6C9EC"/>
            <w:noWrap/>
            <w:vAlign w:val="bottom"/>
            <w:hideMark/>
          </w:tcPr>
          <w:p w14:paraId="6CC66BA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8,93,769.00 </w:t>
            </w:r>
          </w:p>
        </w:tc>
        <w:tc>
          <w:tcPr>
            <w:tcW w:w="39" w:type="pct"/>
            <w:vAlign w:val="center"/>
            <w:hideMark/>
          </w:tcPr>
          <w:p w14:paraId="131C02B1"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CAD6485"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77A8675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Current Liabilities"</w:t>
            </w:r>
          </w:p>
        </w:tc>
        <w:tc>
          <w:tcPr>
            <w:tcW w:w="473" w:type="pct"/>
            <w:vMerge/>
            <w:tcBorders>
              <w:top w:val="nil"/>
              <w:left w:val="single" w:sz="4" w:space="0" w:color="auto"/>
              <w:bottom w:val="single" w:sz="4" w:space="0" w:color="auto"/>
              <w:right w:val="single" w:sz="4" w:space="0" w:color="auto"/>
            </w:tcBorders>
            <w:vAlign w:val="center"/>
            <w:hideMark/>
          </w:tcPr>
          <w:p w14:paraId="12917410"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711E3C3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7,95,09,643.00 </w:t>
            </w:r>
          </w:p>
        </w:tc>
        <w:tc>
          <w:tcPr>
            <w:tcW w:w="347" w:type="pct"/>
            <w:tcBorders>
              <w:top w:val="nil"/>
              <w:left w:val="nil"/>
              <w:bottom w:val="single" w:sz="4" w:space="0" w:color="auto"/>
              <w:right w:val="single" w:sz="4" w:space="0" w:color="auto"/>
            </w:tcBorders>
            <w:shd w:val="clear" w:color="000000" w:fill="A6C9EC"/>
            <w:noWrap/>
            <w:vAlign w:val="bottom"/>
            <w:hideMark/>
          </w:tcPr>
          <w:p w14:paraId="2FF9D35E"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7,33,62,103.00 </w:t>
            </w:r>
          </w:p>
        </w:tc>
        <w:tc>
          <w:tcPr>
            <w:tcW w:w="347" w:type="pct"/>
            <w:tcBorders>
              <w:top w:val="nil"/>
              <w:left w:val="nil"/>
              <w:bottom w:val="single" w:sz="4" w:space="0" w:color="auto"/>
              <w:right w:val="single" w:sz="4" w:space="0" w:color="auto"/>
            </w:tcBorders>
            <w:shd w:val="clear" w:color="000000" w:fill="A6C9EC"/>
            <w:noWrap/>
            <w:vAlign w:val="bottom"/>
            <w:hideMark/>
          </w:tcPr>
          <w:p w14:paraId="1E2E838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7,42,36,472.00 </w:t>
            </w:r>
          </w:p>
        </w:tc>
        <w:tc>
          <w:tcPr>
            <w:tcW w:w="347" w:type="pct"/>
            <w:tcBorders>
              <w:top w:val="nil"/>
              <w:left w:val="nil"/>
              <w:bottom w:val="single" w:sz="4" w:space="0" w:color="auto"/>
              <w:right w:val="single" w:sz="4" w:space="0" w:color="auto"/>
            </w:tcBorders>
            <w:shd w:val="clear" w:color="000000" w:fill="A6C9EC"/>
            <w:noWrap/>
            <w:vAlign w:val="bottom"/>
            <w:hideMark/>
          </w:tcPr>
          <w:p w14:paraId="7977DB3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6,42,36,787.00 </w:t>
            </w:r>
          </w:p>
        </w:tc>
        <w:tc>
          <w:tcPr>
            <w:tcW w:w="347" w:type="pct"/>
            <w:tcBorders>
              <w:top w:val="nil"/>
              <w:left w:val="nil"/>
              <w:bottom w:val="single" w:sz="4" w:space="0" w:color="auto"/>
              <w:right w:val="single" w:sz="8" w:space="0" w:color="auto"/>
            </w:tcBorders>
            <w:shd w:val="clear" w:color="000000" w:fill="A6C9EC"/>
            <w:noWrap/>
            <w:vAlign w:val="bottom"/>
            <w:hideMark/>
          </w:tcPr>
          <w:p w14:paraId="062156F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5,94,59,528.00 </w:t>
            </w:r>
          </w:p>
        </w:tc>
        <w:tc>
          <w:tcPr>
            <w:tcW w:w="260" w:type="pct"/>
            <w:tcBorders>
              <w:top w:val="nil"/>
              <w:left w:val="nil"/>
              <w:bottom w:val="single" w:sz="4" w:space="0" w:color="auto"/>
              <w:right w:val="single" w:sz="4" w:space="0" w:color="auto"/>
            </w:tcBorders>
            <w:shd w:val="clear" w:color="000000" w:fill="A6C9EC"/>
            <w:noWrap/>
            <w:vAlign w:val="bottom"/>
            <w:hideMark/>
          </w:tcPr>
          <w:p w14:paraId="481161E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"Net Income"</w:t>
            </w:r>
          </w:p>
        </w:tc>
        <w:tc>
          <w:tcPr>
            <w:tcW w:w="451" w:type="pct"/>
            <w:vMerge/>
            <w:tcBorders>
              <w:top w:val="nil"/>
              <w:left w:val="single" w:sz="4" w:space="0" w:color="auto"/>
              <w:bottom w:val="single" w:sz="4" w:space="0" w:color="auto"/>
              <w:right w:val="single" w:sz="4" w:space="0" w:color="auto"/>
            </w:tcBorders>
            <w:vAlign w:val="center"/>
            <w:hideMark/>
          </w:tcPr>
          <w:p w14:paraId="5DE5822E"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48BFFF7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1,35,49,018.00 </w:t>
            </w:r>
          </w:p>
        </w:tc>
        <w:tc>
          <w:tcPr>
            <w:tcW w:w="347" w:type="pct"/>
            <w:tcBorders>
              <w:top w:val="nil"/>
              <w:left w:val="nil"/>
              <w:bottom w:val="single" w:sz="4" w:space="0" w:color="auto"/>
              <w:right w:val="single" w:sz="4" w:space="0" w:color="auto"/>
            </w:tcBorders>
            <w:shd w:val="clear" w:color="000000" w:fill="A6C9EC"/>
            <w:noWrap/>
            <w:vAlign w:val="bottom"/>
            <w:hideMark/>
          </w:tcPr>
          <w:p w14:paraId="08B77F0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1,29,92,022.00 </w:t>
            </w:r>
          </w:p>
        </w:tc>
        <w:tc>
          <w:tcPr>
            <w:tcW w:w="347" w:type="pct"/>
            <w:tcBorders>
              <w:top w:val="nil"/>
              <w:left w:val="nil"/>
              <w:bottom w:val="single" w:sz="4" w:space="0" w:color="auto"/>
              <w:right w:val="single" w:sz="4" w:space="0" w:color="auto"/>
            </w:tcBorders>
            <w:shd w:val="clear" w:color="000000" w:fill="A6C9EC"/>
            <w:noWrap/>
            <w:vAlign w:val="bottom"/>
            <w:hideMark/>
          </w:tcPr>
          <w:p w14:paraId="028FDA8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79,83,614.00 </w:t>
            </w:r>
          </w:p>
        </w:tc>
        <w:tc>
          <w:tcPr>
            <w:tcW w:w="347" w:type="pct"/>
            <w:tcBorders>
              <w:top w:val="nil"/>
              <w:left w:val="nil"/>
              <w:bottom w:val="single" w:sz="4" w:space="0" w:color="auto"/>
              <w:right w:val="single" w:sz="4" w:space="0" w:color="auto"/>
            </w:tcBorders>
            <w:shd w:val="clear" w:color="000000" w:fill="A6C9EC"/>
            <w:noWrap/>
            <w:vAlign w:val="bottom"/>
            <w:hideMark/>
          </w:tcPr>
          <w:p w14:paraId="63BF110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56,93,077.00 </w:t>
            </w:r>
          </w:p>
        </w:tc>
        <w:tc>
          <w:tcPr>
            <w:tcW w:w="347" w:type="pct"/>
            <w:tcBorders>
              <w:top w:val="nil"/>
              <w:left w:val="nil"/>
              <w:bottom w:val="single" w:sz="4" w:space="0" w:color="auto"/>
              <w:right w:val="single" w:sz="8" w:space="0" w:color="auto"/>
            </w:tcBorders>
            <w:shd w:val="clear" w:color="000000" w:fill="A6C9EC"/>
            <w:noWrap/>
            <w:vAlign w:val="bottom"/>
            <w:hideMark/>
          </w:tcPr>
          <w:p w14:paraId="33FC5AC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19,24,553.00 </w:t>
            </w:r>
          </w:p>
        </w:tc>
        <w:tc>
          <w:tcPr>
            <w:tcW w:w="39" w:type="pct"/>
            <w:vAlign w:val="center"/>
            <w:hideMark/>
          </w:tcPr>
          <w:p w14:paraId="7332BDEF"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24A50EA" w14:textId="77777777" w:rsidTr="00076D53">
        <w:trPr>
          <w:trHeight w:val="312"/>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22F63555"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"Current ratio"</w:t>
            </w:r>
          </w:p>
        </w:tc>
        <w:tc>
          <w:tcPr>
            <w:tcW w:w="473" w:type="pct"/>
            <w:vMerge/>
            <w:tcBorders>
              <w:top w:val="nil"/>
              <w:left w:val="single" w:sz="4" w:space="0" w:color="auto"/>
              <w:bottom w:val="single" w:sz="4" w:space="0" w:color="auto"/>
              <w:right w:val="single" w:sz="4" w:space="0" w:color="auto"/>
            </w:tcBorders>
            <w:vAlign w:val="center"/>
            <w:hideMark/>
          </w:tcPr>
          <w:p w14:paraId="5A68D0D3"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02200B6B"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1.46</w:t>
            </w:r>
          </w:p>
        </w:tc>
        <w:tc>
          <w:tcPr>
            <w:tcW w:w="347" w:type="pct"/>
            <w:tcBorders>
              <w:top w:val="nil"/>
              <w:left w:val="nil"/>
              <w:bottom w:val="single" w:sz="4" w:space="0" w:color="auto"/>
              <w:right w:val="single" w:sz="4" w:space="0" w:color="auto"/>
            </w:tcBorders>
            <w:shd w:val="clear" w:color="000000" w:fill="A6C9EC"/>
            <w:noWrap/>
            <w:vAlign w:val="bottom"/>
            <w:hideMark/>
          </w:tcPr>
          <w:p w14:paraId="2262B667"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1.39</w:t>
            </w:r>
          </w:p>
        </w:tc>
        <w:tc>
          <w:tcPr>
            <w:tcW w:w="347" w:type="pct"/>
            <w:tcBorders>
              <w:top w:val="nil"/>
              <w:left w:val="nil"/>
              <w:bottom w:val="single" w:sz="4" w:space="0" w:color="auto"/>
              <w:right w:val="single" w:sz="4" w:space="0" w:color="auto"/>
            </w:tcBorders>
            <w:shd w:val="clear" w:color="000000" w:fill="A6C9EC"/>
            <w:noWrap/>
            <w:vAlign w:val="bottom"/>
            <w:hideMark/>
          </w:tcPr>
          <w:p w14:paraId="3FFC5F8B"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1.30</w:t>
            </w:r>
          </w:p>
        </w:tc>
        <w:tc>
          <w:tcPr>
            <w:tcW w:w="347" w:type="pct"/>
            <w:tcBorders>
              <w:top w:val="nil"/>
              <w:left w:val="nil"/>
              <w:bottom w:val="single" w:sz="4" w:space="0" w:color="auto"/>
              <w:right w:val="single" w:sz="4" w:space="0" w:color="auto"/>
            </w:tcBorders>
            <w:shd w:val="clear" w:color="000000" w:fill="A6C9EC"/>
            <w:noWrap/>
            <w:vAlign w:val="bottom"/>
            <w:hideMark/>
          </w:tcPr>
          <w:p w14:paraId="4FEA24F9"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1.38</w:t>
            </w:r>
          </w:p>
        </w:tc>
        <w:tc>
          <w:tcPr>
            <w:tcW w:w="347" w:type="pct"/>
            <w:tcBorders>
              <w:top w:val="nil"/>
              <w:left w:val="nil"/>
              <w:bottom w:val="single" w:sz="4" w:space="0" w:color="auto"/>
              <w:right w:val="single" w:sz="8" w:space="0" w:color="auto"/>
            </w:tcBorders>
            <w:shd w:val="clear" w:color="000000" w:fill="A6C9EC"/>
            <w:noWrap/>
            <w:vAlign w:val="bottom"/>
            <w:hideMark/>
          </w:tcPr>
          <w:p w14:paraId="64993740"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1.41</w:t>
            </w:r>
          </w:p>
        </w:tc>
        <w:tc>
          <w:tcPr>
            <w:tcW w:w="260" w:type="pct"/>
            <w:tcBorders>
              <w:top w:val="nil"/>
              <w:left w:val="nil"/>
              <w:bottom w:val="single" w:sz="4" w:space="0" w:color="auto"/>
              <w:right w:val="single" w:sz="4" w:space="0" w:color="auto"/>
            </w:tcBorders>
            <w:shd w:val="clear" w:color="000000" w:fill="A6C9EC"/>
            <w:noWrap/>
            <w:vAlign w:val="bottom"/>
            <w:hideMark/>
          </w:tcPr>
          <w:p w14:paraId="64E98770"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"Dividend Payout"</w:t>
            </w:r>
          </w:p>
        </w:tc>
        <w:tc>
          <w:tcPr>
            <w:tcW w:w="451" w:type="pct"/>
            <w:vMerge/>
            <w:tcBorders>
              <w:top w:val="nil"/>
              <w:left w:val="single" w:sz="4" w:space="0" w:color="auto"/>
              <w:bottom w:val="single" w:sz="4" w:space="0" w:color="auto"/>
              <w:right w:val="single" w:sz="4" w:space="0" w:color="auto"/>
            </w:tcBorders>
            <w:vAlign w:val="center"/>
            <w:hideMark/>
          </w:tcPr>
          <w:p w14:paraId="6DFDB0D2"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38756006"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0.29</w:t>
            </w:r>
          </w:p>
        </w:tc>
        <w:tc>
          <w:tcPr>
            <w:tcW w:w="347" w:type="pct"/>
            <w:tcBorders>
              <w:top w:val="nil"/>
              <w:left w:val="nil"/>
              <w:bottom w:val="single" w:sz="4" w:space="0" w:color="auto"/>
              <w:right w:val="single" w:sz="4" w:space="0" w:color="auto"/>
            </w:tcBorders>
            <w:shd w:val="clear" w:color="000000" w:fill="A6C9EC"/>
            <w:noWrap/>
            <w:vAlign w:val="bottom"/>
            <w:hideMark/>
          </w:tcPr>
          <w:p w14:paraId="09F1AA36"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0.19</w:t>
            </w:r>
          </w:p>
        </w:tc>
        <w:tc>
          <w:tcPr>
            <w:tcW w:w="347" w:type="pct"/>
            <w:tcBorders>
              <w:top w:val="nil"/>
              <w:left w:val="nil"/>
              <w:bottom w:val="single" w:sz="4" w:space="0" w:color="auto"/>
              <w:right w:val="single" w:sz="4" w:space="0" w:color="auto"/>
            </w:tcBorders>
            <w:shd w:val="clear" w:color="000000" w:fill="A6C9EC"/>
            <w:noWrap/>
            <w:vAlign w:val="bottom"/>
            <w:hideMark/>
          </w:tcPr>
          <w:p w14:paraId="171B9FE7"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0.17</w:t>
            </w:r>
          </w:p>
        </w:tc>
        <w:tc>
          <w:tcPr>
            <w:tcW w:w="347" w:type="pct"/>
            <w:tcBorders>
              <w:top w:val="nil"/>
              <w:left w:val="nil"/>
              <w:bottom w:val="single" w:sz="4" w:space="0" w:color="auto"/>
              <w:right w:val="single" w:sz="4" w:space="0" w:color="auto"/>
            </w:tcBorders>
            <w:shd w:val="clear" w:color="000000" w:fill="A6C9EC"/>
            <w:noWrap/>
            <w:vAlign w:val="bottom"/>
            <w:hideMark/>
          </w:tcPr>
          <w:p w14:paraId="19D222EF"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0.21</w:t>
            </w:r>
          </w:p>
        </w:tc>
        <w:tc>
          <w:tcPr>
            <w:tcW w:w="347" w:type="pct"/>
            <w:tcBorders>
              <w:top w:val="nil"/>
              <w:left w:val="nil"/>
              <w:bottom w:val="single" w:sz="4" w:space="0" w:color="auto"/>
              <w:right w:val="single" w:sz="8" w:space="0" w:color="auto"/>
            </w:tcBorders>
            <w:shd w:val="clear" w:color="000000" w:fill="A6C9EC"/>
            <w:noWrap/>
            <w:vAlign w:val="bottom"/>
            <w:hideMark/>
          </w:tcPr>
          <w:p w14:paraId="2D92DF47"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0.46</w:t>
            </w:r>
          </w:p>
        </w:tc>
        <w:tc>
          <w:tcPr>
            <w:tcW w:w="39" w:type="pct"/>
            <w:vAlign w:val="center"/>
            <w:hideMark/>
          </w:tcPr>
          <w:p w14:paraId="768C5FF6"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AC47E2B"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780ECDE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73" w:type="pct"/>
            <w:tcBorders>
              <w:top w:val="nil"/>
              <w:left w:val="nil"/>
              <w:bottom w:val="single" w:sz="4" w:space="0" w:color="auto"/>
              <w:right w:val="single" w:sz="4" w:space="0" w:color="auto"/>
            </w:tcBorders>
            <w:shd w:val="clear" w:color="000000" w:fill="A6C9EC"/>
            <w:noWrap/>
            <w:vAlign w:val="bottom"/>
            <w:hideMark/>
          </w:tcPr>
          <w:p w14:paraId="6AFD761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18A89EE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17E6086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6EDDE9A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5259A46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8" w:space="0" w:color="auto"/>
            </w:tcBorders>
            <w:shd w:val="clear" w:color="000000" w:fill="A6C9EC"/>
            <w:noWrap/>
            <w:vAlign w:val="bottom"/>
            <w:hideMark/>
          </w:tcPr>
          <w:p w14:paraId="5403E8B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260" w:type="pct"/>
            <w:tcBorders>
              <w:top w:val="nil"/>
              <w:left w:val="nil"/>
              <w:bottom w:val="single" w:sz="4" w:space="0" w:color="auto"/>
              <w:right w:val="single" w:sz="4" w:space="0" w:color="auto"/>
            </w:tcBorders>
            <w:shd w:val="clear" w:color="000000" w:fill="A6C9EC"/>
            <w:noWrap/>
            <w:vAlign w:val="bottom"/>
            <w:hideMark/>
          </w:tcPr>
          <w:p w14:paraId="3502A4C5"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51" w:type="pct"/>
            <w:tcBorders>
              <w:top w:val="nil"/>
              <w:left w:val="nil"/>
              <w:bottom w:val="single" w:sz="4" w:space="0" w:color="auto"/>
              <w:right w:val="single" w:sz="4" w:space="0" w:color="auto"/>
            </w:tcBorders>
            <w:shd w:val="clear" w:color="000000" w:fill="A6C9EC"/>
            <w:noWrap/>
            <w:vAlign w:val="bottom"/>
            <w:hideMark/>
          </w:tcPr>
          <w:p w14:paraId="4177E49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2F88881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23D88B2E"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4560347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16CA4B8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8" w:space="0" w:color="auto"/>
            </w:tcBorders>
            <w:shd w:val="clear" w:color="000000" w:fill="A6C9EC"/>
            <w:noWrap/>
            <w:vAlign w:val="bottom"/>
            <w:hideMark/>
          </w:tcPr>
          <w:p w14:paraId="69C0ECC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9" w:type="pct"/>
            <w:vAlign w:val="center"/>
            <w:hideMark/>
          </w:tcPr>
          <w:p w14:paraId="2949AED2"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C6CB057" w14:textId="77777777" w:rsidTr="00076D53">
        <w:trPr>
          <w:trHeight w:val="312"/>
        </w:trPr>
        <w:tc>
          <w:tcPr>
            <w:tcW w:w="2514" w:type="pct"/>
            <w:gridSpan w:val="7"/>
            <w:tcBorders>
              <w:top w:val="single" w:sz="4" w:space="0" w:color="auto"/>
              <w:left w:val="single" w:sz="8" w:space="0" w:color="auto"/>
              <w:bottom w:val="single" w:sz="4" w:space="0" w:color="auto"/>
              <w:right w:val="single" w:sz="8" w:space="0" w:color="000000"/>
            </w:tcBorders>
            <w:shd w:val="clear" w:color="000000" w:fill="A6C9EC"/>
            <w:noWrap/>
            <w:vAlign w:val="bottom"/>
            <w:hideMark/>
          </w:tcPr>
          <w:p w14:paraId="2F28DCD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"Acid test ratio"</w:t>
            </w:r>
          </w:p>
        </w:tc>
        <w:tc>
          <w:tcPr>
            <w:tcW w:w="1406" w:type="pct"/>
            <w:gridSpan w:val="4"/>
            <w:tcBorders>
              <w:top w:val="single" w:sz="4" w:space="0" w:color="auto"/>
              <w:left w:val="nil"/>
              <w:bottom w:val="single" w:sz="4" w:space="0" w:color="auto"/>
              <w:right w:val="single" w:sz="4" w:space="0" w:color="auto"/>
            </w:tcBorders>
            <w:shd w:val="clear" w:color="000000" w:fill="A6C9EC"/>
            <w:noWrap/>
            <w:vAlign w:val="bottom"/>
            <w:hideMark/>
          </w:tcPr>
          <w:p w14:paraId="4DADC85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"PE Ratio"</w:t>
            </w:r>
          </w:p>
        </w:tc>
        <w:tc>
          <w:tcPr>
            <w:tcW w:w="347" w:type="pct"/>
            <w:tcBorders>
              <w:top w:val="nil"/>
              <w:left w:val="nil"/>
              <w:bottom w:val="single" w:sz="4" w:space="0" w:color="auto"/>
              <w:right w:val="single" w:sz="4" w:space="0" w:color="auto"/>
            </w:tcBorders>
            <w:shd w:val="clear" w:color="000000" w:fill="A6C9EC"/>
            <w:noWrap/>
            <w:vAlign w:val="bottom"/>
            <w:hideMark/>
          </w:tcPr>
          <w:p w14:paraId="1EEB0147"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389CD49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 </w:t>
            </w:r>
          </w:p>
        </w:tc>
        <w:tc>
          <w:tcPr>
            <w:tcW w:w="347" w:type="pct"/>
            <w:tcBorders>
              <w:top w:val="nil"/>
              <w:left w:val="nil"/>
              <w:bottom w:val="single" w:sz="4" w:space="0" w:color="auto"/>
              <w:right w:val="single" w:sz="8" w:space="0" w:color="auto"/>
            </w:tcBorders>
            <w:shd w:val="clear" w:color="000000" w:fill="A6C9EC"/>
            <w:noWrap/>
            <w:vAlign w:val="bottom"/>
            <w:hideMark/>
          </w:tcPr>
          <w:p w14:paraId="739374FF"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 </w:t>
            </w:r>
          </w:p>
        </w:tc>
        <w:tc>
          <w:tcPr>
            <w:tcW w:w="39" w:type="pct"/>
            <w:shd w:val="clear" w:color="000000" w:fill="A6C9EC"/>
            <w:vAlign w:val="center"/>
            <w:hideMark/>
          </w:tcPr>
          <w:p w14:paraId="7AFC4EEC"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0644CDC" w14:textId="77777777" w:rsidTr="00076D53">
        <w:trPr>
          <w:trHeight w:val="312"/>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30B5D625"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"Financial aspects"</w:t>
            </w:r>
          </w:p>
        </w:tc>
        <w:tc>
          <w:tcPr>
            <w:tcW w:w="473" w:type="pct"/>
            <w:tcBorders>
              <w:top w:val="nil"/>
              <w:left w:val="nil"/>
              <w:bottom w:val="single" w:sz="4" w:space="0" w:color="auto"/>
              <w:right w:val="single" w:sz="4" w:space="0" w:color="auto"/>
            </w:tcBorders>
            <w:shd w:val="clear" w:color="000000" w:fill="A6C9EC"/>
            <w:noWrap/>
            <w:vAlign w:val="bottom"/>
            <w:hideMark/>
          </w:tcPr>
          <w:p w14:paraId="4AE5096E"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"Formula"</w:t>
            </w:r>
          </w:p>
        </w:tc>
        <w:tc>
          <w:tcPr>
            <w:tcW w:w="347" w:type="pct"/>
            <w:tcBorders>
              <w:top w:val="nil"/>
              <w:left w:val="nil"/>
              <w:bottom w:val="single" w:sz="4" w:space="0" w:color="auto"/>
              <w:right w:val="single" w:sz="4" w:space="0" w:color="auto"/>
            </w:tcBorders>
            <w:shd w:val="clear" w:color="000000" w:fill="A6C9EC"/>
            <w:noWrap/>
            <w:vAlign w:val="bottom"/>
            <w:hideMark/>
          </w:tcPr>
          <w:p w14:paraId="4FA79F72"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2024</w:t>
            </w:r>
          </w:p>
        </w:tc>
        <w:tc>
          <w:tcPr>
            <w:tcW w:w="347" w:type="pct"/>
            <w:tcBorders>
              <w:top w:val="nil"/>
              <w:left w:val="nil"/>
              <w:bottom w:val="single" w:sz="4" w:space="0" w:color="auto"/>
              <w:right w:val="single" w:sz="4" w:space="0" w:color="auto"/>
            </w:tcBorders>
            <w:shd w:val="clear" w:color="000000" w:fill="A6C9EC"/>
            <w:noWrap/>
            <w:vAlign w:val="bottom"/>
            <w:hideMark/>
          </w:tcPr>
          <w:p w14:paraId="6C9CB42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2023</w:t>
            </w:r>
          </w:p>
        </w:tc>
        <w:tc>
          <w:tcPr>
            <w:tcW w:w="347" w:type="pct"/>
            <w:tcBorders>
              <w:top w:val="nil"/>
              <w:left w:val="nil"/>
              <w:bottom w:val="single" w:sz="4" w:space="0" w:color="auto"/>
              <w:right w:val="single" w:sz="4" w:space="0" w:color="auto"/>
            </w:tcBorders>
            <w:shd w:val="clear" w:color="000000" w:fill="A6C9EC"/>
            <w:noWrap/>
            <w:vAlign w:val="bottom"/>
            <w:hideMark/>
          </w:tcPr>
          <w:p w14:paraId="52B7160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2022</w:t>
            </w:r>
          </w:p>
        </w:tc>
        <w:tc>
          <w:tcPr>
            <w:tcW w:w="347" w:type="pct"/>
            <w:tcBorders>
              <w:top w:val="nil"/>
              <w:left w:val="nil"/>
              <w:bottom w:val="single" w:sz="4" w:space="0" w:color="auto"/>
              <w:right w:val="single" w:sz="4" w:space="0" w:color="auto"/>
            </w:tcBorders>
            <w:shd w:val="clear" w:color="000000" w:fill="A6C9EC"/>
            <w:noWrap/>
            <w:vAlign w:val="bottom"/>
            <w:hideMark/>
          </w:tcPr>
          <w:p w14:paraId="54D5D64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2021</w:t>
            </w:r>
          </w:p>
        </w:tc>
        <w:tc>
          <w:tcPr>
            <w:tcW w:w="347" w:type="pct"/>
            <w:tcBorders>
              <w:top w:val="nil"/>
              <w:left w:val="nil"/>
              <w:bottom w:val="single" w:sz="4" w:space="0" w:color="auto"/>
              <w:right w:val="single" w:sz="8" w:space="0" w:color="auto"/>
            </w:tcBorders>
            <w:shd w:val="clear" w:color="000000" w:fill="A6C9EC"/>
            <w:noWrap/>
            <w:vAlign w:val="bottom"/>
            <w:hideMark/>
          </w:tcPr>
          <w:p w14:paraId="2A8933D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2020</w:t>
            </w:r>
          </w:p>
        </w:tc>
        <w:tc>
          <w:tcPr>
            <w:tcW w:w="260" w:type="pct"/>
            <w:tcBorders>
              <w:top w:val="nil"/>
              <w:left w:val="nil"/>
              <w:bottom w:val="single" w:sz="4" w:space="0" w:color="auto"/>
              <w:right w:val="single" w:sz="4" w:space="0" w:color="auto"/>
            </w:tcBorders>
            <w:shd w:val="clear" w:color="000000" w:fill="A6C9EC"/>
            <w:noWrap/>
            <w:vAlign w:val="bottom"/>
            <w:hideMark/>
          </w:tcPr>
          <w:p w14:paraId="6C956EE1"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"Financial aspects"</w:t>
            </w:r>
          </w:p>
        </w:tc>
        <w:tc>
          <w:tcPr>
            <w:tcW w:w="451" w:type="pct"/>
            <w:tcBorders>
              <w:top w:val="nil"/>
              <w:left w:val="nil"/>
              <w:bottom w:val="single" w:sz="4" w:space="0" w:color="auto"/>
              <w:right w:val="single" w:sz="4" w:space="0" w:color="auto"/>
            </w:tcBorders>
            <w:shd w:val="clear" w:color="000000" w:fill="A6C9EC"/>
            <w:noWrap/>
            <w:vAlign w:val="bottom"/>
            <w:hideMark/>
          </w:tcPr>
          <w:p w14:paraId="3BCB900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"Formula"</w:t>
            </w:r>
          </w:p>
        </w:tc>
        <w:tc>
          <w:tcPr>
            <w:tcW w:w="347" w:type="pct"/>
            <w:tcBorders>
              <w:top w:val="nil"/>
              <w:left w:val="nil"/>
              <w:bottom w:val="single" w:sz="4" w:space="0" w:color="auto"/>
              <w:right w:val="single" w:sz="4" w:space="0" w:color="auto"/>
            </w:tcBorders>
            <w:shd w:val="clear" w:color="000000" w:fill="A6C9EC"/>
            <w:noWrap/>
            <w:vAlign w:val="bottom"/>
            <w:hideMark/>
          </w:tcPr>
          <w:p w14:paraId="0B61DBD4"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2024</w:t>
            </w:r>
          </w:p>
        </w:tc>
        <w:tc>
          <w:tcPr>
            <w:tcW w:w="347" w:type="pct"/>
            <w:tcBorders>
              <w:top w:val="nil"/>
              <w:left w:val="nil"/>
              <w:bottom w:val="single" w:sz="4" w:space="0" w:color="auto"/>
              <w:right w:val="single" w:sz="4" w:space="0" w:color="auto"/>
            </w:tcBorders>
            <w:shd w:val="clear" w:color="000000" w:fill="A6C9EC"/>
            <w:noWrap/>
            <w:vAlign w:val="bottom"/>
            <w:hideMark/>
          </w:tcPr>
          <w:p w14:paraId="443B01B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2023</w:t>
            </w:r>
          </w:p>
        </w:tc>
        <w:tc>
          <w:tcPr>
            <w:tcW w:w="347" w:type="pct"/>
            <w:tcBorders>
              <w:top w:val="nil"/>
              <w:left w:val="nil"/>
              <w:bottom w:val="single" w:sz="4" w:space="0" w:color="auto"/>
              <w:right w:val="single" w:sz="4" w:space="0" w:color="auto"/>
            </w:tcBorders>
            <w:shd w:val="clear" w:color="000000" w:fill="A6C9EC"/>
            <w:noWrap/>
            <w:vAlign w:val="bottom"/>
            <w:hideMark/>
          </w:tcPr>
          <w:p w14:paraId="26BDE868"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2022</w:t>
            </w:r>
          </w:p>
        </w:tc>
        <w:tc>
          <w:tcPr>
            <w:tcW w:w="347" w:type="pct"/>
            <w:tcBorders>
              <w:top w:val="nil"/>
              <w:left w:val="nil"/>
              <w:bottom w:val="single" w:sz="4" w:space="0" w:color="auto"/>
              <w:right w:val="single" w:sz="4" w:space="0" w:color="auto"/>
            </w:tcBorders>
            <w:shd w:val="clear" w:color="000000" w:fill="A6C9EC"/>
            <w:noWrap/>
            <w:vAlign w:val="bottom"/>
            <w:hideMark/>
          </w:tcPr>
          <w:p w14:paraId="5E899B3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2021</w:t>
            </w:r>
          </w:p>
        </w:tc>
        <w:tc>
          <w:tcPr>
            <w:tcW w:w="347" w:type="pct"/>
            <w:tcBorders>
              <w:top w:val="nil"/>
              <w:left w:val="nil"/>
              <w:bottom w:val="single" w:sz="4" w:space="0" w:color="auto"/>
              <w:right w:val="single" w:sz="8" w:space="0" w:color="auto"/>
            </w:tcBorders>
            <w:shd w:val="clear" w:color="000000" w:fill="A6C9EC"/>
            <w:noWrap/>
            <w:vAlign w:val="bottom"/>
            <w:hideMark/>
          </w:tcPr>
          <w:p w14:paraId="6014B172"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2020</w:t>
            </w:r>
          </w:p>
        </w:tc>
        <w:tc>
          <w:tcPr>
            <w:tcW w:w="39" w:type="pct"/>
            <w:vAlign w:val="center"/>
            <w:hideMark/>
          </w:tcPr>
          <w:p w14:paraId="14E85728"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474D14D"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12E557A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"Current </w:t>
            </w:r>
            <w:r w:rsidRPr="00C900C3">
              <w:rPr>
                <w:rFonts w:ascii="Arial" w:hAnsi="Arial" w:cs="Arial"/>
                <w:color w:val="000000"/>
                <w:lang w:val="en-IN"/>
              </w:rPr>
              <w:lastRenderedPageBreak/>
              <w:t>assets"</w:t>
            </w:r>
          </w:p>
        </w:tc>
        <w:tc>
          <w:tcPr>
            <w:tcW w:w="473" w:type="pct"/>
            <w:vMerge w:val="restart"/>
            <w:tcBorders>
              <w:top w:val="nil"/>
              <w:left w:val="single" w:sz="4" w:space="0" w:color="auto"/>
              <w:bottom w:val="single" w:sz="8" w:space="0" w:color="000000"/>
              <w:right w:val="single" w:sz="4" w:space="0" w:color="auto"/>
            </w:tcBorders>
            <w:shd w:val="clear" w:color="000000" w:fill="A6C9EC"/>
            <w:vAlign w:val="center"/>
            <w:hideMark/>
          </w:tcPr>
          <w:p w14:paraId="0360A9A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lastRenderedPageBreak/>
              <w:t>"(Curr</w:t>
            </w:r>
            <w:r w:rsidRPr="00C900C3">
              <w:rPr>
                <w:rFonts w:ascii="Arial" w:hAnsi="Arial" w:cs="Arial"/>
                <w:b/>
                <w:bCs/>
                <w:color w:val="000000"/>
                <w:lang w:val="en-IN"/>
              </w:rPr>
              <w:lastRenderedPageBreak/>
              <w:t xml:space="preserve">ent </w:t>
            </w:r>
            <w:proofErr w:type="gramStart"/>
            <w:r w:rsidRPr="00C900C3">
              <w:rPr>
                <w:rFonts w:ascii="Arial" w:hAnsi="Arial" w:cs="Arial"/>
                <w:b/>
                <w:bCs/>
                <w:color w:val="000000"/>
                <w:lang w:val="en-IN"/>
              </w:rPr>
              <w:t>assets</w:t>
            </w:r>
            <w:proofErr w:type="gramEnd"/>
            <w:r w:rsidRPr="00C900C3">
              <w:rPr>
                <w:rFonts w:ascii="Arial" w:hAnsi="Arial" w:cs="Arial"/>
                <w:b/>
                <w:bCs/>
                <w:color w:val="000000"/>
                <w:lang w:val="en-IN"/>
              </w:rPr>
              <w:t>-Inventories)/Current liabilities"</w:t>
            </w:r>
          </w:p>
        </w:tc>
        <w:tc>
          <w:tcPr>
            <w:tcW w:w="347" w:type="pct"/>
            <w:tcBorders>
              <w:top w:val="nil"/>
              <w:left w:val="nil"/>
              <w:bottom w:val="single" w:sz="4" w:space="0" w:color="auto"/>
              <w:right w:val="single" w:sz="4" w:space="0" w:color="auto"/>
            </w:tcBorders>
            <w:shd w:val="clear" w:color="000000" w:fill="A6C9EC"/>
            <w:noWrap/>
            <w:vAlign w:val="bottom"/>
            <w:hideMark/>
          </w:tcPr>
          <w:p w14:paraId="2E59AC3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11,</w:t>
            </w:r>
            <w:r w:rsidRPr="00C900C3">
              <w:rPr>
                <w:rFonts w:ascii="Arial" w:hAnsi="Arial" w:cs="Arial"/>
                <w:color w:val="000000"/>
                <w:lang w:val="en-IN"/>
              </w:rPr>
              <w:lastRenderedPageBreak/>
              <w:t xml:space="preserve">57,64,287.00 </w:t>
            </w:r>
          </w:p>
        </w:tc>
        <w:tc>
          <w:tcPr>
            <w:tcW w:w="347" w:type="pct"/>
            <w:tcBorders>
              <w:top w:val="nil"/>
              <w:left w:val="nil"/>
              <w:bottom w:val="single" w:sz="4" w:space="0" w:color="auto"/>
              <w:right w:val="single" w:sz="4" w:space="0" w:color="auto"/>
            </w:tcBorders>
            <w:shd w:val="clear" w:color="000000" w:fill="A6C9EC"/>
            <w:noWrap/>
            <w:vAlign w:val="bottom"/>
            <w:hideMark/>
          </w:tcPr>
          <w:p w14:paraId="41314C9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10,</w:t>
            </w:r>
            <w:r w:rsidRPr="00C900C3">
              <w:rPr>
                <w:rFonts w:ascii="Arial" w:hAnsi="Arial" w:cs="Arial"/>
                <w:color w:val="000000"/>
                <w:lang w:val="en-IN"/>
              </w:rPr>
              <w:lastRenderedPageBreak/>
              <w:t xml:space="preserve">17,24,717.00 </w:t>
            </w:r>
          </w:p>
        </w:tc>
        <w:tc>
          <w:tcPr>
            <w:tcW w:w="347" w:type="pct"/>
            <w:tcBorders>
              <w:top w:val="nil"/>
              <w:left w:val="nil"/>
              <w:bottom w:val="single" w:sz="4" w:space="0" w:color="auto"/>
              <w:right w:val="single" w:sz="4" w:space="0" w:color="auto"/>
            </w:tcBorders>
            <w:shd w:val="clear" w:color="000000" w:fill="A6C9EC"/>
            <w:noWrap/>
            <w:vAlign w:val="bottom"/>
            <w:hideMark/>
          </w:tcPr>
          <w:p w14:paraId="1B54320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9,6</w:t>
            </w:r>
            <w:r w:rsidRPr="00C900C3">
              <w:rPr>
                <w:rFonts w:ascii="Arial" w:hAnsi="Arial" w:cs="Arial"/>
                <w:color w:val="000000"/>
                <w:lang w:val="en-IN"/>
              </w:rPr>
              <w:lastRenderedPageBreak/>
              <w:t xml:space="preserve">3,89,273.00 </w:t>
            </w:r>
          </w:p>
        </w:tc>
        <w:tc>
          <w:tcPr>
            <w:tcW w:w="347" w:type="pct"/>
            <w:tcBorders>
              <w:top w:val="nil"/>
              <w:left w:val="nil"/>
              <w:bottom w:val="single" w:sz="4" w:space="0" w:color="auto"/>
              <w:right w:val="single" w:sz="4" w:space="0" w:color="auto"/>
            </w:tcBorders>
            <w:shd w:val="clear" w:color="000000" w:fill="A6C9EC"/>
            <w:noWrap/>
            <w:vAlign w:val="bottom"/>
            <w:hideMark/>
          </w:tcPr>
          <w:p w14:paraId="0810AD2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8,8</w:t>
            </w:r>
            <w:r w:rsidRPr="00C900C3">
              <w:rPr>
                <w:rFonts w:ascii="Arial" w:hAnsi="Arial" w:cs="Arial"/>
                <w:color w:val="000000"/>
                <w:lang w:val="en-IN"/>
              </w:rPr>
              <w:lastRenderedPageBreak/>
              <w:t xml:space="preserve">5,65,366.00 </w:t>
            </w:r>
          </w:p>
        </w:tc>
        <w:tc>
          <w:tcPr>
            <w:tcW w:w="347" w:type="pct"/>
            <w:tcBorders>
              <w:top w:val="nil"/>
              <w:left w:val="nil"/>
              <w:bottom w:val="single" w:sz="4" w:space="0" w:color="auto"/>
              <w:right w:val="single" w:sz="8" w:space="0" w:color="auto"/>
            </w:tcBorders>
            <w:shd w:val="clear" w:color="000000" w:fill="A6C9EC"/>
            <w:noWrap/>
            <w:vAlign w:val="bottom"/>
            <w:hideMark/>
          </w:tcPr>
          <w:p w14:paraId="02CEC2B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8,3</w:t>
            </w:r>
            <w:r w:rsidRPr="00C900C3">
              <w:rPr>
                <w:rFonts w:ascii="Arial" w:hAnsi="Arial" w:cs="Arial"/>
                <w:color w:val="000000"/>
                <w:lang w:val="en-IN"/>
              </w:rPr>
              <w:lastRenderedPageBreak/>
              <w:t xml:space="preserve">6,86,357.00 </w:t>
            </w:r>
          </w:p>
        </w:tc>
        <w:tc>
          <w:tcPr>
            <w:tcW w:w="260" w:type="pct"/>
            <w:tcBorders>
              <w:top w:val="nil"/>
              <w:left w:val="nil"/>
              <w:bottom w:val="single" w:sz="4" w:space="0" w:color="auto"/>
              <w:right w:val="single" w:sz="4" w:space="0" w:color="auto"/>
            </w:tcBorders>
            <w:shd w:val="clear" w:color="000000" w:fill="A6C9EC"/>
            <w:noWrap/>
            <w:vAlign w:val="bottom"/>
            <w:hideMark/>
          </w:tcPr>
          <w:p w14:paraId="5111171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"Market </w:t>
            </w:r>
            <w:r w:rsidRPr="00C900C3">
              <w:rPr>
                <w:rFonts w:ascii="Arial" w:hAnsi="Arial" w:cs="Arial"/>
                <w:color w:val="000000"/>
                <w:lang w:val="en-IN"/>
              </w:rPr>
              <w:lastRenderedPageBreak/>
              <w:t>Price of Share"</w:t>
            </w:r>
          </w:p>
        </w:tc>
        <w:tc>
          <w:tcPr>
            <w:tcW w:w="451" w:type="pct"/>
            <w:vMerge w:val="restart"/>
            <w:tcBorders>
              <w:top w:val="nil"/>
              <w:left w:val="single" w:sz="4" w:space="0" w:color="auto"/>
              <w:bottom w:val="single" w:sz="8" w:space="0" w:color="000000"/>
              <w:right w:val="single" w:sz="4" w:space="0" w:color="auto"/>
            </w:tcBorders>
            <w:shd w:val="clear" w:color="000000" w:fill="A6C9EC"/>
            <w:vAlign w:val="center"/>
            <w:hideMark/>
          </w:tcPr>
          <w:p w14:paraId="17AF85B5"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lastRenderedPageBreak/>
              <w:t>"(Mark</w:t>
            </w:r>
            <w:r w:rsidRPr="00C900C3">
              <w:rPr>
                <w:rFonts w:ascii="Arial" w:hAnsi="Arial" w:cs="Arial"/>
                <w:b/>
                <w:bCs/>
                <w:color w:val="000000"/>
                <w:lang w:val="en-IN"/>
              </w:rPr>
              <w:lastRenderedPageBreak/>
              <w:t>et price of share/EPS)"</w:t>
            </w:r>
          </w:p>
        </w:tc>
        <w:tc>
          <w:tcPr>
            <w:tcW w:w="347" w:type="pct"/>
            <w:tcBorders>
              <w:top w:val="nil"/>
              <w:left w:val="nil"/>
              <w:bottom w:val="single" w:sz="4" w:space="0" w:color="auto"/>
              <w:right w:val="single" w:sz="4" w:space="0" w:color="auto"/>
            </w:tcBorders>
            <w:shd w:val="clear" w:color="000000" w:fill="A6C9EC"/>
            <w:noWrap/>
            <w:vAlign w:val="bottom"/>
            <w:hideMark/>
          </w:tcPr>
          <w:p w14:paraId="43A92BA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60,</w:t>
            </w:r>
            <w:r w:rsidRPr="00C900C3">
              <w:rPr>
                <w:rFonts w:ascii="Arial" w:hAnsi="Arial" w:cs="Arial"/>
                <w:color w:val="000000"/>
                <w:lang w:val="en-IN"/>
              </w:rPr>
              <w:lastRenderedPageBreak/>
              <w:t xml:space="preserve">008.00 </w:t>
            </w:r>
          </w:p>
        </w:tc>
        <w:tc>
          <w:tcPr>
            <w:tcW w:w="347" w:type="pct"/>
            <w:tcBorders>
              <w:top w:val="nil"/>
              <w:left w:val="nil"/>
              <w:bottom w:val="single" w:sz="4" w:space="0" w:color="auto"/>
              <w:right w:val="single" w:sz="4" w:space="0" w:color="auto"/>
            </w:tcBorders>
            <w:shd w:val="clear" w:color="000000" w:fill="A6C9EC"/>
            <w:noWrap/>
            <w:vAlign w:val="bottom"/>
            <w:hideMark/>
          </w:tcPr>
          <w:p w14:paraId="4BFC504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69,</w:t>
            </w:r>
            <w:r w:rsidRPr="00C900C3">
              <w:rPr>
                <w:rFonts w:ascii="Arial" w:hAnsi="Arial" w:cs="Arial"/>
                <w:color w:val="000000"/>
                <w:lang w:val="en-IN"/>
              </w:rPr>
              <w:lastRenderedPageBreak/>
              <w:t xml:space="preserve">283.00 </w:t>
            </w:r>
          </w:p>
        </w:tc>
        <w:tc>
          <w:tcPr>
            <w:tcW w:w="347" w:type="pct"/>
            <w:tcBorders>
              <w:top w:val="nil"/>
              <w:left w:val="nil"/>
              <w:bottom w:val="single" w:sz="4" w:space="0" w:color="auto"/>
              <w:right w:val="single" w:sz="4" w:space="0" w:color="auto"/>
            </w:tcBorders>
            <w:shd w:val="clear" w:color="000000" w:fill="A6C9EC"/>
            <w:noWrap/>
            <w:vAlign w:val="bottom"/>
            <w:hideMark/>
          </w:tcPr>
          <w:p w14:paraId="29A1816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73,</w:t>
            </w:r>
            <w:r w:rsidRPr="00C900C3">
              <w:rPr>
                <w:rFonts w:ascii="Arial" w:hAnsi="Arial" w:cs="Arial"/>
                <w:color w:val="000000"/>
                <w:lang w:val="en-IN"/>
              </w:rPr>
              <w:lastRenderedPageBreak/>
              <w:t xml:space="preserve">316.00 </w:t>
            </w:r>
          </w:p>
        </w:tc>
        <w:tc>
          <w:tcPr>
            <w:tcW w:w="347" w:type="pct"/>
            <w:tcBorders>
              <w:top w:val="nil"/>
              <w:left w:val="nil"/>
              <w:bottom w:val="single" w:sz="4" w:space="0" w:color="auto"/>
              <w:right w:val="single" w:sz="4" w:space="0" w:color="auto"/>
            </w:tcBorders>
            <w:shd w:val="clear" w:color="000000" w:fill="A6C9EC"/>
            <w:noWrap/>
            <w:vAlign w:val="bottom"/>
            <w:hideMark/>
          </w:tcPr>
          <w:p w14:paraId="33ED0CD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99,</w:t>
            </w:r>
            <w:r w:rsidRPr="00C900C3">
              <w:rPr>
                <w:rFonts w:ascii="Arial" w:hAnsi="Arial" w:cs="Arial"/>
                <w:color w:val="000000"/>
                <w:lang w:val="en-IN"/>
              </w:rPr>
              <w:lastRenderedPageBreak/>
              <w:t xml:space="preserve">610.00 </w:t>
            </w:r>
          </w:p>
        </w:tc>
        <w:tc>
          <w:tcPr>
            <w:tcW w:w="347" w:type="pct"/>
            <w:tcBorders>
              <w:top w:val="nil"/>
              <w:left w:val="nil"/>
              <w:bottom w:val="single" w:sz="4" w:space="0" w:color="auto"/>
              <w:right w:val="single" w:sz="8" w:space="0" w:color="auto"/>
            </w:tcBorders>
            <w:shd w:val="clear" w:color="000000" w:fill="A6C9EC"/>
            <w:noWrap/>
            <w:vAlign w:val="bottom"/>
            <w:hideMark/>
          </w:tcPr>
          <w:p w14:paraId="2811E96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1,0</w:t>
            </w:r>
            <w:r w:rsidRPr="00C900C3">
              <w:rPr>
                <w:rFonts w:ascii="Arial" w:hAnsi="Arial" w:cs="Arial"/>
                <w:color w:val="000000"/>
                <w:lang w:val="en-IN"/>
              </w:rPr>
              <w:lastRenderedPageBreak/>
              <w:t xml:space="preserve">1,626.00 </w:t>
            </w:r>
          </w:p>
        </w:tc>
        <w:tc>
          <w:tcPr>
            <w:tcW w:w="39" w:type="pct"/>
            <w:vAlign w:val="center"/>
            <w:hideMark/>
          </w:tcPr>
          <w:p w14:paraId="5233B35D"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DBE8967"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308E3AA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Inventories"</w:t>
            </w:r>
          </w:p>
        </w:tc>
        <w:tc>
          <w:tcPr>
            <w:tcW w:w="473" w:type="pct"/>
            <w:vMerge/>
            <w:tcBorders>
              <w:top w:val="nil"/>
              <w:left w:val="single" w:sz="4" w:space="0" w:color="auto"/>
              <w:bottom w:val="single" w:sz="8" w:space="0" w:color="000000"/>
              <w:right w:val="single" w:sz="4" w:space="0" w:color="auto"/>
            </w:tcBorders>
            <w:vAlign w:val="center"/>
            <w:hideMark/>
          </w:tcPr>
          <w:p w14:paraId="5B6C3383"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6101208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1,97,91,007.00 </w:t>
            </w:r>
          </w:p>
        </w:tc>
        <w:tc>
          <w:tcPr>
            <w:tcW w:w="347" w:type="pct"/>
            <w:tcBorders>
              <w:top w:val="nil"/>
              <w:left w:val="nil"/>
              <w:bottom w:val="single" w:sz="4" w:space="0" w:color="auto"/>
              <w:right w:val="single" w:sz="4" w:space="0" w:color="auto"/>
            </w:tcBorders>
            <w:shd w:val="clear" w:color="000000" w:fill="A6C9EC"/>
            <w:noWrap/>
            <w:vAlign w:val="bottom"/>
            <w:hideMark/>
          </w:tcPr>
          <w:p w14:paraId="034A93A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1,74,00,346.00 </w:t>
            </w:r>
          </w:p>
        </w:tc>
        <w:tc>
          <w:tcPr>
            <w:tcW w:w="347" w:type="pct"/>
            <w:tcBorders>
              <w:top w:val="nil"/>
              <w:left w:val="nil"/>
              <w:bottom w:val="single" w:sz="4" w:space="0" w:color="auto"/>
              <w:right w:val="single" w:sz="4" w:space="0" w:color="auto"/>
            </w:tcBorders>
            <w:shd w:val="clear" w:color="000000" w:fill="A6C9EC"/>
            <w:noWrap/>
            <w:vAlign w:val="bottom"/>
            <w:hideMark/>
          </w:tcPr>
          <w:p w14:paraId="5F0EF34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1,42,91,216.00 </w:t>
            </w:r>
          </w:p>
        </w:tc>
        <w:tc>
          <w:tcPr>
            <w:tcW w:w="347" w:type="pct"/>
            <w:tcBorders>
              <w:top w:val="nil"/>
              <w:left w:val="nil"/>
              <w:bottom w:val="single" w:sz="4" w:space="0" w:color="auto"/>
              <w:right w:val="single" w:sz="4" w:space="0" w:color="auto"/>
            </w:tcBorders>
            <w:shd w:val="clear" w:color="000000" w:fill="A6C9EC"/>
            <w:noWrap/>
            <w:vAlign w:val="bottom"/>
            <w:hideMark/>
          </w:tcPr>
          <w:p w14:paraId="5B98294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1,16,45,641.00 </w:t>
            </w:r>
          </w:p>
        </w:tc>
        <w:tc>
          <w:tcPr>
            <w:tcW w:w="347" w:type="pct"/>
            <w:tcBorders>
              <w:top w:val="nil"/>
              <w:left w:val="nil"/>
              <w:bottom w:val="single" w:sz="4" w:space="0" w:color="auto"/>
              <w:right w:val="single" w:sz="8" w:space="0" w:color="auto"/>
            </w:tcBorders>
            <w:shd w:val="clear" w:color="000000" w:fill="A6C9EC"/>
            <w:noWrap/>
            <w:vAlign w:val="bottom"/>
            <w:hideMark/>
          </w:tcPr>
          <w:p w14:paraId="7773D5D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1,13,33,734.00 </w:t>
            </w:r>
          </w:p>
        </w:tc>
        <w:tc>
          <w:tcPr>
            <w:tcW w:w="260" w:type="pct"/>
            <w:tcBorders>
              <w:top w:val="nil"/>
              <w:left w:val="nil"/>
              <w:bottom w:val="single" w:sz="4" w:space="0" w:color="auto"/>
              <w:right w:val="single" w:sz="4" w:space="0" w:color="auto"/>
            </w:tcBorders>
            <w:shd w:val="clear" w:color="000000" w:fill="A6C9EC"/>
            <w:noWrap/>
            <w:vAlign w:val="bottom"/>
            <w:hideMark/>
          </w:tcPr>
          <w:p w14:paraId="31DF858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EPS"</w:t>
            </w:r>
          </w:p>
        </w:tc>
        <w:tc>
          <w:tcPr>
            <w:tcW w:w="451" w:type="pct"/>
            <w:vMerge/>
            <w:tcBorders>
              <w:top w:val="nil"/>
              <w:left w:val="single" w:sz="4" w:space="0" w:color="auto"/>
              <w:bottom w:val="single" w:sz="8" w:space="0" w:color="000000"/>
              <w:right w:val="single" w:sz="4" w:space="0" w:color="auto"/>
            </w:tcBorders>
            <w:vAlign w:val="center"/>
            <w:hideMark/>
          </w:tcPr>
          <w:p w14:paraId="67125F96"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46E9EBA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47,615.00 </w:t>
            </w:r>
          </w:p>
        </w:tc>
        <w:tc>
          <w:tcPr>
            <w:tcW w:w="347" w:type="pct"/>
            <w:tcBorders>
              <w:top w:val="nil"/>
              <w:left w:val="nil"/>
              <w:bottom w:val="single" w:sz="4" w:space="0" w:color="auto"/>
              <w:right w:val="single" w:sz="4" w:space="0" w:color="auto"/>
            </w:tcBorders>
            <w:shd w:val="clear" w:color="000000" w:fill="A6C9EC"/>
            <w:noWrap/>
            <w:vAlign w:val="bottom"/>
            <w:hideMark/>
          </w:tcPr>
          <w:p w14:paraId="1701A68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45,703.00 </w:t>
            </w:r>
          </w:p>
        </w:tc>
        <w:tc>
          <w:tcPr>
            <w:tcW w:w="347" w:type="pct"/>
            <w:tcBorders>
              <w:top w:val="nil"/>
              <w:left w:val="nil"/>
              <w:bottom w:val="single" w:sz="4" w:space="0" w:color="auto"/>
              <w:right w:val="single" w:sz="4" w:space="0" w:color="auto"/>
            </w:tcBorders>
            <w:shd w:val="clear" w:color="000000" w:fill="A6C9EC"/>
            <w:noWrap/>
            <w:vAlign w:val="bottom"/>
            <w:hideMark/>
          </w:tcPr>
          <w:p w14:paraId="355D77F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28,521.00 </w:t>
            </w:r>
          </w:p>
        </w:tc>
        <w:tc>
          <w:tcPr>
            <w:tcW w:w="347" w:type="pct"/>
            <w:tcBorders>
              <w:top w:val="nil"/>
              <w:left w:val="nil"/>
              <w:bottom w:val="single" w:sz="4" w:space="0" w:color="auto"/>
              <w:right w:val="single" w:sz="4" w:space="0" w:color="auto"/>
            </w:tcBorders>
            <w:shd w:val="clear" w:color="000000" w:fill="A6C9EC"/>
            <w:noWrap/>
            <w:vAlign w:val="bottom"/>
            <w:hideMark/>
          </w:tcPr>
          <w:p w14:paraId="5DD0BF35"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18,979.00 </w:t>
            </w:r>
          </w:p>
        </w:tc>
        <w:tc>
          <w:tcPr>
            <w:tcW w:w="347" w:type="pct"/>
            <w:tcBorders>
              <w:top w:val="nil"/>
              <w:left w:val="nil"/>
              <w:bottom w:val="single" w:sz="4" w:space="0" w:color="auto"/>
              <w:right w:val="single" w:sz="8" w:space="0" w:color="auto"/>
            </w:tcBorders>
            <w:shd w:val="clear" w:color="000000" w:fill="A6C9EC"/>
            <w:noWrap/>
            <w:vAlign w:val="bottom"/>
            <w:hideMark/>
          </w:tcPr>
          <w:p w14:paraId="2C444B1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5,454.00 </w:t>
            </w:r>
          </w:p>
        </w:tc>
        <w:tc>
          <w:tcPr>
            <w:tcW w:w="39" w:type="pct"/>
            <w:vAlign w:val="center"/>
            <w:hideMark/>
          </w:tcPr>
          <w:p w14:paraId="53018E57"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29BF09B" w14:textId="77777777" w:rsidTr="00076D53">
        <w:trPr>
          <w:trHeight w:val="324"/>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11AA208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"Difference"</w:t>
            </w:r>
          </w:p>
        </w:tc>
        <w:tc>
          <w:tcPr>
            <w:tcW w:w="473" w:type="pct"/>
            <w:vMerge/>
            <w:tcBorders>
              <w:top w:val="nil"/>
              <w:left w:val="single" w:sz="4" w:space="0" w:color="auto"/>
              <w:bottom w:val="single" w:sz="8" w:space="0" w:color="000000"/>
              <w:right w:val="single" w:sz="4" w:space="0" w:color="auto"/>
            </w:tcBorders>
            <w:vAlign w:val="center"/>
            <w:hideMark/>
          </w:tcPr>
          <w:p w14:paraId="46AF2C2B"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493E45E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9,59,73,280.00 </w:t>
            </w:r>
          </w:p>
        </w:tc>
        <w:tc>
          <w:tcPr>
            <w:tcW w:w="347" w:type="pct"/>
            <w:tcBorders>
              <w:top w:val="nil"/>
              <w:left w:val="nil"/>
              <w:bottom w:val="single" w:sz="4" w:space="0" w:color="auto"/>
              <w:right w:val="single" w:sz="4" w:space="0" w:color="auto"/>
            </w:tcBorders>
            <w:shd w:val="clear" w:color="000000" w:fill="A6C9EC"/>
            <w:noWrap/>
            <w:vAlign w:val="bottom"/>
            <w:hideMark/>
          </w:tcPr>
          <w:p w14:paraId="750BEE4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8,43,24,371.00 </w:t>
            </w:r>
          </w:p>
        </w:tc>
        <w:tc>
          <w:tcPr>
            <w:tcW w:w="347" w:type="pct"/>
            <w:tcBorders>
              <w:top w:val="nil"/>
              <w:left w:val="nil"/>
              <w:bottom w:val="single" w:sz="4" w:space="0" w:color="auto"/>
              <w:right w:val="single" w:sz="4" w:space="0" w:color="auto"/>
            </w:tcBorders>
            <w:shd w:val="clear" w:color="000000" w:fill="A6C9EC"/>
            <w:noWrap/>
            <w:vAlign w:val="bottom"/>
            <w:hideMark/>
          </w:tcPr>
          <w:p w14:paraId="65C016D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8,20,98,057.00 </w:t>
            </w:r>
          </w:p>
        </w:tc>
        <w:tc>
          <w:tcPr>
            <w:tcW w:w="347" w:type="pct"/>
            <w:tcBorders>
              <w:top w:val="nil"/>
              <w:left w:val="nil"/>
              <w:bottom w:val="single" w:sz="4" w:space="0" w:color="auto"/>
              <w:right w:val="single" w:sz="4" w:space="0" w:color="auto"/>
            </w:tcBorders>
            <w:shd w:val="clear" w:color="000000" w:fill="A6C9EC"/>
            <w:noWrap/>
            <w:vAlign w:val="bottom"/>
            <w:hideMark/>
          </w:tcPr>
          <w:p w14:paraId="15383CA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7,69,19,725.00 </w:t>
            </w:r>
          </w:p>
        </w:tc>
        <w:tc>
          <w:tcPr>
            <w:tcW w:w="347" w:type="pct"/>
            <w:tcBorders>
              <w:top w:val="nil"/>
              <w:left w:val="nil"/>
              <w:bottom w:val="single" w:sz="4" w:space="0" w:color="auto"/>
              <w:right w:val="single" w:sz="8" w:space="0" w:color="auto"/>
            </w:tcBorders>
            <w:shd w:val="clear" w:color="000000" w:fill="A6C9EC"/>
            <w:noWrap/>
            <w:vAlign w:val="bottom"/>
            <w:hideMark/>
          </w:tcPr>
          <w:p w14:paraId="297B754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7,23,52,623.00 </w:t>
            </w:r>
          </w:p>
        </w:tc>
        <w:tc>
          <w:tcPr>
            <w:tcW w:w="260" w:type="pct"/>
            <w:tcBorders>
              <w:top w:val="nil"/>
              <w:left w:val="nil"/>
              <w:bottom w:val="single" w:sz="8" w:space="0" w:color="auto"/>
              <w:right w:val="single" w:sz="4" w:space="0" w:color="auto"/>
            </w:tcBorders>
            <w:shd w:val="clear" w:color="000000" w:fill="A6C9EC"/>
            <w:noWrap/>
            <w:vAlign w:val="bottom"/>
            <w:hideMark/>
          </w:tcPr>
          <w:p w14:paraId="004F4837"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"PE Ratio"</w:t>
            </w:r>
          </w:p>
        </w:tc>
        <w:tc>
          <w:tcPr>
            <w:tcW w:w="451" w:type="pct"/>
            <w:vMerge/>
            <w:tcBorders>
              <w:top w:val="nil"/>
              <w:left w:val="single" w:sz="4" w:space="0" w:color="auto"/>
              <w:bottom w:val="single" w:sz="8" w:space="0" w:color="000000"/>
              <w:right w:val="single" w:sz="4" w:space="0" w:color="auto"/>
            </w:tcBorders>
            <w:vAlign w:val="center"/>
            <w:hideMark/>
          </w:tcPr>
          <w:p w14:paraId="7C921F86"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8" w:space="0" w:color="auto"/>
              <w:right w:val="single" w:sz="4" w:space="0" w:color="auto"/>
            </w:tcBorders>
            <w:shd w:val="clear" w:color="000000" w:fill="A6C9EC"/>
            <w:noWrap/>
            <w:vAlign w:val="bottom"/>
            <w:hideMark/>
          </w:tcPr>
          <w:p w14:paraId="0CD044B5"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1.26</w:t>
            </w:r>
          </w:p>
        </w:tc>
        <w:tc>
          <w:tcPr>
            <w:tcW w:w="347" w:type="pct"/>
            <w:tcBorders>
              <w:top w:val="nil"/>
              <w:left w:val="nil"/>
              <w:bottom w:val="single" w:sz="8" w:space="0" w:color="auto"/>
              <w:right w:val="single" w:sz="4" w:space="0" w:color="auto"/>
            </w:tcBorders>
            <w:shd w:val="clear" w:color="000000" w:fill="A6C9EC"/>
            <w:noWrap/>
            <w:vAlign w:val="bottom"/>
            <w:hideMark/>
          </w:tcPr>
          <w:p w14:paraId="2CE87A58"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1.52</w:t>
            </w:r>
          </w:p>
        </w:tc>
        <w:tc>
          <w:tcPr>
            <w:tcW w:w="347" w:type="pct"/>
            <w:tcBorders>
              <w:top w:val="nil"/>
              <w:left w:val="nil"/>
              <w:bottom w:val="single" w:sz="8" w:space="0" w:color="auto"/>
              <w:right w:val="single" w:sz="4" w:space="0" w:color="auto"/>
            </w:tcBorders>
            <w:shd w:val="clear" w:color="000000" w:fill="A6C9EC"/>
            <w:noWrap/>
            <w:vAlign w:val="bottom"/>
            <w:hideMark/>
          </w:tcPr>
          <w:p w14:paraId="6DAA4A59"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2.57</w:t>
            </w:r>
          </w:p>
        </w:tc>
        <w:tc>
          <w:tcPr>
            <w:tcW w:w="347" w:type="pct"/>
            <w:tcBorders>
              <w:top w:val="nil"/>
              <w:left w:val="nil"/>
              <w:bottom w:val="single" w:sz="8" w:space="0" w:color="auto"/>
              <w:right w:val="single" w:sz="4" w:space="0" w:color="auto"/>
            </w:tcBorders>
            <w:shd w:val="clear" w:color="000000" w:fill="A6C9EC"/>
            <w:noWrap/>
            <w:vAlign w:val="bottom"/>
            <w:hideMark/>
          </w:tcPr>
          <w:p w14:paraId="38F32401"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5.25</w:t>
            </w:r>
          </w:p>
        </w:tc>
        <w:tc>
          <w:tcPr>
            <w:tcW w:w="347" w:type="pct"/>
            <w:tcBorders>
              <w:top w:val="nil"/>
              <w:left w:val="nil"/>
              <w:bottom w:val="single" w:sz="8" w:space="0" w:color="auto"/>
              <w:right w:val="single" w:sz="8" w:space="0" w:color="auto"/>
            </w:tcBorders>
            <w:shd w:val="clear" w:color="000000" w:fill="A6C9EC"/>
            <w:noWrap/>
            <w:vAlign w:val="bottom"/>
            <w:hideMark/>
          </w:tcPr>
          <w:p w14:paraId="62B914F3"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18.63</w:t>
            </w:r>
          </w:p>
        </w:tc>
        <w:tc>
          <w:tcPr>
            <w:tcW w:w="39" w:type="pct"/>
            <w:vAlign w:val="center"/>
            <w:hideMark/>
          </w:tcPr>
          <w:p w14:paraId="71659F4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F24CBB0"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136A62B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Current Liabilities"</w:t>
            </w:r>
          </w:p>
        </w:tc>
        <w:tc>
          <w:tcPr>
            <w:tcW w:w="473" w:type="pct"/>
            <w:vMerge/>
            <w:tcBorders>
              <w:top w:val="nil"/>
              <w:left w:val="single" w:sz="4" w:space="0" w:color="auto"/>
              <w:bottom w:val="single" w:sz="8" w:space="0" w:color="000000"/>
              <w:right w:val="single" w:sz="4" w:space="0" w:color="auto"/>
            </w:tcBorders>
            <w:vAlign w:val="center"/>
            <w:hideMark/>
          </w:tcPr>
          <w:p w14:paraId="735A02B5"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5F26E01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7,95,09,643.00 </w:t>
            </w:r>
          </w:p>
        </w:tc>
        <w:tc>
          <w:tcPr>
            <w:tcW w:w="347" w:type="pct"/>
            <w:tcBorders>
              <w:top w:val="nil"/>
              <w:left w:val="nil"/>
              <w:bottom w:val="single" w:sz="4" w:space="0" w:color="auto"/>
              <w:right w:val="single" w:sz="4" w:space="0" w:color="auto"/>
            </w:tcBorders>
            <w:shd w:val="clear" w:color="000000" w:fill="A6C9EC"/>
            <w:noWrap/>
            <w:vAlign w:val="bottom"/>
            <w:hideMark/>
          </w:tcPr>
          <w:p w14:paraId="71701325"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7,33,62,103.00 </w:t>
            </w:r>
          </w:p>
        </w:tc>
        <w:tc>
          <w:tcPr>
            <w:tcW w:w="347" w:type="pct"/>
            <w:tcBorders>
              <w:top w:val="nil"/>
              <w:left w:val="nil"/>
              <w:bottom w:val="single" w:sz="4" w:space="0" w:color="auto"/>
              <w:right w:val="single" w:sz="4" w:space="0" w:color="auto"/>
            </w:tcBorders>
            <w:shd w:val="clear" w:color="000000" w:fill="A6C9EC"/>
            <w:noWrap/>
            <w:vAlign w:val="bottom"/>
            <w:hideMark/>
          </w:tcPr>
          <w:p w14:paraId="739B5A2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7,42,36,472.00 </w:t>
            </w:r>
          </w:p>
        </w:tc>
        <w:tc>
          <w:tcPr>
            <w:tcW w:w="347" w:type="pct"/>
            <w:tcBorders>
              <w:top w:val="nil"/>
              <w:left w:val="nil"/>
              <w:bottom w:val="single" w:sz="4" w:space="0" w:color="auto"/>
              <w:right w:val="single" w:sz="4" w:space="0" w:color="auto"/>
            </w:tcBorders>
            <w:shd w:val="clear" w:color="000000" w:fill="A6C9EC"/>
            <w:noWrap/>
            <w:vAlign w:val="bottom"/>
            <w:hideMark/>
          </w:tcPr>
          <w:p w14:paraId="29DDFFE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6,42,36,787.00 </w:t>
            </w:r>
          </w:p>
        </w:tc>
        <w:tc>
          <w:tcPr>
            <w:tcW w:w="347" w:type="pct"/>
            <w:tcBorders>
              <w:top w:val="nil"/>
              <w:left w:val="nil"/>
              <w:bottom w:val="single" w:sz="4" w:space="0" w:color="auto"/>
              <w:right w:val="single" w:sz="8" w:space="0" w:color="auto"/>
            </w:tcBorders>
            <w:shd w:val="clear" w:color="000000" w:fill="A6C9EC"/>
            <w:noWrap/>
            <w:vAlign w:val="bottom"/>
            <w:hideMark/>
          </w:tcPr>
          <w:p w14:paraId="44AF1F4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5,94,59,528.00 </w:t>
            </w:r>
          </w:p>
        </w:tc>
        <w:tc>
          <w:tcPr>
            <w:tcW w:w="260" w:type="pct"/>
            <w:tcBorders>
              <w:top w:val="nil"/>
              <w:left w:val="nil"/>
              <w:bottom w:val="nil"/>
              <w:right w:val="nil"/>
            </w:tcBorders>
            <w:shd w:val="clear" w:color="000000" w:fill="A6C9EC"/>
            <w:noWrap/>
            <w:vAlign w:val="bottom"/>
            <w:hideMark/>
          </w:tcPr>
          <w:p w14:paraId="0D4ECE6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51" w:type="pct"/>
            <w:tcBorders>
              <w:top w:val="nil"/>
              <w:left w:val="nil"/>
              <w:bottom w:val="nil"/>
              <w:right w:val="nil"/>
            </w:tcBorders>
            <w:shd w:val="clear" w:color="000000" w:fill="A6C9EC"/>
            <w:noWrap/>
            <w:vAlign w:val="bottom"/>
            <w:hideMark/>
          </w:tcPr>
          <w:p w14:paraId="23509AA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66491D8E"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1DFFAF3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74F1E0F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7E514E7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single" w:sz="8" w:space="0" w:color="auto"/>
            </w:tcBorders>
            <w:shd w:val="clear" w:color="000000" w:fill="A6C9EC"/>
            <w:noWrap/>
            <w:vAlign w:val="bottom"/>
            <w:hideMark/>
          </w:tcPr>
          <w:p w14:paraId="103BC4C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9" w:type="pct"/>
            <w:vAlign w:val="center"/>
            <w:hideMark/>
          </w:tcPr>
          <w:p w14:paraId="5FF9043F"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5AFF050" w14:textId="77777777" w:rsidTr="00076D53">
        <w:trPr>
          <w:trHeight w:val="324"/>
        </w:trPr>
        <w:tc>
          <w:tcPr>
            <w:tcW w:w="306" w:type="pct"/>
            <w:tcBorders>
              <w:top w:val="nil"/>
              <w:left w:val="single" w:sz="8" w:space="0" w:color="auto"/>
              <w:bottom w:val="single" w:sz="8" w:space="0" w:color="auto"/>
              <w:right w:val="single" w:sz="4" w:space="0" w:color="auto"/>
            </w:tcBorders>
            <w:shd w:val="clear" w:color="000000" w:fill="A6C9EC"/>
            <w:noWrap/>
            <w:vAlign w:val="bottom"/>
            <w:hideMark/>
          </w:tcPr>
          <w:p w14:paraId="71A700DE"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"Acid test ratio"</w:t>
            </w:r>
          </w:p>
        </w:tc>
        <w:tc>
          <w:tcPr>
            <w:tcW w:w="473" w:type="pct"/>
            <w:vMerge/>
            <w:tcBorders>
              <w:top w:val="nil"/>
              <w:left w:val="single" w:sz="4" w:space="0" w:color="auto"/>
              <w:bottom w:val="single" w:sz="8" w:space="0" w:color="000000"/>
              <w:right w:val="single" w:sz="4" w:space="0" w:color="auto"/>
            </w:tcBorders>
            <w:vAlign w:val="center"/>
            <w:hideMark/>
          </w:tcPr>
          <w:p w14:paraId="2ED92E13"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8" w:space="0" w:color="auto"/>
              <w:right w:val="single" w:sz="4" w:space="0" w:color="auto"/>
            </w:tcBorders>
            <w:shd w:val="clear" w:color="000000" w:fill="A6C9EC"/>
            <w:noWrap/>
            <w:vAlign w:val="bottom"/>
            <w:hideMark/>
          </w:tcPr>
          <w:p w14:paraId="5CC95841"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1.21</w:t>
            </w:r>
          </w:p>
        </w:tc>
        <w:tc>
          <w:tcPr>
            <w:tcW w:w="347" w:type="pct"/>
            <w:tcBorders>
              <w:top w:val="nil"/>
              <w:left w:val="nil"/>
              <w:bottom w:val="single" w:sz="8" w:space="0" w:color="auto"/>
              <w:right w:val="single" w:sz="4" w:space="0" w:color="auto"/>
            </w:tcBorders>
            <w:shd w:val="clear" w:color="000000" w:fill="A6C9EC"/>
            <w:noWrap/>
            <w:vAlign w:val="bottom"/>
            <w:hideMark/>
          </w:tcPr>
          <w:p w14:paraId="334BAF26"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1.15</w:t>
            </w:r>
          </w:p>
        </w:tc>
        <w:tc>
          <w:tcPr>
            <w:tcW w:w="347" w:type="pct"/>
            <w:tcBorders>
              <w:top w:val="nil"/>
              <w:left w:val="nil"/>
              <w:bottom w:val="single" w:sz="8" w:space="0" w:color="auto"/>
              <w:right w:val="single" w:sz="4" w:space="0" w:color="auto"/>
            </w:tcBorders>
            <w:shd w:val="clear" w:color="000000" w:fill="A6C9EC"/>
            <w:noWrap/>
            <w:vAlign w:val="bottom"/>
            <w:hideMark/>
          </w:tcPr>
          <w:p w14:paraId="798B101B"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1.11</w:t>
            </w:r>
          </w:p>
        </w:tc>
        <w:tc>
          <w:tcPr>
            <w:tcW w:w="347" w:type="pct"/>
            <w:tcBorders>
              <w:top w:val="nil"/>
              <w:left w:val="nil"/>
              <w:bottom w:val="single" w:sz="8" w:space="0" w:color="auto"/>
              <w:right w:val="single" w:sz="4" w:space="0" w:color="auto"/>
            </w:tcBorders>
            <w:shd w:val="clear" w:color="000000" w:fill="A6C9EC"/>
            <w:noWrap/>
            <w:vAlign w:val="bottom"/>
            <w:hideMark/>
          </w:tcPr>
          <w:p w14:paraId="66F5CAB3"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1.20</w:t>
            </w:r>
          </w:p>
        </w:tc>
        <w:tc>
          <w:tcPr>
            <w:tcW w:w="347" w:type="pct"/>
            <w:tcBorders>
              <w:top w:val="nil"/>
              <w:left w:val="nil"/>
              <w:bottom w:val="single" w:sz="8" w:space="0" w:color="auto"/>
              <w:right w:val="single" w:sz="8" w:space="0" w:color="auto"/>
            </w:tcBorders>
            <w:shd w:val="clear" w:color="000000" w:fill="A6C9EC"/>
            <w:noWrap/>
            <w:vAlign w:val="bottom"/>
            <w:hideMark/>
          </w:tcPr>
          <w:p w14:paraId="7E6E2EA2"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1.22</w:t>
            </w:r>
          </w:p>
        </w:tc>
        <w:tc>
          <w:tcPr>
            <w:tcW w:w="260" w:type="pct"/>
            <w:tcBorders>
              <w:top w:val="nil"/>
              <w:left w:val="nil"/>
              <w:bottom w:val="nil"/>
              <w:right w:val="nil"/>
            </w:tcBorders>
            <w:shd w:val="clear" w:color="000000" w:fill="A6C9EC"/>
            <w:noWrap/>
            <w:vAlign w:val="bottom"/>
            <w:hideMark/>
          </w:tcPr>
          <w:p w14:paraId="63FFF57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51" w:type="pct"/>
            <w:tcBorders>
              <w:top w:val="nil"/>
              <w:left w:val="nil"/>
              <w:bottom w:val="nil"/>
              <w:right w:val="nil"/>
            </w:tcBorders>
            <w:shd w:val="clear" w:color="000000" w:fill="A6C9EC"/>
            <w:noWrap/>
            <w:vAlign w:val="bottom"/>
            <w:hideMark/>
          </w:tcPr>
          <w:p w14:paraId="6D7980F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69558BA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11DB4C5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250BF10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56299FE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single" w:sz="8" w:space="0" w:color="auto"/>
            </w:tcBorders>
            <w:shd w:val="clear" w:color="000000" w:fill="A6C9EC"/>
            <w:noWrap/>
            <w:vAlign w:val="bottom"/>
            <w:hideMark/>
          </w:tcPr>
          <w:p w14:paraId="15E9753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9" w:type="pct"/>
            <w:vAlign w:val="center"/>
            <w:hideMark/>
          </w:tcPr>
          <w:p w14:paraId="3843375E"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614706C" w14:textId="77777777" w:rsidTr="00076D53">
        <w:trPr>
          <w:trHeight w:val="300"/>
        </w:trPr>
        <w:tc>
          <w:tcPr>
            <w:tcW w:w="306" w:type="pct"/>
            <w:tcBorders>
              <w:top w:val="nil"/>
              <w:left w:val="single" w:sz="8" w:space="0" w:color="auto"/>
              <w:bottom w:val="nil"/>
              <w:right w:val="nil"/>
            </w:tcBorders>
            <w:shd w:val="clear" w:color="000000" w:fill="A6C9EC"/>
            <w:noWrap/>
            <w:vAlign w:val="bottom"/>
            <w:hideMark/>
          </w:tcPr>
          <w:p w14:paraId="49A2D46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73" w:type="pct"/>
            <w:tcBorders>
              <w:top w:val="nil"/>
              <w:left w:val="nil"/>
              <w:bottom w:val="nil"/>
              <w:right w:val="nil"/>
            </w:tcBorders>
            <w:shd w:val="clear" w:color="000000" w:fill="A6C9EC"/>
            <w:noWrap/>
            <w:vAlign w:val="bottom"/>
            <w:hideMark/>
          </w:tcPr>
          <w:p w14:paraId="06BB34C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56E3B8F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793AAD7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5B1CDB95"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7D20D5FE"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single" w:sz="8" w:space="0" w:color="auto"/>
            </w:tcBorders>
            <w:shd w:val="clear" w:color="000000" w:fill="A6C9EC"/>
            <w:noWrap/>
            <w:vAlign w:val="bottom"/>
            <w:hideMark/>
          </w:tcPr>
          <w:p w14:paraId="6FBE5C9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260" w:type="pct"/>
            <w:tcBorders>
              <w:top w:val="nil"/>
              <w:left w:val="nil"/>
              <w:bottom w:val="nil"/>
              <w:right w:val="nil"/>
            </w:tcBorders>
            <w:shd w:val="clear" w:color="000000" w:fill="A6C9EC"/>
            <w:noWrap/>
            <w:vAlign w:val="bottom"/>
            <w:hideMark/>
          </w:tcPr>
          <w:p w14:paraId="74F22B1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51" w:type="pct"/>
            <w:tcBorders>
              <w:top w:val="nil"/>
              <w:left w:val="nil"/>
              <w:bottom w:val="nil"/>
              <w:right w:val="nil"/>
            </w:tcBorders>
            <w:shd w:val="clear" w:color="000000" w:fill="A6C9EC"/>
            <w:noWrap/>
            <w:vAlign w:val="bottom"/>
            <w:hideMark/>
          </w:tcPr>
          <w:p w14:paraId="096B503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74F23A5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0BB59B1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510C6A4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6456B96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single" w:sz="8" w:space="0" w:color="auto"/>
            </w:tcBorders>
            <w:shd w:val="clear" w:color="000000" w:fill="A6C9EC"/>
            <w:noWrap/>
            <w:vAlign w:val="bottom"/>
            <w:hideMark/>
          </w:tcPr>
          <w:p w14:paraId="6E129AE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9" w:type="pct"/>
            <w:vAlign w:val="center"/>
            <w:hideMark/>
          </w:tcPr>
          <w:p w14:paraId="5ACE4406"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E72DF72" w14:textId="77777777" w:rsidTr="00076D53">
        <w:trPr>
          <w:trHeight w:val="312"/>
        </w:trPr>
        <w:tc>
          <w:tcPr>
            <w:tcW w:w="306" w:type="pct"/>
            <w:tcBorders>
              <w:top w:val="nil"/>
              <w:left w:val="single" w:sz="8" w:space="0" w:color="auto"/>
              <w:bottom w:val="nil"/>
              <w:right w:val="nil"/>
            </w:tcBorders>
            <w:shd w:val="clear" w:color="000000" w:fill="A6C9EC"/>
            <w:noWrap/>
            <w:vAlign w:val="bottom"/>
            <w:hideMark/>
          </w:tcPr>
          <w:p w14:paraId="4929BBB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73" w:type="pct"/>
            <w:tcBorders>
              <w:top w:val="nil"/>
              <w:left w:val="nil"/>
              <w:bottom w:val="nil"/>
              <w:right w:val="nil"/>
            </w:tcBorders>
            <w:shd w:val="clear" w:color="000000" w:fill="A6C9EC"/>
            <w:noWrap/>
            <w:vAlign w:val="bottom"/>
            <w:hideMark/>
          </w:tcPr>
          <w:p w14:paraId="61127B0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1D075DF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3EACA81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00B87E2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40CB655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single" w:sz="8" w:space="0" w:color="auto"/>
            </w:tcBorders>
            <w:shd w:val="clear" w:color="000000" w:fill="A6C9EC"/>
            <w:noWrap/>
            <w:vAlign w:val="bottom"/>
            <w:hideMark/>
          </w:tcPr>
          <w:p w14:paraId="55FAD08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260" w:type="pct"/>
            <w:tcBorders>
              <w:top w:val="nil"/>
              <w:left w:val="nil"/>
              <w:bottom w:val="nil"/>
              <w:right w:val="nil"/>
            </w:tcBorders>
            <w:shd w:val="clear" w:color="000000" w:fill="A6C9EC"/>
            <w:noWrap/>
            <w:vAlign w:val="bottom"/>
            <w:hideMark/>
          </w:tcPr>
          <w:p w14:paraId="121DE8B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51" w:type="pct"/>
            <w:tcBorders>
              <w:top w:val="nil"/>
              <w:left w:val="nil"/>
              <w:bottom w:val="nil"/>
              <w:right w:val="nil"/>
            </w:tcBorders>
            <w:shd w:val="clear" w:color="000000" w:fill="A6C9EC"/>
            <w:noWrap/>
            <w:vAlign w:val="bottom"/>
            <w:hideMark/>
          </w:tcPr>
          <w:p w14:paraId="2076688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799438D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465656DE"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794F61B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nil"/>
            </w:tcBorders>
            <w:shd w:val="clear" w:color="000000" w:fill="A6C9EC"/>
            <w:noWrap/>
            <w:vAlign w:val="bottom"/>
            <w:hideMark/>
          </w:tcPr>
          <w:p w14:paraId="7565300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nil"/>
              <w:right w:val="single" w:sz="8" w:space="0" w:color="auto"/>
            </w:tcBorders>
            <w:shd w:val="clear" w:color="000000" w:fill="A6C9EC"/>
            <w:noWrap/>
            <w:vAlign w:val="bottom"/>
            <w:hideMark/>
          </w:tcPr>
          <w:p w14:paraId="45F0685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9" w:type="pct"/>
            <w:vAlign w:val="center"/>
            <w:hideMark/>
          </w:tcPr>
          <w:p w14:paraId="32E0A050"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5985E9AE" w14:textId="77777777" w:rsidTr="00076D53">
        <w:trPr>
          <w:trHeight w:val="312"/>
        </w:trPr>
        <w:tc>
          <w:tcPr>
            <w:tcW w:w="2514" w:type="pct"/>
            <w:gridSpan w:val="7"/>
            <w:tcBorders>
              <w:top w:val="single" w:sz="8" w:space="0" w:color="auto"/>
              <w:left w:val="single" w:sz="8" w:space="0" w:color="auto"/>
              <w:bottom w:val="single" w:sz="4" w:space="0" w:color="auto"/>
              <w:right w:val="single" w:sz="8" w:space="0" w:color="000000"/>
            </w:tcBorders>
            <w:shd w:val="clear" w:color="000000" w:fill="FFFFFF"/>
            <w:noWrap/>
            <w:vAlign w:val="bottom"/>
            <w:hideMark/>
          </w:tcPr>
          <w:p w14:paraId="47F31612"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"Efficiency ratio"</w:t>
            </w:r>
          </w:p>
        </w:tc>
        <w:tc>
          <w:tcPr>
            <w:tcW w:w="2447" w:type="pct"/>
            <w:gridSpan w:val="7"/>
            <w:tcBorders>
              <w:top w:val="single" w:sz="8" w:space="0" w:color="auto"/>
              <w:left w:val="nil"/>
              <w:bottom w:val="single" w:sz="4" w:space="0" w:color="auto"/>
              <w:right w:val="single" w:sz="8" w:space="0" w:color="000000"/>
            </w:tcBorders>
            <w:shd w:val="clear" w:color="000000" w:fill="FFFFFF"/>
            <w:noWrap/>
            <w:vAlign w:val="bottom"/>
            <w:hideMark/>
          </w:tcPr>
          <w:p w14:paraId="53A27B8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 Flow Ratios"</w:t>
            </w:r>
          </w:p>
        </w:tc>
        <w:tc>
          <w:tcPr>
            <w:tcW w:w="39" w:type="pct"/>
            <w:vAlign w:val="center"/>
            <w:hideMark/>
          </w:tcPr>
          <w:p w14:paraId="1B6A5685"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579C899" w14:textId="77777777" w:rsidTr="00076D53">
        <w:trPr>
          <w:trHeight w:val="312"/>
        </w:trPr>
        <w:tc>
          <w:tcPr>
            <w:tcW w:w="2514" w:type="pct"/>
            <w:gridSpan w:val="7"/>
            <w:tcBorders>
              <w:top w:val="single" w:sz="4" w:space="0" w:color="auto"/>
              <w:left w:val="single" w:sz="8" w:space="0" w:color="auto"/>
              <w:bottom w:val="single" w:sz="4" w:space="0" w:color="auto"/>
              <w:right w:val="single" w:sz="8" w:space="0" w:color="000000"/>
            </w:tcBorders>
            <w:shd w:val="clear" w:color="000000" w:fill="A6C9EC"/>
            <w:noWrap/>
            <w:vAlign w:val="bottom"/>
            <w:hideMark/>
          </w:tcPr>
          <w:p w14:paraId="0162AF5A"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"Receivables Turnover ratio"</w:t>
            </w:r>
          </w:p>
        </w:tc>
        <w:tc>
          <w:tcPr>
            <w:tcW w:w="2447" w:type="pct"/>
            <w:gridSpan w:val="7"/>
            <w:tcBorders>
              <w:top w:val="single" w:sz="4" w:space="0" w:color="auto"/>
              <w:left w:val="nil"/>
              <w:bottom w:val="single" w:sz="4" w:space="0" w:color="auto"/>
              <w:right w:val="single" w:sz="8" w:space="0" w:color="000000"/>
            </w:tcBorders>
            <w:shd w:val="clear" w:color="000000" w:fill="A6C9EC"/>
            <w:noWrap/>
            <w:vAlign w:val="bottom"/>
            <w:hideMark/>
          </w:tcPr>
          <w:p w14:paraId="41EDBBD4"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"Operating Cash Flow Ratio"</w:t>
            </w:r>
          </w:p>
        </w:tc>
        <w:tc>
          <w:tcPr>
            <w:tcW w:w="39" w:type="pct"/>
            <w:vAlign w:val="center"/>
            <w:hideMark/>
          </w:tcPr>
          <w:p w14:paraId="584B8D55"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D95251D" w14:textId="77777777" w:rsidTr="00076D53">
        <w:trPr>
          <w:trHeight w:val="312"/>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0C1183CE"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"Financial aspects"</w:t>
            </w:r>
          </w:p>
        </w:tc>
        <w:tc>
          <w:tcPr>
            <w:tcW w:w="473" w:type="pct"/>
            <w:tcBorders>
              <w:top w:val="nil"/>
              <w:left w:val="nil"/>
              <w:bottom w:val="single" w:sz="4" w:space="0" w:color="auto"/>
              <w:right w:val="single" w:sz="4" w:space="0" w:color="auto"/>
            </w:tcBorders>
            <w:shd w:val="clear" w:color="000000" w:fill="A6C9EC"/>
            <w:noWrap/>
            <w:vAlign w:val="bottom"/>
            <w:hideMark/>
          </w:tcPr>
          <w:p w14:paraId="16FA30B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"Formula"</w:t>
            </w:r>
          </w:p>
        </w:tc>
        <w:tc>
          <w:tcPr>
            <w:tcW w:w="347" w:type="pct"/>
            <w:tcBorders>
              <w:top w:val="nil"/>
              <w:left w:val="nil"/>
              <w:bottom w:val="single" w:sz="4" w:space="0" w:color="auto"/>
              <w:right w:val="single" w:sz="4" w:space="0" w:color="auto"/>
            </w:tcBorders>
            <w:shd w:val="clear" w:color="000000" w:fill="A6C9EC"/>
            <w:noWrap/>
            <w:vAlign w:val="bottom"/>
            <w:hideMark/>
          </w:tcPr>
          <w:p w14:paraId="172C46EF"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2024</w:t>
            </w:r>
          </w:p>
        </w:tc>
        <w:tc>
          <w:tcPr>
            <w:tcW w:w="347" w:type="pct"/>
            <w:tcBorders>
              <w:top w:val="nil"/>
              <w:left w:val="nil"/>
              <w:bottom w:val="single" w:sz="4" w:space="0" w:color="auto"/>
              <w:right w:val="single" w:sz="4" w:space="0" w:color="auto"/>
            </w:tcBorders>
            <w:shd w:val="clear" w:color="000000" w:fill="A6C9EC"/>
            <w:noWrap/>
            <w:vAlign w:val="bottom"/>
            <w:hideMark/>
          </w:tcPr>
          <w:p w14:paraId="18A9FFD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2023</w:t>
            </w:r>
          </w:p>
        </w:tc>
        <w:tc>
          <w:tcPr>
            <w:tcW w:w="347" w:type="pct"/>
            <w:tcBorders>
              <w:top w:val="nil"/>
              <w:left w:val="nil"/>
              <w:bottom w:val="single" w:sz="4" w:space="0" w:color="auto"/>
              <w:right w:val="single" w:sz="4" w:space="0" w:color="auto"/>
            </w:tcBorders>
            <w:shd w:val="clear" w:color="000000" w:fill="A6C9EC"/>
            <w:noWrap/>
            <w:vAlign w:val="bottom"/>
            <w:hideMark/>
          </w:tcPr>
          <w:p w14:paraId="4CC98E3C"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2022</w:t>
            </w:r>
          </w:p>
        </w:tc>
        <w:tc>
          <w:tcPr>
            <w:tcW w:w="347" w:type="pct"/>
            <w:tcBorders>
              <w:top w:val="nil"/>
              <w:left w:val="nil"/>
              <w:bottom w:val="single" w:sz="4" w:space="0" w:color="auto"/>
              <w:right w:val="single" w:sz="4" w:space="0" w:color="auto"/>
            </w:tcBorders>
            <w:shd w:val="clear" w:color="000000" w:fill="A6C9EC"/>
            <w:noWrap/>
            <w:vAlign w:val="bottom"/>
            <w:hideMark/>
          </w:tcPr>
          <w:p w14:paraId="6B62828A"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2021</w:t>
            </w:r>
          </w:p>
        </w:tc>
        <w:tc>
          <w:tcPr>
            <w:tcW w:w="347" w:type="pct"/>
            <w:tcBorders>
              <w:top w:val="nil"/>
              <w:left w:val="nil"/>
              <w:bottom w:val="single" w:sz="4" w:space="0" w:color="auto"/>
              <w:right w:val="single" w:sz="8" w:space="0" w:color="auto"/>
            </w:tcBorders>
            <w:shd w:val="clear" w:color="000000" w:fill="A6C9EC"/>
            <w:noWrap/>
            <w:vAlign w:val="bottom"/>
            <w:hideMark/>
          </w:tcPr>
          <w:p w14:paraId="3D36D3CE"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2020</w:t>
            </w:r>
          </w:p>
        </w:tc>
        <w:tc>
          <w:tcPr>
            <w:tcW w:w="260" w:type="pct"/>
            <w:tcBorders>
              <w:top w:val="nil"/>
              <w:left w:val="nil"/>
              <w:bottom w:val="single" w:sz="4" w:space="0" w:color="auto"/>
              <w:right w:val="single" w:sz="4" w:space="0" w:color="auto"/>
            </w:tcBorders>
            <w:shd w:val="clear" w:color="000000" w:fill="A6C9EC"/>
            <w:noWrap/>
            <w:vAlign w:val="bottom"/>
            <w:hideMark/>
          </w:tcPr>
          <w:p w14:paraId="7B68606C"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"Financial aspects"</w:t>
            </w:r>
          </w:p>
        </w:tc>
        <w:tc>
          <w:tcPr>
            <w:tcW w:w="451" w:type="pct"/>
            <w:tcBorders>
              <w:top w:val="nil"/>
              <w:left w:val="nil"/>
              <w:bottom w:val="single" w:sz="4" w:space="0" w:color="auto"/>
              <w:right w:val="single" w:sz="4" w:space="0" w:color="auto"/>
            </w:tcBorders>
            <w:shd w:val="clear" w:color="000000" w:fill="A6C9EC"/>
            <w:noWrap/>
            <w:vAlign w:val="bottom"/>
            <w:hideMark/>
          </w:tcPr>
          <w:p w14:paraId="6E48003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"Formula"</w:t>
            </w:r>
          </w:p>
        </w:tc>
        <w:tc>
          <w:tcPr>
            <w:tcW w:w="347" w:type="pct"/>
            <w:tcBorders>
              <w:top w:val="nil"/>
              <w:left w:val="nil"/>
              <w:bottom w:val="single" w:sz="4" w:space="0" w:color="auto"/>
              <w:right w:val="single" w:sz="4" w:space="0" w:color="auto"/>
            </w:tcBorders>
            <w:shd w:val="clear" w:color="000000" w:fill="A6C9EC"/>
            <w:noWrap/>
            <w:vAlign w:val="bottom"/>
            <w:hideMark/>
          </w:tcPr>
          <w:p w14:paraId="5B3D879C"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2024</w:t>
            </w:r>
          </w:p>
        </w:tc>
        <w:tc>
          <w:tcPr>
            <w:tcW w:w="347" w:type="pct"/>
            <w:tcBorders>
              <w:top w:val="nil"/>
              <w:left w:val="nil"/>
              <w:bottom w:val="single" w:sz="4" w:space="0" w:color="auto"/>
              <w:right w:val="single" w:sz="4" w:space="0" w:color="auto"/>
            </w:tcBorders>
            <w:shd w:val="clear" w:color="000000" w:fill="A6C9EC"/>
            <w:noWrap/>
            <w:vAlign w:val="bottom"/>
            <w:hideMark/>
          </w:tcPr>
          <w:p w14:paraId="62886414"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2023</w:t>
            </w:r>
          </w:p>
        </w:tc>
        <w:tc>
          <w:tcPr>
            <w:tcW w:w="347" w:type="pct"/>
            <w:tcBorders>
              <w:top w:val="nil"/>
              <w:left w:val="nil"/>
              <w:bottom w:val="single" w:sz="4" w:space="0" w:color="auto"/>
              <w:right w:val="single" w:sz="4" w:space="0" w:color="auto"/>
            </w:tcBorders>
            <w:shd w:val="clear" w:color="000000" w:fill="A6C9EC"/>
            <w:noWrap/>
            <w:vAlign w:val="bottom"/>
            <w:hideMark/>
          </w:tcPr>
          <w:p w14:paraId="25744F8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2022</w:t>
            </w:r>
          </w:p>
        </w:tc>
        <w:tc>
          <w:tcPr>
            <w:tcW w:w="347" w:type="pct"/>
            <w:tcBorders>
              <w:top w:val="nil"/>
              <w:left w:val="nil"/>
              <w:bottom w:val="single" w:sz="4" w:space="0" w:color="auto"/>
              <w:right w:val="single" w:sz="4" w:space="0" w:color="auto"/>
            </w:tcBorders>
            <w:shd w:val="clear" w:color="000000" w:fill="A6C9EC"/>
            <w:noWrap/>
            <w:vAlign w:val="bottom"/>
            <w:hideMark/>
          </w:tcPr>
          <w:p w14:paraId="7A1A9B1E"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2021</w:t>
            </w:r>
          </w:p>
        </w:tc>
        <w:tc>
          <w:tcPr>
            <w:tcW w:w="347" w:type="pct"/>
            <w:tcBorders>
              <w:top w:val="nil"/>
              <w:left w:val="nil"/>
              <w:bottom w:val="single" w:sz="4" w:space="0" w:color="auto"/>
              <w:right w:val="single" w:sz="8" w:space="0" w:color="auto"/>
            </w:tcBorders>
            <w:shd w:val="clear" w:color="000000" w:fill="A6C9EC"/>
            <w:noWrap/>
            <w:vAlign w:val="bottom"/>
            <w:hideMark/>
          </w:tcPr>
          <w:p w14:paraId="69BDC1E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2020</w:t>
            </w:r>
          </w:p>
        </w:tc>
        <w:tc>
          <w:tcPr>
            <w:tcW w:w="39" w:type="pct"/>
            <w:vAlign w:val="center"/>
            <w:hideMark/>
          </w:tcPr>
          <w:p w14:paraId="2FC40233"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FD415B0"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2DBD810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"Sales"</w:t>
            </w:r>
          </w:p>
        </w:tc>
        <w:tc>
          <w:tcPr>
            <w:tcW w:w="473" w:type="pct"/>
            <w:vMerge w:val="restart"/>
            <w:tcBorders>
              <w:top w:val="nil"/>
              <w:left w:val="single" w:sz="4" w:space="0" w:color="auto"/>
              <w:bottom w:val="single" w:sz="4" w:space="0" w:color="auto"/>
              <w:right w:val="single" w:sz="4" w:space="0" w:color="auto"/>
            </w:tcBorders>
            <w:shd w:val="clear" w:color="000000" w:fill="A6C9EC"/>
            <w:vAlign w:val="center"/>
            <w:hideMark/>
          </w:tcPr>
          <w:p w14:paraId="5A0CE6C7"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"(Sales/Account Receivables)"</w:t>
            </w:r>
          </w:p>
        </w:tc>
        <w:tc>
          <w:tcPr>
            <w:tcW w:w="347" w:type="pct"/>
            <w:tcBorders>
              <w:top w:val="nil"/>
              <w:left w:val="nil"/>
              <w:bottom w:val="single" w:sz="4" w:space="0" w:color="auto"/>
              <w:right w:val="single" w:sz="4" w:space="0" w:color="auto"/>
            </w:tcBorders>
            <w:shd w:val="clear" w:color="000000" w:fill="A6C9EC"/>
            <w:noWrap/>
            <w:vAlign w:val="bottom"/>
            <w:hideMark/>
          </w:tcPr>
          <w:p w14:paraId="3BFE415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17,52,31,153.00 </w:t>
            </w:r>
          </w:p>
        </w:tc>
        <w:tc>
          <w:tcPr>
            <w:tcW w:w="347" w:type="pct"/>
            <w:tcBorders>
              <w:top w:val="nil"/>
              <w:left w:val="nil"/>
              <w:bottom w:val="single" w:sz="4" w:space="0" w:color="auto"/>
              <w:right w:val="single" w:sz="4" w:space="0" w:color="auto"/>
            </w:tcBorders>
            <w:shd w:val="clear" w:color="000000" w:fill="A6C9EC"/>
            <w:noWrap/>
            <w:vAlign w:val="bottom"/>
            <w:hideMark/>
          </w:tcPr>
          <w:p w14:paraId="241CEF9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16,26,63,579.00 </w:t>
            </w:r>
          </w:p>
        </w:tc>
        <w:tc>
          <w:tcPr>
            <w:tcW w:w="347" w:type="pct"/>
            <w:tcBorders>
              <w:top w:val="nil"/>
              <w:left w:val="nil"/>
              <w:bottom w:val="single" w:sz="4" w:space="0" w:color="auto"/>
              <w:right w:val="single" w:sz="4" w:space="0" w:color="auto"/>
            </w:tcBorders>
            <w:shd w:val="clear" w:color="000000" w:fill="A6C9EC"/>
            <w:noWrap/>
            <w:vAlign w:val="bottom"/>
            <w:hideMark/>
          </w:tcPr>
          <w:p w14:paraId="0521011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14,25,27,535.00 </w:t>
            </w:r>
          </w:p>
        </w:tc>
        <w:tc>
          <w:tcPr>
            <w:tcW w:w="347" w:type="pct"/>
            <w:tcBorders>
              <w:top w:val="nil"/>
              <w:left w:val="nil"/>
              <w:bottom w:val="single" w:sz="4" w:space="0" w:color="auto"/>
              <w:right w:val="single" w:sz="4" w:space="0" w:color="auto"/>
            </w:tcBorders>
            <w:shd w:val="clear" w:color="000000" w:fill="A6C9EC"/>
            <w:noWrap/>
            <w:vAlign w:val="bottom"/>
            <w:hideMark/>
          </w:tcPr>
          <w:p w14:paraId="5E3301B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11,76,10,626.00 </w:t>
            </w:r>
          </w:p>
        </w:tc>
        <w:tc>
          <w:tcPr>
            <w:tcW w:w="347" w:type="pct"/>
            <w:tcBorders>
              <w:top w:val="nil"/>
              <w:left w:val="nil"/>
              <w:bottom w:val="single" w:sz="4" w:space="0" w:color="auto"/>
              <w:right w:val="single" w:sz="8" w:space="0" w:color="auto"/>
            </w:tcBorders>
            <w:shd w:val="clear" w:color="000000" w:fill="A6C9EC"/>
            <w:noWrap/>
            <w:vAlign w:val="bottom"/>
            <w:hideMark/>
          </w:tcPr>
          <w:p w14:paraId="65D635E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10,39,97,601.00 </w:t>
            </w:r>
          </w:p>
        </w:tc>
        <w:tc>
          <w:tcPr>
            <w:tcW w:w="260" w:type="pct"/>
            <w:tcBorders>
              <w:top w:val="nil"/>
              <w:left w:val="nil"/>
              <w:bottom w:val="single" w:sz="4" w:space="0" w:color="auto"/>
              <w:right w:val="single" w:sz="4" w:space="0" w:color="auto"/>
            </w:tcBorders>
            <w:shd w:val="clear" w:color="000000" w:fill="A6C9EC"/>
            <w:noWrap/>
            <w:vAlign w:val="bottom"/>
            <w:hideMark/>
          </w:tcPr>
          <w:p w14:paraId="65DDD57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"Operating Cash Flow"</w:t>
            </w:r>
          </w:p>
        </w:tc>
        <w:tc>
          <w:tcPr>
            <w:tcW w:w="451" w:type="pct"/>
            <w:vMerge w:val="restart"/>
            <w:tcBorders>
              <w:top w:val="nil"/>
              <w:left w:val="single" w:sz="4" w:space="0" w:color="auto"/>
              <w:bottom w:val="single" w:sz="4" w:space="0" w:color="auto"/>
              <w:right w:val="single" w:sz="4" w:space="0" w:color="auto"/>
            </w:tcBorders>
            <w:shd w:val="clear" w:color="000000" w:fill="A6C9EC"/>
            <w:vAlign w:val="center"/>
            <w:hideMark/>
          </w:tcPr>
          <w:p w14:paraId="0A546466"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"(Operating Cash Flow/Current Lia</w:t>
            </w:r>
            <w:r w:rsidRPr="00C900C3">
              <w:rPr>
                <w:rFonts w:ascii="Arial" w:hAnsi="Arial" w:cs="Arial"/>
                <w:b/>
                <w:bCs/>
                <w:color w:val="000000"/>
                <w:lang w:val="en-IN"/>
              </w:rPr>
              <w:lastRenderedPageBreak/>
              <w:t>bilities)"</w:t>
            </w:r>
          </w:p>
        </w:tc>
        <w:tc>
          <w:tcPr>
            <w:tcW w:w="347" w:type="pct"/>
            <w:tcBorders>
              <w:top w:val="nil"/>
              <w:left w:val="nil"/>
              <w:bottom w:val="single" w:sz="4" w:space="0" w:color="auto"/>
              <w:right w:val="single" w:sz="4" w:space="0" w:color="auto"/>
            </w:tcBorders>
            <w:shd w:val="clear" w:color="000000" w:fill="A6C9EC"/>
            <w:noWrap/>
            <w:vAlign w:val="bottom"/>
            <w:hideMark/>
          </w:tcPr>
          <w:p w14:paraId="629C48D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56,61,641.00 </w:t>
            </w:r>
          </w:p>
        </w:tc>
        <w:tc>
          <w:tcPr>
            <w:tcW w:w="347" w:type="pct"/>
            <w:tcBorders>
              <w:top w:val="nil"/>
              <w:left w:val="nil"/>
              <w:bottom w:val="single" w:sz="4" w:space="0" w:color="auto"/>
              <w:right w:val="single" w:sz="4" w:space="0" w:color="auto"/>
            </w:tcBorders>
            <w:shd w:val="clear" w:color="000000" w:fill="A6C9EC"/>
            <w:noWrap/>
            <w:vAlign w:val="bottom"/>
            <w:hideMark/>
          </w:tcPr>
          <w:p w14:paraId="20A2306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25,18,760.00 </w:t>
            </w:r>
          </w:p>
        </w:tc>
        <w:tc>
          <w:tcPr>
            <w:tcW w:w="347" w:type="pct"/>
            <w:tcBorders>
              <w:top w:val="nil"/>
              <w:left w:val="nil"/>
              <w:bottom w:val="single" w:sz="4" w:space="0" w:color="auto"/>
              <w:right w:val="single" w:sz="4" w:space="0" w:color="auto"/>
            </w:tcBorders>
            <w:shd w:val="clear" w:color="000000" w:fill="A6C9EC"/>
            <w:noWrap/>
            <w:vAlign w:val="bottom"/>
            <w:hideMark/>
          </w:tcPr>
          <w:p w14:paraId="092794E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1,06,27,311.00 </w:t>
            </w:r>
          </w:p>
        </w:tc>
        <w:tc>
          <w:tcPr>
            <w:tcW w:w="347" w:type="pct"/>
            <w:tcBorders>
              <w:top w:val="nil"/>
              <w:left w:val="nil"/>
              <w:bottom w:val="single" w:sz="4" w:space="0" w:color="auto"/>
              <w:right w:val="single" w:sz="4" w:space="0" w:color="auto"/>
            </w:tcBorders>
            <w:shd w:val="clear" w:color="000000" w:fill="A6C9EC"/>
            <w:noWrap/>
            <w:vAlign w:val="bottom"/>
            <w:hideMark/>
          </w:tcPr>
          <w:p w14:paraId="4E88C95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11,76,416.00 </w:t>
            </w:r>
          </w:p>
        </w:tc>
        <w:tc>
          <w:tcPr>
            <w:tcW w:w="347" w:type="pct"/>
            <w:tcBorders>
              <w:top w:val="nil"/>
              <w:left w:val="nil"/>
              <w:bottom w:val="single" w:sz="4" w:space="0" w:color="auto"/>
              <w:right w:val="single" w:sz="8" w:space="0" w:color="auto"/>
            </w:tcBorders>
            <w:shd w:val="clear" w:color="000000" w:fill="A6C9EC"/>
            <w:noWrap/>
            <w:vAlign w:val="bottom"/>
            <w:hideMark/>
          </w:tcPr>
          <w:p w14:paraId="70A21EB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4,09,807.00 </w:t>
            </w:r>
          </w:p>
        </w:tc>
        <w:tc>
          <w:tcPr>
            <w:tcW w:w="39" w:type="pct"/>
            <w:vAlign w:val="center"/>
            <w:hideMark/>
          </w:tcPr>
          <w:p w14:paraId="1681778D"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8C39C7F"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06510D5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Accounts Rece</w:t>
            </w:r>
            <w:r w:rsidRPr="00C900C3">
              <w:rPr>
                <w:rFonts w:ascii="Arial" w:hAnsi="Arial" w:cs="Arial"/>
                <w:color w:val="000000"/>
                <w:lang w:val="en-IN"/>
              </w:rPr>
              <w:lastRenderedPageBreak/>
              <w:t>ivable"</w:t>
            </w:r>
          </w:p>
        </w:tc>
        <w:tc>
          <w:tcPr>
            <w:tcW w:w="473" w:type="pct"/>
            <w:vMerge/>
            <w:tcBorders>
              <w:top w:val="nil"/>
              <w:left w:val="single" w:sz="4" w:space="0" w:color="auto"/>
              <w:bottom w:val="single" w:sz="4" w:space="0" w:color="auto"/>
              <w:right w:val="single" w:sz="4" w:space="0" w:color="auto"/>
            </w:tcBorders>
            <w:vAlign w:val="center"/>
            <w:hideMark/>
          </w:tcPr>
          <w:p w14:paraId="6E7A1ED1"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5DFD320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59,08,07</w:t>
            </w:r>
            <w:r w:rsidRPr="00C900C3">
              <w:rPr>
                <w:rFonts w:ascii="Arial" w:hAnsi="Arial" w:cs="Arial"/>
                <w:color w:val="000000"/>
                <w:lang w:val="en-IN"/>
              </w:rPr>
              <w:lastRenderedPageBreak/>
              <w:t xml:space="preserve">9.00 </w:t>
            </w:r>
          </w:p>
        </w:tc>
        <w:tc>
          <w:tcPr>
            <w:tcW w:w="347" w:type="pct"/>
            <w:tcBorders>
              <w:top w:val="nil"/>
              <w:left w:val="nil"/>
              <w:bottom w:val="single" w:sz="4" w:space="0" w:color="auto"/>
              <w:right w:val="single" w:sz="4" w:space="0" w:color="auto"/>
            </w:tcBorders>
            <w:shd w:val="clear" w:color="000000" w:fill="A6C9EC"/>
            <w:noWrap/>
            <w:vAlign w:val="bottom"/>
            <w:hideMark/>
          </w:tcPr>
          <w:p w14:paraId="5576464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46,82,18</w:t>
            </w:r>
            <w:r w:rsidRPr="00C900C3">
              <w:rPr>
                <w:rFonts w:ascii="Arial" w:hAnsi="Arial" w:cs="Arial"/>
                <w:color w:val="000000"/>
                <w:lang w:val="en-IN"/>
              </w:rPr>
              <w:lastRenderedPageBreak/>
              <w:t xml:space="preserve">2.00 </w:t>
            </w:r>
          </w:p>
        </w:tc>
        <w:tc>
          <w:tcPr>
            <w:tcW w:w="347" w:type="pct"/>
            <w:tcBorders>
              <w:top w:val="nil"/>
              <w:left w:val="nil"/>
              <w:bottom w:val="single" w:sz="4" w:space="0" w:color="auto"/>
              <w:right w:val="single" w:sz="4" w:space="0" w:color="auto"/>
            </w:tcBorders>
            <w:shd w:val="clear" w:color="000000" w:fill="A6C9EC"/>
            <w:noWrap/>
            <w:vAlign w:val="bottom"/>
            <w:hideMark/>
          </w:tcPr>
          <w:p w14:paraId="35733A6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42,79,05</w:t>
            </w:r>
            <w:r w:rsidRPr="00C900C3">
              <w:rPr>
                <w:rFonts w:ascii="Arial" w:hAnsi="Arial" w:cs="Arial"/>
                <w:color w:val="000000"/>
                <w:lang w:val="en-IN"/>
              </w:rPr>
              <w:lastRenderedPageBreak/>
              <w:t xml:space="preserve">7.00 </w:t>
            </w:r>
          </w:p>
        </w:tc>
        <w:tc>
          <w:tcPr>
            <w:tcW w:w="347" w:type="pct"/>
            <w:tcBorders>
              <w:top w:val="nil"/>
              <w:left w:val="nil"/>
              <w:bottom w:val="single" w:sz="4" w:space="0" w:color="auto"/>
              <w:right w:val="single" w:sz="4" w:space="0" w:color="auto"/>
            </w:tcBorders>
            <w:shd w:val="clear" w:color="000000" w:fill="A6C9EC"/>
            <w:noWrap/>
            <w:vAlign w:val="bottom"/>
            <w:hideMark/>
          </w:tcPr>
          <w:p w14:paraId="20938F9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31,47,29</w:t>
            </w:r>
            <w:r w:rsidRPr="00C900C3">
              <w:rPr>
                <w:rFonts w:ascii="Arial" w:hAnsi="Arial" w:cs="Arial"/>
                <w:color w:val="000000"/>
                <w:lang w:val="en-IN"/>
              </w:rPr>
              <w:lastRenderedPageBreak/>
              <w:t xml:space="preserve">6.00 </w:t>
            </w:r>
          </w:p>
        </w:tc>
        <w:tc>
          <w:tcPr>
            <w:tcW w:w="347" w:type="pct"/>
            <w:tcBorders>
              <w:top w:val="nil"/>
              <w:left w:val="nil"/>
              <w:bottom w:val="single" w:sz="4" w:space="0" w:color="auto"/>
              <w:right w:val="single" w:sz="8" w:space="0" w:color="auto"/>
            </w:tcBorders>
            <w:shd w:val="clear" w:color="000000" w:fill="A6C9EC"/>
            <w:noWrap/>
            <w:vAlign w:val="bottom"/>
            <w:hideMark/>
          </w:tcPr>
          <w:p w14:paraId="57F8E42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32,83,97</w:t>
            </w:r>
            <w:r w:rsidRPr="00C900C3">
              <w:rPr>
                <w:rFonts w:ascii="Arial" w:hAnsi="Arial" w:cs="Arial"/>
                <w:color w:val="000000"/>
                <w:lang w:val="en-IN"/>
              </w:rPr>
              <w:lastRenderedPageBreak/>
              <w:t xml:space="preserve">2.00 </w:t>
            </w:r>
          </w:p>
        </w:tc>
        <w:tc>
          <w:tcPr>
            <w:tcW w:w="260" w:type="pct"/>
            <w:tcBorders>
              <w:top w:val="nil"/>
              <w:left w:val="nil"/>
              <w:bottom w:val="single" w:sz="4" w:space="0" w:color="auto"/>
              <w:right w:val="single" w:sz="4" w:space="0" w:color="auto"/>
            </w:tcBorders>
            <w:shd w:val="clear" w:color="000000" w:fill="A6C9EC"/>
            <w:noWrap/>
            <w:vAlign w:val="bottom"/>
            <w:hideMark/>
          </w:tcPr>
          <w:p w14:paraId="0255AAE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Current Liabilities"</w:t>
            </w:r>
          </w:p>
        </w:tc>
        <w:tc>
          <w:tcPr>
            <w:tcW w:w="451" w:type="pct"/>
            <w:vMerge/>
            <w:tcBorders>
              <w:top w:val="nil"/>
              <w:left w:val="single" w:sz="4" w:space="0" w:color="auto"/>
              <w:bottom w:val="single" w:sz="4" w:space="0" w:color="auto"/>
              <w:right w:val="single" w:sz="4" w:space="0" w:color="auto"/>
            </w:tcBorders>
            <w:vAlign w:val="center"/>
            <w:hideMark/>
          </w:tcPr>
          <w:p w14:paraId="2B890CC6"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43BBC0A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7,95,09,6</w:t>
            </w:r>
            <w:r w:rsidRPr="00C900C3">
              <w:rPr>
                <w:rFonts w:ascii="Arial" w:hAnsi="Arial" w:cs="Arial"/>
                <w:color w:val="000000"/>
                <w:lang w:val="en-IN"/>
              </w:rPr>
              <w:lastRenderedPageBreak/>
              <w:t xml:space="preserve">43.00 </w:t>
            </w:r>
          </w:p>
        </w:tc>
        <w:tc>
          <w:tcPr>
            <w:tcW w:w="347" w:type="pct"/>
            <w:tcBorders>
              <w:top w:val="nil"/>
              <w:left w:val="nil"/>
              <w:bottom w:val="single" w:sz="4" w:space="0" w:color="auto"/>
              <w:right w:val="single" w:sz="4" w:space="0" w:color="auto"/>
            </w:tcBorders>
            <w:shd w:val="clear" w:color="000000" w:fill="A6C9EC"/>
            <w:noWrap/>
            <w:vAlign w:val="bottom"/>
            <w:hideMark/>
          </w:tcPr>
          <w:p w14:paraId="14DAA46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7,33,62,1</w:t>
            </w:r>
            <w:r w:rsidRPr="00C900C3">
              <w:rPr>
                <w:rFonts w:ascii="Arial" w:hAnsi="Arial" w:cs="Arial"/>
                <w:color w:val="000000"/>
                <w:lang w:val="en-IN"/>
              </w:rPr>
              <w:lastRenderedPageBreak/>
              <w:t xml:space="preserve">03.00 </w:t>
            </w:r>
          </w:p>
        </w:tc>
        <w:tc>
          <w:tcPr>
            <w:tcW w:w="347" w:type="pct"/>
            <w:tcBorders>
              <w:top w:val="nil"/>
              <w:left w:val="nil"/>
              <w:bottom w:val="single" w:sz="4" w:space="0" w:color="auto"/>
              <w:right w:val="single" w:sz="4" w:space="0" w:color="auto"/>
            </w:tcBorders>
            <w:shd w:val="clear" w:color="000000" w:fill="A6C9EC"/>
            <w:noWrap/>
            <w:vAlign w:val="bottom"/>
            <w:hideMark/>
          </w:tcPr>
          <w:p w14:paraId="22E1E62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7,42,36,4</w:t>
            </w:r>
            <w:r w:rsidRPr="00C900C3">
              <w:rPr>
                <w:rFonts w:ascii="Arial" w:hAnsi="Arial" w:cs="Arial"/>
                <w:color w:val="000000"/>
                <w:lang w:val="en-IN"/>
              </w:rPr>
              <w:lastRenderedPageBreak/>
              <w:t xml:space="preserve">72.00 </w:t>
            </w:r>
          </w:p>
        </w:tc>
        <w:tc>
          <w:tcPr>
            <w:tcW w:w="347" w:type="pct"/>
            <w:tcBorders>
              <w:top w:val="nil"/>
              <w:left w:val="nil"/>
              <w:bottom w:val="single" w:sz="4" w:space="0" w:color="auto"/>
              <w:right w:val="single" w:sz="4" w:space="0" w:color="auto"/>
            </w:tcBorders>
            <w:shd w:val="clear" w:color="000000" w:fill="A6C9EC"/>
            <w:noWrap/>
            <w:vAlign w:val="bottom"/>
            <w:hideMark/>
          </w:tcPr>
          <w:p w14:paraId="4F480F4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6,42,36,7</w:t>
            </w:r>
            <w:r w:rsidRPr="00C900C3">
              <w:rPr>
                <w:rFonts w:ascii="Arial" w:hAnsi="Arial" w:cs="Arial"/>
                <w:color w:val="000000"/>
                <w:lang w:val="en-IN"/>
              </w:rPr>
              <w:lastRenderedPageBreak/>
              <w:t xml:space="preserve">87.00 </w:t>
            </w:r>
          </w:p>
        </w:tc>
        <w:tc>
          <w:tcPr>
            <w:tcW w:w="347" w:type="pct"/>
            <w:tcBorders>
              <w:top w:val="nil"/>
              <w:left w:val="nil"/>
              <w:bottom w:val="single" w:sz="4" w:space="0" w:color="auto"/>
              <w:right w:val="single" w:sz="8" w:space="0" w:color="auto"/>
            </w:tcBorders>
            <w:shd w:val="clear" w:color="000000" w:fill="A6C9EC"/>
            <w:noWrap/>
            <w:vAlign w:val="bottom"/>
            <w:hideMark/>
          </w:tcPr>
          <w:p w14:paraId="1A7E38B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xml:space="preserve"> ₩   5,94,59,5</w:t>
            </w:r>
            <w:r w:rsidRPr="00C900C3">
              <w:rPr>
                <w:rFonts w:ascii="Arial" w:hAnsi="Arial" w:cs="Arial"/>
                <w:color w:val="000000"/>
                <w:lang w:val="en-IN"/>
              </w:rPr>
              <w:lastRenderedPageBreak/>
              <w:t xml:space="preserve">28.00 </w:t>
            </w:r>
          </w:p>
        </w:tc>
        <w:tc>
          <w:tcPr>
            <w:tcW w:w="39" w:type="pct"/>
            <w:vAlign w:val="center"/>
            <w:hideMark/>
          </w:tcPr>
          <w:p w14:paraId="7751660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C616572" w14:textId="77777777" w:rsidTr="00076D53">
        <w:trPr>
          <w:trHeight w:val="312"/>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53575D1F"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"Receivables Turnover ratio"</w:t>
            </w:r>
          </w:p>
        </w:tc>
        <w:tc>
          <w:tcPr>
            <w:tcW w:w="473" w:type="pct"/>
            <w:vMerge/>
            <w:tcBorders>
              <w:top w:val="nil"/>
              <w:left w:val="single" w:sz="4" w:space="0" w:color="auto"/>
              <w:bottom w:val="single" w:sz="4" w:space="0" w:color="auto"/>
              <w:right w:val="single" w:sz="4" w:space="0" w:color="auto"/>
            </w:tcBorders>
            <w:vAlign w:val="center"/>
            <w:hideMark/>
          </w:tcPr>
          <w:p w14:paraId="599C55D0"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5D94E773"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29.66</w:t>
            </w:r>
          </w:p>
        </w:tc>
        <w:tc>
          <w:tcPr>
            <w:tcW w:w="347" w:type="pct"/>
            <w:tcBorders>
              <w:top w:val="nil"/>
              <w:left w:val="nil"/>
              <w:bottom w:val="single" w:sz="4" w:space="0" w:color="auto"/>
              <w:right w:val="single" w:sz="4" w:space="0" w:color="auto"/>
            </w:tcBorders>
            <w:shd w:val="clear" w:color="000000" w:fill="A6C9EC"/>
            <w:noWrap/>
            <w:vAlign w:val="bottom"/>
            <w:hideMark/>
          </w:tcPr>
          <w:p w14:paraId="34800D48"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34.74</w:t>
            </w:r>
          </w:p>
        </w:tc>
        <w:tc>
          <w:tcPr>
            <w:tcW w:w="347" w:type="pct"/>
            <w:tcBorders>
              <w:top w:val="nil"/>
              <w:left w:val="nil"/>
              <w:bottom w:val="single" w:sz="4" w:space="0" w:color="auto"/>
              <w:right w:val="single" w:sz="4" w:space="0" w:color="auto"/>
            </w:tcBorders>
            <w:shd w:val="clear" w:color="000000" w:fill="A6C9EC"/>
            <w:noWrap/>
            <w:vAlign w:val="bottom"/>
            <w:hideMark/>
          </w:tcPr>
          <w:p w14:paraId="2F8A4937"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33.31</w:t>
            </w:r>
          </w:p>
        </w:tc>
        <w:tc>
          <w:tcPr>
            <w:tcW w:w="347" w:type="pct"/>
            <w:tcBorders>
              <w:top w:val="nil"/>
              <w:left w:val="nil"/>
              <w:bottom w:val="single" w:sz="4" w:space="0" w:color="auto"/>
              <w:right w:val="single" w:sz="4" w:space="0" w:color="auto"/>
            </w:tcBorders>
            <w:shd w:val="clear" w:color="000000" w:fill="A6C9EC"/>
            <w:noWrap/>
            <w:vAlign w:val="bottom"/>
            <w:hideMark/>
          </w:tcPr>
          <w:p w14:paraId="67279673"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37.37</w:t>
            </w:r>
          </w:p>
        </w:tc>
        <w:tc>
          <w:tcPr>
            <w:tcW w:w="347" w:type="pct"/>
            <w:tcBorders>
              <w:top w:val="nil"/>
              <w:left w:val="nil"/>
              <w:bottom w:val="single" w:sz="4" w:space="0" w:color="auto"/>
              <w:right w:val="single" w:sz="8" w:space="0" w:color="auto"/>
            </w:tcBorders>
            <w:shd w:val="clear" w:color="000000" w:fill="A6C9EC"/>
            <w:noWrap/>
            <w:vAlign w:val="bottom"/>
            <w:hideMark/>
          </w:tcPr>
          <w:p w14:paraId="74C3A0F3"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31.67</w:t>
            </w:r>
          </w:p>
        </w:tc>
        <w:tc>
          <w:tcPr>
            <w:tcW w:w="260" w:type="pct"/>
            <w:tcBorders>
              <w:top w:val="nil"/>
              <w:left w:val="nil"/>
              <w:bottom w:val="single" w:sz="4" w:space="0" w:color="auto"/>
              <w:right w:val="single" w:sz="4" w:space="0" w:color="auto"/>
            </w:tcBorders>
            <w:shd w:val="clear" w:color="000000" w:fill="A6C9EC"/>
            <w:noWrap/>
            <w:vAlign w:val="bottom"/>
            <w:hideMark/>
          </w:tcPr>
          <w:p w14:paraId="10028F0E"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"Operating Cash Flow Ratio"</w:t>
            </w:r>
          </w:p>
        </w:tc>
        <w:tc>
          <w:tcPr>
            <w:tcW w:w="451" w:type="pct"/>
            <w:vMerge/>
            <w:tcBorders>
              <w:top w:val="nil"/>
              <w:left w:val="single" w:sz="4" w:space="0" w:color="auto"/>
              <w:bottom w:val="single" w:sz="4" w:space="0" w:color="auto"/>
              <w:right w:val="single" w:sz="4" w:space="0" w:color="auto"/>
            </w:tcBorders>
            <w:vAlign w:val="center"/>
            <w:hideMark/>
          </w:tcPr>
          <w:p w14:paraId="4D36BA77"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479C51C7"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-0.07</w:t>
            </w:r>
          </w:p>
        </w:tc>
        <w:tc>
          <w:tcPr>
            <w:tcW w:w="347" w:type="pct"/>
            <w:tcBorders>
              <w:top w:val="nil"/>
              <w:left w:val="nil"/>
              <w:bottom w:val="single" w:sz="4" w:space="0" w:color="auto"/>
              <w:right w:val="single" w:sz="4" w:space="0" w:color="auto"/>
            </w:tcBorders>
            <w:shd w:val="clear" w:color="000000" w:fill="A6C9EC"/>
            <w:noWrap/>
            <w:vAlign w:val="bottom"/>
            <w:hideMark/>
          </w:tcPr>
          <w:p w14:paraId="52FA245F"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-0.03</w:t>
            </w:r>
          </w:p>
        </w:tc>
        <w:tc>
          <w:tcPr>
            <w:tcW w:w="347" w:type="pct"/>
            <w:tcBorders>
              <w:top w:val="nil"/>
              <w:left w:val="nil"/>
              <w:bottom w:val="single" w:sz="4" w:space="0" w:color="auto"/>
              <w:right w:val="single" w:sz="4" w:space="0" w:color="auto"/>
            </w:tcBorders>
            <w:shd w:val="clear" w:color="000000" w:fill="A6C9EC"/>
            <w:noWrap/>
            <w:vAlign w:val="bottom"/>
            <w:hideMark/>
          </w:tcPr>
          <w:p w14:paraId="61522B9F"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0.14</w:t>
            </w:r>
          </w:p>
        </w:tc>
        <w:tc>
          <w:tcPr>
            <w:tcW w:w="347" w:type="pct"/>
            <w:tcBorders>
              <w:top w:val="nil"/>
              <w:left w:val="nil"/>
              <w:bottom w:val="single" w:sz="4" w:space="0" w:color="auto"/>
              <w:right w:val="single" w:sz="4" w:space="0" w:color="auto"/>
            </w:tcBorders>
            <w:shd w:val="clear" w:color="000000" w:fill="A6C9EC"/>
            <w:noWrap/>
            <w:vAlign w:val="bottom"/>
            <w:hideMark/>
          </w:tcPr>
          <w:p w14:paraId="28606E2C"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-0.02</w:t>
            </w:r>
          </w:p>
        </w:tc>
        <w:tc>
          <w:tcPr>
            <w:tcW w:w="347" w:type="pct"/>
            <w:tcBorders>
              <w:top w:val="nil"/>
              <w:left w:val="nil"/>
              <w:bottom w:val="single" w:sz="4" w:space="0" w:color="auto"/>
              <w:right w:val="single" w:sz="8" w:space="0" w:color="auto"/>
            </w:tcBorders>
            <w:shd w:val="clear" w:color="000000" w:fill="A6C9EC"/>
            <w:noWrap/>
            <w:vAlign w:val="bottom"/>
            <w:hideMark/>
          </w:tcPr>
          <w:p w14:paraId="166F47AF"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-0.01</w:t>
            </w:r>
          </w:p>
        </w:tc>
        <w:tc>
          <w:tcPr>
            <w:tcW w:w="39" w:type="pct"/>
            <w:vAlign w:val="center"/>
            <w:hideMark/>
          </w:tcPr>
          <w:p w14:paraId="461DB2CE"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EA9434D"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3F7DB3B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73" w:type="pct"/>
            <w:tcBorders>
              <w:top w:val="nil"/>
              <w:left w:val="nil"/>
              <w:bottom w:val="single" w:sz="4" w:space="0" w:color="auto"/>
              <w:right w:val="single" w:sz="4" w:space="0" w:color="auto"/>
            </w:tcBorders>
            <w:shd w:val="clear" w:color="000000" w:fill="A6C9EC"/>
            <w:noWrap/>
            <w:vAlign w:val="bottom"/>
            <w:hideMark/>
          </w:tcPr>
          <w:p w14:paraId="54650DB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43CCC85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222F037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00A556E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6203D83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8" w:space="0" w:color="auto"/>
            </w:tcBorders>
            <w:shd w:val="clear" w:color="000000" w:fill="A6C9EC"/>
            <w:noWrap/>
            <w:vAlign w:val="bottom"/>
            <w:hideMark/>
          </w:tcPr>
          <w:p w14:paraId="488AE9A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260" w:type="pct"/>
            <w:tcBorders>
              <w:top w:val="nil"/>
              <w:left w:val="nil"/>
              <w:bottom w:val="single" w:sz="4" w:space="0" w:color="auto"/>
              <w:right w:val="single" w:sz="4" w:space="0" w:color="auto"/>
            </w:tcBorders>
            <w:shd w:val="clear" w:color="000000" w:fill="A6C9EC"/>
            <w:noWrap/>
            <w:vAlign w:val="bottom"/>
            <w:hideMark/>
          </w:tcPr>
          <w:p w14:paraId="1432CD5E"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451" w:type="pct"/>
            <w:tcBorders>
              <w:top w:val="nil"/>
              <w:left w:val="nil"/>
              <w:bottom w:val="single" w:sz="4" w:space="0" w:color="auto"/>
              <w:right w:val="single" w:sz="4" w:space="0" w:color="auto"/>
            </w:tcBorders>
            <w:shd w:val="clear" w:color="000000" w:fill="A6C9EC"/>
            <w:noWrap/>
            <w:vAlign w:val="bottom"/>
            <w:hideMark/>
          </w:tcPr>
          <w:p w14:paraId="7BFD41D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3DD5071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307DD99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671166B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4" w:space="0" w:color="auto"/>
            </w:tcBorders>
            <w:shd w:val="clear" w:color="000000" w:fill="A6C9EC"/>
            <w:noWrap/>
            <w:vAlign w:val="bottom"/>
            <w:hideMark/>
          </w:tcPr>
          <w:p w14:paraId="219DA9A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47" w:type="pct"/>
            <w:tcBorders>
              <w:top w:val="nil"/>
              <w:left w:val="nil"/>
              <w:bottom w:val="single" w:sz="4" w:space="0" w:color="auto"/>
              <w:right w:val="single" w:sz="8" w:space="0" w:color="auto"/>
            </w:tcBorders>
            <w:shd w:val="clear" w:color="000000" w:fill="A6C9EC"/>
            <w:noWrap/>
            <w:vAlign w:val="bottom"/>
            <w:hideMark/>
          </w:tcPr>
          <w:p w14:paraId="3881861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w:t>
            </w:r>
          </w:p>
        </w:tc>
        <w:tc>
          <w:tcPr>
            <w:tcW w:w="39" w:type="pct"/>
            <w:vAlign w:val="center"/>
            <w:hideMark/>
          </w:tcPr>
          <w:p w14:paraId="5C010853"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5575A74D" w14:textId="77777777" w:rsidTr="00076D53">
        <w:trPr>
          <w:trHeight w:val="312"/>
        </w:trPr>
        <w:tc>
          <w:tcPr>
            <w:tcW w:w="2514" w:type="pct"/>
            <w:gridSpan w:val="7"/>
            <w:tcBorders>
              <w:top w:val="single" w:sz="4" w:space="0" w:color="auto"/>
              <w:left w:val="single" w:sz="8" w:space="0" w:color="auto"/>
              <w:bottom w:val="single" w:sz="4" w:space="0" w:color="auto"/>
              <w:right w:val="single" w:sz="8" w:space="0" w:color="000000"/>
            </w:tcBorders>
            <w:shd w:val="clear" w:color="000000" w:fill="A6C9EC"/>
            <w:noWrap/>
            <w:vAlign w:val="bottom"/>
            <w:hideMark/>
          </w:tcPr>
          <w:p w14:paraId="2E87B11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"Inventory Turnover ratio"</w:t>
            </w:r>
          </w:p>
        </w:tc>
        <w:tc>
          <w:tcPr>
            <w:tcW w:w="2447" w:type="pct"/>
            <w:gridSpan w:val="7"/>
            <w:tcBorders>
              <w:top w:val="single" w:sz="4" w:space="0" w:color="auto"/>
              <w:left w:val="nil"/>
              <w:bottom w:val="single" w:sz="4" w:space="0" w:color="auto"/>
              <w:right w:val="single" w:sz="8" w:space="0" w:color="000000"/>
            </w:tcBorders>
            <w:shd w:val="clear" w:color="000000" w:fill="A6C9EC"/>
            <w:noWrap/>
            <w:vAlign w:val="bottom"/>
            <w:hideMark/>
          </w:tcPr>
          <w:p w14:paraId="26A0E00C"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 Flow to Debt Ratio"</w:t>
            </w:r>
          </w:p>
        </w:tc>
        <w:tc>
          <w:tcPr>
            <w:tcW w:w="39" w:type="pct"/>
            <w:vAlign w:val="center"/>
            <w:hideMark/>
          </w:tcPr>
          <w:p w14:paraId="04C00467"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AA5B8DC" w14:textId="77777777" w:rsidTr="00076D53">
        <w:trPr>
          <w:trHeight w:val="312"/>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1DA0248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"Financial aspects"</w:t>
            </w:r>
          </w:p>
        </w:tc>
        <w:tc>
          <w:tcPr>
            <w:tcW w:w="473" w:type="pct"/>
            <w:tcBorders>
              <w:top w:val="nil"/>
              <w:left w:val="nil"/>
              <w:bottom w:val="single" w:sz="4" w:space="0" w:color="auto"/>
              <w:right w:val="single" w:sz="4" w:space="0" w:color="auto"/>
            </w:tcBorders>
            <w:shd w:val="clear" w:color="000000" w:fill="A6C9EC"/>
            <w:noWrap/>
            <w:vAlign w:val="bottom"/>
            <w:hideMark/>
          </w:tcPr>
          <w:p w14:paraId="23A6ADB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"Formula"</w:t>
            </w:r>
          </w:p>
        </w:tc>
        <w:tc>
          <w:tcPr>
            <w:tcW w:w="347" w:type="pct"/>
            <w:tcBorders>
              <w:top w:val="nil"/>
              <w:left w:val="nil"/>
              <w:bottom w:val="single" w:sz="4" w:space="0" w:color="auto"/>
              <w:right w:val="single" w:sz="4" w:space="0" w:color="auto"/>
            </w:tcBorders>
            <w:shd w:val="clear" w:color="000000" w:fill="A6C9EC"/>
            <w:noWrap/>
            <w:vAlign w:val="bottom"/>
            <w:hideMark/>
          </w:tcPr>
          <w:p w14:paraId="4C63B27A"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2024</w:t>
            </w:r>
          </w:p>
        </w:tc>
        <w:tc>
          <w:tcPr>
            <w:tcW w:w="347" w:type="pct"/>
            <w:tcBorders>
              <w:top w:val="nil"/>
              <w:left w:val="nil"/>
              <w:bottom w:val="single" w:sz="4" w:space="0" w:color="auto"/>
              <w:right w:val="single" w:sz="4" w:space="0" w:color="auto"/>
            </w:tcBorders>
            <w:shd w:val="clear" w:color="000000" w:fill="A6C9EC"/>
            <w:noWrap/>
            <w:vAlign w:val="bottom"/>
            <w:hideMark/>
          </w:tcPr>
          <w:p w14:paraId="27C2E077"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2023</w:t>
            </w:r>
          </w:p>
        </w:tc>
        <w:tc>
          <w:tcPr>
            <w:tcW w:w="347" w:type="pct"/>
            <w:tcBorders>
              <w:top w:val="nil"/>
              <w:left w:val="nil"/>
              <w:bottom w:val="single" w:sz="4" w:space="0" w:color="auto"/>
              <w:right w:val="single" w:sz="4" w:space="0" w:color="auto"/>
            </w:tcBorders>
            <w:shd w:val="clear" w:color="000000" w:fill="A6C9EC"/>
            <w:noWrap/>
            <w:vAlign w:val="bottom"/>
            <w:hideMark/>
          </w:tcPr>
          <w:p w14:paraId="7A2A0F84"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2022</w:t>
            </w:r>
          </w:p>
        </w:tc>
        <w:tc>
          <w:tcPr>
            <w:tcW w:w="347" w:type="pct"/>
            <w:tcBorders>
              <w:top w:val="nil"/>
              <w:left w:val="nil"/>
              <w:bottom w:val="single" w:sz="4" w:space="0" w:color="auto"/>
              <w:right w:val="single" w:sz="4" w:space="0" w:color="auto"/>
            </w:tcBorders>
            <w:shd w:val="clear" w:color="000000" w:fill="A6C9EC"/>
            <w:noWrap/>
            <w:vAlign w:val="bottom"/>
            <w:hideMark/>
          </w:tcPr>
          <w:p w14:paraId="3AA2367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2021</w:t>
            </w:r>
          </w:p>
        </w:tc>
        <w:tc>
          <w:tcPr>
            <w:tcW w:w="347" w:type="pct"/>
            <w:tcBorders>
              <w:top w:val="nil"/>
              <w:left w:val="nil"/>
              <w:bottom w:val="single" w:sz="4" w:space="0" w:color="auto"/>
              <w:right w:val="single" w:sz="8" w:space="0" w:color="auto"/>
            </w:tcBorders>
            <w:shd w:val="clear" w:color="000000" w:fill="A6C9EC"/>
            <w:noWrap/>
            <w:vAlign w:val="bottom"/>
            <w:hideMark/>
          </w:tcPr>
          <w:p w14:paraId="7C0F275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2020</w:t>
            </w:r>
          </w:p>
        </w:tc>
        <w:tc>
          <w:tcPr>
            <w:tcW w:w="260" w:type="pct"/>
            <w:tcBorders>
              <w:top w:val="nil"/>
              <w:left w:val="nil"/>
              <w:bottom w:val="single" w:sz="4" w:space="0" w:color="auto"/>
              <w:right w:val="single" w:sz="4" w:space="0" w:color="auto"/>
            </w:tcBorders>
            <w:shd w:val="clear" w:color="000000" w:fill="A6C9EC"/>
            <w:noWrap/>
            <w:vAlign w:val="bottom"/>
            <w:hideMark/>
          </w:tcPr>
          <w:p w14:paraId="6C65782A"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"Financial aspects"</w:t>
            </w:r>
          </w:p>
        </w:tc>
        <w:tc>
          <w:tcPr>
            <w:tcW w:w="451" w:type="pct"/>
            <w:tcBorders>
              <w:top w:val="nil"/>
              <w:left w:val="nil"/>
              <w:bottom w:val="single" w:sz="4" w:space="0" w:color="auto"/>
              <w:right w:val="single" w:sz="4" w:space="0" w:color="auto"/>
            </w:tcBorders>
            <w:shd w:val="clear" w:color="000000" w:fill="A6C9EC"/>
            <w:noWrap/>
            <w:vAlign w:val="bottom"/>
            <w:hideMark/>
          </w:tcPr>
          <w:p w14:paraId="0BBFE6C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"Formula"</w:t>
            </w:r>
          </w:p>
        </w:tc>
        <w:tc>
          <w:tcPr>
            <w:tcW w:w="347" w:type="pct"/>
            <w:tcBorders>
              <w:top w:val="nil"/>
              <w:left w:val="nil"/>
              <w:bottom w:val="single" w:sz="4" w:space="0" w:color="auto"/>
              <w:right w:val="single" w:sz="4" w:space="0" w:color="auto"/>
            </w:tcBorders>
            <w:shd w:val="clear" w:color="000000" w:fill="A6C9EC"/>
            <w:noWrap/>
            <w:vAlign w:val="bottom"/>
            <w:hideMark/>
          </w:tcPr>
          <w:p w14:paraId="5C0471EC"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2024</w:t>
            </w:r>
          </w:p>
        </w:tc>
        <w:tc>
          <w:tcPr>
            <w:tcW w:w="347" w:type="pct"/>
            <w:tcBorders>
              <w:top w:val="nil"/>
              <w:left w:val="nil"/>
              <w:bottom w:val="single" w:sz="4" w:space="0" w:color="auto"/>
              <w:right w:val="single" w:sz="4" w:space="0" w:color="auto"/>
            </w:tcBorders>
            <w:shd w:val="clear" w:color="000000" w:fill="A6C9EC"/>
            <w:noWrap/>
            <w:vAlign w:val="bottom"/>
            <w:hideMark/>
          </w:tcPr>
          <w:p w14:paraId="31935595"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2023</w:t>
            </w:r>
          </w:p>
        </w:tc>
        <w:tc>
          <w:tcPr>
            <w:tcW w:w="347" w:type="pct"/>
            <w:tcBorders>
              <w:top w:val="nil"/>
              <w:left w:val="nil"/>
              <w:bottom w:val="single" w:sz="4" w:space="0" w:color="auto"/>
              <w:right w:val="single" w:sz="4" w:space="0" w:color="auto"/>
            </w:tcBorders>
            <w:shd w:val="clear" w:color="000000" w:fill="A6C9EC"/>
            <w:noWrap/>
            <w:vAlign w:val="bottom"/>
            <w:hideMark/>
          </w:tcPr>
          <w:p w14:paraId="7C470FB7"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2022</w:t>
            </w:r>
          </w:p>
        </w:tc>
        <w:tc>
          <w:tcPr>
            <w:tcW w:w="347" w:type="pct"/>
            <w:tcBorders>
              <w:top w:val="nil"/>
              <w:left w:val="nil"/>
              <w:bottom w:val="single" w:sz="4" w:space="0" w:color="auto"/>
              <w:right w:val="single" w:sz="4" w:space="0" w:color="auto"/>
            </w:tcBorders>
            <w:shd w:val="clear" w:color="000000" w:fill="A6C9EC"/>
            <w:noWrap/>
            <w:vAlign w:val="bottom"/>
            <w:hideMark/>
          </w:tcPr>
          <w:p w14:paraId="4D32D07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2021</w:t>
            </w:r>
          </w:p>
        </w:tc>
        <w:tc>
          <w:tcPr>
            <w:tcW w:w="347" w:type="pct"/>
            <w:tcBorders>
              <w:top w:val="nil"/>
              <w:left w:val="nil"/>
              <w:bottom w:val="single" w:sz="4" w:space="0" w:color="auto"/>
              <w:right w:val="single" w:sz="8" w:space="0" w:color="auto"/>
            </w:tcBorders>
            <w:shd w:val="clear" w:color="000000" w:fill="A6C9EC"/>
            <w:noWrap/>
            <w:vAlign w:val="bottom"/>
            <w:hideMark/>
          </w:tcPr>
          <w:p w14:paraId="3174888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2020</w:t>
            </w:r>
          </w:p>
        </w:tc>
        <w:tc>
          <w:tcPr>
            <w:tcW w:w="39" w:type="pct"/>
            <w:vAlign w:val="center"/>
            <w:hideMark/>
          </w:tcPr>
          <w:p w14:paraId="5EA56878"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19BE965C"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12B18DA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"Sales"</w:t>
            </w:r>
          </w:p>
        </w:tc>
        <w:tc>
          <w:tcPr>
            <w:tcW w:w="473" w:type="pct"/>
            <w:vMerge w:val="restart"/>
            <w:tcBorders>
              <w:top w:val="nil"/>
              <w:left w:val="single" w:sz="4" w:space="0" w:color="auto"/>
              <w:bottom w:val="single" w:sz="8" w:space="0" w:color="000000"/>
              <w:right w:val="single" w:sz="4" w:space="0" w:color="auto"/>
            </w:tcBorders>
            <w:shd w:val="clear" w:color="000000" w:fill="A6C9EC"/>
            <w:vAlign w:val="center"/>
            <w:hideMark/>
          </w:tcPr>
          <w:p w14:paraId="40948002"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"(Sales/Inventories)"</w:t>
            </w:r>
          </w:p>
        </w:tc>
        <w:tc>
          <w:tcPr>
            <w:tcW w:w="347" w:type="pct"/>
            <w:tcBorders>
              <w:top w:val="nil"/>
              <w:left w:val="nil"/>
              <w:bottom w:val="single" w:sz="4" w:space="0" w:color="auto"/>
              <w:right w:val="single" w:sz="4" w:space="0" w:color="auto"/>
            </w:tcBorders>
            <w:shd w:val="clear" w:color="000000" w:fill="A6C9EC"/>
            <w:noWrap/>
            <w:vAlign w:val="bottom"/>
            <w:hideMark/>
          </w:tcPr>
          <w:p w14:paraId="1BFFB0F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17,52,31,153.00 </w:t>
            </w:r>
          </w:p>
        </w:tc>
        <w:tc>
          <w:tcPr>
            <w:tcW w:w="347" w:type="pct"/>
            <w:tcBorders>
              <w:top w:val="nil"/>
              <w:left w:val="nil"/>
              <w:bottom w:val="single" w:sz="4" w:space="0" w:color="auto"/>
              <w:right w:val="single" w:sz="4" w:space="0" w:color="auto"/>
            </w:tcBorders>
            <w:shd w:val="clear" w:color="000000" w:fill="A6C9EC"/>
            <w:noWrap/>
            <w:vAlign w:val="bottom"/>
            <w:hideMark/>
          </w:tcPr>
          <w:p w14:paraId="3B35685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16,26,63,579.00 </w:t>
            </w:r>
          </w:p>
        </w:tc>
        <w:tc>
          <w:tcPr>
            <w:tcW w:w="347" w:type="pct"/>
            <w:tcBorders>
              <w:top w:val="nil"/>
              <w:left w:val="nil"/>
              <w:bottom w:val="single" w:sz="4" w:space="0" w:color="auto"/>
              <w:right w:val="single" w:sz="4" w:space="0" w:color="auto"/>
            </w:tcBorders>
            <w:shd w:val="clear" w:color="000000" w:fill="A6C9EC"/>
            <w:noWrap/>
            <w:vAlign w:val="bottom"/>
            <w:hideMark/>
          </w:tcPr>
          <w:p w14:paraId="0AF1E08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14,25,27,535.00 </w:t>
            </w:r>
          </w:p>
        </w:tc>
        <w:tc>
          <w:tcPr>
            <w:tcW w:w="347" w:type="pct"/>
            <w:tcBorders>
              <w:top w:val="nil"/>
              <w:left w:val="nil"/>
              <w:bottom w:val="single" w:sz="4" w:space="0" w:color="auto"/>
              <w:right w:val="single" w:sz="4" w:space="0" w:color="auto"/>
            </w:tcBorders>
            <w:shd w:val="clear" w:color="000000" w:fill="A6C9EC"/>
            <w:noWrap/>
            <w:vAlign w:val="bottom"/>
            <w:hideMark/>
          </w:tcPr>
          <w:p w14:paraId="7C3F509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11,76,10,626.00 </w:t>
            </w:r>
          </w:p>
        </w:tc>
        <w:tc>
          <w:tcPr>
            <w:tcW w:w="347" w:type="pct"/>
            <w:tcBorders>
              <w:top w:val="nil"/>
              <w:left w:val="nil"/>
              <w:bottom w:val="single" w:sz="4" w:space="0" w:color="auto"/>
              <w:right w:val="single" w:sz="8" w:space="0" w:color="auto"/>
            </w:tcBorders>
            <w:shd w:val="clear" w:color="000000" w:fill="A6C9EC"/>
            <w:noWrap/>
            <w:vAlign w:val="bottom"/>
            <w:hideMark/>
          </w:tcPr>
          <w:p w14:paraId="2404925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10,39,97,601.00 </w:t>
            </w:r>
          </w:p>
        </w:tc>
        <w:tc>
          <w:tcPr>
            <w:tcW w:w="260" w:type="pct"/>
            <w:tcBorders>
              <w:top w:val="nil"/>
              <w:left w:val="nil"/>
              <w:bottom w:val="single" w:sz="4" w:space="0" w:color="auto"/>
              <w:right w:val="single" w:sz="4" w:space="0" w:color="auto"/>
            </w:tcBorders>
            <w:shd w:val="clear" w:color="000000" w:fill="A6C9EC"/>
            <w:noWrap/>
            <w:vAlign w:val="bottom"/>
            <w:hideMark/>
          </w:tcPr>
          <w:p w14:paraId="5E6FF96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"Operating Cash Flow"</w:t>
            </w:r>
          </w:p>
        </w:tc>
        <w:tc>
          <w:tcPr>
            <w:tcW w:w="451" w:type="pct"/>
            <w:vMerge w:val="restart"/>
            <w:tcBorders>
              <w:top w:val="nil"/>
              <w:left w:val="single" w:sz="4" w:space="0" w:color="auto"/>
              <w:bottom w:val="single" w:sz="8" w:space="0" w:color="000000"/>
              <w:right w:val="single" w:sz="4" w:space="0" w:color="auto"/>
            </w:tcBorders>
            <w:shd w:val="clear" w:color="000000" w:fill="A6C9EC"/>
            <w:vAlign w:val="center"/>
            <w:hideMark/>
          </w:tcPr>
          <w:p w14:paraId="08BF319F"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"(Operating Cash Flow/Total Debt)"</w:t>
            </w:r>
          </w:p>
        </w:tc>
        <w:tc>
          <w:tcPr>
            <w:tcW w:w="347" w:type="pct"/>
            <w:tcBorders>
              <w:top w:val="nil"/>
              <w:left w:val="nil"/>
              <w:bottom w:val="single" w:sz="4" w:space="0" w:color="auto"/>
              <w:right w:val="single" w:sz="4" w:space="0" w:color="auto"/>
            </w:tcBorders>
            <w:shd w:val="clear" w:color="000000" w:fill="A6C9EC"/>
            <w:noWrap/>
            <w:vAlign w:val="bottom"/>
            <w:hideMark/>
          </w:tcPr>
          <w:p w14:paraId="29DF4E65"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56,61,641.00 </w:t>
            </w:r>
          </w:p>
        </w:tc>
        <w:tc>
          <w:tcPr>
            <w:tcW w:w="347" w:type="pct"/>
            <w:tcBorders>
              <w:top w:val="nil"/>
              <w:left w:val="nil"/>
              <w:bottom w:val="single" w:sz="4" w:space="0" w:color="auto"/>
              <w:right w:val="single" w:sz="4" w:space="0" w:color="auto"/>
            </w:tcBorders>
            <w:shd w:val="clear" w:color="000000" w:fill="A6C9EC"/>
            <w:noWrap/>
            <w:vAlign w:val="bottom"/>
            <w:hideMark/>
          </w:tcPr>
          <w:p w14:paraId="76CF43E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25,18,760.00 </w:t>
            </w:r>
          </w:p>
        </w:tc>
        <w:tc>
          <w:tcPr>
            <w:tcW w:w="347" w:type="pct"/>
            <w:tcBorders>
              <w:top w:val="nil"/>
              <w:left w:val="nil"/>
              <w:bottom w:val="single" w:sz="4" w:space="0" w:color="auto"/>
              <w:right w:val="single" w:sz="4" w:space="0" w:color="auto"/>
            </w:tcBorders>
            <w:shd w:val="clear" w:color="000000" w:fill="A6C9EC"/>
            <w:noWrap/>
            <w:vAlign w:val="bottom"/>
            <w:hideMark/>
          </w:tcPr>
          <w:p w14:paraId="086D764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1,06,27,311.00 </w:t>
            </w:r>
          </w:p>
        </w:tc>
        <w:tc>
          <w:tcPr>
            <w:tcW w:w="347" w:type="pct"/>
            <w:tcBorders>
              <w:top w:val="nil"/>
              <w:left w:val="nil"/>
              <w:bottom w:val="single" w:sz="4" w:space="0" w:color="auto"/>
              <w:right w:val="single" w:sz="4" w:space="0" w:color="auto"/>
            </w:tcBorders>
            <w:shd w:val="clear" w:color="000000" w:fill="A6C9EC"/>
            <w:noWrap/>
            <w:vAlign w:val="bottom"/>
            <w:hideMark/>
          </w:tcPr>
          <w:p w14:paraId="6A60190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11,76,416.00 </w:t>
            </w:r>
          </w:p>
        </w:tc>
        <w:tc>
          <w:tcPr>
            <w:tcW w:w="347" w:type="pct"/>
            <w:tcBorders>
              <w:top w:val="nil"/>
              <w:left w:val="nil"/>
              <w:bottom w:val="single" w:sz="4" w:space="0" w:color="auto"/>
              <w:right w:val="single" w:sz="8" w:space="0" w:color="auto"/>
            </w:tcBorders>
            <w:shd w:val="clear" w:color="000000" w:fill="A6C9EC"/>
            <w:noWrap/>
            <w:vAlign w:val="bottom"/>
            <w:hideMark/>
          </w:tcPr>
          <w:p w14:paraId="03ADE09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4,09,807.00 </w:t>
            </w:r>
          </w:p>
        </w:tc>
        <w:tc>
          <w:tcPr>
            <w:tcW w:w="39" w:type="pct"/>
            <w:vAlign w:val="center"/>
            <w:hideMark/>
          </w:tcPr>
          <w:p w14:paraId="408DC4AA"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ABE0EC9" w14:textId="77777777" w:rsidTr="00076D53">
        <w:trPr>
          <w:trHeight w:val="300"/>
        </w:trPr>
        <w:tc>
          <w:tcPr>
            <w:tcW w:w="306" w:type="pct"/>
            <w:tcBorders>
              <w:top w:val="nil"/>
              <w:left w:val="single" w:sz="8" w:space="0" w:color="auto"/>
              <w:bottom w:val="single" w:sz="4" w:space="0" w:color="auto"/>
              <w:right w:val="single" w:sz="4" w:space="0" w:color="auto"/>
            </w:tcBorders>
            <w:shd w:val="clear" w:color="000000" w:fill="A6C9EC"/>
            <w:noWrap/>
            <w:vAlign w:val="bottom"/>
            <w:hideMark/>
          </w:tcPr>
          <w:p w14:paraId="3F9B10C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Inventories"</w:t>
            </w:r>
          </w:p>
        </w:tc>
        <w:tc>
          <w:tcPr>
            <w:tcW w:w="473" w:type="pct"/>
            <w:vMerge/>
            <w:tcBorders>
              <w:top w:val="nil"/>
              <w:left w:val="single" w:sz="4" w:space="0" w:color="auto"/>
              <w:bottom w:val="single" w:sz="8" w:space="0" w:color="000000"/>
              <w:right w:val="single" w:sz="4" w:space="0" w:color="auto"/>
            </w:tcBorders>
            <w:vAlign w:val="center"/>
            <w:hideMark/>
          </w:tcPr>
          <w:p w14:paraId="3ADF7577"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29AA218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1,97,91,007.00 </w:t>
            </w:r>
          </w:p>
        </w:tc>
        <w:tc>
          <w:tcPr>
            <w:tcW w:w="347" w:type="pct"/>
            <w:tcBorders>
              <w:top w:val="nil"/>
              <w:left w:val="nil"/>
              <w:bottom w:val="single" w:sz="4" w:space="0" w:color="auto"/>
              <w:right w:val="single" w:sz="4" w:space="0" w:color="auto"/>
            </w:tcBorders>
            <w:shd w:val="clear" w:color="000000" w:fill="A6C9EC"/>
            <w:noWrap/>
            <w:vAlign w:val="bottom"/>
            <w:hideMark/>
          </w:tcPr>
          <w:p w14:paraId="7ED54D4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1,74,00,346.00 </w:t>
            </w:r>
          </w:p>
        </w:tc>
        <w:tc>
          <w:tcPr>
            <w:tcW w:w="347" w:type="pct"/>
            <w:tcBorders>
              <w:top w:val="nil"/>
              <w:left w:val="nil"/>
              <w:bottom w:val="single" w:sz="4" w:space="0" w:color="auto"/>
              <w:right w:val="single" w:sz="4" w:space="0" w:color="auto"/>
            </w:tcBorders>
            <w:shd w:val="clear" w:color="000000" w:fill="A6C9EC"/>
            <w:noWrap/>
            <w:vAlign w:val="bottom"/>
            <w:hideMark/>
          </w:tcPr>
          <w:p w14:paraId="5803563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1,42,91,216.00 </w:t>
            </w:r>
          </w:p>
        </w:tc>
        <w:tc>
          <w:tcPr>
            <w:tcW w:w="347" w:type="pct"/>
            <w:tcBorders>
              <w:top w:val="nil"/>
              <w:left w:val="nil"/>
              <w:bottom w:val="single" w:sz="4" w:space="0" w:color="auto"/>
              <w:right w:val="single" w:sz="4" w:space="0" w:color="auto"/>
            </w:tcBorders>
            <w:shd w:val="clear" w:color="000000" w:fill="A6C9EC"/>
            <w:noWrap/>
            <w:vAlign w:val="bottom"/>
            <w:hideMark/>
          </w:tcPr>
          <w:p w14:paraId="130F74B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1,16,45,641.00 </w:t>
            </w:r>
          </w:p>
        </w:tc>
        <w:tc>
          <w:tcPr>
            <w:tcW w:w="347" w:type="pct"/>
            <w:tcBorders>
              <w:top w:val="nil"/>
              <w:left w:val="nil"/>
              <w:bottom w:val="single" w:sz="4" w:space="0" w:color="auto"/>
              <w:right w:val="single" w:sz="8" w:space="0" w:color="auto"/>
            </w:tcBorders>
            <w:shd w:val="clear" w:color="000000" w:fill="A6C9EC"/>
            <w:noWrap/>
            <w:vAlign w:val="bottom"/>
            <w:hideMark/>
          </w:tcPr>
          <w:p w14:paraId="52FC75AE"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1,13,33,734.00 </w:t>
            </w:r>
          </w:p>
        </w:tc>
        <w:tc>
          <w:tcPr>
            <w:tcW w:w="260" w:type="pct"/>
            <w:tcBorders>
              <w:top w:val="nil"/>
              <w:left w:val="nil"/>
              <w:bottom w:val="single" w:sz="4" w:space="0" w:color="auto"/>
              <w:right w:val="single" w:sz="4" w:space="0" w:color="auto"/>
            </w:tcBorders>
            <w:shd w:val="clear" w:color="000000" w:fill="A6C9EC"/>
            <w:noWrap/>
            <w:vAlign w:val="bottom"/>
            <w:hideMark/>
          </w:tcPr>
          <w:p w14:paraId="3A3B63B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Total Debt"</w:t>
            </w:r>
          </w:p>
        </w:tc>
        <w:tc>
          <w:tcPr>
            <w:tcW w:w="451" w:type="pct"/>
            <w:vMerge/>
            <w:tcBorders>
              <w:top w:val="nil"/>
              <w:left w:val="single" w:sz="4" w:space="0" w:color="auto"/>
              <w:bottom w:val="single" w:sz="8" w:space="0" w:color="000000"/>
              <w:right w:val="single" w:sz="4" w:space="0" w:color="auto"/>
            </w:tcBorders>
            <w:vAlign w:val="center"/>
            <w:hideMark/>
          </w:tcPr>
          <w:p w14:paraId="136D0C3F"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4" w:space="0" w:color="auto"/>
              <w:right w:val="single" w:sz="4" w:space="0" w:color="auto"/>
            </w:tcBorders>
            <w:shd w:val="clear" w:color="000000" w:fill="A6C9EC"/>
            <w:noWrap/>
            <w:vAlign w:val="bottom"/>
            <w:hideMark/>
          </w:tcPr>
          <w:p w14:paraId="597B792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21,95,22,496.00 </w:t>
            </w:r>
          </w:p>
        </w:tc>
        <w:tc>
          <w:tcPr>
            <w:tcW w:w="347" w:type="pct"/>
            <w:tcBorders>
              <w:top w:val="nil"/>
              <w:left w:val="nil"/>
              <w:bottom w:val="single" w:sz="4" w:space="0" w:color="auto"/>
              <w:right w:val="single" w:sz="4" w:space="0" w:color="auto"/>
            </w:tcBorders>
            <w:shd w:val="clear" w:color="000000" w:fill="A6C9EC"/>
            <w:noWrap/>
            <w:vAlign w:val="bottom"/>
            <w:hideMark/>
          </w:tcPr>
          <w:p w14:paraId="70E44DD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18,06,53,915.00 </w:t>
            </w:r>
          </w:p>
        </w:tc>
        <w:tc>
          <w:tcPr>
            <w:tcW w:w="347" w:type="pct"/>
            <w:tcBorders>
              <w:top w:val="nil"/>
              <w:left w:val="nil"/>
              <w:bottom w:val="single" w:sz="4" w:space="0" w:color="auto"/>
              <w:right w:val="single" w:sz="4" w:space="0" w:color="auto"/>
            </w:tcBorders>
            <w:shd w:val="clear" w:color="000000" w:fill="A6C9EC"/>
            <w:noWrap/>
            <w:vAlign w:val="bottom"/>
            <w:hideMark/>
          </w:tcPr>
          <w:p w14:paraId="018C4965"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16,48,45,917.00 </w:t>
            </w:r>
          </w:p>
        </w:tc>
        <w:tc>
          <w:tcPr>
            <w:tcW w:w="347" w:type="pct"/>
            <w:tcBorders>
              <w:top w:val="nil"/>
              <w:left w:val="nil"/>
              <w:bottom w:val="single" w:sz="4" w:space="0" w:color="auto"/>
              <w:right w:val="single" w:sz="4" w:space="0" w:color="auto"/>
            </w:tcBorders>
            <w:shd w:val="clear" w:color="000000" w:fill="A6C9EC"/>
            <w:noWrap/>
            <w:vAlign w:val="bottom"/>
            <w:hideMark/>
          </w:tcPr>
          <w:p w14:paraId="7DE8520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15,13,30,626.00 </w:t>
            </w:r>
          </w:p>
        </w:tc>
        <w:tc>
          <w:tcPr>
            <w:tcW w:w="347" w:type="pct"/>
            <w:tcBorders>
              <w:top w:val="nil"/>
              <w:left w:val="nil"/>
              <w:bottom w:val="single" w:sz="4" w:space="0" w:color="auto"/>
              <w:right w:val="single" w:sz="8" w:space="0" w:color="auto"/>
            </w:tcBorders>
            <w:shd w:val="clear" w:color="000000" w:fill="A6C9EC"/>
            <w:noWrap/>
            <w:vAlign w:val="bottom"/>
            <w:hideMark/>
          </w:tcPr>
          <w:p w14:paraId="549FA21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13,30,03,242.00 </w:t>
            </w:r>
          </w:p>
        </w:tc>
        <w:tc>
          <w:tcPr>
            <w:tcW w:w="39" w:type="pct"/>
            <w:vAlign w:val="center"/>
            <w:hideMark/>
          </w:tcPr>
          <w:p w14:paraId="0B19758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5F791C64" w14:textId="77777777" w:rsidTr="00076D53">
        <w:trPr>
          <w:trHeight w:val="324"/>
        </w:trPr>
        <w:tc>
          <w:tcPr>
            <w:tcW w:w="306" w:type="pct"/>
            <w:tcBorders>
              <w:top w:val="nil"/>
              <w:left w:val="single" w:sz="8" w:space="0" w:color="auto"/>
              <w:bottom w:val="single" w:sz="8" w:space="0" w:color="auto"/>
              <w:right w:val="single" w:sz="4" w:space="0" w:color="auto"/>
            </w:tcBorders>
            <w:shd w:val="clear" w:color="000000" w:fill="A6C9EC"/>
            <w:noWrap/>
            <w:vAlign w:val="bottom"/>
            <w:hideMark/>
          </w:tcPr>
          <w:p w14:paraId="184A19F3"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"Inventory Turnover ratio"</w:t>
            </w:r>
          </w:p>
        </w:tc>
        <w:tc>
          <w:tcPr>
            <w:tcW w:w="473" w:type="pct"/>
            <w:vMerge/>
            <w:tcBorders>
              <w:top w:val="nil"/>
              <w:left w:val="single" w:sz="4" w:space="0" w:color="auto"/>
              <w:bottom w:val="single" w:sz="8" w:space="0" w:color="000000"/>
              <w:right w:val="single" w:sz="4" w:space="0" w:color="auto"/>
            </w:tcBorders>
            <w:vAlign w:val="center"/>
            <w:hideMark/>
          </w:tcPr>
          <w:p w14:paraId="6DD24C73"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8" w:space="0" w:color="auto"/>
              <w:right w:val="single" w:sz="4" w:space="0" w:color="auto"/>
            </w:tcBorders>
            <w:shd w:val="clear" w:color="000000" w:fill="A6C9EC"/>
            <w:noWrap/>
            <w:vAlign w:val="bottom"/>
            <w:hideMark/>
          </w:tcPr>
          <w:p w14:paraId="37CBDB6D"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8.85</w:t>
            </w:r>
          </w:p>
        </w:tc>
        <w:tc>
          <w:tcPr>
            <w:tcW w:w="347" w:type="pct"/>
            <w:tcBorders>
              <w:top w:val="nil"/>
              <w:left w:val="nil"/>
              <w:bottom w:val="single" w:sz="8" w:space="0" w:color="auto"/>
              <w:right w:val="single" w:sz="4" w:space="0" w:color="auto"/>
            </w:tcBorders>
            <w:shd w:val="clear" w:color="000000" w:fill="A6C9EC"/>
            <w:noWrap/>
            <w:vAlign w:val="bottom"/>
            <w:hideMark/>
          </w:tcPr>
          <w:p w14:paraId="22ADC3FC"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9.35</w:t>
            </w:r>
          </w:p>
        </w:tc>
        <w:tc>
          <w:tcPr>
            <w:tcW w:w="347" w:type="pct"/>
            <w:tcBorders>
              <w:top w:val="nil"/>
              <w:left w:val="nil"/>
              <w:bottom w:val="single" w:sz="8" w:space="0" w:color="auto"/>
              <w:right w:val="single" w:sz="4" w:space="0" w:color="auto"/>
            </w:tcBorders>
            <w:shd w:val="clear" w:color="000000" w:fill="A6C9EC"/>
            <w:noWrap/>
            <w:vAlign w:val="bottom"/>
            <w:hideMark/>
          </w:tcPr>
          <w:p w14:paraId="7F4456C9"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9.97</w:t>
            </w:r>
          </w:p>
        </w:tc>
        <w:tc>
          <w:tcPr>
            <w:tcW w:w="347" w:type="pct"/>
            <w:tcBorders>
              <w:top w:val="nil"/>
              <w:left w:val="nil"/>
              <w:bottom w:val="single" w:sz="8" w:space="0" w:color="auto"/>
              <w:right w:val="single" w:sz="4" w:space="0" w:color="auto"/>
            </w:tcBorders>
            <w:shd w:val="clear" w:color="000000" w:fill="A6C9EC"/>
            <w:noWrap/>
            <w:vAlign w:val="bottom"/>
            <w:hideMark/>
          </w:tcPr>
          <w:p w14:paraId="7BC25EB8"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10.10</w:t>
            </w:r>
          </w:p>
        </w:tc>
        <w:tc>
          <w:tcPr>
            <w:tcW w:w="347" w:type="pct"/>
            <w:tcBorders>
              <w:top w:val="nil"/>
              <w:left w:val="nil"/>
              <w:bottom w:val="single" w:sz="8" w:space="0" w:color="auto"/>
              <w:right w:val="single" w:sz="8" w:space="0" w:color="auto"/>
            </w:tcBorders>
            <w:shd w:val="clear" w:color="000000" w:fill="A6C9EC"/>
            <w:noWrap/>
            <w:vAlign w:val="bottom"/>
            <w:hideMark/>
          </w:tcPr>
          <w:p w14:paraId="6AB8A2DD"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9.18</w:t>
            </w:r>
          </w:p>
        </w:tc>
        <w:tc>
          <w:tcPr>
            <w:tcW w:w="260" w:type="pct"/>
            <w:tcBorders>
              <w:top w:val="nil"/>
              <w:left w:val="nil"/>
              <w:bottom w:val="single" w:sz="8" w:space="0" w:color="auto"/>
              <w:right w:val="single" w:sz="4" w:space="0" w:color="auto"/>
            </w:tcBorders>
            <w:shd w:val="clear" w:color="000000" w:fill="A6C9EC"/>
            <w:noWrap/>
            <w:vAlign w:val="bottom"/>
            <w:hideMark/>
          </w:tcPr>
          <w:p w14:paraId="484CF963"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"Cash Flow to Debt Ratio"</w:t>
            </w:r>
          </w:p>
        </w:tc>
        <w:tc>
          <w:tcPr>
            <w:tcW w:w="451" w:type="pct"/>
            <w:vMerge/>
            <w:tcBorders>
              <w:top w:val="nil"/>
              <w:left w:val="single" w:sz="4" w:space="0" w:color="auto"/>
              <w:bottom w:val="single" w:sz="8" w:space="0" w:color="000000"/>
              <w:right w:val="single" w:sz="4" w:space="0" w:color="auto"/>
            </w:tcBorders>
            <w:vAlign w:val="center"/>
            <w:hideMark/>
          </w:tcPr>
          <w:p w14:paraId="4C082388" w14:textId="77777777" w:rsidR="00076D53" w:rsidRPr="00C900C3" w:rsidRDefault="00076D53" w:rsidP="00076D53">
            <w:pPr>
              <w:spacing w:before="0" w:after="0" w:line="240" w:lineRule="auto"/>
              <w:jc w:val="left"/>
              <w:rPr>
                <w:rFonts w:ascii="Arial" w:hAnsi="Arial" w:cs="Arial"/>
                <w:b/>
                <w:bCs/>
                <w:color w:val="000000"/>
                <w:lang w:val="en-IN"/>
              </w:rPr>
            </w:pPr>
          </w:p>
        </w:tc>
        <w:tc>
          <w:tcPr>
            <w:tcW w:w="347" w:type="pct"/>
            <w:tcBorders>
              <w:top w:val="nil"/>
              <w:left w:val="nil"/>
              <w:bottom w:val="single" w:sz="8" w:space="0" w:color="auto"/>
              <w:right w:val="single" w:sz="4" w:space="0" w:color="auto"/>
            </w:tcBorders>
            <w:shd w:val="clear" w:color="000000" w:fill="A6C9EC"/>
            <w:noWrap/>
            <w:vAlign w:val="bottom"/>
            <w:hideMark/>
          </w:tcPr>
          <w:p w14:paraId="6F47E6B4"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-0.03</w:t>
            </w:r>
          </w:p>
        </w:tc>
        <w:tc>
          <w:tcPr>
            <w:tcW w:w="347" w:type="pct"/>
            <w:tcBorders>
              <w:top w:val="nil"/>
              <w:left w:val="nil"/>
              <w:bottom w:val="single" w:sz="8" w:space="0" w:color="auto"/>
              <w:right w:val="single" w:sz="4" w:space="0" w:color="auto"/>
            </w:tcBorders>
            <w:shd w:val="clear" w:color="000000" w:fill="A6C9EC"/>
            <w:noWrap/>
            <w:vAlign w:val="bottom"/>
            <w:hideMark/>
          </w:tcPr>
          <w:p w14:paraId="346A807A"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-0.01</w:t>
            </w:r>
          </w:p>
        </w:tc>
        <w:tc>
          <w:tcPr>
            <w:tcW w:w="347" w:type="pct"/>
            <w:tcBorders>
              <w:top w:val="nil"/>
              <w:left w:val="nil"/>
              <w:bottom w:val="single" w:sz="8" w:space="0" w:color="auto"/>
              <w:right w:val="single" w:sz="4" w:space="0" w:color="auto"/>
            </w:tcBorders>
            <w:shd w:val="clear" w:color="000000" w:fill="A6C9EC"/>
            <w:noWrap/>
            <w:vAlign w:val="bottom"/>
            <w:hideMark/>
          </w:tcPr>
          <w:p w14:paraId="74CF902C"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0.06</w:t>
            </w:r>
          </w:p>
        </w:tc>
        <w:tc>
          <w:tcPr>
            <w:tcW w:w="347" w:type="pct"/>
            <w:tcBorders>
              <w:top w:val="nil"/>
              <w:left w:val="nil"/>
              <w:bottom w:val="single" w:sz="8" w:space="0" w:color="auto"/>
              <w:right w:val="single" w:sz="4" w:space="0" w:color="auto"/>
            </w:tcBorders>
            <w:shd w:val="clear" w:color="000000" w:fill="A6C9EC"/>
            <w:noWrap/>
            <w:vAlign w:val="bottom"/>
            <w:hideMark/>
          </w:tcPr>
          <w:p w14:paraId="59DAEF9A"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-0.01</w:t>
            </w:r>
          </w:p>
        </w:tc>
        <w:tc>
          <w:tcPr>
            <w:tcW w:w="347" w:type="pct"/>
            <w:tcBorders>
              <w:top w:val="nil"/>
              <w:left w:val="nil"/>
              <w:bottom w:val="single" w:sz="8" w:space="0" w:color="auto"/>
              <w:right w:val="single" w:sz="8" w:space="0" w:color="auto"/>
            </w:tcBorders>
            <w:shd w:val="clear" w:color="000000" w:fill="A6C9EC"/>
            <w:noWrap/>
            <w:vAlign w:val="bottom"/>
            <w:hideMark/>
          </w:tcPr>
          <w:p w14:paraId="3F26DE75"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0.00</w:t>
            </w:r>
          </w:p>
        </w:tc>
        <w:tc>
          <w:tcPr>
            <w:tcW w:w="39" w:type="pct"/>
            <w:vAlign w:val="center"/>
            <w:hideMark/>
          </w:tcPr>
          <w:p w14:paraId="5130FD7A" w14:textId="77777777" w:rsidR="00076D53" w:rsidRPr="00C900C3" w:rsidRDefault="00076D53" w:rsidP="00076D53">
            <w:pPr>
              <w:spacing w:before="0" w:after="0" w:line="240" w:lineRule="auto"/>
              <w:jc w:val="left"/>
              <w:rPr>
                <w:rFonts w:ascii="Arial" w:hAnsi="Arial" w:cs="Arial"/>
                <w:lang w:val="en-IN"/>
              </w:rPr>
            </w:pPr>
          </w:p>
        </w:tc>
      </w:tr>
    </w:tbl>
    <w:p w14:paraId="2DDC8FB1" w14:textId="77777777" w:rsidR="00B96CFB" w:rsidRPr="00C900C3" w:rsidRDefault="0080051C" w:rsidP="00076D53">
      <w:pPr>
        <w:jc w:val="center"/>
        <w:rPr>
          <w:rFonts w:ascii="Arial" w:hAnsi="Arial" w:cs="Arial"/>
        </w:rPr>
      </w:pPr>
      <w:r w:rsidRPr="00C900C3">
        <w:rPr>
          <w:rFonts w:ascii="Arial" w:hAnsi="Arial" w:cs="Arial"/>
        </w:rPr>
        <w:t>(Source: Excel)</w:t>
      </w:r>
    </w:p>
    <w:tbl>
      <w:tblPr>
        <w:tblW w:w="5000" w:type="pct"/>
        <w:tblLook w:val="04A0" w:firstRow="1" w:lastRow="0" w:firstColumn="1" w:lastColumn="0" w:noHBand="0" w:noVBand="1"/>
      </w:tblPr>
      <w:tblGrid>
        <w:gridCol w:w="2281"/>
        <w:gridCol w:w="1503"/>
        <w:gridCol w:w="1047"/>
        <w:gridCol w:w="1047"/>
        <w:gridCol w:w="1047"/>
        <w:gridCol w:w="1047"/>
        <w:gridCol w:w="1047"/>
      </w:tblGrid>
      <w:tr w:rsidR="00076D53" w:rsidRPr="00C900C3" w14:paraId="5BD667DE" w14:textId="77777777" w:rsidTr="00076D53">
        <w:trPr>
          <w:trHeight w:val="312"/>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DAF42F"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 Operating Cycle"</w:t>
            </w:r>
          </w:p>
        </w:tc>
      </w:tr>
      <w:tr w:rsidR="00076D53" w:rsidRPr="00C900C3" w14:paraId="2E40EB0B" w14:textId="77777777" w:rsidTr="00076D53">
        <w:trPr>
          <w:trHeight w:val="312"/>
        </w:trPr>
        <w:tc>
          <w:tcPr>
            <w:tcW w:w="1265" w:type="pct"/>
            <w:tcBorders>
              <w:top w:val="nil"/>
              <w:left w:val="single" w:sz="4" w:space="0" w:color="auto"/>
              <w:bottom w:val="single" w:sz="4" w:space="0" w:color="auto"/>
              <w:right w:val="single" w:sz="4" w:space="0" w:color="auto"/>
            </w:tcBorders>
            <w:shd w:val="clear" w:color="000000" w:fill="A6C9EC"/>
            <w:noWrap/>
            <w:vAlign w:val="bottom"/>
            <w:hideMark/>
          </w:tcPr>
          <w:p w14:paraId="4B5BA3B6"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"Financial aspects"</w:t>
            </w:r>
          </w:p>
        </w:tc>
        <w:tc>
          <w:tcPr>
            <w:tcW w:w="833" w:type="pct"/>
            <w:tcBorders>
              <w:top w:val="nil"/>
              <w:left w:val="nil"/>
              <w:bottom w:val="single" w:sz="4" w:space="0" w:color="auto"/>
              <w:right w:val="single" w:sz="4" w:space="0" w:color="auto"/>
            </w:tcBorders>
            <w:shd w:val="clear" w:color="000000" w:fill="A6C9EC"/>
            <w:noWrap/>
            <w:vAlign w:val="bottom"/>
            <w:hideMark/>
          </w:tcPr>
          <w:p w14:paraId="15A464D2"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"Formula"</w:t>
            </w:r>
          </w:p>
        </w:tc>
        <w:tc>
          <w:tcPr>
            <w:tcW w:w="580" w:type="pct"/>
            <w:tcBorders>
              <w:top w:val="nil"/>
              <w:left w:val="nil"/>
              <w:bottom w:val="single" w:sz="4" w:space="0" w:color="auto"/>
              <w:right w:val="single" w:sz="4" w:space="0" w:color="auto"/>
            </w:tcBorders>
            <w:shd w:val="clear" w:color="000000" w:fill="A6C9EC"/>
            <w:noWrap/>
            <w:vAlign w:val="bottom"/>
            <w:hideMark/>
          </w:tcPr>
          <w:p w14:paraId="5EBC8EC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2024</w:t>
            </w:r>
          </w:p>
        </w:tc>
        <w:tc>
          <w:tcPr>
            <w:tcW w:w="580" w:type="pct"/>
            <w:tcBorders>
              <w:top w:val="nil"/>
              <w:left w:val="nil"/>
              <w:bottom w:val="single" w:sz="4" w:space="0" w:color="auto"/>
              <w:right w:val="single" w:sz="4" w:space="0" w:color="auto"/>
            </w:tcBorders>
            <w:shd w:val="clear" w:color="000000" w:fill="A6C9EC"/>
            <w:noWrap/>
            <w:vAlign w:val="bottom"/>
            <w:hideMark/>
          </w:tcPr>
          <w:p w14:paraId="02BD3A04"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2023</w:t>
            </w:r>
          </w:p>
        </w:tc>
        <w:tc>
          <w:tcPr>
            <w:tcW w:w="580" w:type="pct"/>
            <w:tcBorders>
              <w:top w:val="nil"/>
              <w:left w:val="nil"/>
              <w:bottom w:val="single" w:sz="4" w:space="0" w:color="auto"/>
              <w:right w:val="single" w:sz="4" w:space="0" w:color="auto"/>
            </w:tcBorders>
            <w:shd w:val="clear" w:color="000000" w:fill="A6C9EC"/>
            <w:noWrap/>
            <w:vAlign w:val="bottom"/>
            <w:hideMark/>
          </w:tcPr>
          <w:p w14:paraId="30674BE6"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2022</w:t>
            </w:r>
          </w:p>
        </w:tc>
        <w:tc>
          <w:tcPr>
            <w:tcW w:w="580" w:type="pct"/>
            <w:tcBorders>
              <w:top w:val="nil"/>
              <w:left w:val="nil"/>
              <w:bottom w:val="single" w:sz="4" w:space="0" w:color="auto"/>
              <w:right w:val="single" w:sz="4" w:space="0" w:color="auto"/>
            </w:tcBorders>
            <w:shd w:val="clear" w:color="000000" w:fill="A6C9EC"/>
            <w:noWrap/>
            <w:vAlign w:val="bottom"/>
            <w:hideMark/>
          </w:tcPr>
          <w:p w14:paraId="05D782F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2021</w:t>
            </w:r>
          </w:p>
        </w:tc>
        <w:tc>
          <w:tcPr>
            <w:tcW w:w="580" w:type="pct"/>
            <w:tcBorders>
              <w:top w:val="nil"/>
              <w:left w:val="nil"/>
              <w:bottom w:val="single" w:sz="4" w:space="0" w:color="auto"/>
              <w:right w:val="single" w:sz="4" w:space="0" w:color="auto"/>
            </w:tcBorders>
            <w:shd w:val="clear" w:color="000000" w:fill="A6C9EC"/>
            <w:noWrap/>
            <w:vAlign w:val="bottom"/>
            <w:hideMark/>
          </w:tcPr>
          <w:p w14:paraId="37C8D284"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2020</w:t>
            </w:r>
          </w:p>
        </w:tc>
      </w:tr>
      <w:tr w:rsidR="00076D53" w:rsidRPr="00C900C3" w14:paraId="26CB12BD" w14:textId="77777777" w:rsidTr="00076D53">
        <w:trPr>
          <w:trHeight w:val="312"/>
        </w:trPr>
        <w:tc>
          <w:tcPr>
            <w:tcW w:w="1265" w:type="pct"/>
            <w:tcBorders>
              <w:top w:val="nil"/>
              <w:left w:val="single" w:sz="4" w:space="0" w:color="auto"/>
              <w:bottom w:val="single" w:sz="4" w:space="0" w:color="auto"/>
              <w:right w:val="single" w:sz="4" w:space="0" w:color="auto"/>
            </w:tcBorders>
            <w:shd w:val="clear" w:color="000000" w:fill="A6C9EC"/>
            <w:noWrap/>
            <w:vAlign w:val="bottom"/>
            <w:hideMark/>
          </w:tcPr>
          <w:p w14:paraId="0B85DDB7"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1. Inventory Days (Inventory Holding Period)</w:t>
            </w:r>
          </w:p>
        </w:tc>
        <w:tc>
          <w:tcPr>
            <w:tcW w:w="833" w:type="pct"/>
            <w:vMerge w:val="restart"/>
            <w:tcBorders>
              <w:top w:val="nil"/>
              <w:left w:val="single" w:sz="4" w:space="0" w:color="auto"/>
              <w:bottom w:val="single" w:sz="4" w:space="0" w:color="auto"/>
              <w:right w:val="single" w:sz="4" w:space="0" w:color="auto"/>
            </w:tcBorders>
            <w:shd w:val="clear" w:color="000000" w:fill="A6C9EC"/>
            <w:vAlign w:val="center"/>
            <w:hideMark/>
          </w:tcPr>
          <w:p w14:paraId="29976B5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(Inventory/</w:t>
            </w:r>
            <w:proofErr w:type="gramStart"/>
            <w:r w:rsidRPr="00C900C3">
              <w:rPr>
                <w:rFonts w:ascii="Arial" w:hAnsi="Arial" w:cs="Arial"/>
                <w:color w:val="000000"/>
                <w:lang w:val="en-IN"/>
              </w:rPr>
              <w:t>Sales)*</w:t>
            </w:r>
            <w:proofErr w:type="gramEnd"/>
            <w:r w:rsidRPr="00C900C3">
              <w:rPr>
                <w:rFonts w:ascii="Arial" w:hAnsi="Arial" w:cs="Arial"/>
                <w:color w:val="000000"/>
                <w:lang w:val="en-IN"/>
              </w:rPr>
              <w:t>365</w:t>
            </w:r>
          </w:p>
        </w:tc>
        <w:tc>
          <w:tcPr>
            <w:tcW w:w="2902" w:type="pct"/>
            <w:gridSpan w:val="5"/>
            <w:tcBorders>
              <w:top w:val="single" w:sz="4" w:space="0" w:color="auto"/>
              <w:left w:val="nil"/>
              <w:bottom w:val="single" w:sz="4" w:space="0" w:color="auto"/>
              <w:right w:val="single" w:sz="4" w:space="0" w:color="000000"/>
            </w:tcBorders>
            <w:shd w:val="clear" w:color="000000" w:fill="A6C9EC"/>
            <w:noWrap/>
            <w:vAlign w:val="bottom"/>
            <w:hideMark/>
          </w:tcPr>
          <w:p w14:paraId="30FE4C8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w:t>
            </w:r>
          </w:p>
        </w:tc>
      </w:tr>
      <w:tr w:rsidR="00076D53" w:rsidRPr="00C900C3" w14:paraId="7F410685" w14:textId="77777777" w:rsidTr="00076D53">
        <w:trPr>
          <w:trHeight w:val="300"/>
        </w:trPr>
        <w:tc>
          <w:tcPr>
            <w:tcW w:w="1265" w:type="pct"/>
            <w:tcBorders>
              <w:top w:val="nil"/>
              <w:left w:val="single" w:sz="4" w:space="0" w:color="auto"/>
              <w:bottom w:val="single" w:sz="4" w:space="0" w:color="auto"/>
              <w:right w:val="single" w:sz="4" w:space="0" w:color="auto"/>
            </w:tcBorders>
            <w:shd w:val="clear" w:color="000000" w:fill="A6C9EC"/>
            <w:noWrap/>
            <w:vAlign w:val="bottom"/>
            <w:hideMark/>
          </w:tcPr>
          <w:p w14:paraId="579AB6D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Inventory</w:t>
            </w:r>
          </w:p>
        </w:tc>
        <w:tc>
          <w:tcPr>
            <w:tcW w:w="833" w:type="pct"/>
            <w:vMerge/>
            <w:tcBorders>
              <w:top w:val="nil"/>
              <w:left w:val="single" w:sz="4" w:space="0" w:color="auto"/>
              <w:bottom w:val="single" w:sz="4" w:space="0" w:color="auto"/>
              <w:right w:val="single" w:sz="4" w:space="0" w:color="auto"/>
            </w:tcBorders>
            <w:vAlign w:val="center"/>
            <w:hideMark/>
          </w:tcPr>
          <w:p w14:paraId="65667D86" w14:textId="77777777" w:rsidR="00076D53" w:rsidRPr="00C900C3" w:rsidRDefault="00076D53" w:rsidP="00076D53">
            <w:pPr>
              <w:spacing w:before="0" w:after="0" w:line="240" w:lineRule="auto"/>
              <w:jc w:val="left"/>
              <w:rPr>
                <w:rFonts w:ascii="Arial" w:hAnsi="Arial" w:cs="Arial"/>
                <w:color w:val="000000"/>
                <w:lang w:val="en-IN"/>
              </w:rPr>
            </w:pPr>
          </w:p>
        </w:tc>
        <w:tc>
          <w:tcPr>
            <w:tcW w:w="580" w:type="pct"/>
            <w:tcBorders>
              <w:top w:val="nil"/>
              <w:left w:val="nil"/>
              <w:bottom w:val="single" w:sz="4" w:space="0" w:color="auto"/>
              <w:right w:val="single" w:sz="4" w:space="0" w:color="auto"/>
            </w:tcBorders>
            <w:shd w:val="clear" w:color="000000" w:fill="A6C9EC"/>
            <w:noWrap/>
            <w:vAlign w:val="bottom"/>
            <w:hideMark/>
          </w:tcPr>
          <w:p w14:paraId="27EA68D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w:t>
            </w:r>
            <w:proofErr w:type="gramStart"/>
            <w:r w:rsidRPr="00C900C3">
              <w:rPr>
                <w:rFonts w:ascii="Arial" w:hAnsi="Arial" w:cs="Arial"/>
                <w:color w:val="000000"/>
                <w:lang w:val="en-IN"/>
              </w:rPr>
              <w:t>₩  1</w:t>
            </w:r>
            <w:proofErr w:type="gramEnd"/>
            <w:r w:rsidRPr="00C900C3">
              <w:rPr>
                <w:rFonts w:ascii="Arial" w:hAnsi="Arial" w:cs="Arial"/>
                <w:color w:val="000000"/>
                <w:lang w:val="en-IN"/>
              </w:rPr>
              <w:t xml:space="preserve">,97,91,007.00 </w:t>
            </w:r>
          </w:p>
        </w:tc>
        <w:tc>
          <w:tcPr>
            <w:tcW w:w="580" w:type="pct"/>
            <w:tcBorders>
              <w:top w:val="nil"/>
              <w:left w:val="nil"/>
              <w:bottom w:val="single" w:sz="4" w:space="0" w:color="auto"/>
              <w:right w:val="single" w:sz="4" w:space="0" w:color="auto"/>
            </w:tcBorders>
            <w:shd w:val="clear" w:color="000000" w:fill="A6C9EC"/>
            <w:noWrap/>
            <w:vAlign w:val="bottom"/>
            <w:hideMark/>
          </w:tcPr>
          <w:p w14:paraId="66C45D1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w:t>
            </w:r>
            <w:proofErr w:type="gramStart"/>
            <w:r w:rsidRPr="00C900C3">
              <w:rPr>
                <w:rFonts w:ascii="Arial" w:hAnsi="Arial" w:cs="Arial"/>
                <w:color w:val="000000"/>
                <w:lang w:val="en-IN"/>
              </w:rPr>
              <w:t>₩  1</w:t>
            </w:r>
            <w:proofErr w:type="gramEnd"/>
            <w:r w:rsidRPr="00C900C3">
              <w:rPr>
                <w:rFonts w:ascii="Arial" w:hAnsi="Arial" w:cs="Arial"/>
                <w:color w:val="000000"/>
                <w:lang w:val="en-IN"/>
              </w:rPr>
              <w:t xml:space="preserve">,74,00,346.00 </w:t>
            </w:r>
          </w:p>
        </w:tc>
        <w:tc>
          <w:tcPr>
            <w:tcW w:w="580" w:type="pct"/>
            <w:tcBorders>
              <w:top w:val="nil"/>
              <w:left w:val="nil"/>
              <w:bottom w:val="single" w:sz="4" w:space="0" w:color="auto"/>
              <w:right w:val="single" w:sz="4" w:space="0" w:color="auto"/>
            </w:tcBorders>
            <w:shd w:val="clear" w:color="000000" w:fill="A6C9EC"/>
            <w:noWrap/>
            <w:vAlign w:val="bottom"/>
            <w:hideMark/>
          </w:tcPr>
          <w:p w14:paraId="1635020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w:t>
            </w:r>
            <w:proofErr w:type="gramStart"/>
            <w:r w:rsidRPr="00C900C3">
              <w:rPr>
                <w:rFonts w:ascii="Arial" w:hAnsi="Arial" w:cs="Arial"/>
                <w:color w:val="000000"/>
                <w:lang w:val="en-IN"/>
              </w:rPr>
              <w:t>₩  1</w:t>
            </w:r>
            <w:proofErr w:type="gramEnd"/>
            <w:r w:rsidRPr="00C900C3">
              <w:rPr>
                <w:rFonts w:ascii="Arial" w:hAnsi="Arial" w:cs="Arial"/>
                <w:color w:val="000000"/>
                <w:lang w:val="en-IN"/>
              </w:rPr>
              <w:t xml:space="preserve">,42,91,216.00 </w:t>
            </w:r>
          </w:p>
        </w:tc>
        <w:tc>
          <w:tcPr>
            <w:tcW w:w="580" w:type="pct"/>
            <w:tcBorders>
              <w:top w:val="nil"/>
              <w:left w:val="nil"/>
              <w:bottom w:val="single" w:sz="4" w:space="0" w:color="auto"/>
              <w:right w:val="single" w:sz="4" w:space="0" w:color="auto"/>
            </w:tcBorders>
            <w:shd w:val="clear" w:color="000000" w:fill="A6C9EC"/>
            <w:noWrap/>
            <w:vAlign w:val="bottom"/>
            <w:hideMark/>
          </w:tcPr>
          <w:p w14:paraId="0A9C380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w:t>
            </w:r>
            <w:proofErr w:type="gramStart"/>
            <w:r w:rsidRPr="00C900C3">
              <w:rPr>
                <w:rFonts w:ascii="Arial" w:hAnsi="Arial" w:cs="Arial"/>
                <w:color w:val="000000"/>
                <w:lang w:val="en-IN"/>
              </w:rPr>
              <w:t>₩  1</w:t>
            </w:r>
            <w:proofErr w:type="gramEnd"/>
            <w:r w:rsidRPr="00C900C3">
              <w:rPr>
                <w:rFonts w:ascii="Arial" w:hAnsi="Arial" w:cs="Arial"/>
                <w:color w:val="000000"/>
                <w:lang w:val="en-IN"/>
              </w:rPr>
              <w:t xml:space="preserve">,16,45,641.00 </w:t>
            </w:r>
          </w:p>
        </w:tc>
        <w:tc>
          <w:tcPr>
            <w:tcW w:w="580" w:type="pct"/>
            <w:tcBorders>
              <w:top w:val="nil"/>
              <w:left w:val="nil"/>
              <w:bottom w:val="single" w:sz="4" w:space="0" w:color="auto"/>
              <w:right w:val="single" w:sz="4" w:space="0" w:color="auto"/>
            </w:tcBorders>
            <w:shd w:val="clear" w:color="000000" w:fill="A6C9EC"/>
            <w:noWrap/>
            <w:vAlign w:val="bottom"/>
            <w:hideMark/>
          </w:tcPr>
          <w:p w14:paraId="261E9B85"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w:t>
            </w:r>
            <w:proofErr w:type="gramStart"/>
            <w:r w:rsidRPr="00C900C3">
              <w:rPr>
                <w:rFonts w:ascii="Arial" w:hAnsi="Arial" w:cs="Arial"/>
                <w:color w:val="000000"/>
                <w:lang w:val="en-IN"/>
              </w:rPr>
              <w:t>₩  1</w:t>
            </w:r>
            <w:proofErr w:type="gramEnd"/>
            <w:r w:rsidRPr="00C900C3">
              <w:rPr>
                <w:rFonts w:ascii="Arial" w:hAnsi="Arial" w:cs="Arial"/>
                <w:color w:val="000000"/>
                <w:lang w:val="en-IN"/>
              </w:rPr>
              <w:t xml:space="preserve">,13,33,734.00 </w:t>
            </w:r>
          </w:p>
        </w:tc>
      </w:tr>
      <w:tr w:rsidR="00076D53" w:rsidRPr="00C900C3" w14:paraId="6E43105E" w14:textId="77777777" w:rsidTr="00076D53">
        <w:trPr>
          <w:trHeight w:val="300"/>
        </w:trPr>
        <w:tc>
          <w:tcPr>
            <w:tcW w:w="1265" w:type="pct"/>
            <w:tcBorders>
              <w:top w:val="nil"/>
              <w:left w:val="single" w:sz="4" w:space="0" w:color="auto"/>
              <w:bottom w:val="single" w:sz="4" w:space="0" w:color="auto"/>
              <w:right w:val="single" w:sz="4" w:space="0" w:color="auto"/>
            </w:tcBorders>
            <w:shd w:val="clear" w:color="000000" w:fill="A6C9EC"/>
            <w:noWrap/>
            <w:vAlign w:val="bottom"/>
            <w:hideMark/>
          </w:tcPr>
          <w:p w14:paraId="7CA407E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lastRenderedPageBreak/>
              <w:t>(/): Sales</w:t>
            </w:r>
          </w:p>
        </w:tc>
        <w:tc>
          <w:tcPr>
            <w:tcW w:w="833" w:type="pct"/>
            <w:vMerge/>
            <w:tcBorders>
              <w:top w:val="nil"/>
              <w:left w:val="single" w:sz="4" w:space="0" w:color="auto"/>
              <w:bottom w:val="single" w:sz="4" w:space="0" w:color="auto"/>
              <w:right w:val="single" w:sz="4" w:space="0" w:color="auto"/>
            </w:tcBorders>
            <w:vAlign w:val="center"/>
            <w:hideMark/>
          </w:tcPr>
          <w:p w14:paraId="3BD06F8E" w14:textId="77777777" w:rsidR="00076D53" w:rsidRPr="00C900C3" w:rsidRDefault="00076D53" w:rsidP="00076D53">
            <w:pPr>
              <w:spacing w:before="0" w:after="0" w:line="240" w:lineRule="auto"/>
              <w:jc w:val="left"/>
              <w:rPr>
                <w:rFonts w:ascii="Arial" w:hAnsi="Arial" w:cs="Arial"/>
                <w:color w:val="000000"/>
                <w:lang w:val="en-IN"/>
              </w:rPr>
            </w:pPr>
          </w:p>
        </w:tc>
        <w:tc>
          <w:tcPr>
            <w:tcW w:w="580" w:type="pct"/>
            <w:tcBorders>
              <w:top w:val="nil"/>
              <w:left w:val="nil"/>
              <w:bottom w:val="single" w:sz="4" w:space="0" w:color="auto"/>
              <w:right w:val="single" w:sz="4" w:space="0" w:color="auto"/>
            </w:tcBorders>
            <w:shd w:val="clear" w:color="000000" w:fill="A6C9EC"/>
            <w:noWrap/>
            <w:vAlign w:val="bottom"/>
            <w:hideMark/>
          </w:tcPr>
          <w:p w14:paraId="4654627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17,52,31,153.00 </w:t>
            </w:r>
          </w:p>
        </w:tc>
        <w:tc>
          <w:tcPr>
            <w:tcW w:w="580" w:type="pct"/>
            <w:tcBorders>
              <w:top w:val="nil"/>
              <w:left w:val="nil"/>
              <w:bottom w:val="single" w:sz="4" w:space="0" w:color="auto"/>
              <w:right w:val="single" w:sz="4" w:space="0" w:color="auto"/>
            </w:tcBorders>
            <w:shd w:val="clear" w:color="000000" w:fill="A6C9EC"/>
            <w:noWrap/>
            <w:vAlign w:val="bottom"/>
            <w:hideMark/>
          </w:tcPr>
          <w:p w14:paraId="2E516A4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16,26,63,579.00 </w:t>
            </w:r>
          </w:p>
        </w:tc>
        <w:tc>
          <w:tcPr>
            <w:tcW w:w="580" w:type="pct"/>
            <w:tcBorders>
              <w:top w:val="nil"/>
              <w:left w:val="nil"/>
              <w:bottom w:val="single" w:sz="4" w:space="0" w:color="auto"/>
              <w:right w:val="single" w:sz="4" w:space="0" w:color="auto"/>
            </w:tcBorders>
            <w:shd w:val="clear" w:color="000000" w:fill="A6C9EC"/>
            <w:noWrap/>
            <w:vAlign w:val="bottom"/>
            <w:hideMark/>
          </w:tcPr>
          <w:p w14:paraId="046829B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14,25,27,535.00 </w:t>
            </w:r>
          </w:p>
        </w:tc>
        <w:tc>
          <w:tcPr>
            <w:tcW w:w="580" w:type="pct"/>
            <w:tcBorders>
              <w:top w:val="nil"/>
              <w:left w:val="nil"/>
              <w:bottom w:val="single" w:sz="4" w:space="0" w:color="auto"/>
              <w:right w:val="single" w:sz="4" w:space="0" w:color="auto"/>
            </w:tcBorders>
            <w:shd w:val="clear" w:color="000000" w:fill="A6C9EC"/>
            <w:noWrap/>
            <w:vAlign w:val="bottom"/>
            <w:hideMark/>
          </w:tcPr>
          <w:p w14:paraId="2B14791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11,76,10,626.00 </w:t>
            </w:r>
          </w:p>
        </w:tc>
        <w:tc>
          <w:tcPr>
            <w:tcW w:w="580" w:type="pct"/>
            <w:tcBorders>
              <w:top w:val="nil"/>
              <w:left w:val="nil"/>
              <w:bottom w:val="single" w:sz="4" w:space="0" w:color="auto"/>
              <w:right w:val="single" w:sz="4" w:space="0" w:color="auto"/>
            </w:tcBorders>
            <w:shd w:val="clear" w:color="000000" w:fill="A6C9EC"/>
            <w:noWrap/>
            <w:vAlign w:val="bottom"/>
            <w:hideMark/>
          </w:tcPr>
          <w:p w14:paraId="4B754E2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10,39,97,601.00 </w:t>
            </w:r>
          </w:p>
        </w:tc>
      </w:tr>
      <w:tr w:rsidR="00076D53" w:rsidRPr="00C900C3" w14:paraId="28098404" w14:textId="77777777" w:rsidTr="00076D53">
        <w:trPr>
          <w:trHeight w:val="312"/>
        </w:trPr>
        <w:tc>
          <w:tcPr>
            <w:tcW w:w="1265" w:type="pct"/>
            <w:tcBorders>
              <w:top w:val="nil"/>
              <w:left w:val="single" w:sz="4" w:space="0" w:color="auto"/>
              <w:bottom w:val="single" w:sz="4" w:space="0" w:color="auto"/>
              <w:right w:val="single" w:sz="4" w:space="0" w:color="auto"/>
            </w:tcBorders>
            <w:shd w:val="clear" w:color="000000" w:fill="A6C9EC"/>
            <w:noWrap/>
            <w:vAlign w:val="bottom"/>
            <w:hideMark/>
          </w:tcPr>
          <w:p w14:paraId="1DD7D1D3"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Inventory Days</w:t>
            </w:r>
          </w:p>
        </w:tc>
        <w:tc>
          <w:tcPr>
            <w:tcW w:w="833" w:type="pct"/>
            <w:vMerge/>
            <w:tcBorders>
              <w:top w:val="nil"/>
              <w:left w:val="single" w:sz="4" w:space="0" w:color="auto"/>
              <w:bottom w:val="single" w:sz="4" w:space="0" w:color="auto"/>
              <w:right w:val="single" w:sz="4" w:space="0" w:color="auto"/>
            </w:tcBorders>
            <w:vAlign w:val="center"/>
            <w:hideMark/>
          </w:tcPr>
          <w:p w14:paraId="7B993FE0" w14:textId="77777777" w:rsidR="00076D53" w:rsidRPr="00C900C3" w:rsidRDefault="00076D53" w:rsidP="00076D53">
            <w:pPr>
              <w:spacing w:before="0" w:after="0" w:line="240" w:lineRule="auto"/>
              <w:jc w:val="left"/>
              <w:rPr>
                <w:rFonts w:ascii="Arial" w:hAnsi="Arial" w:cs="Arial"/>
                <w:color w:val="000000"/>
                <w:lang w:val="en-IN"/>
              </w:rPr>
            </w:pPr>
          </w:p>
        </w:tc>
        <w:tc>
          <w:tcPr>
            <w:tcW w:w="580" w:type="pct"/>
            <w:tcBorders>
              <w:top w:val="nil"/>
              <w:left w:val="nil"/>
              <w:bottom w:val="single" w:sz="4" w:space="0" w:color="auto"/>
              <w:right w:val="single" w:sz="4" w:space="0" w:color="auto"/>
            </w:tcBorders>
            <w:shd w:val="clear" w:color="000000" w:fill="A6C9EC"/>
            <w:noWrap/>
            <w:vAlign w:val="bottom"/>
            <w:hideMark/>
          </w:tcPr>
          <w:p w14:paraId="4134655E"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41.22</w:t>
            </w:r>
          </w:p>
        </w:tc>
        <w:tc>
          <w:tcPr>
            <w:tcW w:w="580" w:type="pct"/>
            <w:tcBorders>
              <w:top w:val="nil"/>
              <w:left w:val="nil"/>
              <w:bottom w:val="single" w:sz="4" w:space="0" w:color="auto"/>
              <w:right w:val="single" w:sz="4" w:space="0" w:color="auto"/>
            </w:tcBorders>
            <w:shd w:val="clear" w:color="000000" w:fill="A6C9EC"/>
            <w:noWrap/>
            <w:vAlign w:val="bottom"/>
            <w:hideMark/>
          </w:tcPr>
          <w:p w14:paraId="12219DB2"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39.04</w:t>
            </w:r>
          </w:p>
        </w:tc>
        <w:tc>
          <w:tcPr>
            <w:tcW w:w="580" w:type="pct"/>
            <w:tcBorders>
              <w:top w:val="nil"/>
              <w:left w:val="nil"/>
              <w:bottom w:val="single" w:sz="4" w:space="0" w:color="auto"/>
              <w:right w:val="single" w:sz="4" w:space="0" w:color="auto"/>
            </w:tcBorders>
            <w:shd w:val="clear" w:color="000000" w:fill="A6C9EC"/>
            <w:noWrap/>
            <w:vAlign w:val="bottom"/>
            <w:hideMark/>
          </w:tcPr>
          <w:p w14:paraId="2EAB6146"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36.60</w:t>
            </w:r>
          </w:p>
        </w:tc>
        <w:tc>
          <w:tcPr>
            <w:tcW w:w="580" w:type="pct"/>
            <w:tcBorders>
              <w:top w:val="nil"/>
              <w:left w:val="nil"/>
              <w:bottom w:val="single" w:sz="4" w:space="0" w:color="auto"/>
              <w:right w:val="single" w:sz="4" w:space="0" w:color="auto"/>
            </w:tcBorders>
            <w:shd w:val="clear" w:color="000000" w:fill="A6C9EC"/>
            <w:noWrap/>
            <w:vAlign w:val="bottom"/>
            <w:hideMark/>
          </w:tcPr>
          <w:p w14:paraId="7FBF8953"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36.14</w:t>
            </w:r>
          </w:p>
        </w:tc>
        <w:tc>
          <w:tcPr>
            <w:tcW w:w="580" w:type="pct"/>
            <w:tcBorders>
              <w:top w:val="nil"/>
              <w:left w:val="nil"/>
              <w:bottom w:val="single" w:sz="4" w:space="0" w:color="auto"/>
              <w:right w:val="single" w:sz="4" w:space="0" w:color="auto"/>
            </w:tcBorders>
            <w:shd w:val="clear" w:color="000000" w:fill="A6C9EC"/>
            <w:noWrap/>
            <w:vAlign w:val="bottom"/>
            <w:hideMark/>
          </w:tcPr>
          <w:p w14:paraId="72043F9E"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39.78</w:t>
            </w:r>
          </w:p>
        </w:tc>
      </w:tr>
      <w:tr w:rsidR="00076D53" w:rsidRPr="00C900C3" w14:paraId="23504CA3" w14:textId="77777777" w:rsidTr="00076D53">
        <w:trPr>
          <w:trHeight w:val="312"/>
        </w:trPr>
        <w:tc>
          <w:tcPr>
            <w:tcW w:w="1265" w:type="pct"/>
            <w:tcBorders>
              <w:top w:val="nil"/>
              <w:left w:val="single" w:sz="4" w:space="0" w:color="auto"/>
              <w:bottom w:val="single" w:sz="4" w:space="0" w:color="auto"/>
              <w:right w:val="single" w:sz="4" w:space="0" w:color="auto"/>
            </w:tcBorders>
            <w:shd w:val="clear" w:color="000000" w:fill="A6C9EC"/>
            <w:noWrap/>
            <w:vAlign w:val="bottom"/>
            <w:hideMark/>
          </w:tcPr>
          <w:p w14:paraId="101A4B6C"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2. Receivable Days (Debtor Collection Period)</w:t>
            </w:r>
          </w:p>
        </w:tc>
        <w:tc>
          <w:tcPr>
            <w:tcW w:w="833" w:type="pct"/>
            <w:vMerge w:val="restart"/>
            <w:tcBorders>
              <w:top w:val="nil"/>
              <w:left w:val="single" w:sz="4" w:space="0" w:color="auto"/>
              <w:bottom w:val="single" w:sz="4" w:space="0" w:color="auto"/>
              <w:right w:val="single" w:sz="4" w:space="0" w:color="auto"/>
            </w:tcBorders>
            <w:shd w:val="clear" w:color="000000" w:fill="A6C9EC"/>
            <w:vAlign w:val="center"/>
            <w:hideMark/>
          </w:tcPr>
          <w:p w14:paraId="5BCC2A0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(Accounts Receivable​/</w:t>
            </w:r>
            <w:proofErr w:type="gramStart"/>
            <w:r w:rsidRPr="00C900C3">
              <w:rPr>
                <w:rFonts w:ascii="Arial" w:hAnsi="Arial" w:cs="Arial"/>
                <w:color w:val="000000"/>
                <w:lang w:val="en-IN"/>
              </w:rPr>
              <w:t>Sales)*</w:t>
            </w:r>
            <w:proofErr w:type="gramEnd"/>
            <w:r w:rsidRPr="00C900C3">
              <w:rPr>
                <w:rFonts w:ascii="Arial" w:hAnsi="Arial" w:cs="Arial"/>
                <w:color w:val="000000"/>
                <w:lang w:val="en-IN"/>
              </w:rPr>
              <w:t>365</w:t>
            </w:r>
          </w:p>
        </w:tc>
        <w:tc>
          <w:tcPr>
            <w:tcW w:w="2902" w:type="pct"/>
            <w:gridSpan w:val="5"/>
            <w:tcBorders>
              <w:top w:val="single" w:sz="4" w:space="0" w:color="auto"/>
              <w:left w:val="nil"/>
              <w:bottom w:val="single" w:sz="4" w:space="0" w:color="auto"/>
              <w:right w:val="single" w:sz="4" w:space="0" w:color="000000"/>
            </w:tcBorders>
            <w:shd w:val="clear" w:color="000000" w:fill="A6C9EC"/>
            <w:noWrap/>
            <w:vAlign w:val="bottom"/>
            <w:hideMark/>
          </w:tcPr>
          <w:p w14:paraId="4275266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w:t>
            </w:r>
          </w:p>
        </w:tc>
      </w:tr>
      <w:tr w:rsidR="00076D53" w:rsidRPr="00C900C3" w14:paraId="64B637E8" w14:textId="77777777" w:rsidTr="00076D53">
        <w:trPr>
          <w:trHeight w:val="300"/>
        </w:trPr>
        <w:tc>
          <w:tcPr>
            <w:tcW w:w="1265" w:type="pct"/>
            <w:tcBorders>
              <w:top w:val="nil"/>
              <w:left w:val="single" w:sz="4" w:space="0" w:color="auto"/>
              <w:bottom w:val="single" w:sz="4" w:space="0" w:color="auto"/>
              <w:right w:val="single" w:sz="4" w:space="0" w:color="auto"/>
            </w:tcBorders>
            <w:shd w:val="clear" w:color="000000" w:fill="A6C9EC"/>
            <w:noWrap/>
            <w:vAlign w:val="bottom"/>
            <w:hideMark/>
          </w:tcPr>
          <w:p w14:paraId="5A98DAA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Accounts Receivable​</w:t>
            </w:r>
          </w:p>
        </w:tc>
        <w:tc>
          <w:tcPr>
            <w:tcW w:w="833" w:type="pct"/>
            <w:vMerge/>
            <w:tcBorders>
              <w:top w:val="nil"/>
              <w:left w:val="single" w:sz="4" w:space="0" w:color="auto"/>
              <w:bottom w:val="single" w:sz="4" w:space="0" w:color="auto"/>
              <w:right w:val="single" w:sz="4" w:space="0" w:color="auto"/>
            </w:tcBorders>
            <w:vAlign w:val="center"/>
            <w:hideMark/>
          </w:tcPr>
          <w:p w14:paraId="3509703E" w14:textId="77777777" w:rsidR="00076D53" w:rsidRPr="00C900C3" w:rsidRDefault="00076D53" w:rsidP="00076D53">
            <w:pPr>
              <w:spacing w:before="0" w:after="0" w:line="240" w:lineRule="auto"/>
              <w:jc w:val="left"/>
              <w:rPr>
                <w:rFonts w:ascii="Arial" w:hAnsi="Arial" w:cs="Arial"/>
                <w:color w:val="000000"/>
                <w:lang w:val="en-IN"/>
              </w:rPr>
            </w:pPr>
          </w:p>
        </w:tc>
        <w:tc>
          <w:tcPr>
            <w:tcW w:w="580" w:type="pct"/>
            <w:tcBorders>
              <w:top w:val="nil"/>
              <w:left w:val="nil"/>
              <w:bottom w:val="single" w:sz="4" w:space="0" w:color="auto"/>
              <w:right w:val="single" w:sz="4" w:space="0" w:color="auto"/>
            </w:tcBorders>
            <w:shd w:val="clear" w:color="000000" w:fill="A6C9EC"/>
            <w:noWrap/>
            <w:vAlign w:val="bottom"/>
            <w:hideMark/>
          </w:tcPr>
          <w:p w14:paraId="4623D51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59,08,079.00 </w:t>
            </w:r>
          </w:p>
        </w:tc>
        <w:tc>
          <w:tcPr>
            <w:tcW w:w="580" w:type="pct"/>
            <w:tcBorders>
              <w:top w:val="nil"/>
              <w:left w:val="nil"/>
              <w:bottom w:val="single" w:sz="4" w:space="0" w:color="auto"/>
              <w:right w:val="single" w:sz="4" w:space="0" w:color="auto"/>
            </w:tcBorders>
            <w:shd w:val="clear" w:color="000000" w:fill="A6C9EC"/>
            <w:noWrap/>
            <w:vAlign w:val="bottom"/>
            <w:hideMark/>
          </w:tcPr>
          <w:p w14:paraId="67B3842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46,82,182.00 </w:t>
            </w:r>
          </w:p>
        </w:tc>
        <w:tc>
          <w:tcPr>
            <w:tcW w:w="580" w:type="pct"/>
            <w:tcBorders>
              <w:top w:val="nil"/>
              <w:left w:val="nil"/>
              <w:bottom w:val="single" w:sz="4" w:space="0" w:color="auto"/>
              <w:right w:val="single" w:sz="4" w:space="0" w:color="auto"/>
            </w:tcBorders>
            <w:shd w:val="clear" w:color="000000" w:fill="A6C9EC"/>
            <w:noWrap/>
            <w:vAlign w:val="bottom"/>
            <w:hideMark/>
          </w:tcPr>
          <w:p w14:paraId="6CE215C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42,79,057.00 </w:t>
            </w:r>
          </w:p>
        </w:tc>
        <w:tc>
          <w:tcPr>
            <w:tcW w:w="580" w:type="pct"/>
            <w:tcBorders>
              <w:top w:val="nil"/>
              <w:left w:val="nil"/>
              <w:bottom w:val="single" w:sz="4" w:space="0" w:color="auto"/>
              <w:right w:val="single" w:sz="4" w:space="0" w:color="auto"/>
            </w:tcBorders>
            <w:shd w:val="clear" w:color="000000" w:fill="A6C9EC"/>
            <w:noWrap/>
            <w:vAlign w:val="bottom"/>
            <w:hideMark/>
          </w:tcPr>
          <w:p w14:paraId="386B2B7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31,47,296.00 </w:t>
            </w:r>
          </w:p>
        </w:tc>
        <w:tc>
          <w:tcPr>
            <w:tcW w:w="580" w:type="pct"/>
            <w:tcBorders>
              <w:top w:val="nil"/>
              <w:left w:val="nil"/>
              <w:bottom w:val="single" w:sz="4" w:space="0" w:color="auto"/>
              <w:right w:val="single" w:sz="4" w:space="0" w:color="auto"/>
            </w:tcBorders>
            <w:shd w:val="clear" w:color="000000" w:fill="A6C9EC"/>
            <w:noWrap/>
            <w:vAlign w:val="bottom"/>
            <w:hideMark/>
          </w:tcPr>
          <w:p w14:paraId="026E837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32,83,972.00 </w:t>
            </w:r>
          </w:p>
        </w:tc>
      </w:tr>
      <w:tr w:rsidR="00076D53" w:rsidRPr="00C900C3" w14:paraId="375ACD86" w14:textId="77777777" w:rsidTr="00076D53">
        <w:trPr>
          <w:trHeight w:val="300"/>
        </w:trPr>
        <w:tc>
          <w:tcPr>
            <w:tcW w:w="1265" w:type="pct"/>
            <w:tcBorders>
              <w:top w:val="nil"/>
              <w:left w:val="single" w:sz="4" w:space="0" w:color="auto"/>
              <w:bottom w:val="single" w:sz="4" w:space="0" w:color="auto"/>
              <w:right w:val="single" w:sz="4" w:space="0" w:color="auto"/>
            </w:tcBorders>
            <w:shd w:val="clear" w:color="000000" w:fill="A6C9EC"/>
            <w:noWrap/>
            <w:vAlign w:val="bottom"/>
            <w:hideMark/>
          </w:tcPr>
          <w:p w14:paraId="3D8BAAA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Sales</w:t>
            </w:r>
          </w:p>
        </w:tc>
        <w:tc>
          <w:tcPr>
            <w:tcW w:w="833" w:type="pct"/>
            <w:vMerge/>
            <w:tcBorders>
              <w:top w:val="nil"/>
              <w:left w:val="single" w:sz="4" w:space="0" w:color="auto"/>
              <w:bottom w:val="single" w:sz="4" w:space="0" w:color="auto"/>
              <w:right w:val="single" w:sz="4" w:space="0" w:color="auto"/>
            </w:tcBorders>
            <w:vAlign w:val="center"/>
            <w:hideMark/>
          </w:tcPr>
          <w:p w14:paraId="321EC4AD" w14:textId="77777777" w:rsidR="00076D53" w:rsidRPr="00C900C3" w:rsidRDefault="00076D53" w:rsidP="00076D53">
            <w:pPr>
              <w:spacing w:before="0" w:after="0" w:line="240" w:lineRule="auto"/>
              <w:jc w:val="left"/>
              <w:rPr>
                <w:rFonts w:ascii="Arial" w:hAnsi="Arial" w:cs="Arial"/>
                <w:color w:val="000000"/>
                <w:lang w:val="en-IN"/>
              </w:rPr>
            </w:pPr>
          </w:p>
        </w:tc>
        <w:tc>
          <w:tcPr>
            <w:tcW w:w="580" w:type="pct"/>
            <w:tcBorders>
              <w:top w:val="nil"/>
              <w:left w:val="nil"/>
              <w:bottom w:val="single" w:sz="4" w:space="0" w:color="auto"/>
              <w:right w:val="single" w:sz="4" w:space="0" w:color="auto"/>
            </w:tcBorders>
            <w:shd w:val="clear" w:color="000000" w:fill="A6C9EC"/>
            <w:noWrap/>
            <w:vAlign w:val="bottom"/>
            <w:hideMark/>
          </w:tcPr>
          <w:p w14:paraId="616BEBED"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17,52,31,153.00 </w:t>
            </w:r>
          </w:p>
        </w:tc>
        <w:tc>
          <w:tcPr>
            <w:tcW w:w="580" w:type="pct"/>
            <w:tcBorders>
              <w:top w:val="nil"/>
              <w:left w:val="nil"/>
              <w:bottom w:val="single" w:sz="4" w:space="0" w:color="auto"/>
              <w:right w:val="single" w:sz="4" w:space="0" w:color="auto"/>
            </w:tcBorders>
            <w:shd w:val="clear" w:color="000000" w:fill="A6C9EC"/>
            <w:noWrap/>
            <w:vAlign w:val="bottom"/>
            <w:hideMark/>
          </w:tcPr>
          <w:p w14:paraId="0446BD1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16,26,63,579.00 </w:t>
            </w:r>
          </w:p>
        </w:tc>
        <w:tc>
          <w:tcPr>
            <w:tcW w:w="580" w:type="pct"/>
            <w:tcBorders>
              <w:top w:val="nil"/>
              <w:left w:val="nil"/>
              <w:bottom w:val="single" w:sz="4" w:space="0" w:color="auto"/>
              <w:right w:val="single" w:sz="4" w:space="0" w:color="auto"/>
            </w:tcBorders>
            <w:shd w:val="clear" w:color="000000" w:fill="A6C9EC"/>
            <w:noWrap/>
            <w:vAlign w:val="bottom"/>
            <w:hideMark/>
          </w:tcPr>
          <w:p w14:paraId="28D0D49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14,25,27,535.00 </w:t>
            </w:r>
          </w:p>
        </w:tc>
        <w:tc>
          <w:tcPr>
            <w:tcW w:w="580" w:type="pct"/>
            <w:tcBorders>
              <w:top w:val="nil"/>
              <w:left w:val="nil"/>
              <w:bottom w:val="single" w:sz="4" w:space="0" w:color="auto"/>
              <w:right w:val="single" w:sz="4" w:space="0" w:color="auto"/>
            </w:tcBorders>
            <w:shd w:val="clear" w:color="000000" w:fill="A6C9EC"/>
            <w:noWrap/>
            <w:vAlign w:val="bottom"/>
            <w:hideMark/>
          </w:tcPr>
          <w:p w14:paraId="6E78E91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11,76,10,626.00 </w:t>
            </w:r>
          </w:p>
        </w:tc>
        <w:tc>
          <w:tcPr>
            <w:tcW w:w="580" w:type="pct"/>
            <w:tcBorders>
              <w:top w:val="nil"/>
              <w:left w:val="nil"/>
              <w:bottom w:val="single" w:sz="4" w:space="0" w:color="auto"/>
              <w:right w:val="single" w:sz="4" w:space="0" w:color="auto"/>
            </w:tcBorders>
            <w:shd w:val="clear" w:color="000000" w:fill="A6C9EC"/>
            <w:noWrap/>
            <w:vAlign w:val="bottom"/>
            <w:hideMark/>
          </w:tcPr>
          <w:p w14:paraId="2F930CB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10,39,97,601.00 </w:t>
            </w:r>
          </w:p>
        </w:tc>
      </w:tr>
      <w:tr w:rsidR="00076D53" w:rsidRPr="00C900C3" w14:paraId="258DB82A" w14:textId="77777777" w:rsidTr="00076D53">
        <w:trPr>
          <w:trHeight w:val="312"/>
        </w:trPr>
        <w:tc>
          <w:tcPr>
            <w:tcW w:w="1265" w:type="pct"/>
            <w:tcBorders>
              <w:top w:val="nil"/>
              <w:left w:val="single" w:sz="4" w:space="0" w:color="auto"/>
              <w:bottom w:val="single" w:sz="4" w:space="0" w:color="auto"/>
              <w:right w:val="single" w:sz="4" w:space="0" w:color="auto"/>
            </w:tcBorders>
            <w:shd w:val="clear" w:color="000000" w:fill="A6C9EC"/>
            <w:noWrap/>
            <w:vAlign w:val="bottom"/>
            <w:hideMark/>
          </w:tcPr>
          <w:p w14:paraId="318B64BF"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Receivable Days</w:t>
            </w:r>
          </w:p>
        </w:tc>
        <w:tc>
          <w:tcPr>
            <w:tcW w:w="833" w:type="pct"/>
            <w:vMerge/>
            <w:tcBorders>
              <w:top w:val="nil"/>
              <w:left w:val="single" w:sz="4" w:space="0" w:color="auto"/>
              <w:bottom w:val="single" w:sz="4" w:space="0" w:color="auto"/>
              <w:right w:val="single" w:sz="4" w:space="0" w:color="auto"/>
            </w:tcBorders>
            <w:vAlign w:val="center"/>
            <w:hideMark/>
          </w:tcPr>
          <w:p w14:paraId="4BA4CFC6" w14:textId="77777777" w:rsidR="00076D53" w:rsidRPr="00C900C3" w:rsidRDefault="00076D53" w:rsidP="00076D53">
            <w:pPr>
              <w:spacing w:before="0" w:after="0" w:line="240" w:lineRule="auto"/>
              <w:jc w:val="left"/>
              <w:rPr>
                <w:rFonts w:ascii="Arial" w:hAnsi="Arial" w:cs="Arial"/>
                <w:color w:val="000000"/>
                <w:lang w:val="en-IN"/>
              </w:rPr>
            </w:pPr>
          </w:p>
        </w:tc>
        <w:tc>
          <w:tcPr>
            <w:tcW w:w="580" w:type="pct"/>
            <w:tcBorders>
              <w:top w:val="nil"/>
              <w:left w:val="nil"/>
              <w:bottom w:val="single" w:sz="4" w:space="0" w:color="auto"/>
              <w:right w:val="single" w:sz="4" w:space="0" w:color="auto"/>
            </w:tcBorders>
            <w:shd w:val="clear" w:color="000000" w:fill="A6C9EC"/>
            <w:noWrap/>
            <w:vAlign w:val="bottom"/>
            <w:hideMark/>
          </w:tcPr>
          <w:p w14:paraId="0CC3B759"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12.31</w:t>
            </w:r>
          </w:p>
        </w:tc>
        <w:tc>
          <w:tcPr>
            <w:tcW w:w="580" w:type="pct"/>
            <w:tcBorders>
              <w:top w:val="nil"/>
              <w:left w:val="nil"/>
              <w:bottom w:val="single" w:sz="4" w:space="0" w:color="auto"/>
              <w:right w:val="single" w:sz="4" w:space="0" w:color="auto"/>
            </w:tcBorders>
            <w:shd w:val="clear" w:color="000000" w:fill="A6C9EC"/>
            <w:noWrap/>
            <w:vAlign w:val="bottom"/>
            <w:hideMark/>
          </w:tcPr>
          <w:p w14:paraId="4B5D91B2"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10.51</w:t>
            </w:r>
          </w:p>
        </w:tc>
        <w:tc>
          <w:tcPr>
            <w:tcW w:w="580" w:type="pct"/>
            <w:tcBorders>
              <w:top w:val="nil"/>
              <w:left w:val="nil"/>
              <w:bottom w:val="single" w:sz="4" w:space="0" w:color="auto"/>
              <w:right w:val="single" w:sz="4" w:space="0" w:color="auto"/>
            </w:tcBorders>
            <w:shd w:val="clear" w:color="000000" w:fill="A6C9EC"/>
            <w:noWrap/>
            <w:vAlign w:val="bottom"/>
            <w:hideMark/>
          </w:tcPr>
          <w:p w14:paraId="5FAB34A0"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10.96</w:t>
            </w:r>
          </w:p>
        </w:tc>
        <w:tc>
          <w:tcPr>
            <w:tcW w:w="580" w:type="pct"/>
            <w:tcBorders>
              <w:top w:val="nil"/>
              <w:left w:val="nil"/>
              <w:bottom w:val="single" w:sz="4" w:space="0" w:color="auto"/>
              <w:right w:val="single" w:sz="4" w:space="0" w:color="auto"/>
            </w:tcBorders>
            <w:shd w:val="clear" w:color="000000" w:fill="A6C9EC"/>
            <w:noWrap/>
            <w:vAlign w:val="bottom"/>
            <w:hideMark/>
          </w:tcPr>
          <w:p w14:paraId="460ECB98"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9.77</w:t>
            </w:r>
          </w:p>
        </w:tc>
        <w:tc>
          <w:tcPr>
            <w:tcW w:w="580" w:type="pct"/>
            <w:tcBorders>
              <w:top w:val="nil"/>
              <w:left w:val="nil"/>
              <w:bottom w:val="single" w:sz="4" w:space="0" w:color="auto"/>
              <w:right w:val="single" w:sz="4" w:space="0" w:color="auto"/>
            </w:tcBorders>
            <w:shd w:val="clear" w:color="000000" w:fill="A6C9EC"/>
            <w:noWrap/>
            <w:vAlign w:val="bottom"/>
            <w:hideMark/>
          </w:tcPr>
          <w:p w14:paraId="40A56E85"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11.53</w:t>
            </w:r>
          </w:p>
        </w:tc>
      </w:tr>
      <w:tr w:rsidR="00076D53" w:rsidRPr="00C900C3" w14:paraId="574B57D5" w14:textId="77777777" w:rsidTr="00076D53">
        <w:trPr>
          <w:trHeight w:val="312"/>
        </w:trPr>
        <w:tc>
          <w:tcPr>
            <w:tcW w:w="1265" w:type="pct"/>
            <w:tcBorders>
              <w:top w:val="nil"/>
              <w:left w:val="single" w:sz="4" w:space="0" w:color="auto"/>
              <w:bottom w:val="single" w:sz="4" w:space="0" w:color="auto"/>
              <w:right w:val="single" w:sz="4" w:space="0" w:color="auto"/>
            </w:tcBorders>
            <w:shd w:val="clear" w:color="000000" w:fill="A6C9EC"/>
            <w:noWrap/>
            <w:vAlign w:val="bottom"/>
            <w:hideMark/>
          </w:tcPr>
          <w:p w14:paraId="48DEE08D"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3. Payable Days (Creditor Payment Period)</w:t>
            </w:r>
          </w:p>
        </w:tc>
        <w:tc>
          <w:tcPr>
            <w:tcW w:w="833" w:type="pct"/>
            <w:vMerge w:val="restart"/>
            <w:tcBorders>
              <w:top w:val="nil"/>
              <w:left w:val="single" w:sz="4" w:space="0" w:color="auto"/>
              <w:bottom w:val="single" w:sz="4" w:space="0" w:color="auto"/>
              <w:right w:val="single" w:sz="4" w:space="0" w:color="auto"/>
            </w:tcBorders>
            <w:shd w:val="clear" w:color="000000" w:fill="A6C9EC"/>
            <w:noWrap/>
            <w:vAlign w:val="center"/>
            <w:hideMark/>
          </w:tcPr>
          <w:p w14:paraId="29594B0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(Accounts Payable​/</w:t>
            </w:r>
            <w:proofErr w:type="gramStart"/>
            <w:r w:rsidRPr="00C900C3">
              <w:rPr>
                <w:rFonts w:ascii="Arial" w:hAnsi="Arial" w:cs="Arial"/>
                <w:color w:val="000000"/>
                <w:lang w:val="en-IN"/>
              </w:rPr>
              <w:t>Sales)*</w:t>
            </w:r>
            <w:proofErr w:type="gramEnd"/>
            <w:r w:rsidRPr="00C900C3">
              <w:rPr>
                <w:rFonts w:ascii="Arial" w:hAnsi="Arial" w:cs="Arial"/>
                <w:color w:val="000000"/>
                <w:lang w:val="en-IN"/>
              </w:rPr>
              <w:t>365</w:t>
            </w:r>
          </w:p>
        </w:tc>
        <w:tc>
          <w:tcPr>
            <w:tcW w:w="2902" w:type="pct"/>
            <w:gridSpan w:val="5"/>
            <w:tcBorders>
              <w:top w:val="single" w:sz="4" w:space="0" w:color="auto"/>
              <w:left w:val="nil"/>
              <w:bottom w:val="single" w:sz="4" w:space="0" w:color="auto"/>
              <w:right w:val="single" w:sz="4" w:space="0" w:color="000000"/>
            </w:tcBorders>
            <w:shd w:val="clear" w:color="000000" w:fill="A6C9EC"/>
            <w:noWrap/>
            <w:vAlign w:val="bottom"/>
            <w:hideMark/>
          </w:tcPr>
          <w:p w14:paraId="61A0222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w:t>
            </w:r>
          </w:p>
        </w:tc>
      </w:tr>
      <w:tr w:rsidR="00076D53" w:rsidRPr="00C900C3" w14:paraId="44B48E95" w14:textId="77777777" w:rsidTr="00076D53">
        <w:trPr>
          <w:trHeight w:val="300"/>
        </w:trPr>
        <w:tc>
          <w:tcPr>
            <w:tcW w:w="1265" w:type="pct"/>
            <w:tcBorders>
              <w:top w:val="nil"/>
              <w:left w:val="single" w:sz="4" w:space="0" w:color="auto"/>
              <w:bottom w:val="single" w:sz="4" w:space="0" w:color="auto"/>
              <w:right w:val="single" w:sz="4" w:space="0" w:color="auto"/>
            </w:tcBorders>
            <w:shd w:val="clear" w:color="000000" w:fill="A6C9EC"/>
            <w:noWrap/>
            <w:vAlign w:val="bottom"/>
            <w:hideMark/>
          </w:tcPr>
          <w:p w14:paraId="0075778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Accounts Payable​</w:t>
            </w:r>
          </w:p>
        </w:tc>
        <w:tc>
          <w:tcPr>
            <w:tcW w:w="833" w:type="pct"/>
            <w:vMerge/>
            <w:tcBorders>
              <w:top w:val="nil"/>
              <w:left w:val="single" w:sz="4" w:space="0" w:color="auto"/>
              <w:bottom w:val="single" w:sz="4" w:space="0" w:color="auto"/>
              <w:right w:val="single" w:sz="4" w:space="0" w:color="auto"/>
            </w:tcBorders>
            <w:vAlign w:val="center"/>
            <w:hideMark/>
          </w:tcPr>
          <w:p w14:paraId="35770DCC" w14:textId="77777777" w:rsidR="00076D53" w:rsidRPr="00C900C3" w:rsidRDefault="00076D53" w:rsidP="00076D53">
            <w:pPr>
              <w:spacing w:before="0" w:after="0" w:line="240" w:lineRule="auto"/>
              <w:jc w:val="left"/>
              <w:rPr>
                <w:rFonts w:ascii="Arial" w:hAnsi="Arial" w:cs="Arial"/>
                <w:color w:val="000000"/>
                <w:lang w:val="en-IN"/>
              </w:rPr>
            </w:pPr>
          </w:p>
        </w:tc>
        <w:tc>
          <w:tcPr>
            <w:tcW w:w="580" w:type="pct"/>
            <w:tcBorders>
              <w:top w:val="nil"/>
              <w:left w:val="nil"/>
              <w:bottom w:val="single" w:sz="4" w:space="0" w:color="auto"/>
              <w:right w:val="single" w:sz="4" w:space="0" w:color="auto"/>
            </w:tcBorders>
            <w:shd w:val="clear" w:color="000000" w:fill="A6C9EC"/>
            <w:noWrap/>
            <w:vAlign w:val="bottom"/>
            <w:hideMark/>
          </w:tcPr>
          <w:p w14:paraId="335914D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95,32,876.00 </w:t>
            </w:r>
          </w:p>
        </w:tc>
        <w:tc>
          <w:tcPr>
            <w:tcW w:w="580" w:type="pct"/>
            <w:tcBorders>
              <w:top w:val="nil"/>
              <w:left w:val="nil"/>
              <w:bottom w:val="single" w:sz="4" w:space="0" w:color="auto"/>
              <w:right w:val="single" w:sz="4" w:space="0" w:color="auto"/>
            </w:tcBorders>
            <w:shd w:val="clear" w:color="000000" w:fill="A6C9EC"/>
            <w:noWrap/>
            <w:vAlign w:val="bottom"/>
            <w:hideMark/>
          </w:tcPr>
          <w:p w14:paraId="7B81573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86,42,808.00 </w:t>
            </w:r>
          </w:p>
        </w:tc>
        <w:tc>
          <w:tcPr>
            <w:tcW w:w="580" w:type="pct"/>
            <w:tcBorders>
              <w:top w:val="nil"/>
              <w:left w:val="nil"/>
              <w:bottom w:val="single" w:sz="4" w:space="0" w:color="auto"/>
              <w:right w:val="single" w:sz="4" w:space="0" w:color="auto"/>
            </w:tcBorders>
            <w:shd w:val="clear" w:color="000000" w:fill="A6C9EC"/>
            <w:noWrap/>
            <w:vAlign w:val="bottom"/>
            <w:hideMark/>
          </w:tcPr>
          <w:p w14:paraId="2BFBD46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w:t>
            </w:r>
            <w:proofErr w:type="gramStart"/>
            <w:r w:rsidRPr="00C900C3">
              <w:rPr>
                <w:rFonts w:ascii="Arial" w:hAnsi="Arial" w:cs="Arial"/>
                <w:color w:val="000000"/>
                <w:lang w:val="en-IN"/>
              </w:rPr>
              <w:t>₩  1</w:t>
            </w:r>
            <w:proofErr w:type="gramEnd"/>
            <w:r w:rsidRPr="00C900C3">
              <w:rPr>
                <w:rFonts w:ascii="Arial" w:hAnsi="Arial" w:cs="Arial"/>
                <w:color w:val="000000"/>
                <w:lang w:val="en-IN"/>
              </w:rPr>
              <w:t xml:space="preserve">,07,97,065.00 </w:t>
            </w:r>
          </w:p>
        </w:tc>
        <w:tc>
          <w:tcPr>
            <w:tcW w:w="580" w:type="pct"/>
            <w:tcBorders>
              <w:top w:val="nil"/>
              <w:left w:val="nil"/>
              <w:bottom w:val="single" w:sz="4" w:space="0" w:color="auto"/>
              <w:right w:val="single" w:sz="4" w:space="0" w:color="auto"/>
            </w:tcBorders>
            <w:shd w:val="clear" w:color="000000" w:fill="A6C9EC"/>
            <w:noWrap/>
            <w:vAlign w:val="bottom"/>
            <w:hideMark/>
          </w:tcPr>
          <w:p w14:paraId="770FBA1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91,55,255.00 </w:t>
            </w:r>
          </w:p>
        </w:tc>
        <w:tc>
          <w:tcPr>
            <w:tcW w:w="580" w:type="pct"/>
            <w:tcBorders>
              <w:top w:val="nil"/>
              <w:left w:val="nil"/>
              <w:bottom w:val="single" w:sz="4" w:space="0" w:color="auto"/>
              <w:right w:val="single" w:sz="8" w:space="0" w:color="auto"/>
            </w:tcBorders>
            <w:shd w:val="clear" w:color="000000" w:fill="A6C9EC"/>
            <w:noWrap/>
            <w:vAlign w:val="bottom"/>
            <w:hideMark/>
          </w:tcPr>
          <w:p w14:paraId="31632CA5"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87,93,179.00 </w:t>
            </w:r>
          </w:p>
        </w:tc>
      </w:tr>
      <w:tr w:rsidR="00076D53" w:rsidRPr="00C900C3" w14:paraId="2EEFE4B8" w14:textId="77777777" w:rsidTr="00076D53">
        <w:trPr>
          <w:trHeight w:val="300"/>
        </w:trPr>
        <w:tc>
          <w:tcPr>
            <w:tcW w:w="1265" w:type="pct"/>
            <w:tcBorders>
              <w:top w:val="nil"/>
              <w:left w:val="single" w:sz="4" w:space="0" w:color="auto"/>
              <w:bottom w:val="single" w:sz="4" w:space="0" w:color="auto"/>
              <w:right w:val="single" w:sz="4" w:space="0" w:color="auto"/>
            </w:tcBorders>
            <w:shd w:val="clear" w:color="000000" w:fill="A6C9EC"/>
            <w:noWrap/>
            <w:vAlign w:val="bottom"/>
            <w:hideMark/>
          </w:tcPr>
          <w:p w14:paraId="5DCEBF65"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Sales</w:t>
            </w:r>
          </w:p>
        </w:tc>
        <w:tc>
          <w:tcPr>
            <w:tcW w:w="833" w:type="pct"/>
            <w:vMerge/>
            <w:tcBorders>
              <w:top w:val="nil"/>
              <w:left w:val="single" w:sz="4" w:space="0" w:color="auto"/>
              <w:bottom w:val="single" w:sz="4" w:space="0" w:color="auto"/>
              <w:right w:val="single" w:sz="4" w:space="0" w:color="auto"/>
            </w:tcBorders>
            <w:vAlign w:val="center"/>
            <w:hideMark/>
          </w:tcPr>
          <w:p w14:paraId="5F917AA7" w14:textId="77777777" w:rsidR="00076D53" w:rsidRPr="00C900C3" w:rsidRDefault="00076D53" w:rsidP="00076D53">
            <w:pPr>
              <w:spacing w:before="0" w:after="0" w:line="240" w:lineRule="auto"/>
              <w:jc w:val="left"/>
              <w:rPr>
                <w:rFonts w:ascii="Arial" w:hAnsi="Arial" w:cs="Arial"/>
                <w:color w:val="000000"/>
                <w:lang w:val="en-IN"/>
              </w:rPr>
            </w:pPr>
          </w:p>
        </w:tc>
        <w:tc>
          <w:tcPr>
            <w:tcW w:w="580" w:type="pct"/>
            <w:tcBorders>
              <w:top w:val="nil"/>
              <w:left w:val="nil"/>
              <w:bottom w:val="single" w:sz="4" w:space="0" w:color="auto"/>
              <w:right w:val="single" w:sz="4" w:space="0" w:color="auto"/>
            </w:tcBorders>
            <w:shd w:val="clear" w:color="000000" w:fill="A6C9EC"/>
            <w:noWrap/>
            <w:vAlign w:val="bottom"/>
            <w:hideMark/>
          </w:tcPr>
          <w:p w14:paraId="6B1B474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17,52,31,153.00 </w:t>
            </w:r>
          </w:p>
        </w:tc>
        <w:tc>
          <w:tcPr>
            <w:tcW w:w="580" w:type="pct"/>
            <w:tcBorders>
              <w:top w:val="nil"/>
              <w:left w:val="nil"/>
              <w:bottom w:val="single" w:sz="4" w:space="0" w:color="auto"/>
              <w:right w:val="single" w:sz="4" w:space="0" w:color="auto"/>
            </w:tcBorders>
            <w:shd w:val="clear" w:color="000000" w:fill="A6C9EC"/>
            <w:noWrap/>
            <w:vAlign w:val="bottom"/>
            <w:hideMark/>
          </w:tcPr>
          <w:p w14:paraId="1089B31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16,26,63,579.00 </w:t>
            </w:r>
          </w:p>
        </w:tc>
        <w:tc>
          <w:tcPr>
            <w:tcW w:w="580" w:type="pct"/>
            <w:tcBorders>
              <w:top w:val="nil"/>
              <w:left w:val="nil"/>
              <w:bottom w:val="single" w:sz="4" w:space="0" w:color="auto"/>
              <w:right w:val="single" w:sz="4" w:space="0" w:color="auto"/>
            </w:tcBorders>
            <w:shd w:val="clear" w:color="000000" w:fill="A6C9EC"/>
            <w:noWrap/>
            <w:vAlign w:val="bottom"/>
            <w:hideMark/>
          </w:tcPr>
          <w:p w14:paraId="0DA7C2B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14,25,27,535.00 </w:t>
            </w:r>
          </w:p>
        </w:tc>
        <w:tc>
          <w:tcPr>
            <w:tcW w:w="580" w:type="pct"/>
            <w:tcBorders>
              <w:top w:val="nil"/>
              <w:left w:val="nil"/>
              <w:bottom w:val="single" w:sz="4" w:space="0" w:color="auto"/>
              <w:right w:val="single" w:sz="4" w:space="0" w:color="auto"/>
            </w:tcBorders>
            <w:shd w:val="clear" w:color="000000" w:fill="A6C9EC"/>
            <w:noWrap/>
            <w:vAlign w:val="bottom"/>
            <w:hideMark/>
          </w:tcPr>
          <w:p w14:paraId="77E6702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11,76,10,626.00 </w:t>
            </w:r>
          </w:p>
        </w:tc>
        <w:tc>
          <w:tcPr>
            <w:tcW w:w="580" w:type="pct"/>
            <w:tcBorders>
              <w:top w:val="nil"/>
              <w:left w:val="nil"/>
              <w:bottom w:val="single" w:sz="4" w:space="0" w:color="auto"/>
              <w:right w:val="single" w:sz="4" w:space="0" w:color="auto"/>
            </w:tcBorders>
            <w:shd w:val="clear" w:color="000000" w:fill="A6C9EC"/>
            <w:noWrap/>
            <w:vAlign w:val="bottom"/>
            <w:hideMark/>
          </w:tcPr>
          <w:p w14:paraId="5E6A4BEE"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 10,39,97,601.00 </w:t>
            </w:r>
          </w:p>
        </w:tc>
      </w:tr>
      <w:tr w:rsidR="00076D53" w:rsidRPr="00C900C3" w14:paraId="6A3AE9AE" w14:textId="77777777" w:rsidTr="00076D53">
        <w:trPr>
          <w:trHeight w:val="312"/>
        </w:trPr>
        <w:tc>
          <w:tcPr>
            <w:tcW w:w="1265" w:type="pct"/>
            <w:tcBorders>
              <w:top w:val="nil"/>
              <w:left w:val="single" w:sz="4" w:space="0" w:color="auto"/>
              <w:bottom w:val="single" w:sz="4" w:space="0" w:color="auto"/>
              <w:right w:val="single" w:sz="4" w:space="0" w:color="auto"/>
            </w:tcBorders>
            <w:shd w:val="clear" w:color="000000" w:fill="A6C9EC"/>
            <w:noWrap/>
            <w:vAlign w:val="bottom"/>
            <w:hideMark/>
          </w:tcPr>
          <w:p w14:paraId="442638F7"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Payable Days</w:t>
            </w:r>
          </w:p>
        </w:tc>
        <w:tc>
          <w:tcPr>
            <w:tcW w:w="833" w:type="pct"/>
            <w:vMerge/>
            <w:tcBorders>
              <w:top w:val="nil"/>
              <w:left w:val="single" w:sz="4" w:space="0" w:color="auto"/>
              <w:bottom w:val="single" w:sz="4" w:space="0" w:color="auto"/>
              <w:right w:val="single" w:sz="4" w:space="0" w:color="auto"/>
            </w:tcBorders>
            <w:vAlign w:val="center"/>
            <w:hideMark/>
          </w:tcPr>
          <w:p w14:paraId="09643892" w14:textId="77777777" w:rsidR="00076D53" w:rsidRPr="00C900C3" w:rsidRDefault="00076D53" w:rsidP="00076D53">
            <w:pPr>
              <w:spacing w:before="0" w:after="0" w:line="240" w:lineRule="auto"/>
              <w:jc w:val="left"/>
              <w:rPr>
                <w:rFonts w:ascii="Arial" w:hAnsi="Arial" w:cs="Arial"/>
                <w:color w:val="000000"/>
                <w:lang w:val="en-IN"/>
              </w:rPr>
            </w:pPr>
          </w:p>
        </w:tc>
        <w:tc>
          <w:tcPr>
            <w:tcW w:w="580" w:type="pct"/>
            <w:tcBorders>
              <w:top w:val="nil"/>
              <w:left w:val="nil"/>
              <w:bottom w:val="single" w:sz="4" w:space="0" w:color="auto"/>
              <w:right w:val="single" w:sz="4" w:space="0" w:color="auto"/>
            </w:tcBorders>
            <w:shd w:val="clear" w:color="000000" w:fill="A6C9EC"/>
            <w:noWrap/>
            <w:vAlign w:val="bottom"/>
            <w:hideMark/>
          </w:tcPr>
          <w:p w14:paraId="64DAEE89"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19.86</w:t>
            </w:r>
          </w:p>
        </w:tc>
        <w:tc>
          <w:tcPr>
            <w:tcW w:w="580" w:type="pct"/>
            <w:tcBorders>
              <w:top w:val="nil"/>
              <w:left w:val="nil"/>
              <w:bottom w:val="single" w:sz="4" w:space="0" w:color="auto"/>
              <w:right w:val="single" w:sz="4" w:space="0" w:color="auto"/>
            </w:tcBorders>
            <w:shd w:val="clear" w:color="000000" w:fill="A6C9EC"/>
            <w:noWrap/>
            <w:vAlign w:val="bottom"/>
            <w:hideMark/>
          </w:tcPr>
          <w:p w14:paraId="3DFDF222"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19.39</w:t>
            </w:r>
          </w:p>
        </w:tc>
        <w:tc>
          <w:tcPr>
            <w:tcW w:w="580" w:type="pct"/>
            <w:tcBorders>
              <w:top w:val="nil"/>
              <w:left w:val="nil"/>
              <w:bottom w:val="single" w:sz="4" w:space="0" w:color="auto"/>
              <w:right w:val="single" w:sz="4" w:space="0" w:color="auto"/>
            </w:tcBorders>
            <w:shd w:val="clear" w:color="000000" w:fill="A6C9EC"/>
            <w:noWrap/>
            <w:vAlign w:val="bottom"/>
            <w:hideMark/>
          </w:tcPr>
          <w:p w14:paraId="523EDF90"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27.65</w:t>
            </w:r>
          </w:p>
        </w:tc>
        <w:tc>
          <w:tcPr>
            <w:tcW w:w="580" w:type="pct"/>
            <w:tcBorders>
              <w:top w:val="nil"/>
              <w:left w:val="nil"/>
              <w:bottom w:val="single" w:sz="4" w:space="0" w:color="auto"/>
              <w:right w:val="single" w:sz="4" w:space="0" w:color="auto"/>
            </w:tcBorders>
            <w:shd w:val="clear" w:color="000000" w:fill="A6C9EC"/>
            <w:noWrap/>
            <w:vAlign w:val="bottom"/>
            <w:hideMark/>
          </w:tcPr>
          <w:p w14:paraId="51136FA7"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28.41</w:t>
            </w:r>
          </w:p>
        </w:tc>
        <w:tc>
          <w:tcPr>
            <w:tcW w:w="580" w:type="pct"/>
            <w:tcBorders>
              <w:top w:val="nil"/>
              <w:left w:val="nil"/>
              <w:bottom w:val="single" w:sz="4" w:space="0" w:color="auto"/>
              <w:right w:val="single" w:sz="4" w:space="0" w:color="auto"/>
            </w:tcBorders>
            <w:shd w:val="clear" w:color="000000" w:fill="A6C9EC"/>
            <w:noWrap/>
            <w:vAlign w:val="bottom"/>
            <w:hideMark/>
          </w:tcPr>
          <w:p w14:paraId="71AF396C"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30.86</w:t>
            </w:r>
          </w:p>
        </w:tc>
      </w:tr>
      <w:tr w:rsidR="00076D53" w:rsidRPr="00C900C3" w14:paraId="63DD28DF" w14:textId="77777777" w:rsidTr="00076D53">
        <w:trPr>
          <w:trHeight w:val="600"/>
        </w:trPr>
        <w:tc>
          <w:tcPr>
            <w:tcW w:w="1265" w:type="pct"/>
            <w:tcBorders>
              <w:top w:val="nil"/>
              <w:left w:val="single" w:sz="4" w:space="0" w:color="auto"/>
              <w:bottom w:val="single" w:sz="4" w:space="0" w:color="auto"/>
              <w:right w:val="single" w:sz="4" w:space="0" w:color="auto"/>
            </w:tcBorders>
            <w:shd w:val="clear" w:color="000000" w:fill="A6C9EC"/>
            <w:noWrap/>
            <w:vAlign w:val="center"/>
            <w:hideMark/>
          </w:tcPr>
          <w:p w14:paraId="7123A561" w14:textId="77777777" w:rsidR="00076D53" w:rsidRPr="00C900C3" w:rsidRDefault="00076D53" w:rsidP="00076D53">
            <w:pPr>
              <w:spacing w:before="0" w:after="0" w:line="240" w:lineRule="auto"/>
              <w:jc w:val="left"/>
              <w:rPr>
                <w:rFonts w:ascii="Arial" w:hAnsi="Arial" w:cs="Arial"/>
                <w:b/>
                <w:bCs/>
                <w:color w:val="000000"/>
                <w:lang w:val="en-IN"/>
              </w:rPr>
            </w:pPr>
            <w:r w:rsidRPr="00C900C3">
              <w:rPr>
                <w:rFonts w:ascii="Arial" w:hAnsi="Arial" w:cs="Arial"/>
                <w:b/>
                <w:bCs/>
                <w:color w:val="000000"/>
                <w:lang w:val="en-IN"/>
              </w:rPr>
              <w:t>Calculate Cash Operating Cycle (CCC)</w:t>
            </w:r>
          </w:p>
        </w:tc>
        <w:tc>
          <w:tcPr>
            <w:tcW w:w="833" w:type="pct"/>
            <w:tcBorders>
              <w:top w:val="nil"/>
              <w:left w:val="nil"/>
              <w:bottom w:val="single" w:sz="4" w:space="0" w:color="auto"/>
              <w:right w:val="single" w:sz="4" w:space="0" w:color="auto"/>
            </w:tcBorders>
            <w:shd w:val="clear" w:color="000000" w:fill="A6C9EC"/>
            <w:vAlign w:val="center"/>
            <w:hideMark/>
          </w:tcPr>
          <w:p w14:paraId="7F8C6D0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Inventory </w:t>
            </w:r>
            <w:proofErr w:type="spellStart"/>
            <w:r w:rsidRPr="00C900C3">
              <w:rPr>
                <w:rFonts w:ascii="Arial" w:hAnsi="Arial" w:cs="Arial"/>
                <w:color w:val="000000"/>
                <w:lang w:val="en-IN"/>
              </w:rPr>
              <w:t>Days+Receivable</w:t>
            </w:r>
            <w:proofErr w:type="spellEnd"/>
            <w:r w:rsidRPr="00C900C3">
              <w:rPr>
                <w:rFonts w:ascii="Arial" w:hAnsi="Arial" w:cs="Arial"/>
                <w:color w:val="000000"/>
                <w:lang w:val="en-IN"/>
              </w:rPr>
              <w:t xml:space="preserve"> Days−Payable Days</w:t>
            </w:r>
          </w:p>
        </w:tc>
        <w:tc>
          <w:tcPr>
            <w:tcW w:w="580" w:type="pct"/>
            <w:tcBorders>
              <w:top w:val="nil"/>
              <w:left w:val="nil"/>
              <w:bottom w:val="single" w:sz="4" w:space="0" w:color="auto"/>
              <w:right w:val="single" w:sz="4" w:space="0" w:color="auto"/>
            </w:tcBorders>
            <w:shd w:val="clear" w:color="000000" w:fill="A6C9EC"/>
            <w:noWrap/>
            <w:vAlign w:val="center"/>
            <w:hideMark/>
          </w:tcPr>
          <w:p w14:paraId="493F89DF"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33.67</w:t>
            </w:r>
          </w:p>
        </w:tc>
        <w:tc>
          <w:tcPr>
            <w:tcW w:w="580" w:type="pct"/>
            <w:tcBorders>
              <w:top w:val="nil"/>
              <w:left w:val="nil"/>
              <w:bottom w:val="single" w:sz="4" w:space="0" w:color="auto"/>
              <w:right w:val="single" w:sz="4" w:space="0" w:color="auto"/>
            </w:tcBorders>
            <w:shd w:val="clear" w:color="000000" w:fill="A6C9EC"/>
            <w:noWrap/>
            <w:vAlign w:val="center"/>
            <w:hideMark/>
          </w:tcPr>
          <w:p w14:paraId="2599123F"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30.16</w:t>
            </w:r>
          </w:p>
        </w:tc>
        <w:tc>
          <w:tcPr>
            <w:tcW w:w="580" w:type="pct"/>
            <w:tcBorders>
              <w:top w:val="nil"/>
              <w:left w:val="nil"/>
              <w:bottom w:val="single" w:sz="4" w:space="0" w:color="auto"/>
              <w:right w:val="single" w:sz="4" w:space="0" w:color="auto"/>
            </w:tcBorders>
            <w:shd w:val="clear" w:color="000000" w:fill="A6C9EC"/>
            <w:noWrap/>
            <w:vAlign w:val="center"/>
            <w:hideMark/>
          </w:tcPr>
          <w:p w14:paraId="7C5DB361"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19.91</w:t>
            </w:r>
          </w:p>
        </w:tc>
        <w:tc>
          <w:tcPr>
            <w:tcW w:w="580" w:type="pct"/>
            <w:tcBorders>
              <w:top w:val="nil"/>
              <w:left w:val="nil"/>
              <w:bottom w:val="single" w:sz="4" w:space="0" w:color="auto"/>
              <w:right w:val="single" w:sz="4" w:space="0" w:color="auto"/>
            </w:tcBorders>
            <w:shd w:val="clear" w:color="000000" w:fill="A6C9EC"/>
            <w:noWrap/>
            <w:vAlign w:val="center"/>
            <w:hideMark/>
          </w:tcPr>
          <w:p w14:paraId="31B78ECB"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17.50</w:t>
            </w:r>
          </w:p>
        </w:tc>
        <w:tc>
          <w:tcPr>
            <w:tcW w:w="580" w:type="pct"/>
            <w:tcBorders>
              <w:top w:val="nil"/>
              <w:left w:val="nil"/>
              <w:bottom w:val="single" w:sz="4" w:space="0" w:color="auto"/>
              <w:right w:val="single" w:sz="4" w:space="0" w:color="auto"/>
            </w:tcBorders>
            <w:shd w:val="clear" w:color="000000" w:fill="A6C9EC"/>
            <w:noWrap/>
            <w:vAlign w:val="center"/>
            <w:hideMark/>
          </w:tcPr>
          <w:p w14:paraId="69EDD3A4"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20.44</w:t>
            </w:r>
          </w:p>
        </w:tc>
      </w:tr>
    </w:tbl>
    <w:p w14:paraId="0BC5690B" w14:textId="316119B5" w:rsidR="00076D53" w:rsidRPr="00C900C3" w:rsidRDefault="00076D53" w:rsidP="00076D53">
      <w:pPr>
        <w:jc w:val="center"/>
        <w:rPr>
          <w:rFonts w:ascii="Arial" w:hAnsi="Arial" w:cs="Arial"/>
        </w:rPr>
      </w:pPr>
      <w:r w:rsidRPr="00C900C3">
        <w:rPr>
          <w:rFonts w:ascii="Arial" w:hAnsi="Arial" w:cs="Arial"/>
        </w:rPr>
        <w:t>(Source: Excel)</w:t>
      </w:r>
    </w:p>
    <w:p w14:paraId="0181534B" w14:textId="77777777" w:rsidR="00B96CFB" w:rsidRPr="00C900C3" w:rsidRDefault="0080051C">
      <w:pPr>
        <w:pStyle w:val="Heading2"/>
        <w:rPr>
          <w:rFonts w:ascii="Arial" w:hAnsi="Arial" w:cs="Arial"/>
          <w:sz w:val="24"/>
          <w:szCs w:val="24"/>
        </w:rPr>
      </w:pPr>
      <w:bookmarkStart w:id="74" w:name="_Toc227452817"/>
      <w:r w:rsidRPr="00C900C3">
        <w:rPr>
          <w:rFonts w:ascii="Arial" w:hAnsi="Arial" w:cs="Arial"/>
          <w:sz w:val="24"/>
          <w:szCs w:val="24"/>
        </w:rPr>
        <w:t>Appendix E: Projects A, B, and C</w:t>
      </w:r>
      <w:bookmarkEnd w:id="74"/>
    </w:p>
    <w:tbl>
      <w:tblPr>
        <w:tblW w:w="5000" w:type="pct"/>
        <w:jc w:val="center"/>
        <w:tblLook w:val="04A0" w:firstRow="1" w:lastRow="0" w:firstColumn="1" w:lastColumn="0" w:noHBand="0" w:noVBand="1"/>
      </w:tblPr>
      <w:tblGrid>
        <w:gridCol w:w="906"/>
        <w:gridCol w:w="131"/>
        <w:gridCol w:w="1288"/>
        <w:gridCol w:w="515"/>
        <w:gridCol w:w="138"/>
        <w:gridCol w:w="1264"/>
        <w:gridCol w:w="955"/>
        <w:gridCol w:w="235"/>
        <w:gridCol w:w="1618"/>
        <w:gridCol w:w="876"/>
        <w:gridCol w:w="224"/>
        <w:gridCol w:w="188"/>
        <w:gridCol w:w="223"/>
        <w:gridCol w:w="236"/>
        <w:gridCol w:w="222"/>
      </w:tblGrid>
      <w:tr w:rsidR="00076D53" w:rsidRPr="00C900C3" w14:paraId="1EF9A38E" w14:textId="77777777" w:rsidTr="00463C30">
        <w:trPr>
          <w:gridAfter w:val="1"/>
          <w:wAfter w:w="114" w:type="pct"/>
          <w:trHeight w:val="624"/>
          <w:jc w:val="center"/>
        </w:trPr>
        <w:tc>
          <w:tcPr>
            <w:tcW w:w="1291"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3C6CB8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"Year"</w:t>
            </w:r>
          </w:p>
        </w:tc>
        <w:tc>
          <w:tcPr>
            <w:tcW w:w="1048"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2C7B448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 Flow"</w:t>
            </w:r>
          </w:p>
        </w:tc>
        <w:tc>
          <w:tcPr>
            <w:tcW w:w="1592"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0FFFB48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"Discounting Factor @10%"</w:t>
            </w:r>
          </w:p>
        </w:tc>
        <w:tc>
          <w:tcPr>
            <w:tcW w:w="956" w:type="pct"/>
            <w:gridSpan w:val="5"/>
            <w:tcBorders>
              <w:top w:val="single" w:sz="4" w:space="0" w:color="000000"/>
              <w:left w:val="nil"/>
              <w:bottom w:val="single" w:sz="4" w:space="0" w:color="000000"/>
              <w:right w:val="single" w:sz="4" w:space="0" w:color="000000"/>
            </w:tcBorders>
            <w:shd w:val="clear" w:color="000000" w:fill="FFFFFF"/>
            <w:vAlign w:val="center"/>
            <w:hideMark/>
          </w:tcPr>
          <w:p w14:paraId="5FBE34BA"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"Present Value"</w:t>
            </w:r>
          </w:p>
        </w:tc>
      </w:tr>
      <w:tr w:rsidR="00076D53" w:rsidRPr="00C900C3" w14:paraId="312B398B" w14:textId="77777777" w:rsidTr="00463C30">
        <w:trPr>
          <w:gridAfter w:val="1"/>
          <w:wAfter w:w="114" w:type="pct"/>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6A044C3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41EC945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2C04074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1.000</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31980CA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r>
      <w:tr w:rsidR="00076D53" w:rsidRPr="00C900C3" w14:paraId="153CE848" w14:textId="77777777" w:rsidTr="00463C30">
        <w:trPr>
          <w:gridAfter w:val="1"/>
          <w:wAfter w:w="114" w:type="pct"/>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624B442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7C82E1B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4419F6E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0.909</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3321080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9.09 </w:t>
            </w:r>
          </w:p>
        </w:tc>
      </w:tr>
      <w:tr w:rsidR="00076D53" w:rsidRPr="00C900C3" w14:paraId="1103600E" w14:textId="77777777" w:rsidTr="00463C30">
        <w:trPr>
          <w:gridAfter w:val="1"/>
          <w:wAfter w:w="114" w:type="pct"/>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5CA7C46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2</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2B27AB9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12.00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2BEEB4D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0.826</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7F9BA48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9.92 </w:t>
            </w:r>
          </w:p>
        </w:tc>
      </w:tr>
      <w:tr w:rsidR="00076D53" w:rsidRPr="00C900C3" w14:paraId="1BBC148B" w14:textId="77777777" w:rsidTr="00463C30">
        <w:trPr>
          <w:gridAfter w:val="1"/>
          <w:wAfter w:w="114" w:type="pct"/>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4988B58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3</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1CA9D27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14.00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39FBFCD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0.751</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131EB2B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10.52 </w:t>
            </w:r>
          </w:p>
        </w:tc>
      </w:tr>
      <w:tr w:rsidR="00076D53" w:rsidRPr="00C900C3" w14:paraId="7187F009" w14:textId="77777777" w:rsidTr="00463C30">
        <w:trPr>
          <w:gridAfter w:val="1"/>
          <w:wAfter w:w="114" w:type="pct"/>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196CD31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lastRenderedPageBreak/>
              <w:t>4</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7EEAF4D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16BFD3F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0.683</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583482B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6.83 </w:t>
            </w:r>
          </w:p>
        </w:tc>
      </w:tr>
      <w:tr w:rsidR="00076D53" w:rsidRPr="00C900C3" w14:paraId="32A9F6A0" w14:textId="77777777" w:rsidTr="00463C30">
        <w:trPr>
          <w:gridAfter w:val="1"/>
          <w:wAfter w:w="114" w:type="pct"/>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07107AA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5</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1E3D925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8.00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3B22CB6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0.621</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40E1D4B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4.97 </w:t>
            </w:r>
          </w:p>
        </w:tc>
      </w:tr>
      <w:tr w:rsidR="00076D53" w:rsidRPr="00C900C3" w14:paraId="132CCCB7" w14:textId="77777777" w:rsidTr="00463C30">
        <w:trPr>
          <w:gridAfter w:val="1"/>
          <w:wAfter w:w="114" w:type="pct"/>
          <w:trHeight w:val="894"/>
          <w:jc w:val="center"/>
        </w:trPr>
        <w:tc>
          <w:tcPr>
            <w:tcW w:w="3930" w:type="pct"/>
            <w:gridSpan w:val="9"/>
            <w:vMerge w:val="restart"/>
            <w:tcBorders>
              <w:top w:val="single" w:sz="4" w:space="0" w:color="000000"/>
              <w:left w:val="single" w:sz="4" w:space="0" w:color="000000"/>
              <w:bottom w:val="nil"/>
              <w:right w:val="single" w:sz="4" w:space="0" w:color="000000"/>
            </w:tcBorders>
            <w:shd w:val="clear" w:color="000000" w:fill="D0D0D0"/>
            <w:vAlign w:val="center"/>
            <w:hideMark/>
          </w:tcPr>
          <w:p w14:paraId="3D672DE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"Net Present Value (NPV) of Project A"</w:t>
            </w:r>
          </w:p>
        </w:tc>
        <w:tc>
          <w:tcPr>
            <w:tcW w:w="956" w:type="pct"/>
            <w:gridSpan w:val="5"/>
            <w:vMerge w:val="restart"/>
            <w:tcBorders>
              <w:top w:val="nil"/>
              <w:left w:val="single" w:sz="4" w:space="0" w:color="000000"/>
              <w:bottom w:val="nil"/>
              <w:right w:val="single" w:sz="4" w:space="0" w:color="000000"/>
            </w:tcBorders>
            <w:shd w:val="clear" w:color="000000" w:fill="D0D0D0"/>
            <w:vAlign w:val="center"/>
            <w:hideMark/>
          </w:tcPr>
          <w:p w14:paraId="3A59696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 xml:space="preserve">-£              8.68 </w:t>
            </w:r>
          </w:p>
        </w:tc>
      </w:tr>
      <w:tr w:rsidR="00076D53" w:rsidRPr="00C900C3" w14:paraId="56721106" w14:textId="77777777" w:rsidTr="00463C30">
        <w:trPr>
          <w:trHeight w:val="300"/>
          <w:jc w:val="center"/>
        </w:trPr>
        <w:tc>
          <w:tcPr>
            <w:tcW w:w="3930" w:type="pct"/>
            <w:gridSpan w:val="9"/>
            <w:vMerge/>
            <w:tcBorders>
              <w:top w:val="single" w:sz="4" w:space="0" w:color="000000"/>
              <w:left w:val="single" w:sz="4" w:space="0" w:color="000000"/>
              <w:bottom w:val="nil"/>
              <w:right w:val="single" w:sz="4" w:space="0" w:color="000000"/>
            </w:tcBorders>
            <w:vAlign w:val="center"/>
            <w:hideMark/>
          </w:tcPr>
          <w:p w14:paraId="38B6427A" w14:textId="77777777" w:rsidR="00076D53" w:rsidRPr="00C900C3" w:rsidRDefault="00076D53" w:rsidP="00076D53">
            <w:pPr>
              <w:spacing w:before="0" w:after="0" w:line="240" w:lineRule="auto"/>
              <w:jc w:val="left"/>
              <w:rPr>
                <w:rFonts w:ascii="Arial" w:hAnsi="Arial" w:cs="Arial"/>
                <w:b/>
                <w:bCs/>
                <w:color w:val="000000"/>
                <w:lang w:val="en-IN"/>
              </w:rPr>
            </w:pPr>
          </w:p>
        </w:tc>
        <w:tc>
          <w:tcPr>
            <w:tcW w:w="956" w:type="pct"/>
            <w:gridSpan w:val="5"/>
            <w:vMerge/>
            <w:tcBorders>
              <w:top w:val="nil"/>
              <w:left w:val="single" w:sz="4" w:space="0" w:color="000000"/>
              <w:bottom w:val="nil"/>
              <w:right w:val="single" w:sz="4" w:space="0" w:color="000000"/>
            </w:tcBorders>
            <w:vAlign w:val="center"/>
            <w:hideMark/>
          </w:tcPr>
          <w:p w14:paraId="43210C6D" w14:textId="77777777" w:rsidR="00076D53" w:rsidRPr="00C900C3" w:rsidRDefault="00076D53" w:rsidP="00076D53">
            <w:pPr>
              <w:spacing w:before="0" w:after="0" w:line="240" w:lineRule="auto"/>
              <w:jc w:val="left"/>
              <w:rPr>
                <w:rFonts w:ascii="Arial" w:hAnsi="Arial" w:cs="Arial"/>
                <w:b/>
                <w:bCs/>
                <w:color w:val="000000"/>
                <w:lang w:val="en-IN"/>
              </w:rPr>
            </w:pPr>
          </w:p>
        </w:tc>
        <w:tc>
          <w:tcPr>
            <w:tcW w:w="114" w:type="pct"/>
            <w:tcBorders>
              <w:top w:val="nil"/>
              <w:left w:val="nil"/>
              <w:bottom w:val="nil"/>
              <w:right w:val="nil"/>
            </w:tcBorders>
            <w:noWrap/>
            <w:vAlign w:val="bottom"/>
            <w:hideMark/>
          </w:tcPr>
          <w:p w14:paraId="65E67DB9" w14:textId="77777777" w:rsidR="00076D53" w:rsidRPr="00C900C3" w:rsidRDefault="00076D53" w:rsidP="00076D53">
            <w:pPr>
              <w:spacing w:before="0" w:after="0" w:line="240" w:lineRule="auto"/>
              <w:jc w:val="center"/>
              <w:rPr>
                <w:rFonts w:ascii="Arial" w:hAnsi="Arial" w:cs="Arial"/>
                <w:b/>
                <w:bCs/>
                <w:color w:val="000000"/>
                <w:lang w:val="en-IN"/>
              </w:rPr>
            </w:pPr>
          </w:p>
        </w:tc>
      </w:tr>
      <w:tr w:rsidR="00076D53" w:rsidRPr="00C900C3" w14:paraId="773A57AE" w14:textId="77777777" w:rsidTr="00463C30">
        <w:trPr>
          <w:trHeight w:val="1044"/>
          <w:jc w:val="center"/>
        </w:trPr>
        <w:tc>
          <w:tcPr>
            <w:tcW w:w="3930" w:type="pct"/>
            <w:gridSpan w:val="9"/>
            <w:tcBorders>
              <w:top w:val="single" w:sz="4" w:space="0" w:color="auto"/>
              <w:left w:val="single" w:sz="4" w:space="0" w:color="auto"/>
              <w:bottom w:val="single" w:sz="4" w:space="0" w:color="auto"/>
              <w:right w:val="single" w:sz="4" w:space="0" w:color="auto"/>
            </w:tcBorders>
            <w:shd w:val="clear" w:color="000000" w:fill="D0D0D0"/>
            <w:vAlign w:val="center"/>
            <w:hideMark/>
          </w:tcPr>
          <w:p w14:paraId="710405D1"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"Profitability Index (PI) of Project A" (</w:t>
            </w:r>
            <w:proofErr w:type="spellStart"/>
            <w:r w:rsidRPr="00C900C3">
              <w:rPr>
                <w:rFonts w:ascii="Arial" w:hAnsi="Arial" w:cs="Arial"/>
                <w:b/>
                <w:bCs/>
                <w:color w:val="000000"/>
                <w:lang w:val="en-IN"/>
              </w:rPr>
              <w:t>NPV+Initial</w:t>
            </w:r>
            <w:proofErr w:type="spellEnd"/>
            <w:r w:rsidRPr="00C900C3">
              <w:rPr>
                <w:rFonts w:ascii="Arial" w:hAnsi="Arial" w:cs="Arial"/>
                <w:b/>
                <w:bCs/>
                <w:color w:val="000000"/>
                <w:lang w:val="en-IN"/>
              </w:rPr>
              <w:t xml:space="preserve"> investment)/Initial investment</w:t>
            </w:r>
          </w:p>
        </w:tc>
        <w:tc>
          <w:tcPr>
            <w:tcW w:w="956" w:type="pct"/>
            <w:gridSpan w:val="5"/>
            <w:tcBorders>
              <w:top w:val="single" w:sz="4" w:space="0" w:color="auto"/>
              <w:left w:val="nil"/>
              <w:bottom w:val="single" w:sz="4" w:space="0" w:color="auto"/>
              <w:right w:val="single" w:sz="4" w:space="0" w:color="auto"/>
            </w:tcBorders>
            <w:shd w:val="clear" w:color="000000" w:fill="D0D0D0"/>
            <w:noWrap/>
            <w:vAlign w:val="center"/>
            <w:hideMark/>
          </w:tcPr>
          <w:p w14:paraId="42601FAE"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1.17</w:t>
            </w:r>
          </w:p>
        </w:tc>
        <w:tc>
          <w:tcPr>
            <w:tcW w:w="114" w:type="pct"/>
            <w:vAlign w:val="center"/>
            <w:hideMark/>
          </w:tcPr>
          <w:p w14:paraId="7CAC40AE"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09CEDC4" w14:textId="77777777" w:rsidTr="00463C30">
        <w:trPr>
          <w:trHeight w:val="300"/>
          <w:jc w:val="center"/>
        </w:trPr>
        <w:tc>
          <w:tcPr>
            <w:tcW w:w="1291" w:type="pct"/>
            <w:gridSpan w:val="3"/>
            <w:tcBorders>
              <w:top w:val="nil"/>
              <w:left w:val="nil"/>
              <w:bottom w:val="nil"/>
              <w:right w:val="nil"/>
            </w:tcBorders>
            <w:noWrap/>
            <w:vAlign w:val="bottom"/>
            <w:hideMark/>
          </w:tcPr>
          <w:p w14:paraId="1442B3D0" w14:textId="77777777" w:rsidR="00076D53" w:rsidRPr="00C900C3" w:rsidRDefault="00076D53" w:rsidP="00076D53">
            <w:pPr>
              <w:spacing w:before="0" w:after="0" w:line="240" w:lineRule="auto"/>
              <w:jc w:val="right"/>
              <w:rPr>
                <w:rFonts w:ascii="Arial" w:hAnsi="Arial" w:cs="Arial"/>
                <w:b/>
                <w:bCs/>
                <w:color w:val="000000"/>
                <w:lang w:val="en-IN"/>
              </w:rPr>
            </w:pPr>
          </w:p>
        </w:tc>
        <w:tc>
          <w:tcPr>
            <w:tcW w:w="1048" w:type="pct"/>
            <w:gridSpan w:val="3"/>
            <w:tcBorders>
              <w:top w:val="nil"/>
              <w:left w:val="nil"/>
              <w:bottom w:val="nil"/>
              <w:right w:val="nil"/>
            </w:tcBorders>
            <w:noWrap/>
            <w:vAlign w:val="bottom"/>
            <w:hideMark/>
          </w:tcPr>
          <w:p w14:paraId="5DF8E0F1" w14:textId="77777777" w:rsidR="00076D53" w:rsidRPr="00C900C3" w:rsidRDefault="00076D53" w:rsidP="00076D53">
            <w:pPr>
              <w:spacing w:before="0" w:after="0" w:line="240" w:lineRule="auto"/>
              <w:jc w:val="left"/>
              <w:rPr>
                <w:rFonts w:ascii="Arial" w:hAnsi="Arial" w:cs="Arial"/>
                <w:lang w:val="en-IN"/>
              </w:rPr>
            </w:pPr>
          </w:p>
        </w:tc>
        <w:tc>
          <w:tcPr>
            <w:tcW w:w="1592" w:type="pct"/>
            <w:gridSpan w:val="3"/>
            <w:tcBorders>
              <w:top w:val="nil"/>
              <w:left w:val="nil"/>
              <w:bottom w:val="nil"/>
              <w:right w:val="nil"/>
            </w:tcBorders>
            <w:noWrap/>
            <w:vAlign w:val="bottom"/>
            <w:hideMark/>
          </w:tcPr>
          <w:p w14:paraId="2FDA681A" w14:textId="77777777" w:rsidR="00076D53" w:rsidRPr="00C900C3" w:rsidRDefault="00076D53" w:rsidP="00076D53">
            <w:pPr>
              <w:spacing w:before="0" w:after="0" w:line="240" w:lineRule="auto"/>
              <w:jc w:val="left"/>
              <w:rPr>
                <w:rFonts w:ascii="Arial" w:hAnsi="Arial" w:cs="Arial"/>
                <w:lang w:val="en-IN"/>
              </w:rPr>
            </w:pPr>
          </w:p>
        </w:tc>
        <w:tc>
          <w:tcPr>
            <w:tcW w:w="956" w:type="pct"/>
            <w:gridSpan w:val="5"/>
            <w:tcBorders>
              <w:top w:val="nil"/>
              <w:left w:val="nil"/>
              <w:bottom w:val="nil"/>
              <w:right w:val="nil"/>
            </w:tcBorders>
            <w:noWrap/>
            <w:vAlign w:val="bottom"/>
            <w:hideMark/>
          </w:tcPr>
          <w:p w14:paraId="68D86C28" w14:textId="77777777" w:rsidR="00076D53" w:rsidRPr="00C900C3" w:rsidRDefault="00076D53" w:rsidP="00076D53">
            <w:pPr>
              <w:spacing w:before="0" w:after="0" w:line="240" w:lineRule="auto"/>
              <w:jc w:val="left"/>
              <w:rPr>
                <w:rFonts w:ascii="Arial" w:hAnsi="Arial" w:cs="Arial"/>
                <w:lang w:val="en-IN"/>
              </w:rPr>
            </w:pPr>
          </w:p>
        </w:tc>
        <w:tc>
          <w:tcPr>
            <w:tcW w:w="114" w:type="pct"/>
            <w:vAlign w:val="center"/>
            <w:hideMark/>
          </w:tcPr>
          <w:p w14:paraId="51BA3C02"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9A32D43" w14:textId="77777777" w:rsidTr="00463C30">
        <w:trPr>
          <w:trHeight w:val="312"/>
          <w:jc w:val="center"/>
        </w:trPr>
        <w:tc>
          <w:tcPr>
            <w:tcW w:w="1291"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F5A7EA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"Year"</w:t>
            </w:r>
          </w:p>
        </w:tc>
        <w:tc>
          <w:tcPr>
            <w:tcW w:w="1048"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5DB894DE"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 Flow"</w:t>
            </w:r>
          </w:p>
        </w:tc>
        <w:tc>
          <w:tcPr>
            <w:tcW w:w="1592"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0D33F33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"Present Value"</w:t>
            </w:r>
          </w:p>
        </w:tc>
        <w:tc>
          <w:tcPr>
            <w:tcW w:w="956" w:type="pct"/>
            <w:gridSpan w:val="5"/>
            <w:tcBorders>
              <w:top w:val="single" w:sz="4" w:space="0" w:color="000000"/>
              <w:left w:val="nil"/>
              <w:bottom w:val="single" w:sz="4" w:space="0" w:color="000000"/>
              <w:right w:val="single" w:sz="4" w:space="0" w:color="000000"/>
            </w:tcBorders>
            <w:shd w:val="clear" w:color="000000" w:fill="FFFFFF"/>
            <w:vAlign w:val="center"/>
            <w:hideMark/>
          </w:tcPr>
          <w:p w14:paraId="1D05AA3F"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Cumulative</w:t>
            </w:r>
          </w:p>
        </w:tc>
        <w:tc>
          <w:tcPr>
            <w:tcW w:w="114" w:type="pct"/>
            <w:vAlign w:val="center"/>
            <w:hideMark/>
          </w:tcPr>
          <w:p w14:paraId="7D60E7A2"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5030EE86" w14:textId="77777777" w:rsidTr="00463C30">
        <w:trPr>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540C1D1C"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6FC596B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0A3482C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1B8A46CB"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50.00 </w:t>
            </w:r>
          </w:p>
        </w:tc>
        <w:tc>
          <w:tcPr>
            <w:tcW w:w="114" w:type="pct"/>
            <w:vAlign w:val="center"/>
            <w:hideMark/>
          </w:tcPr>
          <w:p w14:paraId="22CA9132"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1759CF7" w14:textId="77777777" w:rsidTr="00463C30">
        <w:trPr>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003B6FD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033E207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01701FCC"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9.09 </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45807731"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40.91 </w:t>
            </w:r>
          </w:p>
        </w:tc>
        <w:tc>
          <w:tcPr>
            <w:tcW w:w="114" w:type="pct"/>
            <w:vAlign w:val="center"/>
            <w:hideMark/>
          </w:tcPr>
          <w:p w14:paraId="6C695F30"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713FE5B" w14:textId="77777777" w:rsidTr="00463C30">
        <w:trPr>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3813723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2</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5D10A00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12.00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61D94C9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9.92 </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685D3C30"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30.99 </w:t>
            </w:r>
          </w:p>
        </w:tc>
        <w:tc>
          <w:tcPr>
            <w:tcW w:w="114" w:type="pct"/>
            <w:vAlign w:val="center"/>
            <w:hideMark/>
          </w:tcPr>
          <w:p w14:paraId="5BDAE1C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10907C9" w14:textId="77777777" w:rsidTr="00463C30">
        <w:trPr>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5511E75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3</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2AE3C473"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14.00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7EF4483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10.52 </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7C82668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20.47 </w:t>
            </w:r>
          </w:p>
        </w:tc>
        <w:tc>
          <w:tcPr>
            <w:tcW w:w="114" w:type="pct"/>
            <w:vAlign w:val="center"/>
            <w:hideMark/>
          </w:tcPr>
          <w:p w14:paraId="31A42415"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5AD645E5" w14:textId="77777777" w:rsidTr="00463C30">
        <w:trPr>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527C487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4</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04F3E72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1BF788C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6.83 </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02470A5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13.64 </w:t>
            </w:r>
          </w:p>
        </w:tc>
        <w:tc>
          <w:tcPr>
            <w:tcW w:w="114" w:type="pct"/>
            <w:vAlign w:val="center"/>
            <w:hideMark/>
          </w:tcPr>
          <w:p w14:paraId="7A639EF6"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5526F5F" w14:textId="77777777" w:rsidTr="00463C30">
        <w:trPr>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69443CC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5</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79DC8F4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8.00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1D71BA1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4.97 </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2EFBC9DC"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8.68 </w:t>
            </w:r>
          </w:p>
        </w:tc>
        <w:tc>
          <w:tcPr>
            <w:tcW w:w="114" w:type="pct"/>
            <w:vAlign w:val="center"/>
            <w:hideMark/>
          </w:tcPr>
          <w:p w14:paraId="0C7BD2CB"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5C17217D" w14:textId="77777777" w:rsidTr="00463C30">
        <w:trPr>
          <w:trHeight w:val="624"/>
          <w:jc w:val="center"/>
        </w:trPr>
        <w:tc>
          <w:tcPr>
            <w:tcW w:w="3930" w:type="pct"/>
            <w:gridSpan w:val="9"/>
            <w:tcBorders>
              <w:top w:val="single" w:sz="4" w:space="0" w:color="000000"/>
              <w:left w:val="single" w:sz="4" w:space="0" w:color="000000"/>
              <w:bottom w:val="single" w:sz="4" w:space="0" w:color="000000"/>
              <w:right w:val="nil"/>
            </w:tcBorders>
            <w:shd w:val="clear" w:color="000000" w:fill="D0D0D0"/>
            <w:vAlign w:val="center"/>
            <w:hideMark/>
          </w:tcPr>
          <w:p w14:paraId="468736C6"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"Payback Period (PBP) of Project A"</w:t>
            </w:r>
          </w:p>
        </w:tc>
        <w:tc>
          <w:tcPr>
            <w:tcW w:w="956" w:type="pct"/>
            <w:gridSpan w:val="5"/>
            <w:tcBorders>
              <w:top w:val="nil"/>
              <w:left w:val="single" w:sz="4" w:space="0" w:color="000000"/>
              <w:bottom w:val="single" w:sz="4" w:space="0" w:color="000000"/>
              <w:right w:val="single" w:sz="4" w:space="0" w:color="000000"/>
            </w:tcBorders>
            <w:shd w:val="clear" w:color="000000" w:fill="D0D0D0"/>
            <w:vAlign w:val="center"/>
            <w:hideMark/>
          </w:tcPr>
          <w:p w14:paraId="4C4D2AA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Not Recovered</w:t>
            </w:r>
          </w:p>
        </w:tc>
        <w:tc>
          <w:tcPr>
            <w:tcW w:w="114" w:type="pct"/>
            <w:vAlign w:val="center"/>
            <w:hideMark/>
          </w:tcPr>
          <w:p w14:paraId="476A8257"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FE86C6D" w14:textId="77777777" w:rsidTr="00463C30">
        <w:trPr>
          <w:trHeight w:val="300"/>
          <w:jc w:val="center"/>
        </w:trPr>
        <w:tc>
          <w:tcPr>
            <w:tcW w:w="1291" w:type="pct"/>
            <w:gridSpan w:val="3"/>
            <w:tcBorders>
              <w:top w:val="nil"/>
              <w:left w:val="nil"/>
              <w:bottom w:val="nil"/>
              <w:right w:val="nil"/>
            </w:tcBorders>
            <w:noWrap/>
            <w:vAlign w:val="bottom"/>
            <w:hideMark/>
          </w:tcPr>
          <w:p w14:paraId="7E6CA919" w14:textId="77777777" w:rsidR="00076D53" w:rsidRPr="00C900C3" w:rsidRDefault="00076D53" w:rsidP="00076D53">
            <w:pPr>
              <w:spacing w:before="0" w:after="0" w:line="240" w:lineRule="auto"/>
              <w:jc w:val="center"/>
              <w:rPr>
                <w:rFonts w:ascii="Arial" w:hAnsi="Arial" w:cs="Arial"/>
                <w:b/>
                <w:bCs/>
                <w:color w:val="000000"/>
                <w:lang w:val="en-IN"/>
              </w:rPr>
            </w:pPr>
          </w:p>
        </w:tc>
        <w:tc>
          <w:tcPr>
            <w:tcW w:w="1048" w:type="pct"/>
            <w:gridSpan w:val="3"/>
            <w:tcBorders>
              <w:top w:val="nil"/>
              <w:left w:val="nil"/>
              <w:bottom w:val="nil"/>
              <w:right w:val="nil"/>
            </w:tcBorders>
            <w:noWrap/>
            <w:vAlign w:val="bottom"/>
            <w:hideMark/>
          </w:tcPr>
          <w:p w14:paraId="29A02B7B" w14:textId="77777777" w:rsidR="00076D53" w:rsidRPr="00C900C3" w:rsidRDefault="00076D53" w:rsidP="00076D53">
            <w:pPr>
              <w:spacing w:before="0" w:after="0" w:line="240" w:lineRule="auto"/>
              <w:jc w:val="left"/>
              <w:rPr>
                <w:rFonts w:ascii="Arial" w:hAnsi="Arial" w:cs="Arial"/>
                <w:lang w:val="en-IN"/>
              </w:rPr>
            </w:pPr>
          </w:p>
        </w:tc>
        <w:tc>
          <w:tcPr>
            <w:tcW w:w="1592" w:type="pct"/>
            <w:gridSpan w:val="3"/>
            <w:tcBorders>
              <w:top w:val="nil"/>
              <w:left w:val="nil"/>
              <w:bottom w:val="nil"/>
              <w:right w:val="nil"/>
            </w:tcBorders>
            <w:noWrap/>
            <w:vAlign w:val="bottom"/>
            <w:hideMark/>
          </w:tcPr>
          <w:p w14:paraId="00B0C9DB" w14:textId="77777777" w:rsidR="00076D53" w:rsidRPr="00C900C3" w:rsidRDefault="00076D53" w:rsidP="00076D53">
            <w:pPr>
              <w:spacing w:before="0" w:after="0" w:line="240" w:lineRule="auto"/>
              <w:jc w:val="left"/>
              <w:rPr>
                <w:rFonts w:ascii="Arial" w:hAnsi="Arial" w:cs="Arial"/>
                <w:lang w:val="en-IN"/>
              </w:rPr>
            </w:pPr>
          </w:p>
        </w:tc>
        <w:tc>
          <w:tcPr>
            <w:tcW w:w="956" w:type="pct"/>
            <w:gridSpan w:val="5"/>
            <w:tcBorders>
              <w:top w:val="nil"/>
              <w:left w:val="nil"/>
              <w:bottom w:val="nil"/>
              <w:right w:val="nil"/>
            </w:tcBorders>
            <w:noWrap/>
            <w:vAlign w:val="bottom"/>
            <w:hideMark/>
          </w:tcPr>
          <w:p w14:paraId="193C8491" w14:textId="77777777" w:rsidR="00076D53" w:rsidRPr="00C900C3" w:rsidRDefault="00076D53" w:rsidP="00076D53">
            <w:pPr>
              <w:spacing w:before="0" w:after="0" w:line="240" w:lineRule="auto"/>
              <w:jc w:val="left"/>
              <w:rPr>
                <w:rFonts w:ascii="Arial" w:hAnsi="Arial" w:cs="Arial"/>
                <w:lang w:val="en-IN"/>
              </w:rPr>
            </w:pPr>
          </w:p>
        </w:tc>
        <w:tc>
          <w:tcPr>
            <w:tcW w:w="114" w:type="pct"/>
            <w:vAlign w:val="center"/>
            <w:hideMark/>
          </w:tcPr>
          <w:p w14:paraId="41B67662"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BF6BB1A" w14:textId="77777777" w:rsidTr="00463C30">
        <w:trPr>
          <w:trHeight w:val="624"/>
          <w:jc w:val="center"/>
        </w:trPr>
        <w:tc>
          <w:tcPr>
            <w:tcW w:w="1291" w:type="pct"/>
            <w:gridSpan w:val="3"/>
            <w:tcBorders>
              <w:top w:val="single" w:sz="4" w:space="0" w:color="000000"/>
              <w:left w:val="single" w:sz="4" w:space="0" w:color="000000"/>
              <w:bottom w:val="single" w:sz="4" w:space="0" w:color="000000"/>
              <w:right w:val="single" w:sz="4" w:space="0" w:color="000000"/>
            </w:tcBorders>
            <w:vAlign w:val="center"/>
            <w:hideMark/>
          </w:tcPr>
          <w:p w14:paraId="62945315"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Year</w:t>
            </w:r>
          </w:p>
        </w:tc>
        <w:tc>
          <w:tcPr>
            <w:tcW w:w="1048" w:type="pct"/>
            <w:gridSpan w:val="3"/>
            <w:tcBorders>
              <w:top w:val="single" w:sz="4" w:space="0" w:color="000000"/>
              <w:left w:val="nil"/>
              <w:bottom w:val="single" w:sz="4" w:space="0" w:color="000000"/>
              <w:right w:val="single" w:sz="4" w:space="0" w:color="000000"/>
            </w:tcBorders>
            <w:vAlign w:val="center"/>
            <w:hideMark/>
          </w:tcPr>
          <w:p w14:paraId="6F44436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Cashflow</w:t>
            </w:r>
          </w:p>
        </w:tc>
        <w:tc>
          <w:tcPr>
            <w:tcW w:w="1592" w:type="pct"/>
            <w:gridSpan w:val="3"/>
            <w:tcBorders>
              <w:top w:val="single" w:sz="4" w:space="0" w:color="000000"/>
              <w:left w:val="nil"/>
              <w:bottom w:val="single" w:sz="4" w:space="0" w:color="000000"/>
              <w:right w:val="single" w:sz="4" w:space="0" w:color="000000"/>
            </w:tcBorders>
            <w:vAlign w:val="center"/>
            <w:hideMark/>
          </w:tcPr>
          <w:p w14:paraId="28DA295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"Discounting Factor @10%"</w:t>
            </w:r>
          </w:p>
        </w:tc>
        <w:tc>
          <w:tcPr>
            <w:tcW w:w="956" w:type="pct"/>
            <w:gridSpan w:val="5"/>
            <w:tcBorders>
              <w:top w:val="single" w:sz="4" w:space="0" w:color="000000"/>
              <w:left w:val="nil"/>
              <w:bottom w:val="single" w:sz="4" w:space="0" w:color="000000"/>
              <w:right w:val="single" w:sz="4" w:space="0" w:color="000000"/>
            </w:tcBorders>
            <w:vAlign w:val="center"/>
            <w:hideMark/>
          </w:tcPr>
          <w:p w14:paraId="547102E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Present value</w:t>
            </w:r>
          </w:p>
        </w:tc>
        <w:tc>
          <w:tcPr>
            <w:tcW w:w="114" w:type="pct"/>
            <w:vAlign w:val="center"/>
            <w:hideMark/>
          </w:tcPr>
          <w:p w14:paraId="0E88AA37"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AC72E6C" w14:textId="77777777" w:rsidTr="00463C30">
        <w:trPr>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337493FC"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1A5E059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2409199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1.000</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0C26B3DC"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14" w:type="pct"/>
            <w:vAlign w:val="center"/>
            <w:hideMark/>
          </w:tcPr>
          <w:p w14:paraId="43CEACC7"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D2F095F" w14:textId="77777777" w:rsidTr="00463C30">
        <w:trPr>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764CE72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7F4CE88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4481A51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0.909</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3CA81F2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9.09 </w:t>
            </w:r>
          </w:p>
        </w:tc>
        <w:tc>
          <w:tcPr>
            <w:tcW w:w="114" w:type="pct"/>
            <w:vAlign w:val="center"/>
            <w:hideMark/>
          </w:tcPr>
          <w:p w14:paraId="18C0F2CB"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63C92E6" w14:textId="77777777" w:rsidTr="00463C30">
        <w:trPr>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5087611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2</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74A5B36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12.00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13E0921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0.826</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2952741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9.92 </w:t>
            </w:r>
          </w:p>
        </w:tc>
        <w:tc>
          <w:tcPr>
            <w:tcW w:w="114" w:type="pct"/>
            <w:vAlign w:val="center"/>
            <w:hideMark/>
          </w:tcPr>
          <w:p w14:paraId="5B3DA05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159C6A2B" w14:textId="77777777" w:rsidTr="00463C30">
        <w:trPr>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3CDC805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3</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7234239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14.00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5546CC4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0.751</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181760B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10.52 </w:t>
            </w:r>
          </w:p>
        </w:tc>
        <w:tc>
          <w:tcPr>
            <w:tcW w:w="114" w:type="pct"/>
            <w:vAlign w:val="center"/>
            <w:hideMark/>
          </w:tcPr>
          <w:p w14:paraId="53E50FCF"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20ADCF5" w14:textId="77777777" w:rsidTr="00463C30">
        <w:trPr>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2CA1B1A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4</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5229898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1E8D871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0.683</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368433A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6.83 </w:t>
            </w:r>
          </w:p>
        </w:tc>
        <w:tc>
          <w:tcPr>
            <w:tcW w:w="114" w:type="pct"/>
            <w:vAlign w:val="center"/>
            <w:hideMark/>
          </w:tcPr>
          <w:p w14:paraId="08BF682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33B2E92" w14:textId="77777777" w:rsidTr="00463C30">
        <w:trPr>
          <w:trHeight w:val="300"/>
          <w:jc w:val="center"/>
        </w:trPr>
        <w:tc>
          <w:tcPr>
            <w:tcW w:w="1291" w:type="pct"/>
            <w:gridSpan w:val="3"/>
            <w:tcBorders>
              <w:top w:val="nil"/>
              <w:left w:val="single" w:sz="4" w:space="0" w:color="000000"/>
              <w:bottom w:val="single" w:sz="4" w:space="0" w:color="000000"/>
              <w:right w:val="single" w:sz="4" w:space="0" w:color="000000"/>
            </w:tcBorders>
            <w:shd w:val="clear" w:color="000000" w:fill="D0D0D0"/>
            <w:noWrap/>
            <w:vAlign w:val="bottom"/>
            <w:hideMark/>
          </w:tcPr>
          <w:p w14:paraId="65CB7F7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5</w:t>
            </w:r>
          </w:p>
        </w:tc>
        <w:tc>
          <w:tcPr>
            <w:tcW w:w="1048" w:type="pct"/>
            <w:gridSpan w:val="3"/>
            <w:tcBorders>
              <w:top w:val="nil"/>
              <w:left w:val="nil"/>
              <w:bottom w:val="single" w:sz="4" w:space="0" w:color="000000"/>
              <w:right w:val="single" w:sz="4" w:space="0" w:color="000000"/>
            </w:tcBorders>
            <w:shd w:val="clear" w:color="000000" w:fill="D0D0D0"/>
            <w:noWrap/>
            <w:vAlign w:val="bottom"/>
            <w:hideMark/>
          </w:tcPr>
          <w:p w14:paraId="4AE5D79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8.00 </w:t>
            </w:r>
          </w:p>
        </w:tc>
        <w:tc>
          <w:tcPr>
            <w:tcW w:w="1592" w:type="pct"/>
            <w:gridSpan w:val="3"/>
            <w:tcBorders>
              <w:top w:val="nil"/>
              <w:left w:val="nil"/>
              <w:bottom w:val="single" w:sz="4" w:space="0" w:color="000000"/>
              <w:right w:val="single" w:sz="4" w:space="0" w:color="000000"/>
            </w:tcBorders>
            <w:shd w:val="clear" w:color="000000" w:fill="D0D0D0"/>
            <w:noWrap/>
            <w:vAlign w:val="bottom"/>
            <w:hideMark/>
          </w:tcPr>
          <w:p w14:paraId="6E8D84A3"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0.621</w:t>
            </w:r>
          </w:p>
        </w:tc>
        <w:tc>
          <w:tcPr>
            <w:tcW w:w="956" w:type="pct"/>
            <w:gridSpan w:val="5"/>
            <w:tcBorders>
              <w:top w:val="nil"/>
              <w:left w:val="nil"/>
              <w:bottom w:val="single" w:sz="4" w:space="0" w:color="000000"/>
              <w:right w:val="single" w:sz="4" w:space="0" w:color="000000"/>
            </w:tcBorders>
            <w:shd w:val="clear" w:color="000000" w:fill="D0D0D0"/>
            <w:noWrap/>
            <w:vAlign w:val="bottom"/>
            <w:hideMark/>
          </w:tcPr>
          <w:p w14:paraId="462662E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4.97 </w:t>
            </w:r>
          </w:p>
        </w:tc>
        <w:tc>
          <w:tcPr>
            <w:tcW w:w="114" w:type="pct"/>
            <w:vAlign w:val="center"/>
            <w:hideMark/>
          </w:tcPr>
          <w:p w14:paraId="49AD9508"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B55C1B0" w14:textId="77777777" w:rsidTr="00463C30">
        <w:trPr>
          <w:trHeight w:val="540"/>
          <w:jc w:val="center"/>
        </w:trPr>
        <w:tc>
          <w:tcPr>
            <w:tcW w:w="3930" w:type="pct"/>
            <w:gridSpan w:val="9"/>
            <w:tcBorders>
              <w:top w:val="single" w:sz="4" w:space="0" w:color="000000"/>
              <w:left w:val="single" w:sz="4" w:space="0" w:color="000000"/>
              <w:bottom w:val="single" w:sz="4" w:space="0" w:color="000000"/>
              <w:right w:val="single" w:sz="4" w:space="0" w:color="000000"/>
            </w:tcBorders>
            <w:shd w:val="clear" w:color="000000" w:fill="D0D0D0"/>
            <w:vAlign w:val="center"/>
            <w:hideMark/>
          </w:tcPr>
          <w:p w14:paraId="307668A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"Internal Rate of Return (IRR) of Project A"</w:t>
            </w:r>
          </w:p>
        </w:tc>
        <w:tc>
          <w:tcPr>
            <w:tcW w:w="956" w:type="pct"/>
            <w:gridSpan w:val="5"/>
            <w:tcBorders>
              <w:top w:val="nil"/>
              <w:left w:val="nil"/>
              <w:bottom w:val="single" w:sz="4" w:space="0" w:color="000000"/>
              <w:right w:val="single" w:sz="4" w:space="0" w:color="000000"/>
            </w:tcBorders>
            <w:shd w:val="clear" w:color="000000" w:fill="D0D0D0"/>
            <w:vAlign w:val="center"/>
            <w:hideMark/>
          </w:tcPr>
          <w:p w14:paraId="499907A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2.72%</w:t>
            </w:r>
          </w:p>
        </w:tc>
        <w:tc>
          <w:tcPr>
            <w:tcW w:w="114" w:type="pct"/>
            <w:vAlign w:val="center"/>
            <w:hideMark/>
          </w:tcPr>
          <w:p w14:paraId="0EC6CA90"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493059C" w14:textId="77777777" w:rsidTr="00463C30">
        <w:trPr>
          <w:trHeight w:val="300"/>
          <w:jc w:val="center"/>
        </w:trPr>
        <w:tc>
          <w:tcPr>
            <w:tcW w:w="1291" w:type="pct"/>
            <w:gridSpan w:val="3"/>
            <w:tcBorders>
              <w:top w:val="nil"/>
              <w:left w:val="nil"/>
              <w:bottom w:val="nil"/>
              <w:right w:val="nil"/>
            </w:tcBorders>
            <w:noWrap/>
            <w:vAlign w:val="bottom"/>
            <w:hideMark/>
          </w:tcPr>
          <w:p w14:paraId="23F472CD" w14:textId="77777777" w:rsidR="00076D53" w:rsidRPr="00C900C3" w:rsidRDefault="00076D53" w:rsidP="00076D53">
            <w:pPr>
              <w:spacing w:before="0" w:after="0" w:line="240" w:lineRule="auto"/>
              <w:jc w:val="center"/>
              <w:rPr>
                <w:rFonts w:ascii="Arial" w:hAnsi="Arial" w:cs="Arial"/>
                <w:b/>
                <w:bCs/>
                <w:color w:val="000000"/>
                <w:lang w:val="en-IN"/>
              </w:rPr>
            </w:pPr>
          </w:p>
        </w:tc>
        <w:tc>
          <w:tcPr>
            <w:tcW w:w="1048" w:type="pct"/>
            <w:gridSpan w:val="3"/>
            <w:tcBorders>
              <w:top w:val="nil"/>
              <w:left w:val="nil"/>
              <w:bottom w:val="nil"/>
              <w:right w:val="nil"/>
            </w:tcBorders>
            <w:noWrap/>
            <w:vAlign w:val="bottom"/>
            <w:hideMark/>
          </w:tcPr>
          <w:p w14:paraId="73E4F1AB" w14:textId="77777777" w:rsidR="00076D53" w:rsidRPr="00C900C3" w:rsidRDefault="00076D53" w:rsidP="00076D53">
            <w:pPr>
              <w:spacing w:before="0" w:after="0" w:line="240" w:lineRule="auto"/>
              <w:jc w:val="left"/>
              <w:rPr>
                <w:rFonts w:ascii="Arial" w:hAnsi="Arial" w:cs="Arial"/>
                <w:lang w:val="en-IN"/>
              </w:rPr>
            </w:pPr>
          </w:p>
        </w:tc>
        <w:tc>
          <w:tcPr>
            <w:tcW w:w="1592" w:type="pct"/>
            <w:gridSpan w:val="3"/>
            <w:tcBorders>
              <w:top w:val="nil"/>
              <w:left w:val="nil"/>
              <w:bottom w:val="nil"/>
              <w:right w:val="nil"/>
            </w:tcBorders>
            <w:noWrap/>
            <w:vAlign w:val="bottom"/>
            <w:hideMark/>
          </w:tcPr>
          <w:p w14:paraId="31182D1A" w14:textId="77777777" w:rsidR="00076D53" w:rsidRPr="00C900C3" w:rsidRDefault="00076D53" w:rsidP="00076D53">
            <w:pPr>
              <w:spacing w:before="0" w:after="0" w:line="240" w:lineRule="auto"/>
              <w:jc w:val="left"/>
              <w:rPr>
                <w:rFonts w:ascii="Arial" w:hAnsi="Arial" w:cs="Arial"/>
                <w:lang w:val="en-IN"/>
              </w:rPr>
            </w:pPr>
          </w:p>
        </w:tc>
        <w:tc>
          <w:tcPr>
            <w:tcW w:w="956" w:type="pct"/>
            <w:gridSpan w:val="5"/>
            <w:tcBorders>
              <w:top w:val="nil"/>
              <w:left w:val="nil"/>
              <w:bottom w:val="nil"/>
              <w:right w:val="nil"/>
            </w:tcBorders>
            <w:noWrap/>
            <w:vAlign w:val="bottom"/>
            <w:hideMark/>
          </w:tcPr>
          <w:p w14:paraId="0786FB37" w14:textId="77777777" w:rsidR="00076D53" w:rsidRPr="00C900C3" w:rsidRDefault="00076D53" w:rsidP="00076D53">
            <w:pPr>
              <w:spacing w:before="0" w:after="0" w:line="240" w:lineRule="auto"/>
              <w:jc w:val="left"/>
              <w:rPr>
                <w:rFonts w:ascii="Arial" w:hAnsi="Arial" w:cs="Arial"/>
                <w:lang w:val="en-IN"/>
              </w:rPr>
            </w:pPr>
          </w:p>
        </w:tc>
        <w:tc>
          <w:tcPr>
            <w:tcW w:w="114" w:type="pct"/>
            <w:vAlign w:val="center"/>
            <w:hideMark/>
          </w:tcPr>
          <w:p w14:paraId="60602C5E"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55FA8FC" w14:textId="77777777" w:rsidTr="00463C30">
        <w:trPr>
          <w:trHeight w:val="624"/>
          <w:jc w:val="center"/>
        </w:trPr>
        <w:tc>
          <w:tcPr>
            <w:tcW w:w="1291"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774B2E5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"Year"</w:t>
            </w:r>
          </w:p>
        </w:tc>
        <w:tc>
          <w:tcPr>
            <w:tcW w:w="1048" w:type="pct"/>
            <w:gridSpan w:val="3"/>
            <w:tcBorders>
              <w:top w:val="single" w:sz="4" w:space="0" w:color="auto"/>
              <w:left w:val="nil"/>
              <w:bottom w:val="single" w:sz="4" w:space="0" w:color="auto"/>
              <w:right w:val="single" w:sz="4" w:space="0" w:color="auto"/>
            </w:tcBorders>
            <w:shd w:val="clear" w:color="000000" w:fill="FFFFFF"/>
            <w:vAlign w:val="center"/>
            <w:hideMark/>
          </w:tcPr>
          <w:p w14:paraId="1A3E1621"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 Flow"</w:t>
            </w:r>
          </w:p>
        </w:tc>
        <w:tc>
          <w:tcPr>
            <w:tcW w:w="1592" w:type="pct"/>
            <w:gridSpan w:val="3"/>
            <w:tcBorders>
              <w:top w:val="single" w:sz="4" w:space="0" w:color="auto"/>
              <w:left w:val="nil"/>
              <w:bottom w:val="single" w:sz="4" w:space="0" w:color="auto"/>
              <w:right w:val="single" w:sz="4" w:space="0" w:color="auto"/>
            </w:tcBorders>
            <w:shd w:val="clear" w:color="000000" w:fill="FFFFFF"/>
            <w:vAlign w:val="center"/>
            <w:hideMark/>
          </w:tcPr>
          <w:p w14:paraId="5AE3A4F6"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 xml:space="preserve">"Depreciation" </w:t>
            </w:r>
          </w:p>
        </w:tc>
        <w:tc>
          <w:tcPr>
            <w:tcW w:w="956" w:type="pct"/>
            <w:gridSpan w:val="5"/>
            <w:tcBorders>
              <w:top w:val="single" w:sz="4" w:space="0" w:color="auto"/>
              <w:left w:val="nil"/>
              <w:bottom w:val="single" w:sz="4" w:space="0" w:color="auto"/>
              <w:right w:val="single" w:sz="4" w:space="0" w:color="auto"/>
            </w:tcBorders>
            <w:shd w:val="clear" w:color="000000" w:fill="FFFFFF"/>
            <w:vAlign w:val="center"/>
            <w:hideMark/>
          </w:tcPr>
          <w:p w14:paraId="6A3C5B5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"Present Value"</w:t>
            </w:r>
          </w:p>
        </w:tc>
        <w:tc>
          <w:tcPr>
            <w:tcW w:w="114" w:type="pct"/>
            <w:vAlign w:val="center"/>
            <w:hideMark/>
          </w:tcPr>
          <w:p w14:paraId="2888061F"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3DCC74B" w14:textId="77777777" w:rsidTr="00463C30">
        <w:trPr>
          <w:trHeight w:val="300"/>
          <w:jc w:val="center"/>
        </w:trPr>
        <w:tc>
          <w:tcPr>
            <w:tcW w:w="1291" w:type="pct"/>
            <w:gridSpan w:val="3"/>
            <w:tcBorders>
              <w:top w:val="nil"/>
              <w:left w:val="single" w:sz="4" w:space="0" w:color="auto"/>
              <w:bottom w:val="single" w:sz="4" w:space="0" w:color="auto"/>
              <w:right w:val="single" w:sz="4" w:space="0" w:color="auto"/>
            </w:tcBorders>
            <w:shd w:val="clear" w:color="000000" w:fill="D0D0D0"/>
            <w:noWrap/>
            <w:vAlign w:val="center"/>
            <w:hideMark/>
          </w:tcPr>
          <w:p w14:paraId="41E2773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lastRenderedPageBreak/>
              <w:t>0</w:t>
            </w:r>
          </w:p>
        </w:tc>
        <w:tc>
          <w:tcPr>
            <w:tcW w:w="1048" w:type="pct"/>
            <w:gridSpan w:val="3"/>
            <w:tcBorders>
              <w:top w:val="nil"/>
              <w:left w:val="nil"/>
              <w:bottom w:val="single" w:sz="4" w:space="0" w:color="auto"/>
              <w:right w:val="single" w:sz="4" w:space="0" w:color="auto"/>
            </w:tcBorders>
            <w:shd w:val="clear" w:color="000000" w:fill="D0D0D0"/>
            <w:noWrap/>
            <w:vAlign w:val="center"/>
            <w:hideMark/>
          </w:tcPr>
          <w:p w14:paraId="2804E84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592" w:type="pct"/>
            <w:gridSpan w:val="3"/>
            <w:tcBorders>
              <w:top w:val="nil"/>
              <w:left w:val="nil"/>
              <w:bottom w:val="single" w:sz="4" w:space="0" w:color="auto"/>
              <w:right w:val="single" w:sz="4" w:space="0" w:color="auto"/>
            </w:tcBorders>
            <w:shd w:val="clear" w:color="000000" w:fill="D0D0D0"/>
            <w:noWrap/>
            <w:vAlign w:val="center"/>
            <w:hideMark/>
          </w:tcPr>
          <w:p w14:paraId="5F50B1F4"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0.00</w:t>
            </w:r>
          </w:p>
        </w:tc>
        <w:tc>
          <w:tcPr>
            <w:tcW w:w="956" w:type="pct"/>
            <w:gridSpan w:val="5"/>
            <w:tcBorders>
              <w:top w:val="nil"/>
              <w:left w:val="nil"/>
              <w:bottom w:val="single" w:sz="4" w:space="0" w:color="auto"/>
              <w:right w:val="single" w:sz="4" w:space="0" w:color="auto"/>
            </w:tcBorders>
            <w:shd w:val="clear" w:color="000000" w:fill="D0D0D0"/>
            <w:noWrap/>
            <w:vAlign w:val="center"/>
            <w:hideMark/>
          </w:tcPr>
          <w:p w14:paraId="35C7D1A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14" w:type="pct"/>
            <w:vAlign w:val="center"/>
            <w:hideMark/>
          </w:tcPr>
          <w:p w14:paraId="4DC1EE38"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8E2F7F7" w14:textId="77777777" w:rsidTr="00463C30">
        <w:trPr>
          <w:trHeight w:val="300"/>
          <w:jc w:val="center"/>
        </w:trPr>
        <w:tc>
          <w:tcPr>
            <w:tcW w:w="1291" w:type="pct"/>
            <w:gridSpan w:val="3"/>
            <w:tcBorders>
              <w:top w:val="nil"/>
              <w:left w:val="single" w:sz="4" w:space="0" w:color="auto"/>
              <w:bottom w:val="single" w:sz="4" w:space="0" w:color="auto"/>
              <w:right w:val="single" w:sz="4" w:space="0" w:color="auto"/>
            </w:tcBorders>
            <w:shd w:val="clear" w:color="000000" w:fill="D0D0D0"/>
            <w:noWrap/>
            <w:vAlign w:val="center"/>
            <w:hideMark/>
          </w:tcPr>
          <w:p w14:paraId="67D63FC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w:t>
            </w:r>
          </w:p>
        </w:tc>
        <w:tc>
          <w:tcPr>
            <w:tcW w:w="1048" w:type="pct"/>
            <w:gridSpan w:val="3"/>
            <w:tcBorders>
              <w:top w:val="nil"/>
              <w:left w:val="nil"/>
              <w:bottom w:val="single" w:sz="4" w:space="0" w:color="auto"/>
              <w:right w:val="single" w:sz="4" w:space="0" w:color="auto"/>
            </w:tcBorders>
            <w:shd w:val="clear" w:color="000000" w:fill="D0D0D0"/>
            <w:noWrap/>
            <w:vAlign w:val="center"/>
            <w:hideMark/>
          </w:tcPr>
          <w:p w14:paraId="215932E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592" w:type="pct"/>
            <w:gridSpan w:val="3"/>
            <w:tcBorders>
              <w:top w:val="nil"/>
              <w:left w:val="nil"/>
              <w:bottom w:val="single" w:sz="4" w:space="0" w:color="auto"/>
              <w:right w:val="single" w:sz="4" w:space="0" w:color="auto"/>
            </w:tcBorders>
            <w:shd w:val="clear" w:color="000000" w:fill="D0D0D0"/>
            <w:noWrap/>
            <w:vAlign w:val="center"/>
            <w:hideMark/>
          </w:tcPr>
          <w:p w14:paraId="76025C38"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956" w:type="pct"/>
            <w:gridSpan w:val="5"/>
            <w:tcBorders>
              <w:top w:val="nil"/>
              <w:left w:val="nil"/>
              <w:bottom w:val="single" w:sz="4" w:space="0" w:color="auto"/>
              <w:right w:val="single" w:sz="4" w:space="0" w:color="auto"/>
            </w:tcBorders>
            <w:shd w:val="clear" w:color="000000" w:fill="D0D0D0"/>
            <w:noWrap/>
            <w:vAlign w:val="center"/>
            <w:hideMark/>
          </w:tcPr>
          <w:p w14:paraId="5398D92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   </w:t>
            </w:r>
          </w:p>
        </w:tc>
        <w:tc>
          <w:tcPr>
            <w:tcW w:w="114" w:type="pct"/>
            <w:vAlign w:val="center"/>
            <w:hideMark/>
          </w:tcPr>
          <w:p w14:paraId="29CFEDCF"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DA2A111" w14:textId="77777777" w:rsidTr="00463C30">
        <w:trPr>
          <w:trHeight w:val="300"/>
          <w:jc w:val="center"/>
        </w:trPr>
        <w:tc>
          <w:tcPr>
            <w:tcW w:w="1291" w:type="pct"/>
            <w:gridSpan w:val="3"/>
            <w:tcBorders>
              <w:top w:val="nil"/>
              <w:left w:val="single" w:sz="4" w:space="0" w:color="auto"/>
              <w:bottom w:val="single" w:sz="4" w:space="0" w:color="auto"/>
              <w:right w:val="single" w:sz="4" w:space="0" w:color="auto"/>
            </w:tcBorders>
            <w:shd w:val="clear" w:color="000000" w:fill="D0D0D0"/>
            <w:noWrap/>
            <w:vAlign w:val="center"/>
            <w:hideMark/>
          </w:tcPr>
          <w:p w14:paraId="264F897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2</w:t>
            </w:r>
          </w:p>
        </w:tc>
        <w:tc>
          <w:tcPr>
            <w:tcW w:w="1048" w:type="pct"/>
            <w:gridSpan w:val="3"/>
            <w:tcBorders>
              <w:top w:val="nil"/>
              <w:left w:val="nil"/>
              <w:bottom w:val="single" w:sz="4" w:space="0" w:color="auto"/>
              <w:right w:val="single" w:sz="4" w:space="0" w:color="auto"/>
            </w:tcBorders>
            <w:shd w:val="clear" w:color="000000" w:fill="D0D0D0"/>
            <w:noWrap/>
            <w:vAlign w:val="center"/>
            <w:hideMark/>
          </w:tcPr>
          <w:p w14:paraId="545844D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12.00 </w:t>
            </w:r>
          </w:p>
        </w:tc>
        <w:tc>
          <w:tcPr>
            <w:tcW w:w="1592" w:type="pct"/>
            <w:gridSpan w:val="3"/>
            <w:tcBorders>
              <w:top w:val="nil"/>
              <w:left w:val="nil"/>
              <w:bottom w:val="single" w:sz="4" w:space="0" w:color="auto"/>
              <w:right w:val="single" w:sz="4" w:space="0" w:color="auto"/>
            </w:tcBorders>
            <w:shd w:val="clear" w:color="000000" w:fill="D0D0D0"/>
            <w:noWrap/>
            <w:vAlign w:val="center"/>
            <w:hideMark/>
          </w:tcPr>
          <w:p w14:paraId="59559397"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956" w:type="pct"/>
            <w:gridSpan w:val="5"/>
            <w:tcBorders>
              <w:top w:val="nil"/>
              <w:left w:val="nil"/>
              <w:bottom w:val="single" w:sz="4" w:space="0" w:color="auto"/>
              <w:right w:val="single" w:sz="4" w:space="0" w:color="auto"/>
            </w:tcBorders>
            <w:shd w:val="clear" w:color="000000" w:fill="D0D0D0"/>
            <w:noWrap/>
            <w:vAlign w:val="center"/>
            <w:hideMark/>
          </w:tcPr>
          <w:p w14:paraId="430BFD7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2.00 </w:t>
            </w:r>
          </w:p>
        </w:tc>
        <w:tc>
          <w:tcPr>
            <w:tcW w:w="114" w:type="pct"/>
            <w:vAlign w:val="center"/>
            <w:hideMark/>
          </w:tcPr>
          <w:p w14:paraId="3E08AB5B"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55A29783" w14:textId="77777777" w:rsidTr="00463C30">
        <w:trPr>
          <w:trHeight w:val="300"/>
          <w:jc w:val="center"/>
        </w:trPr>
        <w:tc>
          <w:tcPr>
            <w:tcW w:w="1291" w:type="pct"/>
            <w:gridSpan w:val="3"/>
            <w:tcBorders>
              <w:top w:val="nil"/>
              <w:left w:val="single" w:sz="4" w:space="0" w:color="auto"/>
              <w:bottom w:val="single" w:sz="4" w:space="0" w:color="auto"/>
              <w:right w:val="single" w:sz="4" w:space="0" w:color="auto"/>
            </w:tcBorders>
            <w:shd w:val="clear" w:color="000000" w:fill="D0D0D0"/>
            <w:noWrap/>
            <w:vAlign w:val="center"/>
            <w:hideMark/>
          </w:tcPr>
          <w:p w14:paraId="1309EF4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3</w:t>
            </w:r>
          </w:p>
        </w:tc>
        <w:tc>
          <w:tcPr>
            <w:tcW w:w="1048" w:type="pct"/>
            <w:gridSpan w:val="3"/>
            <w:tcBorders>
              <w:top w:val="nil"/>
              <w:left w:val="nil"/>
              <w:bottom w:val="single" w:sz="4" w:space="0" w:color="auto"/>
              <w:right w:val="single" w:sz="4" w:space="0" w:color="auto"/>
            </w:tcBorders>
            <w:shd w:val="clear" w:color="000000" w:fill="D0D0D0"/>
            <w:noWrap/>
            <w:vAlign w:val="center"/>
            <w:hideMark/>
          </w:tcPr>
          <w:p w14:paraId="7F2E4CF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14.00 </w:t>
            </w:r>
          </w:p>
        </w:tc>
        <w:tc>
          <w:tcPr>
            <w:tcW w:w="1592" w:type="pct"/>
            <w:gridSpan w:val="3"/>
            <w:tcBorders>
              <w:top w:val="nil"/>
              <w:left w:val="nil"/>
              <w:bottom w:val="single" w:sz="4" w:space="0" w:color="auto"/>
              <w:right w:val="single" w:sz="4" w:space="0" w:color="auto"/>
            </w:tcBorders>
            <w:shd w:val="clear" w:color="000000" w:fill="D0D0D0"/>
            <w:noWrap/>
            <w:vAlign w:val="center"/>
            <w:hideMark/>
          </w:tcPr>
          <w:p w14:paraId="2E4C74F5"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956" w:type="pct"/>
            <w:gridSpan w:val="5"/>
            <w:tcBorders>
              <w:top w:val="nil"/>
              <w:left w:val="nil"/>
              <w:bottom w:val="single" w:sz="4" w:space="0" w:color="auto"/>
              <w:right w:val="single" w:sz="4" w:space="0" w:color="auto"/>
            </w:tcBorders>
            <w:shd w:val="clear" w:color="000000" w:fill="D0D0D0"/>
            <w:noWrap/>
            <w:vAlign w:val="center"/>
            <w:hideMark/>
          </w:tcPr>
          <w:p w14:paraId="462F95F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4.00 </w:t>
            </w:r>
          </w:p>
        </w:tc>
        <w:tc>
          <w:tcPr>
            <w:tcW w:w="114" w:type="pct"/>
            <w:vAlign w:val="center"/>
            <w:hideMark/>
          </w:tcPr>
          <w:p w14:paraId="2A99496D"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437EB91" w14:textId="77777777" w:rsidTr="00463C30">
        <w:trPr>
          <w:trHeight w:val="300"/>
          <w:jc w:val="center"/>
        </w:trPr>
        <w:tc>
          <w:tcPr>
            <w:tcW w:w="1291" w:type="pct"/>
            <w:gridSpan w:val="3"/>
            <w:tcBorders>
              <w:top w:val="nil"/>
              <w:left w:val="single" w:sz="4" w:space="0" w:color="auto"/>
              <w:bottom w:val="single" w:sz="4" w:space="0" w:color="auto"/>
              <w:right w:val="single" w:sz="4" w:space="0" w:color="auto"/>
            </w:tcBorders>
            <w:shd w:val="clear" w:color="000000" w:fill="D0D0D0"/>
            <w:noWrap/>
            <w:vAlign w:val="center"/>
            <w:hideMark/>
          </w:tcPr>
          <w:p w14:paraId="599B704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4</w:t>
            </w:r>
          </w:p>
        </w:tc>
        <w:tc>
          <w:tcPr>
            <w:tcW w:w="1048" w:type="pct"/>
            <w:gridSpan w:val="3"/>
            <w:tcBorders>
              <w:top w:val="nil"/>
              <w:left w:val="nil"/>
              <w:bottom w:val="single" w:sz="4" w:space="0" w:color="auto"/>
              <w:right w:val="single" w:sz="4" w:space="0" w:color="auto"/>
            </w:tcBorders>
            <w:shd w:val="clear" w:color="000000" w:fill="D0D0D0"/>
            <w:noWrap/>
            <w:vAlign w:val="center"/>
            <w:hideMark/>
          </w:tcPr>
          <w:p w14:paraId="3B2F3F0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592" w:type="pct"/>
            <w:gridSpan w:val="3"/>
            <w:tcBorders>
              <w:top w:val="nil"/>
              <w:left w:val="nil"/>
              <w:bottom w:val="single" w:sz="4" w:space="0" w:color="auto"/>
              <w:right w:val="single" w:sz="4" w:space="0" w:color="auto"/>
            </w:tcBorders>
            <w:shd w:val="clear" w:color="000000" w:fill="D0D0D0"/>
            <w:noWrap/>
            <w:vAlign w:val="center"/>
            <w:hideMark/>
          </w:tcPr>
          <w:p w14:paraId="1E915386"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956" w:type="pct"/>
            <w:gridSpan w:val="5"/>
            <w:tcBorders>
              <w:top w:val="nil"/>
              <w:left w:val="nil"/>
              <w:bottom w:val="single" w:sz="4" w:space="0" w:color="auto"/>
              <w:right w:val="single" w:sz="4" w:space="0" w:color="auto"/>
            </w:tcBorders>
            <w:shd w:val="clear" w:color="000000" w:fill="D0D0D0"/>
            <w:noWrap/>
            <w:vAlign w:val="center"/>
            <w:hideMark/>
          </w:tcPr>
          <w:p w14:paraId="483DF1B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   </w:t>
            </w:r>
          </w:p>
        </w:tc>
        <w:tc>
          <w:tcPr>
            <w:tcW w:w="114" w:type="pct"/>
            <w:vAlign w:val="center"/>
            <w:hideMark/>
          </w:tcPr>
          <w:p w14:paraId="0B6E5ECF"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580671B5" w14:textId="77777777" w:rsidTr="00463C30">
        <w:trPr>
          <w:trHeight w:val="300"/>
          <w:jc w:val="center"/>
        </w:trPr>
        <w:tc>
          <w:tcPr>
            <w:tcW w:w="1291" w:type="pct"/>
            <w:gridSpan w:val="3"/>
            <w:tcBorders>
              <w:top w:val="nil"/>
              <w:left w:val="single" w:sz="4" w:space="0" w:color="auto"/>
              <w:bottom w:val="single" w:sz="4" w:space="0" w:color="auto"/>
              <w:right w:val="single" w:sz="4" w:space="0" w:color="auto"/>
            </w:tcBorders>
            <w:shd w:val="clear" w:color="000000" w:fill="D0D0D0"/>
            <w:noWrap/>
            <w:vAlign w:val="center"/>
            <w:hideMark/>
          </w:tcPr>
          <w:p w14:paraId="1054CE4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5</w:t>
            </w:r>
          </w:p>
        </w:tc>
        <w:tc>
          <w:tcPr>
            <w:tcW w:w="1048" w:type="pct"/>
            <w:gridSpan w:val="3"/>
            <w:tcBorders>
              <w:top w:val="nil"/>
              <w:left w:val="nil"/>
              <w:bottom w:val="single" w:sz="4" w:space="0" w:color="auto"/>
              <w:right w:val="single" w:sz="4" w:space="0" w:color="auto"/>
            </w:tcBorders>
            <w:shd w:val="clear" w:color="000000" w:fill="D0D0D0"/>
            <w:noWrap/>
            <w:vAlign w:val="center"/>
            <w:hideMark/>
          </w:tcPr>
          <w:p w14:paraId="207A40E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8.00 </w:t>
            </w:r>
          </w:p>
        </w:tc>
        <w:tc>
          <w:tcPr>
            <w:tcW w:w="1592" w:type="pct"/>
            <w:gridSpan w:val="3"/>
            <w:tcBorders>
              <w:top w:val="nil"/>
              <w:left w:val="nil"/>
              <w:bottom w:val="single" w:sz="4" w:space="0" w:color="auto"/>
              <w:right w:val="single" w:sz="4" w:space="0" w:color="auto"/>
            </w:tcBorders>
            <w:shd w:val="clear" w:color="000000" w:fill="D0D0D0"/>
            <w:noWrap/>
            <w:vAlign w:val="center"/>
            <w:hideMark/>
          </w:tcPr>
          <w:p w14:paraId="0D189FDC"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956" w:type="pct"/>
            <w:gridSpan w:val="5"/>
            <w:tcBorders>
              <w:top w:val="nil"/>
              <w:left w:val="nil"/>
              <w:bottom w:val="single" w:sz="4" w:space="0" w:color="auto"/>
              <w:right w:val="single" w:sz="4" w:space="0" w:color="auto"/>
            </w:tcBorders>
            <w:shd w:val="clear" w:color="000000" w:fill="D0D0D0"/>
            <w:noWrap/>
            <w:vAlign w:val="center"/>
            <w:hideMark/>
          </w:tcPr>
          <w:p w14:paraId="04B9686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2.00 </w:t>
            </w:r>
          </w:p>
        </w:tc>
        <w:tc>
          <w:tcPr>
            <w:tcW w:w="114" w:type="pct"/>
            <w:vAlign w:val="center"/>
            <w:hideMark/>
          </w:tcPr>
          <w:p w14:paraId="57E71B12"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823A3D9" w14:textId="77777777" w:rsidTr="00463C30">
        <w:trPr>
          <w:trHeight w:val="312"/>
          <w:jc w:val="center"/>
        </w:trPr>
        <w:tc>
          <w:tcPr>
            <w:tcW w:w="3930" w:type="pct"/>
            <w:gridSpan w:val="9"/>
            <w:tcBorders>
              <w:top w:val="single" w:sz="4" w:space="0" w:color="auto"/>
              <w:left w:val="single" w:sz="4" w:space="0" w:color="auto"/>
              <w:bottom w:val="single" w:sz="4" w:space="0" w:color="auto"/>
              <w:right w:val="single" w:sz="4" w:space="0" w:color="000000"/>
            </w:tcBorders>
            <w:shd w:val="clear" w:color="000000" w:fill="D0D0D0"/>
            <w:vAlign w:val="center"/>
            <w:hideMark/>
          </w:tcPr>
          <w:p w14:paraId="0A45036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 xml:space="preserve">"Accounting Rate of Return (ARR) of Project A" </w:t>
            </w:r>
          </w:p>
        </w:tc>
        <w:tc>
          <w:tcPr>
            <w:tcW w:w="956" w:type="pct"/>
            <w:gridSpan w:val="5"/>
            <w:tcBorders>
              <w:top w:val="nil"/>
              <w:left w:val="nil"/>
              <w:bottom w:val="single" w:sz="4" w:space="0" w:color="auto"/>
              <w:right w:val="single" w:sz="4" w:space="0" w:color="auto"/>
            </w:tcBorders>
            <w:shd w:val="clear" w:color="000000" w:fill="D0D0D0"/>
            <w:vAlign w:val="center"/>
            <w:hideMark/>
          </w:tcPr>
          <w:p w14:paraId="149F2C74"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1.60%</w:t>
            </w:r>
          </w:p>
        </w:tc>
        <w:tc>
          <w:tcPr>
            <w:tcW w:w="114" w:type="pct"/>
            <w:vAlign w:val="center"/>
            <w:hideMark/>
          </w:tcPr>
          <w:p w14:paraId="397928EB"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CBBD1DA" w14:textId="77777777" w:rsidTr="00463C30">
        <w:trPr>
          <w:gridAfter w:val="3"/>
          <w:wAfter w:w="361" w:type="pct"/>
          <w:trHeight w:val="624"/>
          <w:jc w:val="center"/>
        </w:trPr>
        <w:tc>
          <w:tcPr>
            <w:tcW w:w="562" w:type="pct"/>
            <w:gridSpan w:val="2"/>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A703A86"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"Year"</w:t>
            </w:r>
          </w:p>
        </w:tc>
        <w:tc>
          <w:tcPr>
            <w:tcW w:w="1075"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5E81E15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 Flow"</w:t>
            </w:r>
          </w:p>
        </w:tc>
        <w:tc>
          <w:tcPr>
            <w:tcW w:w="1362"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37AEF5CA"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"Discounting Factor @10%"</w:t>
            </w:r>
          </w:p>
        </w:tc>
        <w:tc>
          <w:tcPr>
            <w:tcW w:w="1640" w:type="pct"/>
            <w:gridSpan w:val="4"/>
            <w:tcBorders>
              <w:top w:val="single" w:sz="4" w:space="0" w:color="000000"/>
              <w:left w:val="nil"/>
              <w:bottom w:val="single" w:sz="4" w:space="0" w:color="000000"/>
              <w:right w:val="single" w:sz="4" w:space="0" w:color="000000"/>
            </w:tcBorders>
            <w:shd w:val="clear" w:color="000000" w:fill="FFFFFF"/>
            <w:vAlign w:val="center"/>
            <w:hideMark/>
          </w:tcPr>
          <w:p w14:paraId="4E1813C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"Present Value"</w:t>
            </w:r>
          </w:p>
        </w:tc>
      </w:tr>
      <w:tr w:rsidR="00076D53" w:rsidRPr="00C900C3" w14:paraId="4084E42C" w14:textId="77777777" w:rsidTr="00463C30">
        <w:trPr>
          <w:gridAfter w:val="3"/>
          <w:wAfter w:w="361"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1C6E44C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4D51630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4651E4F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1.000</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4ECA434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r>
      <w:tr w:rsidR="00076D53" w:rsidRPr="00C900C3" w14:paraId="774DEBEB" w14:textId="77777777" w:rsidTr="00463C30">
        <w:trPr>
          <w:gridAfter w:val="3"/>
          <w:wAfter w:w="361"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453247D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34FB1DD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20B4519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0.909</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40AAE63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r>
      <w:tr w:rsidR="00076D53" w:rsidRPr="00C900C3" w14:paraId="75EB95BD" w14:textId="77777777" w:rsidTr="00463C30">
        <w:trPr>
          <w:gridAfter w:val="3"/>
          <w:wAfter w:w="361"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03609BD3"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2</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2C468E1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29C62183"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0.826</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31005C8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9.09 </w:t>
            </w:r>
          </w:p>
        </w:tc>
      </w:tr>
      <w:tr w:rsidR="00076D53" w:rsidRPr="00C900C3" w14:paraId="390341BC" w14:textId="77777777" w:rsidTr="00463C30">
        <w:trPr>
          <w:gridAfter w:val="3"/>
          <w:wAfter w:w="361"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69DC71E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3</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490AFA6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4534CD1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0.751</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15AD6B8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8.26 </w:t>
            </w:r>
          </w:p>
        </w:tc>
      </w:tr>
      <w:tr w:rsidR="00076D53" w:rsidRPr="00C900C3" w14:paraId="4CD74106" w14:textId="77777777" w:rsidTr="00463C30">
        <w:trPr>
          <w:gridAfter w:val="3"/>
          <w:wAfter w:w="361"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4CFD906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4</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3699A7B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3FC411B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0.683</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5FE7709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7.51 </w:t>
            </w:r>
          </w:p>
        </w:tc>
      </w:tr>
      <w:tr w:rsidR="00076D53" w:rsidRPr="00C900C3" w14:paraId="70357FCD" w14:textId="77777777" w:rsidTr="00463C30">
        <w:trPr>
          <w:gridAfter w:val="3"/>
          <w:wAfter w:w="361"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78E659C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5</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380FC00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4F477D93"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0.621</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04A95BD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6.83 </w:t>
            </w:r>
          </w:p>
        </w:tc>
      </w:tr>
      <w:tr w:rsidR="00076D53" w:rsidRPr="00C900C3" w14:paraId="57CE9107" w14:textId="77777777" w:rsidTr="00463C30">
        <w:trPr>
          <w:gridAfter w:val="3"/>
          <w:wAfter w:w="361" w:type="pct"/>
          <w:trHeight w:val="894"/>
          <w:jc w:val="center"/>
        </w:trPr>
        <w:tc>
          <w:tcPr>
            <w:tcW w:w="2999" w:type="pct"/>
            <w:gridSpan w:val="8"/>
            <w:vMerge w:val="restart"/>
            <w:tcBorders>
              <w:top w:val="single" w:sz="4" w:space="0" w:color="000000"/>
              <w:left w:val="single" w:sz="4" w:space="0" w:color="000000"/>
              <w:bottom w:val="nil"/>
              <w:right w:val="single" w:sz="4" w:space="0" w:color="000000"/>
            </w:tcBorders>
            <w:shd w:val="clear" w:color="000000" w:fill="DAE9F8"/>
            <w:vAlign w:val="center"/>
            <w:hideMark/>
          </w:tcPr>
          <w:p w14:paraId="4F74D1DC"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"Net Present Value (NPV) of Project B"</w:t>
            </w:r>
          </w:p>
        </w:tc>
        <w:tc>
          <w:tcPr>
            <w:tcW w:w="1640" w:type="pct"/>
            <w:gridSpan w:val="4"/>
            <w:vMerge w:val="restart"/>
            <w:tcBorders>
              <w:top w:val="nil"/>
              <w:left w:val="single" w:sz="4" w:space="0" w:color="000000"/>
              <w:bottom w:val="nil"/>
              <w:right w:val="single" w:sz="4" w:space="0" w:color="000000"/>
            </w:tcBorders>
            <w:shd w:val="clear" w:color="000000" w:fill="DAE9F8"/>
            <w:vAlign w:val="center"/>
            <w:hideMark/>
          </w:tcPr>
          <w:p w14:paraId="4FA3BE76"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 xml:space="preserve">-£                              8.30 </w:t>
            </w:r>
          </w:p>
        </w:tc>
      </w:tr>
      <w:tr w:rsidR="00076D53" w:rsidRPr="00C900C3" w14:paraId="61FBB7E8" w14:textId="77777777" w:rsidTr="00463C30">
        <w:trPr>
          <w:gridAfter w:val="2"/>
          <w:wAfter w:w="247" w:type="pct"/>
          <w:trHeight w:val="312"/>
          <w:jc w:val="center"/>
        </w:trPr>
        <w:tc>
          <w:tcPr>
            <w:tcW w:w="2999" w:type="pct"/>
            <w:gridSpan w:val="8"/>
            <w:vMerge/>
            <w:tcBorders>
              <w:top w:val="single" w:sz="4" w:space="0" w:color="000000"/>
              <w:left w:val="single" w:sz="4" w:space="0" w:color="000000"/>
              <w:bottom w:val="nil"/>
              <w:right w:val="single" w:sz="4" w:space="0" w:color="000000"/>
            </w:tcBorders>
            <w:vAlign w:val="center"/>
            <w:hideMark/>
          </w:tcPr>
          <w:p w14:paraId="2A9EA36B" w14:textId="77777777" w:rsidR="00076D53" w:rsidRPr="00C900C3" w:rsidRDefault="00076D53" w:rsidP="00076D53">
            <w:pPr>
              <w:spacing w:before="0" w:after="0" w:line="240" w:lineRule="auto"/>
              <w:jc w:val="left"/>
              <w:rPr>
                <w:rFonts w:ascii="Arial" w:hAnsi="Arial" w:cs="Arial"/>
                <w:b/>
                <w:bCs/>
                <w:color w:val="000000"/>
                <w:lang w:val="en-IN"/>
              </w:rPr>
            </w:pPr>
          </w:p>
        </w:tc>
        <w:tc>
          <w:tcPr>
            <w:tcW w:w="1640" w:type="pct"/>
            <w:gridSpan w:val="4"/>
            <w:vMerge/>
            <w:tcBorders>
              <w:top w:val="nil"/>
              <w:left w:val="single" w:sz="4" w:space="0" w:color="000000"/>
              <w:bottom w:val="nil"/>
              <w:right w:val="single" w:sz="4" w:space="0" w:color="000000"/>
            </w:tcBorders>
            <w:vAlign w:val="center"/>
            <w:hideMark/>
          </w:tcPr>
          <w:p w14:paraId="22F00C9A" w14:textId="77777777" w:rsidR="00076D53" w:rsidRPr="00C900C3" w:rsidRDefault="00076D53" w:rsidP="00076D53">
            <w:pPr>
              <w:spacing w:before="0" w:after="0" w:line="240" w:lineRule="auto"/>
              <w:jc w:val="left"/>
              <w:rPr>
                <w:rFonts w:ascii="Arial" w:hAnsi="Arial" w:cs="Arial"/>
                <w:b/>
                <w:bCs/>
                <w:color w:val="000000"/>
                <w:lang w:val="en-IN"/>
              </w:rPr>
            </w:pPr>
          </w:p>
        </w:tc>
        <w:tc>
          <w:tcPr>
            <w:tcW w:w="114" w:type="pct"/>
            <w:tcBorders>
              <w:top w:val="nil"/>
              <w:left w:val="nil"/>
              <w:bottom w:val="nil"/>
              <w:right w:val="nil"/>
            </w:tcBorders>
            <w:noWrap/>
            <w:vAlign w:val="bottom"/>
            <w:hideMark/>
          </w:tcPr>
          <w:p w14:paraId="6E20236B" w14:textId="77777777" w:rsidR="00076D53" w:rsidRPr="00C900C3" w:rsidRDefault="00076D53" w:rsidP="00076D53">
            <w:pPr>
              <w:spacing w:before="0" w:after="0" w:line="240" w:lineRule="auto"/>
              <w:jc w:val="center"/>
              <w:rPr>
                <w:rFonts w:ascii="Arial" w:hAnsi="Arial" w:cs="Arial"/>
                <w:b/>
                <w:bCs/>
                <w:color w:val="000000"/>
                <w:lang w:val="en-IN"/>
              </w:rPr>
            </w:pPr>
          </w:p>
        </w:tc>
      </w:tr>
      <w:tr w:rsidR="00076D53" w:rsidRPr="00C900C3" w14:paraId="7120B064" w14:textId="77777777" w:rsidTr="00463C30">
        <w:trPr>
          <w:gridAfter w:val="2"/>
          <w:wAfter w:w="247" w:type="pct"/>
          <w:trHeight w:val="684"/>
          <w:jc w:val="center"/>
        </w:trPr>
        <w:tc>
          <w:tcPr>
            <w:tcW w:w="2999" w:type="pct"/>
            <w:gridSpan w:val="8"/>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10CB18D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"Profitability Index (PI) of Project B"</w:t>
            </w:r>
          </w:p>
        </w:tc>
        <w:tc>
          <w:tcPr>
            <w:tcW w:w="1640" w:type="pct"/>
            <w:gridSpan w:val="4"/>
            <w:tcBorders>
              <w:top w:val="single" w:sz="4" w:space="0" w:color="auto"/>
              <w:left w:val="nil"/>
              <w:bottom w:val="single" w:sz="4" w:space="0" w:color="auto"/>
              <w:right w:val="single" w:sz="4" w:space="0" w:color="auto"/>
            </w:tcBorders>
            <w:shd w:val="clear" w:color="000000" w:fill="DAE9F8"/>
            <w:noWrap/>
            <w:vAlign w:val="center"/>
            <w:hideMark/>
          </w:tcPr>
          <w:p w14:paraId="5A840C73"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1.17</w:t>
            </w:r>
          </w:p>
        </w:tc>
        <w:tc>
          <w:tcPr>
            <w:tcW w:w="114" w:type="pct"/>
            <w:vAlign w:val="center"/>
            <w:hideMark/>
          </w:tcPr>
          <w:p w14:paraId="16DE81A7"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41FAA648" w14:textId="77777777" w:rsidTr="00463C30">
        <w:trPr>
          <w:gridAfter w:val="2"/>
          <w:wAfter w:w="247" w:type="pct"/>
          <w:trHeight w:val="312"/>
          <w:jc w:val="center"/>
        </w:trPr>
        <w:tc>
          <w:tcPr>
            <w:tcW w:w="562" w:type="pct"/>
            <w:gridSpan w:val="2"/>
            <w:tcBorders>
              <w:top w:val="nil"/>
              <w:left w:val="nil"/>
              <w:bottom w:val="nil"/>
              <w:right w:val="nil"/>
            </w:tcBorders>
            <w:noWrap/>
            <w:vAlign w:val="bottom"/>
            <w:hideMark/>
          </w:tcPr>
          <w:p w14:paraId="0E1BEC89" w14:textId="77777777" w:rsidR="00076D53" w:rsidRPr="00C900C3" w:rsidRDefault="00076D53" w:rsidP="00076D53">
            <w:pPr>
              <w:spacing w:before="0" w:after="0" w:line="240" w:lineRule="auto"/>
              <w:jc w:val="right"/>
              <w:rPr>
                <w:rFonts w:ascii="Arial" w:hAnsi="Arial" w:cs="Arial"/>
                <w:b/>
                <w:bCs/>
                <w:color w:val="000000"/>
                <w:lang w:val="en-IN"/>
              </w:rPr>
            </w:pPr>
          </w:p>
        </w:tc>
        <w:tc>
          <w:tcPr>
            <w:tcW w:w="1075" w:type="pct"/>
            <w:gridSpan w:val="3"/>
            <w:tcBorders>
              <w:top w:val="nil"/>
              <w:left w:val="nil"/>
              <w:bottom w:val="nil"/>
              <w:right w:val="nil"/>
            </w:tcBorders>
            <w:noWrap/>
            <w:vAlign w:val="bottom"/>
            <w:hideMark/>
          </w:tcPr>
          <w:p w14:paraId="604DEF27" w14:textId="77777777" w:rsidR="00076D53" w:rsidRPr="00C900C3" w:rsidRDefault="00076D53" w:rsidP="00076D53">
            <w:pPr>
              <w:spacing w:before="0" w:after="0" w:line="240" w:lineRule="auto"/>
              <w:jc w:val="left"/>
              <w:rPr>
                <w:rFonts w:ascii="Arial" w:hAnsi="Arial" w:cs="Arial"/>
                <w:lang w:val="en-IN"/>
              </w:rPr>
            </w:pPr>
          </w:p>
        </w:tc>
        <w:tc>
          <w:tcPr>
            <w:tcW w:w="1362" w:type="pct"/>
            <w:gridSpan w:val="3"/>
            <w:tcBorders>
              <w:top w:val="nil"/>
              <w:left w:val="nil"/>
              <w:bottom w:val="nil"/>
              <w:right w:val="nil"/>
            </w:tcBorders>
            <w:noWrap/>
            <w:vAlign w:val="bottom"/>
            <w:hideMark/>
          </w:tcPr>
          <w:p w14:paraId="28DC8B87" w14:textId="77777777" w:rsidR="00076D53" w:rsidRPr="00C900C3" w:rsidRDefault="00076D53" w:rsidP="00076D53">
            <w:pPr>
              <w:spacing w:before="0" w:after="0" w:line="240" w:lineRule="auto"/>
              <w:jc w:val="left"/>
              <w:rPr>
                <w:rFonts w:ascii="Arial" w:hAnsi="Arial" w:cs="Arial"/>
                <w:lang w:val="en-IN"/>
              </w:rPr>
            </w:pPr>
          </w:p>
        </w:tc>
        <w:tc>
          <w:tcPr>
            <w:tcW w:w="1640" w:type="pct"/>
            <w:gridSpan w:val="4"/>
            <w:tcBorders>
              <w:top w:val="nil"/>
              <w:left w:val="nil"/>
              <w:bottom w:val="nil"/>
              <w:right w:val="nil"/>
            </w:tcBorders>
            <w:noWrap/>
            <w:vAlign w:val="bottom"/>
            <w:hideMark/>
          </w:tcPr>
          <w:p w14:paraId="2FE18426" w14:textId="77777777" w:rsidR="00076D53" w:rsidRPr="00C900C3" w:rsidRDefault="00076D53" w:rsidP="00076D53">
            <w:pPr>
              <w:spacing w:before="0" w:after="0" w:line="240" w:lineRule="auto"/>
              <w:jc w:val="left"/>
              <w:rPr>
                <w:rFonts w:ascii="Arial" w:hAnsi="Arial" w:cs="Arial"/>
                <w:lang w:val="en-IN"/>
              </w:rPr>
            </w:pPr>
          </w:p>
        </w:tc>
        <w:tc>
          <w:tcPr>
            <w:tcW w:w="114" w:type="pct"/>
            <w:vAlign w:val="center"/>
            <w:hideMark/>
          </w:tcPr>
          <w:p w14:paraId="799771EE"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37336EB" w14:textId="77777777" w:rsidTr="00463C30">
        <w:trPr>
          <w:gridAfter w:val="2"/>
          <w:wAfter w:w="247" w:type="pct"/>
          <w:trHeight w:val="312"/>
          <w:jc w:val="center"/>
        </w:trPr>
        <w:tc>
          <w:tcPr>
            <w:tcW w:w="562" w:type="pct"/>
            <w:gridSpan w:val="2"/>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7C9E482"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"Year"</w:t>
            </w:r>
          </w:p>
        </w:tc>
        <w:tc>
          <w:tcPr>
            <w:tcW w:w="1075"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27502C97"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 Flow"</w:t>
            </w:r>
          </w:p>
        </w:tc>
        <w:tc>
          <w:tcPr>
            <w:tcW w:w="1362"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49CB5CC5"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"Present Value"</w:t>
            </w:r>
          </w:p>
        </w:tc>
        <w:tc>
          <w:tcPr>
            <w:tcW w:w="1640" w:type="pct"/>
            <w:gridSpan w:val="4"/>
            <w:tcBorders>
              <w:top w:val="single" w:sz="4" w:space="0" w:color="000000"/>
              <w:left w:val="nil"/>
              <w:bottom w:val="single" w:sz="4" w:space="0" w:color="000000"/>
              <w:right w:val="single" w:sz="4" w:space="0" w:color="000000"/>
            </w:tcBorders>
            <w:shd w:val="clear" w:color="000000" w:fill="FFFFFF"/>
            <w:vAlign w:val="center"/>
            <w:hideMark/>
          </w:tcPr>
          <w:p w14:paraId="19B2C916"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Cumulative</w:t>
            </w:r>
          </w:p>
        </w:tc>
        <w:tc>
          <w:tcPr>
            <w:tcW w:w="114" w:type="pct"/>
            <w:vAlign w:val="center"/>
            <w:hideMark/>
          </w:tcPr>
          <w:p w14:paraId="7AD90A75"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671FA47" w14:textId="77777777" w:rsidTr="00463C30">
        <w:trPr>
          <w:gridAfter w:val="2"/>
          <w:wAfter w:w="247"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260EBE7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1EAEE1FC"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36203DD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0DF12AE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50.00 </w:t>
            </w:r>
          </w:p>
        </w:tc>
        <w:tc>
          <w:tcPr>
            <w:tcW w:w="114" w:type="pct"/>
            <w:vAlign w:val="center"/>
            <w:hideMark/>
          </w:tcPr>
          <w:p w14:paraId="78080342"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35D30CA" w14:textId="77777777" w:rsidTr="00463C30">
        <w:trPr>
          <w:gridAfter w:val="2"/>
          <w:wAfter w:w="247"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3D9B6703"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0DCBA32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583FBAF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1FF41908"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40.00 </w:t>
            </w:r>
          </w:p>
        </w:tc>
        <w:tc>
          <w:tcPr>
            <w:tcW w:w="114" w:type="pct"/>
            <w:vAlign w:val="center"/>
            <w:hideMark/>
          </w:tcPr>
          <w:p w14:paraId="7270FB1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8F6B3EF" w14:textId="77777777" w:rsidTr="00463C30">
        <w:trPr>
          <w:gridAfter w:val="2"/>
          <w:wAfter w:w="247"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59259F6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2</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1361338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13024DE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9.09 </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5A72A566"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30.91 </w:t>
            </w:r>
          </w:p>
        </w:tc>
        <w:tc>
          <w:tcPr>
            <w:tcW w:w="114" w:type="pct"/>
            <w:vAlign w:val="center"/>
            <w:hideMark/>
          </w:tcPr>
          <w:p w14:paraId="7B403323"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8C46A08" w14:textId="77777777" w:rsidTr="00463C30">
        <w:trPr>
          <w:gridAfter w:val="2"/>
          <w:wAfter w:w="247"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5B61B92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3</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4F090B7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290AEA6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8.26 </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22CFD83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22.64 </w:t>
            </w:r>
          </w:p>
        </w:tc>
        <w:tc>
          <w:tcPr>
            <w:tcW w:w="114" w:type="pct"/>
            <w:vAlign w:val="center"/>
            <w:hideMark/>
          </w:tcPr>
          <w:p w14:paraId="1AA5E16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46F42A5" w14:textId="77777777" w:rsidTr="00463C30">
        <w:trPr>
          <w:gridAfter w:val="2"/>
          <w:wAfter w:w="247"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5224914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4</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5FE6C2A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32C6B41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7.51 </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0BF8E43A"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15.13 </w:t>
            </w:r>
          </w:p>
        </w:tc>
        <w:tc>
          <w:tcPr>
            <w:tcW w:w="114" w:type="pct"/>
            <w:vAlign w:val="center"/>
            <w:hideMark/>
          </w:tcPr>
          <w:p w14:paraId="66584C2D"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CAAFED1" w14:textId="77777777" w:rsidTr="00463C30">
        <w:trPr>
          <w:gridAfter w:val="2"/>
          <w:wAfter w:w="247"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1B5CAE2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5</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4D91CB7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6D3737A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6.83 </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7A5F9819"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8.30 </w:t>
            </w:r>
          </w:p>
        </w:tc>
        <w:tc>
          <w:tcPr>
            <w:tcW w:w="114" w:type="pct"/>
            <w:vAlign w:val="center"/>
            <w:hideMark/>
          </w:tcPr>
          <w:p w14:paraId="405AF663"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5A2D07DC" w14:textId="77777777" w:rsidTr="00463C30">
        <w:trPr>
          <w:gridAfter w:val="2"/>
          <w:wAfter w:w="247" w:type="pct"/>
          <w:trHeight w:val="312"/>
          <w:jc w:val="center"/>
        </w:trPr>
        <w:tc>
          <w:tcPr>
            <w:tcW w:w="2999" w:type="pct"/>
            <w:gridSpan w:val="8"/>
            <w:tcBorders>
              <w:top w:val="single" w:sz="4" w:space="0" w:color="000000"/>
              <w:left w:val="single" w:sz="4" w:space="0" w:color="000000"/>
              <w:bottom w:val="single" w:sz="4" w:space="0" w:color="000000"/>
              <w:right w:val="single" w:sz="4" w:space="0" w:color="000000"/>
            </w:tcBorders>
            <w:shd w:val="clear" w:color="000000" w:fill="DAE9F8"/>
            <w:vAlign w:val="center"/>
            <w:hideMark/>
          </w:tcPr>
          <w:p w14:paraId="46FE835F"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lastRenderedPageBreak/>
              <w:t>"Payback Period (PBP) of Project B"</w:t>
            </w:r>
          </w:p>
        </w:tc>
        <w:tc>
          <w:tcPr>
            <w:tcW w:w="1640" w:type="pct"/>
            <w:gridSpan w:val="4"/>
            <w:tcBorders>
              <w:top w:val="nil"/>
              <w:left w:val="nil"/>
              <w:bottom w:val="single" w:sz="4" w:space="0" w:color="000000"/>
              <w:right w:val="single" w:sz="4" w:space="0" w:color="000000"/>
            </w:tcBorders>
            <w:shd w:val="clear" w:color="000000" w:fill="DAE9F8"/>
            <w:vAlign w:val="center"/>
            <w:hideMark/>
          </w:tcPr>
          <w:p w14:paraId="2D02BFA2"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Not Recovered</w:t>
            </w:r>
          </w:p>
        </w:tc>
        <w:tc>
          <w:tcPr>
            <w:tcW w:w="114" w:type="pct"/>
            <w:vAlign w:val="center"/>
            <w:hideMark/>
          </w:tcPr>
          <w:p w14:paraId="5D7E87CF"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1D2C0B2" w14:textId="77777777" w:rsidTr="00463C30">
        <w:trPr>
          <w:gridAfter w:val="2"/>
          <w:wAfter w:w="247" w:type="pct"/>
          <w:trHeight w:val="312"/>
          <w:jc w:val="center"/>
        </w:trPr>
        <w:tc>
          <w:tcPr>
            <w:tcW w:w="562" w:type="pct"/>
            <w:gridSpan w:val="2"/>
            <w:tcBorders>
              <w:top w:val="nil"/>
              <w:left w:val="nil"/>
              <w:bottom w:val="nil"/>
              <w:right w:val="nil"/>
            </w:tcBorders>
            <w:noWrap/>
            <w:vAlign w:val="bottom"/>
            <w:hideMark/>
          </w:tcPr>
          <w:p w14:paraId="0C935FD6" w14:textId="77777777" w:rsidR="00076D53" w:rsidRPr="00C900C3" w:rsidRDefault="00076D53" w:rsidP="00076D53">
            <w:pPr>
              <w:spacing w:before="0" w:after="0" w:line="240" w:lineRule="auto"/>
              <w:jc w:val="center"/>
              <w:rPr>
                <w:rFonts w:ascii="Arial" w:hAnsi="Arial" w:cs="Arial"/>
                <w:b/>
                <w:bCs/>
                <w:color w:val="000000"/>
                <w:lang w:val="en-IN"/>
              </w:rPr>
            </w:pPr>
          </w:p>
        </w:tc>
        <w:tc>
          <w:tcPr>
            <w:tcW w:w="1075" w:type="pct"/>
            <w:gridSpan w:val="3"/>
            <w:tcBorders>
              <w:top w:val="nil"/>
              <w:left w:val="nil"/>
              <w:bottom w:val="nil"/>
              <w:right w:val="nil"/>
            </w:tcBorders>
            <w:noWrap/>
            <w:vAlign w:val="bottom"/>
            <w:hideMark/>
          </w:tcPr>
          <w:p w14:paraId="0CD05136" w14:textId="77777777" w:rsidR="00076D53" w:rsidRPr="00C900C3" w:rsidRDefault="00076D53" w:rsidP="00076D53">
            <w:pPr>
              <w:spacing w:before="0" w:after="0" w:line="240" w:lineRule="auto"/>
              <w:jc w:val="left"/>
              <w:rPr>
                <w:rFonts w:ascii="Arial" w:hAnsi="Arial" w:cs="Arial"/>
                <w:lang w:val="en-IN"/>
              </w:rPr>
            </w:pPr>
          </w:p>
        </w:tc>
        <w:tc>
          <w:tcPr>
            <w:tcW w:w="1362" w:type="pct"/>
            <w:gridSpan w:val="3"/>
            <w:tcBorders>
              <w:top w:val="nil"/>
              <w:left w:val="nil"/>
              <w:bottom w:val="nil"/>
              <w:right w:val="nil"/>
            </w:tcBorders>
            <w:noWrap/>
            <w:vAlign w:val="bottom"/>
            <w:hideMark/>
          </w:tcPr>
          <w:p w14:paraId="2EC84E7F" w14:textId="77777777" w:rsidR="00076D53" w:rsidRPr="00C900C3" w:rsidRDefault="00076D53" w:rsidP="00076D53">
            <w:pPr>
              <w:spacing w:before="0" w:after="0" w:line="240" w:lineRule="auto"/>
              <w:jc w:val="left"/>
              <w:rPr>
                <w:rFonts w:ascii="Arial" w:hAnsi="Arial" w:cs="Arial"/>
                <w:lang w:val="en-IN"/>
              </w:rPr>
            </w:pPr>
          </w:p>
        </w:tc>
        <w:tc>
          <w:tcPr>
            <w:tcW w:w="1640" w:type="pct"/>
            <w:gridSpan w:val="4"/>
            <w:tcBorders>
              <w:top w:val="nil"/>
              <w:left w:val="nil"/>
              <w:bottom w:val="nil"/>
              <w:right w:val="nil"/>
            </w:tcBorders>
            <w:noWrap/>
            <w:vAlign w:val="bottom"/>
            <w:hideMark/>
          </w:tcPr>
          <w:p w14:paraId="55783BB9" w14:textId="77777777" w:rsidR="00076D53" w:rsidRPr="00C900C3" w:rsidRDefault="00076D53" w:rsidP="00076D53">
            <w:pPr>
              <w:spacing w:before="0" w:after="0" w:line="240" w:lineRule="auto"/>
              <w:jc w:val="left"/>
              <w:rPr>
                <w:rFonts w:ascii="Arial" w:hAnsi="Arial" w:cs="Arial"/>
                <w:lang w:val="en-IN"/>
              </w:rPr>
            </w:pPr>
          </w:p>
        </w:tc>
        <w:tc>
          <w:tcPr>
            <w:tcW w:w="114" w:type="pct"/>
            <w:vAlign w:val="center"/>
            <w:hideMark/>
          </w:tcPr>
          <w:p w14:paraId="0097FD08"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6F26C3F" w14:textId="77777777" w:rsidTr="00463C30">
        <w:trPr>
          <w:gridAfter w:val="2"/>
          <w:wAfter w:w="247" w:type="pct"/>
          <w:trHeight w:val="624"/>
          <w:jc w:val="center"/>
        </w:trPr>
        <w:tc>
          <w:tcPr>
            <w:tcW w:w="562" w:type="pct"/>
            <w:gridSpan w:val="2"/>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D374D9F"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Year</w:t>
            </w:r>
          </w:p>
        </w:tc>
        <w:tc>
          <w:tcPr>
            <w:tcW w:w="1075"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7DA9B3B6"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Cashflow</w:t>
            </w:r>
          </w:p>
        </w:tc>
        <w:tc>
          <w:tcPr>
            <w:tcW w:w="1362"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72603D22"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"Discounting Factor @10%"</w:t>
            </w:r>
          </w:p>
        </w:tc>
        <w:tc>
          <w:tcPr>
            <w:tcW w:w="1640" w:type="pct"/>
            <w:gridSpan w:val="4"/>
            <w:tcBorders>
              <w:top w:val="single" w:sz="4" w:space="0" w:color="000000"/>
              <w:left w:val="nil"/>
              <w:bottom w:val="single" w:sz="4" w:space="0" w:color="000000"/>
              <w:right w:val="single" w:sz="4" w:space="0" w:color="000000"/>
            </w:tcBorders>
            <w:shd w:val="clear" w:color="000000" w:fill="FFFFFF"/>
            <w:vAlign w:val="center"/>
            <w:hideMark/>
          </w:tcPr>
          <w:p w14:paraId="71163078"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Present value</w:t>
            </w:r>
          </w:p>
        </w:tc>
        <w:tc>
          <w:tcPr>
            <w:tcW w:w="114" w:type="pct"/>
            <w:vAlign w:val="center"/>
            <w:hideMark/>
          </w:tcPr>
          <w:p w14:paraId="7B4E53D1"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C85E046" w14:textId="77777777" w:rsidTr="00463C30">
        <w:trPr>
          <w:gridAfter w:val="2"/>
          <w:wAfter w:w="247"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1D2F4EF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3AF5BF7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00BEE84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1.000</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36E1166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14" w:type="pct"/>
            <w:vAlign w:val="center"/>
            <w:hideMark/>
          </w:tcPr>
          <w:p w14:paraId="7424380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32040BA" w14:textId="77777777" w:rsidTr="00463C30">
        <w:trPr>
          <w:gridAfter w:val="2"/>
          <w:wAfter w:w="247"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26F9A9C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52F33B0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582BEEB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0.909</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2872537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14" w:type="pct"/>
            <w:vAlign w:val="center"/>
            <w:hideMark/>
          </w:tcPr>
          <w:p w14:paraId="44F8429C"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5302F27F" w14:textId="77777777" w:rsidTr="00463C30">
        <w:trPr>
          <w:gridAfter w:val="2"/>
          <w:wAfter w:w="247"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075FE22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2</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0474EAE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1464C23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0.826</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787B201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9.09 </w:t>
            </w:r>
          </w:p>
        </w:tc>
        <w:tc>
          <w:tcPr>
            <w:tcW w:w="114" w:type="pct"/>
            <w:vAlign w:val="center"/>
            <w:hideMark/>
          </w:tcPr>
          <w:p w14:paraId="268B8F3E"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D8B9455" w14:textId="77777777" w:rsidTr="00463C30">
        <w:trPr>
          <w:gridAfter w:val="2"/>
          <w:wAfter w:w="247"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331DDC1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3</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1B910BB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267A34A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0.751</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3942E31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8.26 </w:t>
            </w:r>
          </w:p>
        </w:tc>
        <w:tc>
          <w:tcPr>
            <w:tcW w:w="114" w:type="pct"/>
            <w:vAlign w:val="center"/>
            <w:hideMark/>
          </w:tcPr>
          <w:p w14:paraId="560E4C22"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D6297E7" w14:textId="77777777" w:rsidTr="00463C30">
        <w:trPr>
          <w:gridAfter w:val="2"/>
          <w:wAfter w:w="247"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6EC674D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4</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4E7E496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5DD1FB4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0.683</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5BA0F7D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7.51 </w:t>
            </w:r>
          </w:p>
        </w:tc>
        <w:tc>
          <w:tcPr>
            <w:tcW w:w="114" w:type="pct"/>
            <w:vAlign w:val="center"/>
            <w:hideMark/>
          </w:tcPr>
          <w:p w14:paraId="49506C96"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7110025" w14:textId="77777777" w:rsidTr="00463C30">
        <w:trPr>
          <w:gridAfter w:val="2"/>
          <w:wAfter w:w="247" w:type="pct"/>
          <w:trHeight w:val="312"/>
          <w:jc w:val="center"/>
        </w:trPr>
        <w:tc>
          <w:tcPr>
            <w:tcW w:w="562" w:type="pct"/>
            <w:gridSpan w:val="2"/>
            <w:tcBorders>
              <w:top w:val="nil"/>
              <w:left w:val="single" w:sz="4" w:space="0" w:color="000000"/>
              <w:bottom w:val="single" w:sz="4" w:space="0" w:color="000000"/>
              <w:right w:val="single" w:sz="4" w:space="0" w:color="000000"/>
            </w:tcBorders>
            <w:shd w:val="clear" w:color="000000" w:fill="DAE9F8"/>
            <w:noWrap/>
            <w:vAlign w:val="bottom"/>
            <w:hideMark/>
          </w:tcPr>
          <w:p w14:paraId="3A6A317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5</w:t>
            </w:r>
          </w:p>
        </w:tc>
        <w:tc>
          <w:tcPr>
            <w:tcW w:w="1075" w:type="pct"/>
            <w:gridSpan w:val="3"/>
            <w:tcBorders>
              <w:top w:val="nil"/>
              <w:left w:val="nil"/>
              <w:bottom w:val="single" w:sz="4" w:space="0" w:color="000000"/>
              <w:right w:val="single" w:sz="4" w:space="0" w:color="000000"/>
            </w:tcBorders>
            <w:shd w:val="clear" w:color="000000" w:fill="DAE9F8"/>
            <w:noWrap/>
            <w:vAlign w:val="bottom"/>
            <w:hideMark/>
          </w:tcPr>
          <w:p w14:paraId="16F9679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000000"/>
              <w:right w:val="single" w:sz="4" w:space="0" w:color="000000"/>
            </w:tcBorders>
            <w:shd w:val="clear" w:color="000000" w:fill="DAE9F8"/>
            <w:noWrap/>
            <w:vAlign w:val="bottom"/>
            <w:hideMark/>
          </w:tcPr>
          <w:p w14:paraId="790719B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0.621</w:t>
            </w:r>
          </w:p>
        </w:tc>
        <w:tc>
          <w:tcPr>
            <w:tcW w:w="1640" w:type="pct"/>
            <w:gridSpan w:val="4"/>
            <w:tcBorders>
              <w:top w:val="nil"/>
              <w:left w:val="nil"/>
              <w:bottom w:val="single" w:sz="4" w:space="0" w:color="000000"/>
              <w:right w:val="single" w:sz="4" w:space="0" w:color="000000"/>
            </w:tcBorders>
            <w:shd w:val="clear" w:color="000000" w:fill="DAE9F8"/>
            <w:noWrap/>
            <w:vAlign w:val="bottom"/>
            <w:hideMark/>
          </w:tcPr>
          <w:p w14:paraId="20734F5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6.83 </w:t>
            </w:r>
          </w:p>
        </w:tc>
        <w:tc>
          <w:tcPr>
            <w:tcW w:w="114" w:type="pct"/>
            <w:vAlign w:val="center"/>
            <w:hideMark/>
          </w:tcPr>
          <w:p w14:paraId="02B86540"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43C46C1" w14:textId="77777777" w:rsidTr="00463C30">
        <w:trPr>
          <w:gridAfter w:val="2"/>
          <w:wAfter w:w="247" w:type="pct"/>
          <w:trHeight w:val="312"/>
          <w:jc w:val="center"/>
        </w:trPr>
        <w:tc>
          <w:tcPr>
            <w:tcW w:w="2999" w:type="pct"/>
            <w:gridSpan w:val="8"/>
            <w:tcBorders>
              <w:top w:val="single" w:sz="4" w:space="0" w:color="000000"/>
              <w:left w:val="single" w:sz="4" w:space="0" w:color="000000"/>
              <w:bottom w:val="single" w:sz="4" w:space="0" w:color="000000"/>
              <w:right w:val="single" w:sz="4" w:space="0" w:color="000000"/>
            </w:tcBorders>
            <w:shd w:val="clear" w:color="000000" w:fill="DAE9F8"/>
            <w:vAlign w:val="center"/>
            <w:hideMark/>
          </w:tcPr>
          <w:p w14:paraId="623F789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"Internal Rate of Return (IRR) of Project B"</w:t>
            </w:r>
          </w:p>
        </w:tc>
        <w:tc>
          <w:tcPr>
            <w:tcW w:w="1640" w:type="pct"/>
            <w:gridSpan w:val="4"/>
            <w:tcBorders>
              <w:top w:val="nil"/>
              <w:left w:val="nil"/>
              <w:bottom w:val="single" w:sz="4" w:space="0" w:color="000000"/>
              <w:right w:val="single" w:sz="4" w:space="0" w:color="000000"/>
            </w:tcBorders>
            <w:shd w:val="clear" w:color="000000" w:fill="DAE9F8"/>
            <w:vAlign w:val="center"/>
            <w:hideMark/>
          </w:tcPr>
          <w:p w14:paraId="38030277"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3.26%</w:t>
            </w:r>
          </w:p>
        </w:tc>
        <w:tc>
          <w:tcPr>
            <w:tcW w:w="114" w:type="pct"/>
            <w:vAlign w:val="center"/>
            <w:hideMark/>
          </w:tcPr>
          <w:p w14:paraId="66826A7E"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E392F6B" w14:textId="77777777" w:rsidTr="00463C30">
        <w:trPr>
          <w:gridAfter w:val="2"/>
          <w:wAfter w:w="247" w:type="pct"/>
          <w:trHeight w:val="312"/>
          <w:jc w:val="center"/>
        </w:trPr>
        <w:tc>
          <w:tcPr>
            <w:tcW w:w="562" w:type="pct"/>
            <w:gridSpan w:val="2"/>
            <w:tcBorders>
              <w:top w:val="nil"/>
              <w:left w:val="nil"/>
              <w:bottom w:val="nil"/>
              <w:right w:val="nil"/>
            </w:tcBorders>
            <w:noWrap/>
            <w:vAlign w:val="bottom"/>
            <w:hideMark/>
          </w:tcPr>
          <w:p w14:paraId="077331EF" w14:textId="77777777" w:rsidR="00076D53" w:rsidRPr="00C900C3" w:rsidRDefault="00076D53" w:rsidP="00076D53">
            <w:pPr>
              <w:spacing w:before="0" w:after="0" w:line="240" w:lineRule="auto"/>
              <w:jc w:val="center"/>
              <w:rPr>
                <w:rFonts w:ascii="Arial" w:hAnsi="Arial" w:cs="Arial"/>
                <w:b/>
                <w:bCs/>
                <w:color w:val="000000"/>
                <w:lang w:val="en-IN"/>
              </w:rPr>
            </w:pPr>
          </w:p>
        </w:tc>
        <w:tc>
          <w:tcPr>
            <w:tcW w:w="1075" w:type="pct"/>
            <w:gridSpan w:val="3"/>
            <w:tcBorders>
              <w:top w:val="nil"/>
              <w:left w:val="nil"/>
              <w:bottom w:val="nil"/>
              <w:right w:val="nil"/>
            </w:tcBorders>
            <w:noWrap/>
            <w:vAlign w:val="bottom"/>
            <w:hideMark/>
          </w:tcPr>
          <w:p w14:paraId="694F4CCD" w14:textId="77777777" w:rsidR="00076D53" w:rsidRPr="00C900C3" w:rsidRDefault="00076D53" w:rsidP="00076D53">
            <w:pPr>
              <w:spacing w:before="0" w:after="0" w:line="240" w:lineRule="auto"/>
              <w:jc w:val="left"/>
              <w:rPr>
                <w:rFonts w:ascii="Arial" w:hAnsi="Arial" w:cs="Arial"/>
                <w:lang w:val="en-IN"/>
              </w:rPr>
            </w:pPr>
          </w:p>
        </w:tc>
        <w:tc>
          <w:tcPr>
            <w:tcW w:w="1362" w:type="pct"/>
            <w:gridSpan w:val="3"/>
            <w:tcBorders>
              <w:top w:val="nil"/>
              <w:left w:val="nil"/>
              <w:bottom w:val="nil"/>
              <w:right w:val="nil"/>
            </w:tcBorders>
            <w:noWrap/>
            <w:vAlign w:val="bottom"/>
            <w:hideMark/>
          </w:tcPr>
          <w:p w14:paraId="22425068" w14:textId="77777777" w:rsidR="00076D53" w:rsidRPr="00C900C3" w:rsidRDefault="00076D53" w:rsidP="00076D53">
            <w:pPr>
              <w:spacing w:before="0" w:after="0" w:line="240" w:lineRule="auto"/>
              <w:jc w:val="left"/>
              <w:rPr>
                <w:rFonts w:ascii="Arial" w:hAnsi="Arial" w:cs="Arial"/>
                <w:lang w:val="en-IN"/>
              </w:rPr>
            </w:pPr>
          </w:p>
        </w:tc>
        <w:tc>
          <w:tcPr>
            <w:tcW w:w="1640" w:type="pct"/>
            <w:gridSpan w:val="4"/>
            <w:tcBorders>
              <w:top w:val="nil"/>
              <w:left w:val="nil"/>
              <w:bottom w:val="nil"/>
              <w:right w:val="nil"/>
            </w:tcBorders>
            <w:noWrap/>
            <w:vAlign w:val="bottom"/>
            <w:hideMark/>
          </w:tcPr>
          <w:p w14:paraId="651369E4" w14:textId="77777777" w:rsidR="00076D53" w:rsidRPr="00C900C3" w:rsidRDefault="00076D53" w:rsidP="00076D53">
            <w:pPr>
              <w:spacing w:before="0" w:after="0" w:line="240" w:lineRule="auto"/>
              <w:jc w:val="left"/>
              <w:rPr>
                <w:rFonts w:ascii="Arial" w:hAnsi="Arial" w:cs="Arial"/>
                <w:lang w:val="en-IN"/>
              </w:rPr>
            </w:pPr>
          </w:p>
        </w:tc>
        <w:tc>
          <w:tcPr>
            <w:tcW w:w="114" w:type="pct"/>
            <w:vAlign w:val="center"/>
            <w:hideMark/>
          </w:tcPr>
          <w:p w14:paraId="34D22DF0"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994DCFF" w14:textId="77777777" w:rsidTr="00463C30">
        <w:trPr>
          <w:gridAfter w:val="2"/>
          <w:wAfter w:w="247" w:type="pct"/>
          <w:trHeight w:val="312"/>
          <w:jc w:val="center"/>
        </w:trPr>
        <w:tc>
          <w:tcPr>
            <w:tcW w:w="562" w:type="pct"/>
            <w:gridSpan w:val="2"/>
            <w:tcBorders>
              <w:top w:val="nil"/>
              <w:left w:val="nil"/>
              <w:bottom w:val="nil"/>
              <w:right w:val="nil"/>
            </w:tcBorders>
            <w:noWrap/>
            <w:vAlign w:val="bottom"/>
            <w:hideMark/>
          </w:tcPr>
          <w:p w14:paraId="72DD16E7" w14:textId="77777777" w:rsidR="00076D53" w:rsidRPr="00C900C3" w:rsidRDefault="00076D53" w:rsidP="00076D53">
            <w:pPr>
              <w:spacing w:before="0" w:after="0" w:line="240" w:lineRule="auto"/>
              <w:jc w:val="left"/>
              <w:rPr>
                <w:rFonts w:ascii="Arial" w:hAnsi="Arial" w:cs="Arial"/>
                <w:lang w:val="en-IN"/>
              </w:rPr>
            </w:pPr>
          </w:p>
        </w:tc>
        <w:tc>
          <w:tcPr>
            <w:tcW w:w="1075" w:type="pct"/>
            <w:gridSpan w:val="3"/>
            <w:tcBorders>
              <w:top w:val="nil"/>
              <w:left w:val="nil"/>
              <w:bottom w:val="nil"/>
              <w:right w:val="nil"/>
            </w:tcBorders>
            <w:noWrap/>
            <w:vAlign w:val="bottom"/>
            <w:hideMark/>
          </w:tcPr>
          <w:p w14:paraId="26C47FA6" w14:textId="77777777" w:rsidR="00076D53" w:rsidRPr="00C900C3" w:rsidRDefault="00076D53" w:rsidP="00076D53">
            <w:pPr>
              <w:spacing w:before="0" w:after="0" w:line="240" w:lineRule="auto"/>
              <w:jc w:val="left"/>
              <w:rPr>
                <w:rFonts w:ascii="Arial" w:hAnsi="Arial" w:cs="Arial"/>
                <w:lang w:val="en-IN"/>
              </w:rPr>
            </w:pPr>
          </w:p>
        </w:tc>
        <w:tc>
          <w:tcPr>
            <w:tcW w:w="1362" w:type="pct"/>
            <w:gridSpan w:val="3"/>
            <w:tcBorders>
              <w:top w:val="nil"/>
              <w:left w:val="nil"/>
              <w:bottom w:val="nil"/>
              <w:right w:val="nil"/>
            </w:tcBorders>
            <w:noWrap/>
            <w:vAlign w:val="bottom"/>
            <w:hideMark/>
          </w:tcPr>
          <w:p w14:paraId="5B61D427" w14:textId="77777777" w:rsidR="00076D53" w:rsidRPr="00C900C3" w:rsidRDefault="00076D53" w:rsidP="00076D53">
            <w:pPr>
              <w:spacing w:before="0" w:after="0" w:line="240" w:lineRule="auto"/>
              <w:jc w:val="left"/>
              <w:rPr>
                <w:rFonts w:ascii="Arial" w:hAnsi="Arial" w:cs="Arial"/>
                <w:lang w:val="en-IN"/>
              </w:rPr>
            </w:pPr>
          </w:p>
        </w:tc>
        <w:tc>
          <w:tcPr>
            <w:tcW w:w="1640" w:type="pct"/>
            <w:gridSpan w:val="4"/>
            <w:tcBorders>
              <w:top w:val="nil"/>
              <w:left w:val="nil"/>
              <w:bottom w:val="nil"/>
              <w:right w:val="nil"/>
            </w:tcBorders>
            <w:noWrap/>
            <w:vAlign w:val="bottom"/>
            <w:hideMark/>
          </w:tcPr>
          <w:p w14:paraId="5314B5A2" w14:textId="77777777" w:rsidR="00076D53" w:rsidRPr="00C900C3" w:rsidRDefault="00076D53" w:rsidP="00076D53">
            <w:pPr>
              <w:spacing w:before="0" w:after="0" w:line="240" w:lineRule="auto"/>
              <w:jc w:val="left"/>
              <w:rPr>
                <w:rFonts w:ascii="Arial" w:hAnsi="Arial" w:cs="Arial"/>
                <w:lang w:val="en-IN"/>
              </w:rPr>
            </w:pPr>
          </w:p>
        </w:tc>
        <w:tc>
          <w:tcPr>
            <w:tcW w:w="114" w:type="pct"/>
            <w:vAlign w:val="center"/>
            <w:hideMark/>
          </w:tcPr>
          <w:p w14:paraId="5C88DD0B"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2846EB2" w14:textId="77777777" w:rsidTr="00463C30">
        <w:trPr>
          <w:gridAfter w:val="2"/>
          <w:wAfter w:w="247" w:type="pct"/>
          <w:trHeight w:val="312"/>
          <w:jc w:val="center"/>
        </w:trPr>
        <w:tc>
          <w:tcPr>
            <w:tcW w:w="56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EEEC8A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"Year"</w:t>
            </w:r>
          </w:p>
        </w:tc>
        <w:tc>
          <w:tcPr>
            <w:tcW w:w="1075" w:type="pct"/>
            <w:gridSpan w:val="3"/>
            <w:tcBorders>
              <w:top w:val="single" w:sz="4" w:space="0" w:color="auto"/>
              <w:left w:val="nil"/>
              <w:bottom w:val="single" w:sz="4" w:space="0" w:color="auto"/>
              <w:right w:val="single" w:sz="4" w:space="0" w:color="auto"/>
            </w:tcBorders>
            <w:shd w:val="clear" w:color="000000" w:fill="FFFFFF"/>
            <w:vAlign w:val="center"/>
            <w:hideMark/>
          </w:tcPr>
          <w:p w14:paraId="19937F7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 Flow"</w:t>
            </w:r>
          </w:p>
        </w:tc>
        <w:tc>
          <w:tcPr>
            <w:tcW w:w="1362" w:type="pct"/>
            <w:gridSpan w:val="3"/>
            <w:tcBorders>
              <w:top w:val="single" w:sz="4" w:space="0" w:color="auto"/>
              <w:left w:val="nil"/>
              <w:bottom w:val="single" w:sz="4" w:space="0" w:color="auto"/>
              <w:right w:val="single" w:sz="4" w:space="0" w:color="auto"/>
            </w:tcBorders>
            <w:shd w:val="clear" w:color="000000" w:fill="FFFFFF"/>
            <w:vAlign w:val="center"/>
            <w:hideMark/>
          </w:tcPr>
          <w:p w14:paraId="4A8E9E5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 xml:space="preserve">"Depreciation" </w:t>
            </w:r>
          </w:p>
        </w:tc>
        <w:tc>
          <w:tcPr>
            <w:tcW w:w="1640" w:type="pct"/>
            <w:gridSpan w:val="4"/>
            <w:tcBorders>
              <w:top w:val="single" w:sz="4" w:space="0" w:color="auto"/>
              <w:left w:val="nil"/>
              <w:bottom w:val="single" w:sz="4" w:space="0" w:color="auto"/>
              <w:right w:val="single" w:sz="4" w:space="0" w:color="auto"/>
            </w:tcBorders>
            <w:shd w:val="clear" w:color="000000" w:fill="FFFFFF"/>
            <w:vAlign w:val="center"/>
            <w:hideMark/>
          </w:tcPr>
          <w:p w14:paraId="5C5CADA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"Present Value"</w:t>
            </w:r>
          </w:p>
        </w:tc>
        <w:tc>
          <w:tcPr>
            <w:tcW w:w="114" w:type="pct"/>
            <w:vAlign w:val="center"/>
            <w:hideMark/>
          </w:tcPr>
          <w:p w14:paraId="6A7F58F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6E1EF82" w14:textId="77777777" w:rsidTr="00463C30">
        <w:trPr>
          <w:gridAfter w:val="2"/>
          <w:wAfter w:w="247" w:type="pct"/>
          <w:trHeight w:val="312"/>
          <w:jc w:val="center"/>
        </w:trPr>
        <w:tc>
          <w:tcPr>
            <w:tcW w:w="562" w:type="pct"/>
            <w:gridSpan w:val="2"/>
            <w:tcBorders>
              <w:top w:val="nil"/>
              <w:left w:val="single" w:sz="4" w:space="0" w:color="auto"/>
              <w:bottom w:val="single" w:sz="4" w:space="0" w:color="auto"/>
              <w:right w:val="single" w:sz="4" w:space="0" w:color="auto"/>
            </w:tcBorders>
            <w:shd w:val="clear" w:color="000000" w:fill="DAE9F8"/>
            <w:noWrap/>
            <w:vAlign w:val="center"/>
            <w:hideMark/>
          </w:tcPr>
          <w:p w14:paraId="1D97654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w:t>
            </w:r>
          </w:p>
        </w:tc>
        <w:tc>
          <w:tcPr>
            <w:tcW w:w="1075" w:type="pct"/>
            <w:gridSpan w:val="3"/>
            <w:tcBorders>
              <w:top w:val="nil"/>
              <w:left w:val="nil"/>
              <w:bottom w:val="single" w:sz="4" w:space="0" w:color="auto"/>
              <w:right w:val="single" w:sz="4" w:space="0" w:color="auto"/>
            </w:tcBorders>
            <w:shd w:val="clear" w:color="000000" w:fill="DAE9F8"/>
            <w:noWrap/>
            <w:vAlign w:val="center"/>
            <w:hideMark/>
          </w:tcPr>
          <w:p w14:paraId="54151AA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362" w:type="pct"/>
            <w:gridSpan w:val="3"/>
            <w:tcBorders>
              <w:top w:val="nil"/>
              <w:left w:val="nil"/>
              <w:bottom w:val="single" w:sz="4" w:space="0" w:color="auto"/>
              <w:right w:val="single" w:sz="4" w:space="0" w:color="auto"/>
            </w:tcBorders>
            <w:shd w:val="clear" w:color="000000" w:fill="DAE9F8"/>
            <w:noWrap/>
            <w:vAlign w:val="center"/>
            <w:hideMark/>
          </w:tcPr>
          <w:p w14:paraId="48AB510E"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0.00</w:t>
            </w:r>
          </w:p>
        </w:tc>
        <w:tc>
          <w:tcPr>
            <w:tcW w:w="1640" w:type="pct"/>
            <w:gridSpan w:val="4"/>
            <w:tcBorders>
              <w:top w:val="nil"/>
              <w:left w:val="nil"/>
              <w:bottom w:val="single" w:sz="4" w:space="0" w:color="auto"/>
              <w:right w:val="single" w:sz="4" w:space="0" w:color="auto"/>
            </w:tcBorders>
            <w:shd w:val="clear" w:color="000000" w:fill="DAE9F8"/>
            <w:noWrap/>
            <w:vAlign w:val="center"/>
            <w:hideMark/>
          </w:tcPr>
          <w:p w14:paraId="6F51534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14" w:type="pct"/>
            <w:vAlign w:val="center"/>
            <w:hideMark/>
          </w:tcPr>
          <w:p w14:paraId="1DF40EA1"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7DAF093" w14:textId="77777777" w:rsidTr="00463C30">
        <w:trPr>
          <w:gridAfter w:val="2"/>
          <w:wAfter w:w="247" w:type="pct"/>
          <w:trHeight w:val="312"/>
          <w:jc w:val="center"/>
        </w:trPr>
        <w:tc>
          <w:tcPr>
            <w:tcW w:w="562" w:type="pct"/>
            <w:gridSpan w:val="2"/>
            <w:tcBorders>
              <w:top w:val="nil"/>
              <w:left w:val="single" w:sz="4" w:space="0" w:color="auto"/>
              <w:bottom w:val="single" w:sz="4" w:space="0" w:color="auto"/>
              <w:right w:val="single" w:sz="4" w:space="0" w:color="auto"/>
            </w:tcBorders>
            <w:shd w:val="clear" w:color="000000" w:fill="DAE9F8"/>
            <w:noWrap/>
            <w:vAlign w:val="center"/>
            <w:hideMark/>
          </w:tcPr>
          <w:p w14:paraId="14AE30D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w:t>
            </w:r>
          </w:p>
        </w:tc>
        <w:tc>
          <w:tcPr>
            <w:tcW w:w="1075" w:type="pct"/>
            <w:gridSpan w:val="3"/>
            <w:tcBorders>
              <w:top w:val="nil"/>
              <w:left w:val="nil"/>
              <w:bottom w:val="single" w:sz="4" w:space="0" w:color="auto"/>
              <w:right w:val="single" w:sz="4" w:space="0" w:color="auto"/>
            </w:tcBorders>
            <w:shd w:val="clear" w:color="000000" w:fill="DAE9F8"/>
            <w:noWrap/>
            <w:vAlign w:val="center"/>
            <w:hideMark/>
          </w:tcPr>
          <w:p w14:paraId="799436B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auto"/>
              <w:right w:val="single" w:sz="4" w:space="0" w:color="auto"/>
            </w:tcBorders>
            <w:shd w:val="clear" w:color="000000" w:fill="DAE9F8"/>
            <w:noWrap/>
            <w:vAlign w:val="center"/>
            <w:hideMark/>
          </w:tcPr>
          <w:p w14:paraId="4603F46E"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1640" w:type="pct"/>
            <w:gridSpan w:val="4"/>
            <w:tcBorders>
              <w:top w:val="nil"/>
              <w:left w:val="nil"/>
              <w:bottom w:val="single" w:sz="4" w:space="0" w:color="auto"/>
              <w:right w:val="single" w:sz="4" w:space="0" w:color="auto"/>
            </w:tcBorders>
            <w:shd w:val="clear" w:color="000000" w:fill="DAE9F8"/>
            <w:noWrap/>
            <w:vAlign w:val="center"/>
            <w:hideMark/>
          </w:tcPr>
          <w:p w14:paraId="20C4F3C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 </w:t>
            </w:r>
          </w:p>
        </w:tc>
        <w:tc>
          <w:tcPr>
            <w:tcW w:w="114" w:type="pct"/>
            <w:vAlign w:val="center"/>
            <w:hideMark/>
          </w:tcPr>
          <w:p w14:paraId="3ECA097E"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4AEE0686" w14:textId="77777777" w:rsidTr="00463C30">
        <w:trPr>
          <w:gridAfter w:val="2"/>
          <w:wAfter w:w="247" w:type="pct"/>
          <w:trHeight w:val="312"/>
          <w:jc w:val="center"/>
        </w:trPr>
        <w:tc>
          <w:tcPr>
            <w:tcW w:w="562" w:type="pct"/>
            <w:gridSpan w:val="2"/>
            <w:tcBorders>
              <w:top w:val="nil"/>
              <w:left w:val="single" w:sz="4" w:space="0" w:color="auto"/>
              <w:bottom w:val="single" w:sz="4" w:space="0" w:color="auto"/>
              <w:right w:val="single" w:sz="4" w:space="0" w:color="auto"/>
            </w:tcBorders>
            <w:shd w:val="clear" w:color="000000" w:fill="DAE9F8"/>
            <w:noWrap/>
            <w:vAlign w:val="center"/>
            <w:hideMark/>
          </w:tcPr>
          <w:p w14:paraId="554C346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2</w:t>
            </w:r>
          </w:p>
        </w:tc>
        <w:tc>
          <w:tcPr>
            <w:tcW w:w="1075" w:type="pct"/>
            <w:gridSpan w:val="3"/>
            <w:tcBorders>
              <w:top w:val="nil"/>
              <w:left w:val="nil"/>
              <w:bottom w:val="single" w:sz="4" w:space="0" w:color="auto"/>
              <w:right w:val="single" w:sz="4" w:space="0" w:color="auto"/>
            </w:tcBorders>
            <w:shd w:val="clear" w:color="000000" w:fill="DAE9F8"/>
            <w:noWrap/>
            <w:vAlign w:val="center"/>
            <w:hideMark/>
          </w:tcPr>
          <w:p w14:paraId="67826C8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auto"/>
              <w:right w:val="single" w:sz="4" w:space="0" w:color="auto"/>
            </w:tcBorders>
            <w:shd w:val="clear" w:color="000000" w:fill="DAE9F8"/>
            <w:noWrap/>
            <w:vAlign w:val="center"/>
            <w:hideMark/>
          </w:tcPr>
          <w:p w14:paraId="118ADB47"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1640" w:type="pct"/>
            <w:gridSpan w:val="4"/>
            <w:tcBorders>
              <w:top w:val="nil"/>
              <w:left w:val="nil"/>
              <w:bottom w:val="single" w:sz="4" w:space="0" w:color="auto"/>
              <w:right w:val="single" w:sz="4" w:space="0" w:color="auto"/>
            </w:tcBorders>
            <w:shd w:val="clear" w:color="000000" w:fill="DAE9F8"/>
            <w:noWrap/>
            <w:vAlign w:val="center"/>
            <w:hideMark/>
          </w:tcPr>
          <w:p w14:paraId="170AF0E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 </w:t>
            </w:r>
          </w:p>
        </w:tc>
        <w:tc>
          <w:tcPr>
            <w:tcW w:w="114" w:type="pct"/>
            <w:vAlign w:val="center"/>
            <w:hideMark/>
          </w:tcPr>
          <w:p w14:paraId="19C8E460"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AB4451D" w14:textId="77777777" w:rsidTr="00463C30">
        <w:trPr>
          <w:gridAfter w:val="2"/>
          <w:wAfter w:w="247" w:type="pct"/>
          <w:trHeight w:val="312"/>
          <w:jc w:val="center"/>
        </w:trPr>
        <w:tc>
          <w:tcPr>
            <w:tcW w:w="562" w:type="pct"/>
            <w:gridSpan w:val="2"/>
            <w:tcBorders>
              <w:top w:val="nil"/>
              <w:left w:val="single" w:sz="4" w:space="0" w:color="auto"/>
              <w:bottom w:val="single" w:sz="4" w:space="0" w:color="auto"/>
              <w:right w:val="single" w:sz="4" w:space="0" w:color="auto"/>
            </w:tcBorders>
            <w:shd w:val="clear" w:color="000000" w:fill="DAE9F8"/>
            <w:noWrap/>
            <w:vAlign w:val="center"/>
            <w:hideMark/>
          </w:tcPr>
          <w:p w14:paraId="287D1FB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3</w:t>
            </w:r>
          </w:p>
        </w:tc>
        <w:tc>
          <w:tcPr>
            <w:tcW w:w="1075" w:type="pct"/>
            <w:gridSpan w:val="3"/>
            <w:tcBorders>
              <w:top w:val="nil"/>
              <w:left w:val="nil"/>
              <w:bottom w:val="single" w:sz="4" w:space="0" w:color="auto"/>
              <w:right w:val="single" w:sz="4" w:space="0" w:color="auto"/>
            </w:tcBorders>
            <w:shd w:val="clear" w:color="000000" w:fill="DAE9F8"/>
            <w:noWrap/>
            <w:vAlign w:val="center"/>
            <w:hideMark/>
          </w:tcPr>
          <w:p w14:paraId="6337866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auto"/>
              <w:right w:val="single" w:sz="4" w:space="0" w:color="auto"/>
            </w:tcBorders>
            <w:shd w:val="clear" w:color="000000" w:fill="DAE9F8"/>
            <w:noWrap/>
            <w:vAlign w:val="center"/>
            <w:hideMark/>
          </w:tcPr>
          <w:p w14:paraId="642CEB99"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1640" w:type="pct"/>
            <w:gridSpan w:val="4"/>
            <w:tcBorders>
              <w:top w:val="nil"/>
              <w:left w:val="nil"/>
              <w:bottom w:val="single" w:sz="4" w:space="0" w:color="auto"/>
              <w:right w:val="single" w:sz="4" w:space="0" w:color="auto"/>
            </w:tcBorders>
            <w:shd w:val="clear" w:color="000000" w:fill="DAE9F8"/>
            <w:noWrap/>
            <w:vAlign w:val="center"/>
            <w:hideMark/>
          </w:tcPr>
          <w:p w14:paraId="2A572AE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 </w:t>
            </w:r>
          </w:p>
        </w:tc>
        <w:tc>
          <w:tcPr>
            <w:tcW w:w="114" w:type="pct"/>
            <w:vAlign w:val="center"/>
            <w:hideMark/>
          </w:tcPr>
          <w:p w14:paraId="6D164725"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34676F5" w14:textId="77777777" w:rsidTr="00463C30">
        <w:trPr>
          <w:gridAfter w:val="2"/>
          <w:wAfter w:w="247" w:type="pct"/>
          <w:trHeight w:val="312"/>
          <w:jc w:val="center"/>
        </w:trPr>
        <w:tc>
          <w:tcPr>
            <w:tcW w:w="562" w:type="pct"/>
            <w:gridSpan w:val="2"/>
            <w:tcBorders>
              <w:top w:val="nil"/>
              <w:left w:val="single" w:sz="4" w:space="0" w:color="auto"/>
              <w:bottom w:val="single" w:sz="4" w:space="0" w:color="auto"/>
              <w:right w:val="single" w:sz="4" w:space="0" w:color="auto"/>
            </w:tcBorders>
            <w:shd w:val="clear" w:color="000000" w:fill="DAE9F8"/>
            <w:noWrap/>
            <w:vAlign w:val="center"/>
            <w:hideMark/>
          </w:tcPr>
          <w:p w14:paraId="40CC27F3"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4</w:t>
            </w:r>
          </w:p>
        </w:tc>
        <w:tc>
          <w:tcPr>
            <w:tcW w:w="1075" w:type="pct"/>
            <w:gridSpan w:val="3"/>
            <w:tcBorders>
              <w:top w:val="nil"/>
              <w:left w:val="nil"/>
              <w:bottom w:val="single" w:sz="4" w:space="0" w:color="auto"/>
              <w:right w:val="single" w:sz="4" w:space="0" w:color="auto"/>
            </w:tcBorders>
            <w:shd w:val="clear" w:color="000000" w:fill="DAE9F8"/>
            <w:noWrap/>
            <w:vAlign w:val="center"/>
            <w:hideMark/>
          </w:tcPr>
          <w:p w14:paraId="73257AE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auto"/>
              <w:right w:val="single" w:sz="4" w:space="0" w:color="auto"/>
            </w:tcBorders>
            <w:shd w:val="clear" w:color="000000" w:fill="DAE9F8"/>
            <w:noWrap/>
            <w:vAlign w:val="center"/>
            <w:hideMark/>
          </w:tcPr>
          <w:p w14:paraId="7FE7EF43"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1640" w:type="pct"/>
            <w:gridSpan w:val="4"/>
            <w:tcBorders>
              <w:top w:val="nil"/>
              <w:left w:val="nil"/>
              <w:bottom w:val="single" w:sz="4" w:space="0" w:color="auto"/>
              <w:right w:val="single" w:sz="4" w:space="0" w:color="auto"/>
            </w:tcBorders>
            <w:shd w:val="clear" w:color="000000" w:fill="DAE9F8"/>
            <w:noWrap/>
            <w:vAlign w:val="center"/>
            <w:hideMark/>
          </w:tcPr>
          <w:p w14:paraId="7FD2E25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 </w:t>
            </w:r>
          </w:p>
        </w:tc>
        <w:tc>
          <w:tcPr>
            <w:tcW w:w="114" w:type="pct"/>
            <w:vAlign w:val="center"/>
            <w:hideMark/>
          </w:tcPr>
          <w:p w14:paraId="5841E6F7"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31AA9CF" w14:textId="77777777" w:rsidTr="00463C30">
        <w:trPr>
          <w:gridAfter w:val="2"/>
          <w:wAfter w:w="247" w:type="pct"/>
          <w:trHeight w:val="312"/>
          <w:jc w:val="center"/>
        </w:trPr>
        <w:tc>
          <w:tcPr>
            <w:tcW w:w="562" w:type="pct"/>
            <w:gridSpan w:val="2"/>
            <w:tcBorders>
              <w:top w:val="nil"/>
              <w:left w:val="single" w:sz="4" w:space="0" w:color="auto"/>
              <w:bottom w:val="single" w:sz="4" w:space="0" w:color="auto"/>
              <w:right w:val="single" w:sz="4" w:space="0" w:color="auto"/>
            </w:tcBorders>
            <w:shd w:val="clear" w:color="000000" w:fill="DAE9F8"/>
            <w:noWrap/>
            <w:vAlign w:val="center"/>
            <w:hideMark/>
          </w:tcPr>
          <w:p w14:paraId="714E7E0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5</w:t>
            </w:r>
          </w:p>
        </w:tc>
        <w:tc>
          <w:tcPr>
            <w:tcW w:w="1075" w:type="pct"/>
            <w:gridSpan w:val="3"/>
            <w:tcBorders>
              <w:top w:val="nil"/>
              <w:left w:val="nil"/>
              <w:bottom w:val="single" w:sz="4" w:space="0" w:color="auto"/>
              <w:right w:val="single" w:sz="4" w:space="0" w:color="auto"/>
            </w:tcBorders>
            <w:shd w:val="clear" w:color="000000" w:fill="DAE9F8"/>
            <w:noWrap/>
            <w:vAlign w:val="center"/>
            <w:hideMark/>
          </w:tcPr>
          <w:p w14:paraId="6B46AC0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11.00 </w:t>
            </w:r>
          </w:p>
        </w:tc>
        <w:tc>
          <w:tcPr>
            <w:tcW w:w="1362" w:type="pct"/>
            <w:gridSpan w:val="3"/>
            <w:tcBorders>
              <w:top w:val="nil"/>
              <w:left w:val="nil"/>
              <w:bottom w:val="single" w:sz="4" w:space="0" w:color="auto"/>
              <w:right w:val="single" w:sz="4" w:space="0" w:color="auto"/>
            </w:tcBorders>
            <w:shd w:val="clear" w:color="000000" w:fill="DAE9F8"/>
            <w:noWrap/>
            <w:vAlign w:val="center"/>
            <w:hideMark/>
          </w:tcPr>
          <w:p w14:paraId="1142C417"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1640" w:type="pct"/>
            <w:gridSpan w:val="4"/>
            <w:tcBorders>
              <w:top w:val="nil"/>
              <w:left w:val="nil"/>
              <w:bottom w:val="single" w:sz="4" w:space="0" w:color="auto"/>
              <w:right w:val="single" w:sz="4" w:space="0" w:color="auto"/>
            </w:tcBorders>
            <w:shd w:val="clear" w:color="000000" w:fill="DAE9F8"/>
            <w:noWrap/>
            <w:vAlign w:val="center"/>
            <w:hideMark/>
          </w:tcPr>
          <w:p w14:paraId="496972B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 </w:t>
            </w:r>
          </w:p>
        </w:tc>
        <w:tc>
          <w:tcPr>
            <w:tcW w:w="114" w:type="pct"/>
            <w:vAlign w:val="center"/>
            <w:hideMark/>
          </w:tcPr>
          <w:p w14:paraId="6D62671D"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83ECB6B" w14:textId="77777777" w:rsidTr="00463C30">
        <w:trPr>
          <w:gridAfter w:val="2"/>
          <w:wAfter w:w="247" w:type="pct"/>
          <w:trHeight w:val="312"/>
          <w:jc w:val="center"/>
        </w:trPr>
        <w:tc>
          <w:tcPr>
            <w:tcW w:w="2999" w:type="pct"/>
            <w:gridSpan w:val="8"/>
            <w:tcBorders>
              <w:top w:val="single" w:sz="4" w:space="0" w:color="auto"/>
              <w:left w:val="single" w:sz="4" w:space="0" w:color="auto"/>
              <w:bottom w:val="single" w:sz="4" w:space="0" w:color="auto"/>
              <w:right w:val="single" w:sz="4" w:space="0" w:color="000000"/>
            </w:tcBorders>
            <w:shd w:val="clear" w:color="000000" w:fill="DAE9F8"/>
            <w:vAlign w:val="center"/>
            <w:hideMark/>
          </w:tcPr>
          <w:p w14:paraId="60F16827"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 xml:space="preserve">"Accounting Rate of Return (ARR) of Project B" </w:t>
            </w:r>
          </w:p>
        </w:tc>
        <w:tc>
          <w:tcPr>
            <w:tcW w:w="1640" w:type="pct"/>
            <w:gridSpan w:val="4"/>
            <w:tcBorders>
              <w:top w:val="nil"/>
              <w:left w:val="nil"/>
              <w:bottom w:val="single" w:sz="4" w:space="0" w:color="auto"/>
              <w:right w:val="single" w:sz="4" w:space="0" w:color="auto"/>
            </w:tcBorders>
            <w:shd w:val="clear" w:color="000000" w:fill="DAE9F8"/>
            <w:vAlign w:val="center"/>
            <w:hideMark/>
          </w:tcPr>
          <w:p w14:paraId="2835870C"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2.00%</w:t>
            </w:r>
          </w:p>
        </w:tc>
        <w:tc>
          <w:tcPr>
            <w:tcW w:w="114" w:type="pct"/>
            <w:vAlign w:val="center"/>
            <w:hideMark/>
          </w:tcPr>
          <w:p w14:paraId="288A99E6"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43443DA5" w14:textId="77777777" w:rsidTr="00463C30">
        <w:trPr>
          <w:gridAfter w:val="5"/>
          <w:wAfter w:w="582" w:type="pct"/>
          <w:trHeight w:val="624"/>
          <w:jc w:val="center"/>
        </w:trPr>
        <w:tc>
          <w:tcPr>
            <w:tcW w:w="496"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8D8BF65"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"Year"</w:t>
            </w:r>
          </w:p>
        </w:tc>
        <w:tc>
          <w:tcPr>
            <w:tcW w:w="1074"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7E33497F"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 Flow"</w:t>
            </w:r>
          </w:p>
        </w:tc>
        <w:tc>
          <w:tcPr>
            <w:tcW w:w="1301"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10979C1A"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"Discounting Factor @10%"</w:t>
            </w:r>
          </w:p>
        </w:tc>
        <w:tc>
          <w:tcPr>
            <w:tcW w:w="1546"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234C5AC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"Present Value"</w:t>
            </w:r>
          </w:p>
        </w:tc>
      </w:tr>
      <w:tr w:rsidR="00076D53" w:rsidRPr="00C900C3" w14:paraId="588CB065" w14:textId="77777777" w:rsidTr="00463C30">
        <w:trPr>
          <w:gridAfter w:val="5"/>
          <w:wAfter w:w="582"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2BFDAE3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3E126F6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64492F1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1.000</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66A1642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r>
      <w:tr w:rsidR="00076D53" w:rsidRPr="00C900C3" w14:paraId="5F214E1A" w14:textId="77777777" w:rsidTr="00463C30">
        <w:trPr>
          <w:gridAfter w:val="5"/>
          <w:wAfter w:w="582"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2857E65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4F2B59D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5.00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4D2156B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0.909</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1309196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4.55 </w:t>
            </w:r>
          </w:p>
        </w:tc>
      </w:tr>
      <w:tr w:rsidR="00076D53" w:rsidRPr="00C900C3" w14:paraId="4D1247A0" w14:textId="77777777" w:rsidTr="00463C30">
        <w:trPr>
          <w:gridAfter w:val="5"/>
          <w:wAfter w:w="582"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1BBE1DA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2</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678554B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010F7BF3"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0.826</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4A12C4BC"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8.26 </w:t>
            </w:r>
          </w:p>
        </w:tc>
      </w:tr>
      <w:tr w:rsidR="00076D53" w:rsidRPr="00C900C3" w14:paraId="5EBF3E05" w14:textId="77777777" w:rsidTr="00463C30">
        <w:trPr>
          <w:gridAfter w:val="5"/>
          <w:wAfter w:w="582"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5152969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3</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686749E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20.00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5D8A640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0.751</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212D37B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15.03 </w:t>
            </w:r>
          </w:p>
        </w:tc>
      </w:tr>
      <w:tr w:rsidR="00076D53" w:rsidRPr="00C900C3" w14:paraId="4E8C2609" w14:textId="77777777" w:rsidTr="00463C30">
        <w:trPr>
          <w:gridAfter w:val="5"/>
          <w:wAfter w:w="582"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69BB3E2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4</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4F4C2D1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25.00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3869C94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0.683</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4D5B9C6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17.08 </w:t>
            </w:r>
          </w:p>
        </w:tc>
      </w:tr>
      <w:tr w:rsidR="00076D53" w:rsidRPr="00C900C3" w14:paraId="6DF29F32" w14:textId="77777777" w:rsidTr="00463C30">
        <w:trPr>
          <w:gridAfter w:val="5"/>
          <w:wAfter w:w="582"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719C027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5</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09171E8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5.00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56FA89E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0.621</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6488C4C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3.10 </w:t>
            </w:r>
          </w:p>
        </w:tc>
      </w:tr>
      <w:tr w:rsidR="00076D53" w:rsidRPr="00C900C3" w14:paraId="212E1152" w14:textId="77777777" w:rsidTr="00463C30">
        <w:trPr>
          <w:gridAfter w:val="5"/>
          <w:wAfter w:w="582" w:type="pct"/>
          <w:trHeight w:val="894"/>
          <w:jc w:val="center"/>
        </w:trPr>
        <w:tc>
          <w:tcPr>
            <w:tcW w:w="2872" w:type="pct"/>
            <w:gridSpan w:val="7"/>
            <w:vMerge w:val="restart"/>
            <w:tcBorders>
              <w:top w:val="single" w:sz="4" w:space="0" w:color="000000"/>
              <w:left w:val="single" w:sz="4" w:space="0" w:color="000000"/>
              <w:bottom w:val="nil"/>
              <w:right w:val="single" w:sz="4" w:space="0" w:color="000000"/>
            </w:tcBorders>
            <w:shd w:val="clear" w:color="000000" w:fill="F2CEEF"/>
            <w:vAlign w:val="center"/>
            <w:hideMark/>
          </w:tcPr>
          <w:p w14:paraId="0FD2403F"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lastRenderedPageBreak/>
              <w:t>"Net Present Value (NPV) of Project C"</w:t>
            </w:r>
          </w:p>
        </w:tc>
        <w:tc>
          <w:tcPr>
            <w:tcW w:w="1546" w:type="pct"/>
            <w:gridSpan w:val="3"/>
            <w:vMerge w:val="restart"/>
            <w:tcBorders>
              <w:top w:val="nil"/>
              <w:left w:val="single" w:sz="4" w:space="0" w:color="000000"/>
              <w:bottom w:val="nil"/>
              <w:right w:val="single" w:sz="4" w:space="0" w:color="000000"/>
            </w:tcBorders>
            <w:shd w:val="clear" w:color="000000" w:fill="F2CEEF"/>
            <w:vAlign w:val="center"/>
            <w:hideMark/>
          </w:tcPr>
          <w:p w14:paraId="0FF766C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 xml:space="preserve">-£                              1.98 </w:t>
            </w:r>
          </w:p>
        </w:tc>
      </w:tr>
      <w:tr w:rsidR="00076D53" w:rsidRPr="00C900C3" w14:paraId="3416881C" w14:textId="77777777" w:rsidTr="00463C30">
        <w:trPr>
          <w:gridAfter w:val="4"/>
          <w:wAfter w:w="467" w:type="pct"/>
          <w:trHeight w:val="312"/>
          <w:jc w:val="center"/>
        </w:trPr>
        <w:tc>
          <w:tcPr>
            <w:tcW w:w="2872" w:type="pct"/>
            <w:gridSpan w:val="7"/>
            <w:vMerge/>
            <w:tcBorders>
              <w:top w:val="single" w:sz="4" w:space="0" w:color="000000"/>
              <w:left w:val="single" w:sz="4" w:space="0" w:color="000000"/>
              <w:bottom w:val="nil"/>
              <w:right w:val="single" w:sz="4" w:space="0" w:color="000000"/>
            </w:tcBorders>
            <w:vAlign w:val="center"/>
            <w:hideMark/>
          </w:tcPr>
          <w:p w14:paraId="7F5B3F64" w14:textId="77777777" w:rsidR="00076D53" w:rsidRPr="00C900C3" w:rsidRDefault="00076D53" w:rsidP="00076D53">
            <w:pPr>
              <w:spacing w:before="0" w:after="0" w:line="240" w:lineRule="auto"/>
              <w:jc w:val="left"/>
              <w:rPr>
                <w:rFonts w:ascii="Arial" w:hAnsi="Arial" w:cs="Arial"/>
                <w:b/>
                <w:bCs/>
                <w:color w:val="000000"/>
                <w:lang w:val="en-IN"/>
              </w:rPr>
            </w:pPr>
          </w:p>
        </w:tc>
        <w:tc>
          <w:tcPr>
            <w:tcW w:w="1546" w:type="pct"/>
            <w:gridSpan w:val="3"/>
            <w:vMerge/>
            <w:tcBorders>
              <w:top w:val="nil"/>
              <w:left w:val="single" w:sz="4" w:space="0" w:color="000000"/>
              <w:bottom w:val="nil"/>
              <w:right w:val="single" w:sz="4" w:space="0" w:color="000000"/>
            </w:tcBorders>
            <w:vAlign w:val="center"/>
            <w:hideMark/>
          </w:tcPr>
          <w:p w14:paraId="6A9BDFE7" w14:textId="77777777" w:rsidR="00076D53" w:rsidRPr="00C900C3" w:rsidRDefault="00076D53" w:rsidP="00076D53">
            <w:pPr>
              <w:spacing w:before="0" w:after="0" w:line="240" w:lineRule="auto"/>
              <w:jc w:val="left"/>
              <w:rPr>
                <w:rFonts w:ascii="Arial" w:hAnsi="Arial" w:cs="Arial"/>
                <w:b/>
                <w:bCs/>
                <w:color w:val="000000"/>
                <w:lang w:val="en-IN"/>
              </w:rPr>
            </w:pPr>
          </w:p>
        </w:tc>
        <w:tc>
          <w:tcPr>
            <w:tcW w:w="114" w:type="pct"/>
            <w:tcBorders>
              <w:top w:val="nil"/>
              <w:left w:val="nil"/>
              <w:bottom w:val="nil"/>
              <w:right w:val="nil"/>
            </w:tcBorders>
            <w:noWrap/>
            <w:vAlign w:val="bottom"/>
            <w:hideMark/>
          </w:tcPr>
          <w:p w14:paraId="78E9956E" w14:textId="77777777" w:rsidR="00076D53" w:rsidRPr="00C900C3" w:rsidRDefault="00076D53" w:rsidP="00076D53">
            <w:pPr>
              <w:spacing w:before="0" w:after="0" w:line="240" w:lineRule="auto"/>
              <w:jc w:val="center"/>
              <w:rPr>
                <w:rFonts w:ascii="Arial" w:hAnsi="Arial" w:cs="Arial"/>
                <w:b/>
                <w:bCs/>
                <w:color w:val="000000"/>
                <w:lang w:val="en-IN"/>
              </w:rPr>
            </w:pPr>
          </w:p>
        </w:tc>
      </w:tr>
      <w:tr w:rsidR="00076D53" w:rsidRPr="00C900C3" w14:paraId="2A52BDC8" w14:textId="77777777" w:rsidTr="00463C30">
        <w:trPr>
          <w:gridAfter w:val="4"/>
          <w:wAfter w:w="467" w:type="pct"/>
          <w:trHeight w:val="624"/>
          <w:jc w:val="center"/>
        </w:trPr>
        <w:tc>
          <w:tcPr>
            <w:tcW w:w="2872" w:type="pct"/>
            <w:gridSpan w:val="7"/>
            <w:tcBorders>
              <w:top w:val="single" w:sz="4" w:space="0" w:color="auto"/>
              <w:left w:val="single" w:sz="4" w:space="0" w:color="auto"/>
              <w:bottom w:val="single" w:sz="4" w:space="0" w:color="auto"/>
              <w:right w:val="single" w:sz="4" w:space="0" w:color="auto"/>
            </w:tcBorders>
            <w:shd w:val="clear" w:color="000000" w:fill="F2CEEF"/>
            <w:noWrap/>
            <w:vAlign w:val="center"/>
            <w:hideMark/>
          </w:tcPr>
          <w:p w14:paraId="5F706A6B"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"Profitability Index (PI) of Project C"</w:t>
            </w:r>
          </w:p>
        </w:tc>
        <w:tc>
          <w:tcPr>
            <w:tcW w:w="1546" w:type="pct"/>
            <w:gridSpan w:val="3"/>
            <w:tcBorders>
              <w:top w:val="single" w:sz="4" w:space="0" w:color="auto"/>
              <w:left w:val="nil"/>
              <w:bottom w:val="single" w:sz="4" w:space="0" w:color="auto"/>
              <w:right w:val="single" w:sz="4" w:space="0" w:color="auto"/>
            </w:tcBorders>
            <w:shd w:val="clear" w:color="000000" w:fill="F2CEEF"/>
            <w:noWrap/>
            <w:vAlign w:val="center"/>
            <w:hideMark/>
          </w:tcPr>
          <w:p w14:paraId="76AF7950" w14:textId="77777777" w:rsidR="00076D53" w:rsidRPr="00C900C3" w:rsidRDefault="00076D53" w:rsidP="00076D53">
            <w:pPr>
              <w:spacing w:before="0" w:after="0" w:line="240" w:lineRule="auto"/>
              <w:jc w:val="right"/>
              <w:rPr>
                <w:rFonts w:ascii="Arial" w:hAnsi="Arial" w:cs="Arial"/>
                <w:b/>
                <w:bCs/>
                <w:color w:val="000000"/>
                <w:lang w:val="en-IN"/>
              </w:rPr>
            </w:pPr>
            <w:r w:rsidRPr="00C900C3">
              <w:rPr>
                <w:rFonts w:ascii="Arial" w:hAnsi="Arial" w:cs="Arial"/>
                <w:b/>
                <w:bCs/>
                <w:color w:val="000000"/>
                <w:lang w:val="en-IN"/>
              </w:rPr>
              <w:t>1.04</w:t>
            </w:r>
          </w:p>
        </w:tc>
        <w:tc>
          <w:tcPr>
            <w:tcW w:w="114" w:type="pct"/>
            <w:vAlign w:val="center"/>
            <w:hideMark/>
          </w:tcPr>
          <w:p w14:paraId="44CDE839"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437B2550" w14:textId="77777777" w:rsidTr="00463C30">
        <w:trPr>
          <w:gridAfter w:val="4"/>
          <w:wAfter w:w="467" w:type="pct"/>
          <w:trHeight w:val="312"/>
          <w:jc w:val="center"/>
        </w:trPr>
        <w:tc>
          <w:tcPr>
            <w:tcW w:w="496" w:type="pct"/>
            <w:tcBorders>
              <w:top w:val="nil"/>
              <w:left w:val="nil"/>
              <w:bottom w:val="nil"/>
              <w:right w:val="nil"/>
            </w:tcBorders>
            <w:noWrap/>
            <w:vAlign w:val="bottom"/>
            <w:hideMark/>
          </w:tcPr>
          <w:p w14:paraId="43476AC9" w14:textId="77777777" w:rsidR="00076D53" w:rsidRPr="00C900C3" w:rsidRDefault="00076D53" w:rsidP="00076D53">
            <w:pPr>
              <w:spacing w:before="0" w:after="0" w:line="240" w:lineRule="auto"/>
              <w:jc w:val="right"/>
              <w:rPr>
                <w:rFonts w:ascii="Arial" w:hAnsi="Arial" w:cs="Arial"/>
                <w:b/>
                <w:bCs/>
                <w:color w:val="000000"/>
                <w:lang w:val="en-IN"/>
              </w:rPr>
            </w:pPr>
          </w:p>
        </w:tc>
        <w:tc>
          <w:tcPr>
            <w:tcW w:w="1074" w:type="pct"/>
            <w:gridSpan w:val="3"/>
            <w:tcBorders>
              <w:top w:val="nil"/>
              <w:left w:val="nil"/>
              <w:bottom w:val="nil"/>
              <w:right w:val="nil"/>
            </w:tcBorders>
            <w:noWrap/>
            <w:vAlign w:val="bottom"/>
            <w:hideMark/>
          </w:tcPr>
          <w:p w14:paraId="25D885A6" w14:textId="77777777" w:rsidR="00076D53" w:rsidRPr="00C900C3" w:rsidRDefault="00076D53" w:rsidP="00076D53">
            <w:pPr>
              <w:spacing w:before="0" w:after="0" w:line="240" w:lineRule="auto"/>
              <w:jc w:val="left"/>
              <w:rPr>
                <w:rFonts w:ascii="Arial" w:hAnsi="Arial" w:cs="Arial"/>
                <w:lang w:val="en-IN"/>
              </w:rPr>
            </w:pPr>
          </w:p>
        </w:tc>
        <w:tc>
          <w:tcPr>
            <w:tcW w:w="1301" w:type="pct"/>
            <w:gridSpan w:val="3"/>
            <w:tcBorders>
              <w:top w:val="nil"/>
              <w:left w:val="nil"/>
              <w:bottom w:val="nil"/>
              <w:right w:val="nil"/>
            </w:tcBorders>
            <w:noWrap/>
            <w:vAlign w:val="bottom"/>
            <w:hideMark/>
          </w:tcPr>
          <w:p w14:paraId="7E8C08F8" w14:textId="77777777" w:rsidR="00076D53" w:rsidRPr="00C900C3" w:rsidRDefault="00076D53" w:rsidP="00076D53">
            <w:pPr>
              <w:spacing w:before="0" w:after="0" w:line="240" w:lineRule="auto"/>
              <w:jc w:val="left"/>
              <w:rPr>
                <w:rFonts w:ascii="Arial" w:hAnsi="Arial" w:cs="Arial"/>
                <w:lang w:val="en-IN"/>
              </w:rPr>
            </w:pPr>
          </w:p>
        </w:tc>
        <w:tc>
          <w:tcPr>
            <w:tcW w:w="1546" w:type="pct"/>
            <w:gridSpan w:val="3"/>
            <w:tcBorders>
              <w:top w:val="nil"/>
              <w:left w:val="nil"/>
              <w:bottom w:val="nil"/>
              <w:right w:val="nil"/>
            </w:tcBorders>
            <w:noWrap/>
            <w:vAlign w:val="bottom"/>
            <w:hideMark/>
          </w:tcPr>
          <w:p w14:paraId="5D40FFDD" w14:textId="77777777" w:rsidR="00076D53" w:rsidRPr="00C900C3" w:rsidRDefault="00076D53" w:rsidP="00076D53">
            <w:pPr>
              <w:spacing w:before="0" w:after="0" w:line="240" w:lineRule="auto"/>
              <w:jc w:val="left"/>
              <w:rPr>
                <w:rFonts w:ascii="Arial" w:hAnsi="Arial" w:cs="Arial"/>
                <w:lang w:val="en-IN"/>
              </w:rPr>
            </w:pPr>
          </w:p>
        </w:tc>
        <w:tc>
          <w:tcPr>
            <w:tcW w:w="114" w:type="pct"/>
            <w:vAlign w:val="center"/>
            <w:hideMark/>
          </w:tcPr>
          <w:p w14:paraId="21A49F2C"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D9E40E0" w14:textId="77777777" w:rsidTr="00463C30">
        <w:trPr>
          <w:gridAfter w:val="4"/>
          <w:wAfter w:w="467" w:type="pct"/>
          <w:trHeight w:val="312"/>
          <w:jc w:val="center"/>
        </w:trPr>
        <w:tc>
          <w:tcPr>
            <w:tcW w:w="496"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6534F18"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"Year"</w:t>
            </w:r>
          </w:p>
        </w:tc>
        <w:tc>
          <w:tcPr>
            <w:tcW w:w="1074"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250E2E2D"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 Flow"</w:t>
            </w:r>
          </w:p>
        </w:tc>
        <w:tc>
          <w:tcPr>
            <w:tcW w:w="1301"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2C0E41C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"Present Value"</w:t>
            </w:r>
          </w:p>
        </w:tc>
        <w:tc>
          <w:tcPr>
            <w:tcW w:w="1546"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39FD2E94"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Cumulative</w:t>
            </w:r>
          </w:p>
        </w:tc>
        <w:tc>
          <w:tcPr>
            <w:tcW w:w="114" w:type="pct"/>
            <w:vAlign w:val="center"/>
            <w:hideMark/>
          </w:tcPr>
          <w:p w14:paraId="40F0B6B6"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8FD92D8" w14:textId="77777777" w:rsidTr="00463C30">
        <w:trPr>
          <w:gridAfter w:val="4"/>
          <w:wAfter w:w="467"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6B2BCCA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0A56350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283DF13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6B5C8FDE"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50.00 </w:t>
            </w:r>
          </w:p>
        </w:tc>
        <w:tc>
          <w:tcPr>
            <w:tcW w:w="114" w:type="pct"/>
            <w:vAlign w:val="center"/>
            <w:hideMark/>
          </w:tcPr>
          <w:p w14:paraId="5908284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6314871" w14:textId="77777777" w:rsidTr="00463C30">
        <w:trPr>
          <w:gridAfter w:val="4"/>
          <w:wAfter w:w="467"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22F72FA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7FEBE29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5.00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175FF12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4.55 </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56B23CA7"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45.45 </w:t>
            </w:r>
          </w:p>
        </w:tc>
        <w:tc>
          <w:tcPr>
            <w:tcW w:w="114" w:type="pct"/>
            <w:vAlign w:val="center"/>
            <w:hideMark/>
          </w:tcPr>
          <w:p w14:paraId="0ECDBF51"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46CDDA4" w14:textId="77777777" w:rsidTr="00463C30">
        <w:trPr>
          <w:gridAfter w:val="4"/>
          <w:wAfter w:w="467"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2BB4CB8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2</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51EFCD0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77999C7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8.26 </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5B13BADF"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37.19 </w:t>
            </w:r>
          </w:p>
        </w:tc>
        <w:tc>
          <w:tcPr>
            <w:tcW w:w="114" w:type="pct"/>
            <w:vAlign w:val="center"/>
            <w:hideMark/>
          </w:tcPr>
          <w:p w14:paraId="1EF4E7C9"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B7305AB" w14:textId="77777777" w:rsidTr="00463C30">
        <w:trPr>
          <w:gridAfter w:val="4"/>
          <w:wAfter w:w="467"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4F7FAB5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3</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6FDC8BA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20.00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7AE78E1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15.03 </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204205C2"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22.16 </w:t>
            </w:r>
          </w:p>
        </w:tc>
        <w:tc>
          <w:tcPr>
            <w:tcW w:w="114" w:type="pct"/>
            <w:vAlign w:val="center"/>
            <w:hideMark/>
          </w:tcPr>
          <w:p w14:paraId="1FE3A66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E6ED8F3" w14:textId="77777777" w:rsidTr="00463C30">
        <w:trPr>
          <w:gridAfter w:val="4"/>
          <w:wAfter w:w="467"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06AD6BE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4</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4612583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25.00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48CEE5C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17.08 </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44522583"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5.09 </w:t>
            </w:r>
          </w:p>
        </w:tc>
        <w:tc>
          <w:tcPr>
            <w:tcW w:w="114" w:type="pct"/>
            <w:vAlign w:val="center"/>
            <w:hideMark/>
          </w:tcPr>
          <w:p w14:paraId="1E75F619"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8C4F7B6" w14:textId="77777777" w:rsidTr="00463C30">
        <w:trPr>
          <w:gridAfter w:val="4"/>
          <w:wAfter w:w="467"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6D85C12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5</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3F4F33E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5.00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5C871D2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3.10 </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467735A4" w14:textId="77777777" w:rsidR="00076D53" w:rsidRPr="00C900C3" w:rsidRDefault="00076D53" w:rsidP="00076D53">
            <w:pPr>
              <w:spacing w:before="0" w:after="0" w:line="240" w:lineRule="auto"/>
              <w:jc w:val="left"/>
              <w:rPr>
                <w:rFonts w:ascii="Arial" w:hAnsi="Arial" w:cs="Arial"/>
                <w:color w:val="000000"/>
                <w:lang w:val="en-IN"/>
              </w:rPr>
            </w:pPr>
            <w:r w:rsidRPr="00C900C3">
              <w:rPr>
                <w:rFonts w:ascii="Arial" w:hAnsi="Arial" w:cs="Arial"/>
                <w:color w:val="000000"/>
                <w:lang w:val="en-IN"/>
              </w:rPr>
              <w:t xml:space="preserve">-£                              1.98 </w:t>
            </w:r>
          </w:p>
        </w:tc>
        <w:tc>
          <w:tcPr>
            <w:tcW w:w="114" w:type="pct"/>
            <w:vAlign w:val="center"/>
            <w:hideMark/>
          </w:tcPr>
          <w:p w14:paraId="6651BCCD"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177D301A" w14:textId="77777777" w:rsidTr="00463C30">
        <w:trPr>
          <w:gridAfter w:val="4"/>
          <w:wAfter w:w="467" w:type="pct"/>
          <w:trHeight w:val="312"/>
          <w:jc w:val="center"/>
        </w:trPr>
        <w:tc>
          <w:tcPr>
            <w:tcW w:w="2872" w:type="pct"/>
            <w:gridSpan w:val="7"/>
            <w:tcBorders>
              <w:top w:val="single" w:sz="4" w:space="0" w:color="000000"/>
              <w:left w:val="single" w:sz="4" w:space="0" w:color="000000"/>
              <w:bottom w:val="single" w:sz="4" w:space="0" w:color="000000"/>
              <w:right w:val="nil"/>
            </w:tcBorders>
            <w:shd w:val="clear" w:color="000000" w:fill="F2CEEF"/>
            <w:vAlign w:val="center"/>
            <w:hideMark/>
          </w:tcPr>
          <w:p w14:paraId="675FE8E4"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"Payback Period (PBP) of Project C"</w:t>
            </w:r>
          </w:p>
        </w:tc>
        <w:tc>
          <w:tcPr>
            <w:tcW w:w="1546" w:type="pct"/>
            <w:gridSpan w:val="3"/>
            <w:tcBorders>
              <w:top w:val="nil"/>
              <w:left w:val="single" w:sz="4" w:space="0" w:color="000000"/>
              <w:bottom w:val="single" w:sz="4" w:space="0" w:color="000000"/>
              <w:right w:val="single" w:sz="4" w:space="0" w:color="000000"/>
            </w:tcBorders>
            <w:shd w:val="clear" w:color="000000" w:fill="F2CEEF"/>
            <w:vAlign w:val="center"/>
            <w:hideMark/>
          </w:tcPr>
          <w:p w14:paraId="6576629F"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Not Recovered</w:t>
            </w:r>
          </w:p>
        </w:tc>
        <w:tc>
          <w:tcPr>
            <w:tcW w:w="114" w:type="pct"/>
            <w:vAlign w:val="center"/>
            <w:hideMark/>
          </w:tcPr>
          <w:p w14:paraId="09B247E7"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4CE746BB" w14:textId="77777777" w:rsidTr="00463C30">
        <w:trPr>
          <w:gridAfter w:val="4"/>
          <w:wAfter w:w="467" w:type="pct"/>
          <w:trHeight w:val="312"/>
          <w:jc w:val="center"/>
        </w:trPr>
        <w:tc>
          <w:tcPr>
            <w:tcW w:w="496" w:type="pct"/>
            <w:tcBorders>
              <w:top w:val="nil"/>
              <w:left w:val="nil"/>
              <w:bottom w:val="nil"/>
              <w:right w:val="nil"/>
            </w:tcBorders>
            <w:noWrap/>
            <w:vAlign w:val="bottom"/>
            <w:hideMark/>
          </w:tcPr>
          <w:p w14:paraId="38AB1E5A" w14:textId="77777777" w:rsidR="00076D53" w:rsidRPr="00C900C3" w:rsidRDefault="00076D53" w:rsidP="00076D53">
            <w:pPr>
              <w:spacing w:before="0" w:after="0" w:line="240" w:lineRule="auto"/>
              <w:jc w:val="center"/>
              <w:rPr>
                <w:rFonts w:ascii="Arial" w:hAnsi="Arial" w:cs="Arial"/>
                <w:b/>
                <w:bCs/>
                <w:color w:val="000000"/>
                <w:lang w:val="en-IN"/>
              </w:rPr>
            </w:pPr>
          </w:p>
        </w:tc>
        <w:tc>
          <w:tcPr>
            <w:tcW w:w="1074" w:type="pct"/>
            <w:gridSpan w:val="3"/>
            <w:tcBorders>
              <w:top w:val="nil"/>
              <w:left w:val="nil"/>
              <w:bottom w:val="nil"/>
              <w:right w:val="nil"/>
            </w:tcBorders>
            <w:noWrap/>
            <w:vAlign w:val="bottom"/>
            <w:hideMark/>
          </w:tcPr>
          <w:p w14:paraId="17B8326C" w14:textId="77777777" w:rsidR="00076D53" w:rsidRPr="00C900C3" w:rsidRDefault="00076D53" w:rsidP="00076D53">
            <w:pPr>
              <w:spacing w:before="0" w:after="0" w:line="240" w:lineRule="auto"/>
              <w:jc w:val="left"/>
              <w:rPr>
                <w:rFonts w:ascii="Arial" w:hAnsi="Arial" w:cs="Arial"/>
                <w:lang w:val="en-IN"/>
              </w:rPr>
            </w:pPr>
          </w:p>
        </w:tc>
        <w:tc>
          <w:tcPr>
            <w:tcW w:w="1301" w:type="pct"/>
            <w:gridSpan w:val="3"/>
            <w:tcBorders>
              <w:top w:val="nil"/>
              <w:left w:val="nil"/>
              <w:bottom w:val="nil"/>
              <w:right w:val="nil"/>
            </w:tcBorders>
            <w:noWrap/>
            <w:vAlign w:val="bottom"/>
            <w:hideMark/>
          </w:tcPr>
          <w:p w14:paraId="107316E7" w14:textId="77777777" w:rsidR="00076D53" w:rsidRPr="00C900C3" w:rsidRDefault="00076D53" w:rsidP="00076D53">
            <w:pPr>
              <w:spacing w:before="0" w:after="0" w:line="240" w:lineRule="auto"/>
              <w:jc w:val="left"/>
              <w:rPr>
                <w:rFonts w:ascii="Arial" w:hAnsi="Arial" w:cs="Arial"/>
                <w:lang w:val="en-IN"/>
              </w:rPr>
            </w:pPr>
          </w:p>
        </w:tc>
        <w:tc>
          <w:tcPr>
            <w:tcW w:w="1546" w:type="pct"/>
            <w:gridSpan w:val="3"/>
            <w:tcBorders>
              <w:top w:val="nil"/>
              <w:left w:val="nil"/>
              <w:bottom w:val="nil"/>
              <w:right w:val="nil"/>
            </w:tcBorders>
            <w:noWrap/>
            <w:vAlign w:val="bottom"/>
            <w:hideMark/>
          </w:tcPr>
          <w:p w14:paraId="2A426234" w14:textId="77777777" w:rsidR="00076D53" w:rsidRPr="00C900C3" w:rsidRDefault="00076D53" w:rsidP="00076D53">
            <w:pPr>
              <w:spacing w:before="0" w:after="0" w:line="240" w:lineRule="auto"/>
              <w:jc w:val="left"/>
              <w:rPr>
                <w:rFonts w:ascii="Arial" w:hAnsi="Arial" w:cs="Arial"/>
                <w:lang w:val="en-IN"/>
              </w:rPr>
            </w:pPr>
          </w:p>
        </w:tc>
        <w:tc>
          <w:tcPr>
            <w:tcW w:w="114" w:type="pct"/>
            <w:vAlign w:val="center"/>
            <w:hideMark/>
          </w:tcPr>
          <w:p w14:paraId="4FBE26E7"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CEE3A33" w14:textId="77777777" w:rsidTr="00463C30">
        <w:trPr>
          <w:gridAfter w:val="4"/>
          <w:wAfter w:w="467" w:type="pct"/>
          <w:trHeight w:val="624"/>
          <w:jc w:val="center"/>
        </w:trPr>
        <w:tc>
          <w:tcPr>
            <w:tcW w:w="496"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F915377"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Year</w:t>
            </w:r>
          </w:p>
        </w:tc>
        <w:tc>
          <w:tcPr>
            <w:tcW w:w="1074"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653BECC5"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Cashflow</w:t>
            </w:r>
          </w:p>
        </w:tc>
        <w:tc>
          <w:tcPr>
            <w:tcW w:w="1301"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46F73B06"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"Discounting Factor @10%"</w:t>
            </w:r>
          </w:p>
        </w:tc>
        <w:tc>
          <w:tcPr>
            <w:tcW w:w="1546" w:type="pct"/>
            <w:gridSpan w:val="3"/>
            <w:tcBorders>
              <w:top w:val="single" w:sz="4" w:space="0" w:color="000000"/>
              <w:left w:val="nil"/>
              <w:bottom w:val="single" w:sz="4" w:space="0" w:color="000000"/>
              <w:right w:val="single" w:sz="4" w:space="0" w:color="000000"/>
            </w:tcBorders>
            <w:shd w:val="clear" w:color="000000" w:fill="FFFFFF"/>
            <w:vAlign w:val="center"/>
            <w:hideMark/>
          </w:tcPr>
          <w:p w14:paraId="15A03FE1"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Present value</w:t>
            </w:r>
          </w:p>
        </w:tc>
        <w:tc>
          <w:tcPr>
            <w:tcW w:w="114" w:type="pct"/>
            <w:vAlign w:val="center"/>
            <w:hideMark/>
          </w:tcPr>
          <w:p w14:paraId="3FBF676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CD78715" w14:textId="77777777" w:rsidTr="00463C30">
        <w:trPr>
          <w:gridAfter w:val="4"/>
          <w:wAfter w:w="467"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4A3B8C5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6982FEC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6175F69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1.000</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0581927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14" w:type="pct"/>
            <w:vAlign w:val="center"/>
            <w:hideMark/>
          </w:tcPr>
          <w:p w14:paraId="56DD8F83"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B6723CE" w14:textId="77777777" w:rsidTr="00463C30">
        <w:trPr>
          <w:gridAfter w:val="4"/>
          <w:wAfter w:w="467"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4365F91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3A118D4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5.00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4E65667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0.909</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231880E7"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4.55 </w:t>
            </w:r>
          </w:p>
        </w:tc>
        <w:tc>
          <w:tcPr>
            <w:tcW w:w="114" w:type="pct"/>
            <w:vAlign w:val="center"/>
            <w:hideMark/>
          </w:tcPr>
          <w:p w14:paraId="7E15F50E"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ECA92E6" w14:textId="77777777" w:rsidTr="00463C30">
        <w:trPr>
          <w:gridAfter w:val="4"/>
          <w:wAfter w:w="467"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2ED56A4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2</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4C5B1AD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5E212C9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0.826</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39B8036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8.26 </w:t>
            </w:r>
          </w:p>
        </w:tc>
        <w:tc>
          <w:tcPr>
            <w:tcW w:w="114" w:type="pct"/>
            <w:vAlign w:val="center"/>
            <w:hideMark/>
          </w:tcPr>
          <w:p w14:paraId="6366835E"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2CFB0FA" w14:textId="77777777" w:rsidTr="00463C30">
        <w:trPr>
          <w:gridAfter w:val="4"/>
          <w:wAfter w:w="467"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6C72750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3</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7E00173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20.00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648736BA"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0.751</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324B5BC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15.03 </w:t>
            </w:r>
          </w:p>
        </w:tc>
        <w:tc>
          <w:tcPr>
            <w:tcW w:w="114" w:type="pct"/>
            <w:vAlign w:val="center"/>
            <w:hideMark/>
          </w:tcPr>
          <w:p w14:paraId="100BE152"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40BA65BC" w14:textId="77777777" w:rsidTr="00463C30">
        <w:trPr>
          <w:gridAfter w:val="4"/>
          <w:wAfter w:w="467"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64C5246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4</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7A12B5D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25.00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3AD625C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0.683</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44746A7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17.08 </w:t>
            </w:r>
          </w:p>
        </w:tc>
        <w:tc>
          <w:tcPr>
            <w:tcW w:w="114" w:type="pct"/>
            <w:vAlign w:val="center"/>
            <w:hideMark/>
          </w:tcPr>
          <w:p w14:paraId="4124ED8F"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8F6262A" w14:textId="77777777" w:rsidTr="00463C30">
        <w:trPr>
          <w:gridAfter w:val="4"/>
          <w:wAfter w:w="467" w:type="pct"/>
          <w:trHeight w:val="312"/>
          <w:jc w:val="center"/>
        </w:trPr>
        <w:tc>
          <w:tcPr>
            <w:tcW w:w="496" w:type="pct"/>
            <w:tcBorders>
              <w:top w:val="nil"/>
              <w:left w:val="single" w:sz="4" w:space="0" w:color="000000"/>
              <w:bottom w:val="single" w:sz="4" w:space="0" w:color="000000"/>
              <w:right w:val="single" w:sz="4" w:space="0" w:color="000000"/>
            </w:tcBorders>
            <w:shd w:val="clear" w:color="000000" w:fill="F2CEEF"/>
            <w:noWrap/>
            <w:vAlign w:val="bottom"/>
            <w:hideMark/>
          </w:tcPr>
          <w:p w14:paraId="49DDAE8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5</w:t>
            </w:r>
          </w:p>
        </w:tc>
        <w:tc>
          <w:tcPr>
            <w:tcW w:w="1074" w:type="pct"/>
            <w:gridSpan w:val="3"/>
            <w:tcBorders>
              <w:top w:val="nil"/>
              <w:left w:val="nil"/>
              <w:bottom w:val="single" w:sz="4" w:space="0" w:color="000000"/>
              <w:right w:val="single" w:sz="4" w:space="0" w:color="000000"/>
            </w:tcBorders>
            <w:shd w:val="clear" w:color="000000" w:fill="F2CEEF"/>
            <w:noWrap/>
            <w:vAlign w:val="bottom"/>
            <w:hideMark/>
          </w:tcPr>
          <w:p w14:paraId="587CFA4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5.00 </w:t>
            </w:r>
          </w:p>
        </w:tc>
        <w:tc>
          <w:tcPr>
            <w:tcW w:w="1301" w:type="pct"/>
            <w:gridSpan w:val="3"/>
            <w:tcBorders>
              <w:top w:val="nil"/>
              <w:left w:val="nil"/>
              <w:bottom w:val="single" w:sz="4" w:space="0" w:color="000000"/>
              <w:right w:val="single" w:sz="4" w:space="0" w:color="000000"/>
            </w:tcBorders>
            <w:shd w:val="clear" w:color="000000" w:fill="F2CEEF"/>
            <w:noWrap/>
            <w:vAlign w:val="bottom"/>
            <w:hideMark/>
          </w:tcPr>
          <w:p w14:paraId="4D999CE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0.621</w:t>
            </w:r>
          </w:p>
        </w:tc>
        <w:tc>
          <w:tcPr>
            <w:tcW w:w="1546" w:type="pct"/>
            <w:gridSpan w:val="3"/>
            <w:tcBorders>
              <w:top w:val="nil"/>
              <w:left w:val="nil"/>
              <w:bottom w:val="single" w:sz="4" w:space="0" w:color="000000"/>
              <w:right w:val="single" w:sz="4" w:space="0" w:color="000000"/>
            </w:tcBorders>
            <w:shd w:val="clear" w:color="000000" w:fill="F2CEEF"/>
            <w:noWrap/>
            <w:vAlign w:val="bottom"/>
            <w:hideMark/>
          </w:tcPr>
          <w:p w14:paraId="19261FF8"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3.10 </w:t>
            </w:r>
          </w:p>
        </w:tc>
        <w:tc>
          <w:tcPr>
            <w:tcW w:w="114" w:type="pct"/>
            <w:vAlign w:val="center"/>
            <w:hideMark/>
          </w:tcPr>
          <w:p w14:paraId="66A527D6"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4C21AE18" w14:textId="77777777" w:rsidTr="00463C30">
        <w:trPr>
          <w:gridAfter w:val="4"/>
          <w:wAfter w:w="467" w:type="pct"/>
          <w:trHeight w:val="312"/>
          <w:jc w:val="center"/>
        </w:trPr>
        <w:tc>
          <w:tcPr>
            <w:tcW w:w="2872" w:type="pct"/>
            <w:gridSpan w:val="7"/>
            <w:tcBorders>
              <w:top w:val="single" w:sz="4" w:space="0" w:color="000000"/>
              <w:left w:val="single" w:sz="4" w:space="0" w:color="000000"/>
              <w:bottom w:val="single" w:sz="4" w:space="0" w:color="000000"/>
              <w:right w:val="single" w:sz="4" w:space="0" w:color="000000"/>
            </w:tcBorders>
            <w:shd w:val="clear" w:color="000000" w:fill="F2CEEF"/>
            <w:vAlign w:val="center"/>
            <w:hideMark/>
          </w:tcPr>
          <w:p w14:paraId="462308E7"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"Internal Rate of Return (IRR) of Project C"</w:t>
            </w:r>
          </w:p>
        </w:tc>
        <w:tc>
          <w:tcPr>
            <w:tcW w:w="1546" w:type="pct"/>
            <w:gridSpan w:val="3"/>
            <w:tcBorders>
              <w:top w:val="nil"/>
              <w:left w:val="nil"/>
              <w:bottom w:val="single" w:sz="4" w:space="0" w:color="000000"/>
              <w:right w:val="single" w:sz="4" w:space="0" w:color="000000"/>
            </w:tcBorders>
            <w:shd w:val="clear" w:color="000000" w:fill="F2CEEF"/>
            <w:vAlign w:val="center"/>
            <w:hideMark/>
          </w:tcPr>
          <w:p w14:paraId="4919521F"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8.59%</w:t>
            </w:r>
          </w:p>
        </w:tc>
        <w:tc>
          <w:tcPr>
            <w:tcW w:w="114" w:type="pct"/>
            <w:vAlign w:val="center"/>
            <w:hideMark/>
          </w:tcPr>
          <w:p w14:paraId="6B703EAF"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E989123" w14:textId="77777777" w:rsidTr="00463C30">
        <w:trPr>
          <w:gridAfter w:val="4"/>
          <w:wAfter w:w="467" w:type="pct"/>
          <w:trHeight w:val="312"/>
          <w:jc w:val="center"/>
        </w:trPr>
        <w:tc>
          <w:tcPr>
            <w:tcW w:w="496" w:type="pct"/>
            <w:tcBorders>
              <w:top w:val="nil"/>
              <w:left w:val="nil"/>
              <w:bottom w:val="nil"/>
              <w:right w:val="nil"/>
            </w:tcBorders>
            <w:noWrap/>
            <w:vAlign w:val="bottom"/>
            <w:hideMark/>
          </w:tcPr>
          <w:p w14:paraId="4320A590" w14:textId="77777777" w:rsidR="00076D53" w:rsidRPr="00C900C3" w:rsidRDefault="00076D53" w:rsidP="00076D53">
            <w:pPr>
              <w:spacing w:before="0" w:after="0" w:line="240" w:lineRule="auto"/>
              <w:jc w:val="center"/>
              <w:rPr>
                <w:rFonts w:ascii="Arial" w:hAnsi="Arial" w:cs="Arial"/>
                <w:b/>
                <w:bCs/>
                <w:color w:val="000000"/>
                <w:lang w:val="en-IN"/>
              </w:rPr>
            </w:pPr>
          </w:p>
        </w:tc>
        <w:tc>
          <w:tcPr>
            <w:tcW w:w="1074" w:type="pct"/>
            <w:gridSpan w:val="3"/>
            <w:tcBorders>
              <w:top w:val="nil"/>
              <w:left w:val="nil"/>
              <w:bottom w:val="nil"/>
              <w:right w:val="nil"/>
            </w:tcBorders>
            <w:noWrap/>
            <w:vAlign w:val="bottom"/>
            <w:hideMark/>
          </w:tcPr>
          <w:p w14:paraId="567C4CCB" w14:textId="77777777" w:rsidR="00076D53" w:rsidRPr="00C900C3" w:rsidRDefault="00076D53" w:rsidP="00076D53">
            <w:pPr>
              <w:spacing w:before="0" w:after="0" w:line="240" w:lineRule="auto"/>
              <w:jc w:val="left"/>
              <w:rPr>
                <w:rFonts w:ascii="Arial" w:hAnsi="Arial" w:cs="Arial"/>
                <w:lang w:val="en-IN"/>
              </w:rPr>
            </w:pPr>
          </w:p>
        </w:tc>
        <w:tc>
          <w:tcPr>
            <w:tcW w:w="1301" w:type="pct"/>
            <w:gridSpan w:val="3"/>
            <w:tcBorders>
              <w:top w:val="nil"/>
              <w:left w:val="nil"/>
              <w:bottom w:val="nil"/>
              <w:right w:val="nil"/>
            </w:tcBorders>
            <w:noWrap/>
            <w:vAlign w:val="bottom"/>
            <w:hideMark/>
          </w:tcPr>
          <w:p w14:paraId="799AEC85" w14:textId="77777777" w:rsidR="00076D53" w:rsidRPr="00C900C3" w:rsidRDefault="00076D53" w:rsidP="00076D53">
            <w:pPr>
              <w:spacing w:before="0" w:after="0" w:line="240" w:lineRule="auto"/>
              <w:jc w:val="left"/>
              <w:rPr>
                <w:rFonts w:ascii="Arial" w:hAnsi="Arial" w:cs="Arial"/>
                <w:lang w:val="en-IN"/>
              </w:rPr>
            </w:pPr>
          </w:p>
        </w:tc>
        <w:tc>
          <w:tcPr>
            <w:tcW w:w="1546" w:type="pct"/>
            <w:gridSpan w:val="3"/>
            <w:tcBorders>
              <w:top w:val="nil"/>
              <w:left w:val="nil"/>
              <w:bottom w:val="nil"/>
              <w:right w:val="nil"/>
            </w:tcBorders>
            <w:noWrap/>
            <w:vAlign w:val="bottom"/>
            <w:hideMark/>
          </w:tcPr>
          <w:p w14:paraId="4770B648" w14:textId="77777777" w:rsidR="00076D53" w:rsidRPr="00C900C3" w:rsidRDefault="00076D53" w:rsidP="00076D53">
            <w:pPr>
              <w:spacing w:before="0" w:after="0" w:line="240" w:lineRule="auto"/>
              <w:jc w:val="left"/>
              <w:rPr>
                <w:rFonts w:ascii="Arial" w:hAnsi="Arial" w:cs="Arial"/>
                <w:lang w:val="en-IN"/>
              </w:rPr>
            </w:pPr>
          </w:p>
        </w:tc>
        <w:tc>
          <w:tcPr>
            <w:tcW w:w="114" w:type="pct"/>
            <w:vAlign w:val="center"/>
            <w:hideMark/>
          </w:tcPr>
          <w:p w14:paraId="4A0DCDAF"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FFC2854" w14:textId="77777777" w:rsidTr="00463C30">
        <w:trPr>
          <w:gridAfter w:val="4"/>
          <w:wAfter w:w="467" w:type="pct"/>
          <w:trHeight w:val="312"/>
          <w:jc w:val="center"/>
        </w:trPr>
        <w:tc>
          <w:tcPr>
            <w:tcW w:w="496" w:type="pct"/>
            <w:tcBorders>
              <w:top w:val="nil"/>
              <w:left w:val="nil"/>
              <w:bottom w:val="nil"/>
              <w:right w:val="nil"/>
            </w:tcBorders>
            <w:noWrap/>
            <w:vAlign w:val="bottom"/>
            <w:hideMark/>
          </w:tcPr>
          <w:p w14:paraId="0E04A809" w14:textId="77777777" w:rsidR="00076D53" w:rsidRPr="00C900C3" w:rsidRDefault="00076D53" w:rsidP="00076D53">
            <w:pPr>
              <w:spacing w:before="0" w:after="0" w:line="240" w:lineRule="auto"/>
              <w:jc w:val="left"/>
              <w:rPr>
                <w:rFonts w:ascii="Arial" w:hAnsi="Arial" w:cs="Arial"/>
                <w:lang w:val="en-IN"/>
              </w:rPr>
            </w:pPr>
          </w:p>
        </w:tc>
        <w:tc>
          <w:tcPr>
            <w:tcW w:w="1074" w:type="pct"/>
            <w:gridSpan w:val="3"/>
            <w:tcBorders>
              <w:top w:val="nil"/>
              <w:left w:val="nil"/>
              <w:bottom w:val="nil"/>
              <w:right w:val="nil"/>
            </w:tcBorders>
            <w:noWrap/>
            <w:vAlign w:val="bottom"/>
            <w:hideMark/>
          </w:tcPr>
          <w:p w14:paraId="63AF1D36" w14:textId="77777777" w:rsidR="00076D53" w:rsidRPr="00C900C3" w:rsidRDefault="00076D53" w:rsidP="00076D53">
            <w:pPr>
              <w:spacing w:before="0" w:after="0" w:line="240" w:lineRule="auto"/>
              <w:jc w:val="left"/>
              <w:rPr>
                <w:rFonts w:ascii="Arial" w:hAnsi="Arial" w:cs="Arial"/>
                <w:lang w:val="en-IN"/>
              </w:rPr>
            </w:pPr>
          </w:p>
        </w:tc>
        <w:tc>
          <w:tcPr>
            <w:tcW w:w="1301" w:type="pct"/>
            <w:gridSpan w:val="3"/>
            <w:tcBorders>
              <w:top w:val="nil"/>
              <w:left w:val="nil"/>
              <w:bottom w:val="nil"/>
              <w:right w:val="nil"/>
            </w:tcBorders>
            <w:noWrap/>
            <w:vAlign w:val="bottom"/>
            <w:hideMark/>
          </w:tcPr>
          <w:p w14:paraId="50008672" w14:textId="77777777" w:rsidR="00076D53" w:rsidRPr="00C900C3" w:rsidRDefault="00076D53" w:rsidP="00076D53">
            <w:pPr>
              <w:spacing w:before="0" w:after="0" w:line="240" w:lineRule="auto"/>
              <w:jc w:val="left"/>
              <w:rPr>
                <w:rFonts w:ascii="Arial" w:hAnsi="Arial" w:cs="Arial"/>
                <w:lang w:val="en-IN"/>
              </w:rPr>
            </w:pPr>
          </w:p>
        </w:tc>
        <w:tc>
          <w:tcPr>
            <w:tcW w:w="1546" w:type="pct"/>
            <w:gridSpan w:val="3"/>
            <w:tcBorders>
              <w:top w:val="nil"/>
              <w:left w:val="nil"/>
              <w:bottom w:val="nil"/>
              <w:right w:val="nil"/>
            </w:tcBorders>
            <w:noWrap/>
            <w:vAlign w:val="bottom"/>
            <w:hideMark/>
          </w:tcPr>
          <w:p w14:paraId="3F32977C" w14:textId="77777777" w:rsidR="00076D53" w:rsidRPr="00C900C3" w:rsidRDefault="00076D53" w:rsidP="00076D53">
            <w:pPr>
              <w:spacing w:before="0" w:after="0" w:line="240" w:lineRule="auto"/>
              <w:jc w:val="left"/>
              <w:rPr>
                <w:rFonts w:ascii="Arial" w:hAnsi="Arial" w:cs="Arial"/>
                <w:lang w:val="en-IN"/>
              </w:rPr>
            </w:pPr>
          </w:p>
        </w:tc>
        <w:tc>
          <w:tcPr>
            <w:tcW w:w="114" w:type="pct"/>
            <w:vAlign w:val="center"/>
            <w:hideMark/>
          </w:tcPr>
          <w:p w14:paraId="12EA423F"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067CCDC4" w14:textId="77777777" w:rsidTr="00463C30">
        <w:trPr>
          <w:gridAfter w:val="4"/>
          <w:wAfter w:w="467" w:type="pct"/>
          <w:trHeight w:val="312"/>
          <w:jc w:val="center"/>
        </w:trPr>
        <w:tc>
          <w:tcPr>
            <w:tcW w:w="49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7A3F642"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"Year"</w:t>
            </w:r>
          </w:p>
        </w:tc>
        <w:tc>
          <w:tcPr>
            <w:tcW w:w="1074" w:type="pct"/>
            <w:gridSpan w:val="3"/>
            <w:tcBorders>
              <w:top w:val="single" w:sz="4" w:space="0" w:color="auto"/>
              <w:left w:val="nil"/>
              <w:bottom w:val="single" w:sz="4" w:space="0" w:color="auto"/>
              <w:right w:val="single" w:sz="4" w:space="0" w:color="auto"/>
            </w:tcBorders>
            <w:shd w:val="clear" w:color="000000" w:fill="FFFFFF"/>
            <w:vAlign w:val="center"/>
            <w:hideMark/>
          </w:tcPr>
          <w:p w14:paraId="782B1059"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"Cash Flow"</w:t>
            </w:r>
          </w:p>
        </w:tc>
        <w:tc>
          <w:tcPr>
            <w:tcW w:w="1301" w:type="pct"/>
            <w:gridSpan w:val="3"/>
            <w:tcBorders>
              <w:top w:val="single" w:sz="4" w:space="0" w:color="auto"/>
              <w:left w:val="nil"/>
              <w:bottom w:val="single" w:sz="4" w:space="0" w:color="auto"/>
              <w:right w:val="single" w:sz="4" w:space="0" w:color="auto"/>
            </w:tcBorders>
            <w:shd w:val="clear" w:color="000000" w:fill="FFFFFF"/>
            <w:vAlign w:val="center"/>
            <w:hideMark/>
          </w:tcPr>
          <w:p w14:paraId="271F2663"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 xml:space="preserve">"Depreciation" </w:t>
            </w:r>
          </w:p>
        </w:tc>
        <w:tc>
          <w:tcPr>
            <w:tcW w:w="1546" w:type="pct"/>
            <w:gridSpan w:val="3"/>
            <w:tcBorders>
              <w:top w:val="single" w:sz="4" w:space="0" w:color="auto"/>
              <w:left w:val="nil"/>
              <w:bottom w:val="single" w:sz="4" w:space="0" w:color="auto"/>
              <w:right w:val="single" w:sz="4" w:space="0" w:color="auto"/>
            </w:tcBorders>
            <w:shd w:val="clear" w:color="000000" w:fill="FFFFFF"/>
            <w:vAlign w:val="center"/>
            <w:hideMark/>
          </w:tcPr>
          <w:p w14:paraId="711067C6"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"Present Value"</w:t>
            </w:r>
          </w:p>
        </w:tc>
        <w:tc>
          <w:tcPr>
            <w:tcW w:w="114" w:type="pct"/>
            <w:vAlign w:val="center"/>
            <w:hideMark/>
          </w:tcPr>
          <w:p w14:paraId="1D69FF88"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ACA1A9F" w14:textId="77777777" w:rsidTr="00463C30">
        <w:trPr>
          <w:gridAfter w:val="4"/>
          <w:wAfter w:w="467" w:type="pct"/>
          <w:trHeight w:val="312"/>
          <w:jc w:val="center"/>
        </w:trPr>
        <w:tc>
          <w:tcPr>
            <w:tcW w:w="496" w:type="pct"/>
            <w:tcBorders>
              <w:top w:val="nil"/>
              <w:left w:val="single" w:sz="4" w:space="0" w:color="auto"/>
              <w:bottom w:val="single" w:sz="4" w:space="0" w:color="auto"/>
              <w:right w:val="single" w:sz="4" w:space="0" w:color="auto"/>
            </w:tcBorders>
            <w:shd w:val="clear" w:color="000000" w:fill="F2CEEF"/>
            <w:noWrap/>
            <w:vAlign w:val="center"/>
            <w:hideMark/>
          </w:tcPr>
          <w:p w14:paraId="7CEE850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0</w:t>
            </w:r>
          </w:p>
        </w:tc>
        <w:tc>
          <w:tcPr>
            <w:tcW w:w="1074" w:type="pct"/>
            <w:gridSpan w:val="3"/>
            <w:tcBorders>
              <w:top w:val="nil"/>
              <w:left w:val="nil"/>
              <w:bottom w:val="single" w:sz="4" w:space="0" w:color="auto"/>
              <w:right w:val="single" w:sz="4" w:space="0" w:color="auto"/>
            </w:tcBorders>
            <w:shd w:val="clear" w:color="000000" w:fill="F2CEEF"/>
            <w:noWrap/>
            <w:vAlign w:val="center"/>
            <w:hideMark/>
          </w:tcPr>
          <w:p w14:paraId="65718F6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301" w:type="pct"/>
            <w:gridSpan w:val="3"/>
            <w:tcBorders>
              <w:top w:val="nil"/>
              <w:left w:val="nil"/>
              <w:bottom w:val="single" w:sz="4" w:space="0" w:color="auto"/>
              <w:right w:val="single" w:sz="4" w:space="0" w:color="auto"/>
            </w:tcBorders>
            <w:shd w:val="clear" w:color="000000" w:fill="F2CEEF"/>
            <w:noWrap/>
            <w:vAlign w:val="center"/>
            <w:hideMark/>
          </w:tcPr>
          <w:p w14:paraId="5096DE4C"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0.00</w:t>
            </w:r>
          </w:p>
        </w:tc>
        <w:tc>
          <w:tcPr>
            <w:tcW w:w="1546" w:type="pct"/>
            <w:gridSpan w:val="3"/>
            <w:tcBorders>
              <w:top w:val="nil"/>
              <w:left w:val="nil"/>
              <w:bottom w:val="single" w:sz="4" w:space="0" w:color="auto"/>
              <w:right w:val="single" w:sz="4" w:space="0" w:color="auto"/>
            </w:tcBorders>
            <w:shd w:val="clear" w:color="000000" w:fill="F2CEEF"/>
            <w:noWrap/>
            <w:vAlign w:val="center"/>
            <w:hideMark/>
          </w:tcPr>
          <w:p w14:paraId="46DAE3D3"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50.00 </w:t>
            </w:r>
          </w:p>
        </w:tc>
        <w:tc>
          <w:tcPr>
            <w:tcW w:w="114" w:type="pct"/>
            <w:vAlign w:val="center"/>
            <w:hideMark/>
          </w:tcPr>
          <w:p w14:paraId="5662E3CD"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276854BD" w14:textId="77777777" w:rsidTr="00463C30">
        <w:trPr>
          <w:gridAfter w:val="4"/>
          <w:wAfter w:w="467" w:type="pct"/>
          <w:trHeight w:val="312"/>
          <w:jc w:val="center"/>
        </w:trPr>
        <w:tc>
          <w:tcPr>
            <w:tcW w:w="496" w:type="pct"/>
            <w:tcBorders>
              <w:top w:val="nil"/>
              <w:left w:val="single" w:sz="4" w:space="0" w:color="auto"/>
              <w:bottom w:val="single" w:sz="4" w:space="0" w:color="auto"/>
              <w:right w:val="single" w:sz="4" w:space="0" w:color="auto"/>
            </w:tcBorders>
            <w:shd w:val="clear" w:color="000000" w:fill="F2CEEF"/>
            <w:noWrap/>
            <w:vAlign w:val="center"/>
            <w:hideMark/>
          </w:tcPr>
          <w:p w14:paraId="266C15DD"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1</w:t>
            </w:r>
          </w:p>
        </w:tc>
        <w:tc>
          <w:tcPr>
            <w:tcW w:w="1074" w:type="pct"/>
            <w:gridSpan w:val="3"/>
            <w:tcBorders>
              <w:top w:val="nil"/>
              <w:left w:val="nil"/>
              <w:bottom w:val="single" w:sz="4" w:space="0" w:color="auto"/>
              <w:right w:val="single" w:sz="4" w:space="0" w:color="auto"/>
            </w:tcBorders>
            <w:shd w:val="clear" w:color="000000" w:fill="F2CEEF"/>
            <w:noWrap/>
            <w:vAlign w:val="center"/>
            <w:hideMark/>
          </w:tcPr>
          <w:p w14:paraId="1B8F796F"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5.00 </w:t>
            </w:r>
          </w:p>
        </w:tc>
        <w:tc>
          <w:tcPr>
            <w:tcW w:w="1301" w:type="pct"/>
            <w:gridSpan w:val="3"/>
            <w:tcBorders>
              <w:top w:val="nil"/>
              <w:left w:val="nil"/>
              <w:bottom w:val="single" w:sz="4" w:space="0" w:color="auto"/>
              <w:right w:val="single" w:sz="4" w:space="0" w:color="auto"/>
            </w:tcBorders>
            <w:shd w:val="clear" w:color="000000" w:fill="F2CEEF"/>
            <w:noWrap/>
            <w:vAlign w:val="center"/>
            <w:hideMark/>
          </w:tcPr>
          <w:p w14:paraId="6A324900"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1546" w:type="pct"/>
            <w:gridSpan w:val="3"/>
            <w:tcBorders>
              <w:top w:val="nil"/>
              <w:left w:val="nil"/>
              <w:bottom w:val="single" w:sz="4" w:space="0" w:color="auto"/>
              <w:right w:val="single" w:sz="4" w:space="0" w:color="auto"/>
            </w:tcBorders>
            <w:shd w:val="clear" w:color="000000" w:fill="F2CEEF"/>
            <w:noWrap/>
            <w:vAlign w:val="center"/>
            <w:hideMark/>
          </w:tcPr>
          <w:p w14:paraId="26276F4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 </w:t>
            </w:r>
          </w:p>
        </w:tc>
        <w:tc>
          <w:tcPr>
            <w:tcW w:w="114" w:type="pct"/>
            <w:vAlign w:val="center"/>
            <w:hideMark/>
          </w:tcPr>
          <w:p w14:paraId="51E3B37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7E0A675C" w14:textId="77777777" w:rsidTr="00463C30">
        <w:trPr>
          <w:gridAfter w:val="4"/>
          <w:wAfter w:w="467" w:type="pct"/>
          <w:trHeight w:val="312"/>
          <w:jc w:val="center"/>
        </w:trPr>
        <w:tc>
          <w:tcPr>
            <w:tcW w:w="496" w:type="pct"/>
            <w:tcBorders>
              <w:top w:val="nil"/>
              <w:left w:val="single" w:sz="4" w:space="0" w:color="auto"/>
              <w:bottom w:val="single" w:sz="4" w:space="0" w:color="auto"/>
              <w:right w:val="single" w:sz="4" w:space="0" w:color="auto"/>
            </w:tcBorders>
            <w:shd w:val="clear" w:color="000000" w:fill="F2CEEF"/>
            <w:noWrap/>
            <w:vAlign w:val="center"/>
            <w:hideMark/>
          </w:tcPr>
          <w:p w14:paraId="6887AA34"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lastRenderedPageBreak/>
              <w:t>2</w:t>
            </w:r>
          </w:p>
        </w:tc>
        <w:tc>
          <w:tcPr>
            <w:tcW w:w="1074" w:type="pct"/>
            <w:gridSpan w:val="3"/>
            <w:tcBorders>
              <w:top w:val="nil"/>
              <w:left w:val="nil"/>
              <w:bottom w:val="single" w:sz="4" w:space="0" w:color="auto"/>
              <w:right w:val="single" w:sz="4" w:space="0" w:color="auto"/>
            </w:tcBorders>
            <w:shd w:val="clear" w:color="000000" w:fill="F2CEEF"/>
            <w:noWrap/>
            <w:vAlign w:val="center"/>
            <w:hideMark/>
          </w:tcPr>
          <w:p w14:paraId="37997B09"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301" w:type="pct"/>
            <w:gridSpan w:val="3"/>
            <w:tcBorders>
              <w:top w:val="nil"/>
              <w:left w:val="nil"/>
              <w:bottom w:val="single" w:sz="4" w:space="0" w:color="auto"/>
              <w:right w:val="single" w:sz="4" w:space="0" w:color="auto"/>
            </w:tcBorders>
            <w:shd w:val="clear" w:color="000000" w:fill="F2CEEF"/>
            <w:noWrap/>
            <w:vAlign w:val="center"/>
            <w:hideMark/>
          </w:tcPr>
          <w:p w14:paraId="1611E290"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1546" w:type="pct"/>
            <w:gridSpan w:val="3"/>
            <w:tcBorders>
              <w:top w:val="nil"/>
              <w:left w:val="nil"/>
              <w:bottom w:val="single" w:sz="4" w:space="0" w:color="auto"/>
              <w:right w:val="single" w:sz="4" w:space="0" w:color="auto"/>
            </w:tcBorders>
            <w:shd w:val="clear" w:color="000000" w:fill="F2CEEF"/>
            <w:noWrap/>
            <w:vAlign w:val="center"/>
            <w:hideMark/>
          </w:tcPr>
          <w:p w14:paraId="472D5D11"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   </w:t>
            </w:r>
          </w:p>
        </w:tc>
        <w:tc>
          <w:tcPr>
            <w:tcW w:w="114" w:type="pct"/>
            <w:vAlign w:val="center"/>
            <w:hideMark/>
          </w:tcPr>
          <w:p w14:paraId="32583C34"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6AA8B8A9" w14:textId="77777777" w:rsidTr="00463C30">
        <w:trPr>
          <w:gridAfter w:val="4"/>
          <w:wAfter w:w="467" w:type="pct"/>
          <w:trHeight w:val="312"/>
          <w:jc w:val="center"/>
        </w:trPr>
        <w:tc>
          <w:tcPr>
            <w:tcW w:w="496" w:type="pct"/>
            <w:tcBorders>
              <w:top w:val="nil"/>
              <w:left w:val="single" w:sz="4" w:space="0" w:color="auto"/>
              <w:bottom w:val="single" w:sz="4" w:space="0" w:color="auto"/>
              <w:right w:val="single" w:sz="4" w:space="0" w:color="auto"/>
            </w:tcBorders>
            <w:shd w:val="clear" w:color="000000" w:fill="F2CEEF"/>
            <w:noWrap/>
            <w:vAlign w:val="center"/>
            <w:hideMark/>
          </w:tcPr>
          <w:p w14:paraId="702C37C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3</w:t>
            </w:r>
          </w:p>
        </w:tc>
        <w:tc>
          <w:tcPr>
            <w:tcW w:w="1074" w:type="pct"/>
            <w:gridSpan w:val="3"/>
            <w:tcBorders>
              <w:top w:val="nil"/>
              <w:left w:val="nil"/>
              <w:bottom w:val="single" w:sz="4" w:space="0" w:color="auto"/>
              <w:right w:val="single" w:sz="4" w:space="0" w:color="auto"/>
            </w:tcBorders>
            <w:shd w:val="clear" w:color="000000" w:fill="F2CEEF"/>
            <w:noWrap/>
            <w:vAlign w:val="center"/>
            <w:hideMark/>
          </w:tcPr>
          <w:p w14:paraId="6B646A70"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20.00 </w:t>
            </w:r>
          </w:p>
        </w:tc>
        <w:tc>
          <w:tcPr>
            <w:tcW w:w="1301" w:type="pct"/>
            <w:gridSpan w:val="3"/>
            <w:tcBorders>
              <w:top w:val="nil"/>
              <w:left w:val="nil"/>
              <w:bottom w:val="single" w:sz="4" w:space="0" w:color="auto"/>
              <w:right w:val="single" w:sz="4" w:space="0" w:color="auto"/>
            </w:tcBorders>
            <w:shd w:val="clear" w:color="000000" w:fill="F2CEEF"/>
            <w:noWrap/>
            <w:vAlign w:val="center"/>
            <w:hideMark/>
          </w:tcPr>
          <w:p w14:paraId="06543DDB"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1546" w:type="pct"/>
            <w:gridSpan w:val="3"/>
            <w:tcBorders>
              <w:top w:val="nil"/>
              <w:left w:val="nil"/>
              <w:bottom w:val="single" w:sz="4" w:space="0" w:color="auto"/>
              <w:right w:val="single" w:sz="4" w:space="0" w:color="auto"/>
            </w:tcBorders>
            <w:shd w:val="clear" w:color="000000" w:fill="F2CEEF"/>
            <w:noWrap/>
            <w:vAlign w:val="center"/>
            <w:hideMark/>
          </w:tcPr>
          <w:p w14:paraId="68D5B513"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10.00 </w:t>
            </w:r>
          </w:p>
        </w:tc>
        <w:tc>
          <w:tcPr>
            <w:tcW w:w="114" w:type="pct"/>
            <w:vAlign w:val="center"/>
            <w:hideMark/>
          </w:tcPr>
          <w:p w14:paraId="699094C8"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318510F4" w14:textId="77777777" w:rsidTr="00463C30">
        <w:trPr>
          <w:gridAfter w:val="4"/>
          <w:wAfter w:w="467" w:type="pct"/>
          <w:trHeight w:val="312"/>
          <w:jc w:val="center"/>
        </w:trPr>
        <w:tc>
          <w:tcPr>
            <w:tcW w:w="496" w:type="pct"/>
            <w:tcBorders>
              <w:top w:val="nil"/>
              <w:left w:val="single" w:sz="4" w:space="0" w:color="auto"/>
              <w:bottom w:val="single" w:sz="4" w:space="0" w:color="auto"/>
              <w:right w:val="single" w:sz="4" w:space="0" w:color="auto"/>
            </w:tcBorders>
            <w:shd w:val="clear" w:color="000000" w:fill="F2CEEF"/>
            <w:noWrap/>
            <w:vAlign w:val="center"/>
            <w:hideMark/>
          </w:tcPr>
          <w:p w14:paraId="65C11CD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4</w:t>
            </w:r>
          </w:p>
        </w:tc>
        <w:tc>
          <w:tcPr>
            <w:tcW w:w="1074" w:type="pct"/>
            <w:gridSpan w:val="3"/>
            <w:tcBorders>
              <w:top w:val="nil"/>
              <w:left w:val="nil"/>
              <w:bottom w:val="single" w:sz="4" w:space="0" w:color="auto"/>
              <w:right w:val="single" w:sz="4" w:space="0" w:color="auto"/>
            </w:tcBorders>
            <w:shd w:val="clear" w:color="000000" w:fill="F2CEEF"/>
            <w:noWrap/>
            <w:vAlign w:val="center"/>
            <w:hideMark/>
          </w:tcPr>
          <w:p w14:paraId="3C7C17BB"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25.00 </w:t>
            </w:r>
          </w:p>
        </w:tc>
        <w:tc>
          <w:tcPr>
            <w:tcW w:w="1301" w:type="pct"/>
            <w:gridSpan w:val="3"/>
            <w:tcBorders>
              <w:top w:val="nil"/>
              <w:left w:val="nil"/>
              <w:bottom w:val="single" w:sz="4" w:space="0" w:color="auto"/>
              <w:right w:val="single" w:sz="4" w:space="0" w:color="auto"/>
            </w:tcBorders>
            <w:shd w:val="clear" w:color="000000" w:fill="F2CEEF"/>
            <w:noWrap/>
            <w:vAlign w:val="center"/>
            <w:hideMark/>
          </w:tcPr>
          <w:p w14:paraId="7FA7408A"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1546" w:type="pct"/>
            <w:gridSpan w:val="3"/>
            <w:tcBorders>
              <w:top w:val="nil"/>
              <w:left w:val="nil"/>
              <w:bottom w:val="single" w:sz="4" w:space="0" w:color="auto"/>
              <w:right w:val="single" w:sz="4" w:space="0" w:color="auto"/>
            </w:tcBorders>
            <w:shd w:val="clear" w:color="000000" w:fill="F2CEEF"/>
            <w:noWrap/>
            <w:vAlign w:val="center"/>
            <w:hideMark/>
          </w:tcPr>
          <w:p w14:paraId="4E63E5A5"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15.00 </w:t>
            </w:r>
          </w:p>
        </w:tc>
        <w:tc>
          <w:tcPr>
            <w:tcW w:w="114" w:type="pct"/>
            <w:vAlign w:val="center"/>
            <w:hideMark/>
          </w:tcPr>
          <w:p w14:paraId="696DB9FD"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12D9C4E3" w14:textId="77777777" w:rsidTr="00463C30">
        <w:trPr>
          <w:gridAfter w:val="4"/>
          <w:wAfter w:w="467" w:type="pct"/>
          <w:trHeight w:val="312"/>
          <w:jc w:val="center"/>
        </w:trPr>
        <w:tc>
          <w:tcPr>
            <w:tcW w:w="496" w:type="pct"/>
            <w:tcBorders>
              <w:top w:val="nil"/>
              <w:left w:val="single" w:sz="4" w:space="0" w:color="auto"/>
              <w:bottom w:val="single" w:sz="4" w:space="0" w:color="auto"/>
              <w:right w:val="single" w:sz="4" w:space="0" w:color="auto"/>
            </w:tcBorders>
            <w:shd w:val="clear" w:color="000000" w:fill="F2CEEF"/>
            <w:noWrap/>
            <w:vAlign w:val="center"/>
            <w:hideMark/>
          </w:tcPr>
          <w:p w14:paraId="58E825A6"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5</w:t>
            </w:r>
          </w:p>
        </w:tc>
        <w:tc>
          <w:tcPr>
            <w:tcW w:w="1074" w:type="pct"/>
            <w:gridSpan w:val="3"/>
            <w:tcBorders>
              <w:top w:val="nil"/>
              <w:left w:val="nil"/>
              <w:bottom w:val="single" w:sz="4" w:space="0" w:color="auto"/>
              <w:right w:val="single" w:sz="4" w:space="0" w:color="auto"/>
            </w:tcBorders>
            <w:shd w:val="clear" w:color="000000" w:fill="F2CEEF"/>
            <w:noWrap/>
            <w:vAlign w:val="center"/>
            <w:hideMark/>
          </w:tcPr>
          <w:p w14:paraId="5CF9364E"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                 5.00 </w:t>
            </w:r>
          </w:p>
        </w:tc>
        <w:tc>
          <w:tcPr>
            <w:tcW w:w="1301" w:type="pct"/>
            <w:gridSpan w:val="3"/>
            <w:tcBorders>
              <w:top w:val="nil"/>
              <w:left w:val="nil"/>
              <w:bottom w:val="single" w:sz="4" w:space="0" w:color="auto"/>
              <w:right w:val="single" w:sz="4" w:space="0" w:color="auto"/>
            </w:tcBorders>
            <w:shd w:val="clear" w:color="000000" w:fill="F2CEEF"/>
            <w:noWrap/>
            <w:vAlign w:val="center"/>
            <w:hideMark/>
          </w:tcPr>
          <w:p w14:paraId="5FA548D8" w14:textId="77777777" w:rsidR="00076D53" w:rsidRPr="00C900C3" w:rsidRDefault="00076D53" w:rsidP="00076D53">
            <w:pPr>
              <w:spacing w:before="0" w:after="0" w:line="240" w:lineRule="auto"/>
              <w:jc w:val="right"/>
              <w:rPr>
                <w:rFonts w:ascii="Arial" w:hAnsi="Arial" w:cs="Arial"/>
                <w:color w:val="000000"/>
                <w:lang w:val="en-IN"/>
              </w:rPr>
            </w:pPr>
            <w:r w:rsidRPr="00C900C3">
              <w:rPr>
                <w:rFonts w:ascii="Arial" w:hAnsi="Arial" w:cs="Arial"/>
                <w:color w:val="000000"/>
                <w:lang w:val="en-IN"/>
              </w:rPr>
              <w:t>10.00</w:t>
            </w:r>
          </w:p>
        </w:tc>
        <w:tc>
          <w:tcPr>
            <w:tcW w:w="1546" w:type="pct"/>
            <w:gridSpan w:val="3"/>
            <w:tcBorders>
              <w:top w:val="nil"/>
              <w:left w:val="nil"/>
              <w:bottom w:val="single" w:sz="4" w:space="0" w:color="auto"/>
              <w:right w:val="single" w:sz="4" w:space="0" w:color="auto"/>
            </w:tcBorders>
            <w:shd w:val="clear" w:color="000000" w:fill="F2CEEF"/>
            <w:noWrap/>
            <w:vAlign w:val="center"/>
            <w:hideMark/>
          </w:tcPr>
          <w:p w14:paraId="62E85FA2" w14:textId="77777777" w:rsidR="00076D53" w:rsidRPr="00C900C3" w:rsidRDefault="00076D53" w:rsidP="00076D53">
            <w:pPr>
              <w:spacing w:before="0" w:after="0" w:line="240" w:lineRule="auto"/>
              <w:jc w:val="center"/>
              <w:rPr>
                <w:rFonts w:ascii="Arial" w:hAnsi="Arial" w:cs="Arial"/>
                <w:color w:val="000000"/>
                <w:lang w:val="en-IN"/>
              </w:rPr>
            </w:pPr>
            <w:r w:rsidRPr="00C900C3">
              <w:rPr>
                <w:rFonts w:ascii="Arial" w:hAnsi="Arial" w:cs="Arial"/>
                <w:color w:val="000000"/>
                <w:lang w:val="en-IN"/>
              </w:rPr>
              <w:t xml:space="preserve">-£                              5.00 </w:t>
            </w:r>
          </w:p>
        </w:tc>
        <w:tc>
          <w:tcPr>
            <w:tcW w:w="114" w:type="pct"/>
            <w:vAlign w:val="center"/>
            <w:hideMark/>
          </w:tcPr>
          <w:p w14:paraId="07A9A98A" w14:textId="77777777" w:rsidR="00076D53" w:rsidRPr="00C900C3" w:rsidRDefault="00076D53" w:rsidP="00076D53">
            <w:pPr>
              <w:spacing w:before="0" w:after="0" w:line="240" w:lineRule="auto"/>
              <w:jc w:val="left"/>
              <w:rPr>
                <w:rFonts w:ascii="Arial" w:hAnsi="Arial" w:cs="Arial"/>
                <w:lang w:val="en-IN"/>
              </w:rPr>
            </w:pPr>
          </w:p>
        </w:tc>
      </w:tr>
      <w:tr w:rsidR="00076D53" w:rsidRPr="00C900C3" w14:paraId="4C14DE92" w14:textId="77777777" w:rsidTr="00463C30">
        <w:trPr>
          <w:gridAfter w:val="4"/>
          <w:wAfter w:w="467" w:type="pct"/>
          <w:trHeight w:val="312"/>
          <w:jc w:val="center"/>
        </w:trPr>
        <w:tc>
          <w:tcPr>
            <w:tcW w:w="2872" w:type="pct"/>
            <w:gridSpan w:val="7"/>
            <w:tcBorders>
              <w:top w:val="single" w:sz="4" w:space="0" w:color="auto"/>
              <w:left w:val="single" w:sz="4" w:space="0" w:color="auto"/>
              <w:bottom w:val="single" w:sz="4" w:space="0" w:color="auto"/>
              <w:right w:val="single" w:sz="4" w:space="0" w:color="000000"/>
            </w:tcBorders>
            <w:shd w:val="clear" w:color="000000" w:fill="F2CEEF"/>
            <w:vAlign w:val="center"/>
            <w:hideMark/>
          </w:tcPr>
          <w:p w14:paraId="47630351"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 xml:space="preserve">"Accounting Rate of Return (ARR) of Project C" </w:t>
            </w:r>
          </w:p>
        </w:tc>
        <w:tc>
          <w:tcPr>
            <w:tcW w:w="1546" w:type="pct"/>
            <w:gridSpan w:val="3"/>
            <w:tcBorders>
              <w:top w:val="nil"/>
              <w:left w:val="nil"/>
              <w:bottom w:val="single" w:sz="4" w:space="0" w:color="auto"/>
              <w:right w:val="single" w:sz="4" w:space="0" w:color="auto"/>
            </w:tcBorders>
            <w:shd w:val="clear" w:color="000000" w:fill="F2CEEF"/>
            <w:vAlign w:val="center"/>
            <w:hideMark/>
          </w:tcPr>
          <w:p w14:paraId="3C8325E0" w14:textId="77777777" w:rsidR="00076D53" w:rsidRPr="00C900C3" w:rsidRDefault="00076D53" w:rsidP="00076D53">
            <w:pPr>
              <w:spacing w:before="0" w:after="0" w:line="240" w:lineRule="auto"/>
              <w:jc w:val="center"/>
              <w:rPr>
                <w:rFonts w:ascii="Arial" w:hAnsi="Arial" w:cs="Arial"/>
                <w:b/>
                <w:bCs/>
                <w:color w:val="000000"/>
                <w:lang w:val="en-IN"/>
              </w:rPr>
            </w:pPr>
            <w:r w:rsidRPr="00C900C3">
              <w:rPr>
                <w:rFonts w:ascii="Arial" w:hAnsi="Arial" w:cs="Arial"/>
                <w:b/>
                <w:bCs/>
                <w:color w:val="000000"/>
                <w:lang w:val="en-IN"/>
              </w:rPr>
              <w:t>6.00%</w:t>
            </w:r>
          </w:p>
        </w:tc>
        <w:tc>
          <w:tcPr>
            <w:tcW w:w="114" w:type="pct"/>
            <w:vAlign w:val="center"/>
            <w:hideMark/>
          </w:tcPr>
          <w:p w14:paraId="0E50C7FD" w14:textId="77777777" w:rsidR="00076D53" w:rsidRPr="00C900C3" w:rsidRDefault="00076D53" w:rsidP="00076D53">
            <w:pPr>
              <w:spacing w:before="0" w:after="0" w:line="240" w:lineRule="auto"/>
              <w:jc w:val="left"/>
              <w:rPr>
                <w:rFonts w:ascii="Arial" w:hAnsi="Arial" w:cs="Arial"/>
                <w:lang w:val="en-IN"/>
              </w:rPr>
            </w:pPr>
          </w:p>
        </w:tc>
      </w:tr>
    </w:tbl>
    <w:p w14:paraId="17293BED" w14:textId="77777777" w:rsidR="00B96CFB" w:rsidRPr="00C900C3" w:rsidRDefault="0080051C" w:rsidP="00076D53">
      <w:pPr>
        <w:jc w:val="center"/>
        <w:rPr>
          <w:rFonts w:ascii="Arial" w:hAnsi="Arial" w:cs="Arial"/>
        </w:rPr>
      </w:pPr>
      <w:r w:rsidRPr="00C900C3">
        <w:rPr>
          <w:rFonts w:ascii="Arial" w:hAnsi="Arial" w:cs="Arial"/>
        </w:rPr>
        <w:t>(Source: Excel)</w:t>
      </w:r>
    </w:p>
    <w:p w14:paraId="23ECA72D" w14:textId="77777777" w:rsidR="00B96CFB" w:rsidRPr="00C900C3" w:rsidRDefault="0080051C">
      <w:pPr>
        <w:rPr>
          <w:rFonts w:ascii="Arial" w:hAnsi="Arial" w:cs="Arial"/>
        </w:rPr>
      </w:pPr>
      <w:r w:rsidRPr="00C900C3">
        <w:rPr>
          <w:rFonts w:ascii="Arial" w:hAnsi="Arial" w:cs="Arial"/>
        </w:rPr>
        <w:br w:type="page"/>
      </w:r>
    </w:p>
    <w:p w14:paraId="48D6260A" w14:textId="77777777" w:rsidR="00B96CFB" w:rsidRPr="00C900C3" w:rsidRDefault="0080051C">
      <w:pPr>
        <w:rPr>
          <w:rFonts w:ascii="Arial" w:hAnsi="Arial" w:cs="Arial"/>
        </w:rPr>
      </w:pPr>
      <w:r w:rsidRPr="00C900C3">
        <w:rPr>
          <w:rFonts w:ascii="Arial" w:hAnsi="Arial" w:cs="Arial"/>
        </w:rPr>
        <w:lastRenderedPageBreak/>
        <w:t>Appendices</w:t>
      </w:r>
    </w:p>
    <w:p w14:paraId="5A7E2C6A" w14:textId="77777777" w:rsidR="00B96CFB" w:rsidRPr="00C900C3" w:rsidRDefault="0080051C">
      <w:pPr>
        <w:rPr>
          <w:rFonts w:ascii="Arial" w:hAnsi="Arial" w:cs="Arial"/>
        </w:rPr>
      </w:pPr>
      <w:r w:rsidRPr="00C900C3">
        <w:rPr>
          <w:rFonts w:ascii="Arial" w:hAnsi="Arial" w:cs="Arial"/>
        </w:rPr>
        <w:br w:type="page"/>
      </w:r>
    </w:p>
    <w:p w14:paraId="357AD618" w14:textId="77777777" w:rsidR="00B96CFB" w:rsidRPr="00C900C3" w:rsidRDefault="00B96CFB">
      <w:pPr>
        <w:rPr>
          <w:rFonts w:ascii="Arial" w:hAnsi="Arial" w:cs="Arial"/>
        </w:rPr>
      </w:pPr>
    </w:p>
    <w:sectPr w:rsidR="00B96CFB" w:rsidRPr="00C900C3" w:rsidSect="00C900C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17CD62C3-CCDD-4C28-ACC6-A69D16D92B55}"/>
  </w:font>
  <w:font w:name="Shruti">
    <w:panose1 w:val="020B0502040204020203"/>
    <w:charset w:val="00"/>
    <w:family w:val="swiss"/>
    <w:pitch w:val="variable"/>
    <w:sig w:usb0="00040003" w:usb1="00000000" w:usb2="00000000" w:usb3="00000000" w:csb0="00000001" w:csb1="00000000"/>
    <w:embedRegular r:id="rId2" w:fontKey="{529FCB80-F4DA-4F72-91BE-FE624BB9B5D1}"/>
  </w:font>
  <w:font w:name="Cambria">
    <w:panose1 w:val="02040503050406030204"/>
    <w:charset w:val="00"/>
    <w:family w:val="roman"/>
    <w:pitch w:val="variable"/>
    <w:sig w:usb0="E00006FF" w:usb1="420024FF" w:usb2="02000000" w:usb3="00000000" w:csb0="0000019F" w:csb1="00000000"/>
    <w:embedRegular r:id="rId3" w:fontKey="{BE1BAA02-10A2-4834-8658-A57D2429348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CFB"/>
    <w:rsid w:val="00076D53"/>
    <w:rsid w:val="000E5A56"/>
    <w:rsid w:val="00253FFB"/>
    <w:rsid w:val="00263867"/>
    <w:rsid w:val="0027229F"/>
    <w:rsid w:val="002B0114"/>
    <w:rsid w:val="003D5C25"/>
    <w:rsid w:val="00463C30"/>
    <w:rsid w:val="004D460E"/>
    <w:rsid w:val="0052277D"/>
    <w:rsid w:val="00566743"/>
    <w:rsid w:val="00575D36"/>
    <w:rsid w:val="005A0112"/>
    <w:rsid w:val="00662596"/>
    <w:rsid w:val="00871206"/>
    <w:rsid w:val="00873D01"/>
    <w:rsid w:val="008A66F2"/>
    <w:rsid w:val="00A423F6"/>
    <w:rsid w:val="00B96CFB"/>
    <w:rsid w:val="00C3355A"/>
    <w:rsid w:val="00C900C3"/>
    <w:rsid w:val="00CD4708"/>
    <w:rsid w:val="00D00878"/>
    <w:rsid w:val="00DA512E"/>
    <w:rsid w:val="00DB79EE"/>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0317C"/>
  <w15:docId w15:val="{482598E4-0E3B-4C7A-9EA3-245E6B98F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28"/>
      <w:szCs w:val="28"/>
    </w:rPr>
  </w:style>
  <w:style w:type="paragraph" w:styleId="Heading2">
    <w:name w:val="heading 2"/>
    <w:basedOn w:val="Normal"/>
    <w:next w:val="Normal"/>
    <w:uiPriority w:val="9"/>
    <w:unhideWhenUsed/>
    <w:qFormat/>
    <w:pPr>
      <w:keepNext/>
      <w:keepLines/>
      <w:spacing w:before="360" w:after="80"/>
      <w:outlineLvl w:val="1"/>
    </w:pPr>
    <w:rPr>
      <w:b/>
      <w:bCs/>
      <w:sz w:val="26"/>
      <w:szCs w:val="26"/>
    </w:rPr>
  </w:style>
  <w:style w:type="paragraph" w:styleId="Heading3">
    <w:name w:val="heading 3"/>
    <w:basedOn w:val="Normal"/>
    <w:next w:val="Normal"/>
    <w:uiPriority w:val="9"/>
    <w:unhideWhenUsed/>
    <w:qFormat/>
    <w:pPr>
      <w:keepNext/>
      <w:keepLines/>
      <w:spacing w:before="280" w:after="80"/>
      <w:outlineLvl w:val="2"/>
    </w:pPr>
    <w:rPr>
      <w:b/>
      <w:bCs/>
    </w:rPr>
  </w:style>
  <w:style w:type="paragraph" w:styleId="Heading4">
    <w:name w:val="heading 4"/>
    <w:basedOn w:val="Normal"/>
    <w:next w:val="Normal"/>
    <w:uiPriority w:val="9"/>
    <w:semiHidden/>
    <w:unhideWhenUsed/>
    <w:qFormat/>
    <w:pPr>
      <w:keepNext/>
      <w:keepLines/>
      <w:outlineLvl w:val="3"/>
    </w:pPr>
    <w:rPr>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566743"/>
    <w:pPr>
      <w:spacing w:after="100"/>
    </w:pPr>
  </w:style>
  <w:style w:type="paragraph" w:styleId="TOC2">
    <w:name w:val="toc 2"/>
    <w:basedOn w:val="Normal"/>
    <w:next w:val="Normal"/>
    <w:autoRedefine/>
    <w:uiPriority w:val="39"/>
    <w:unhideWhenUsed/>
    <w:rsid w:val="00566743"/>
    <w:pPr>
      <w:spacing w:after="100"/>
      <w:ind w:left="240"/>
    </w:pPr>
  </w:style>
  <w:style w:type="paragraph" w:styleId="TOC3">
    <w:name w:val="toc 3"/>
    <w:basedOn w:val="Normal"/>
    <w:next w:val="Normal"/>
    <w:autoRedefine/>
    <w:uiPriority w:val="39"/>
    <w:unhideWhenUsed/>
    <w:rsid w:val="00566743"/>
    <w:pPr>
      <w:spacing w:after="100"/>
      <w:ind w:left="480"/>
    </w:pPr>
  </w:style>
  <w:style w:type="character" w:styleId="Hyperlink">
    <w:name w:val="Hyperlink"/>
    <w:basedOn w:val="DefaultParagraphFont"/>
    <w:uiPriority w:val="99"/>
    <w:unhideWhenUsed/>
    <w:rsid w:val="005667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hyperlink" Target="https://www.academia.edu/download/115377930/Capital_Budgeting_and_Financial_Investme.pdf" TargetMode="External"/><Relationship Id="rId39" Type="http://schemas.openxmlformats.org/officeDocument/2006/relationships/hyperlink" Target="https://www.sciencedirect.com/science/article/pii/S2214845024000462" TargetMode="External"/><Relationship Id="rId21" Type="http://schemas.openxmlformats.org/officeDocument/2006/relationships/image" Target="media/image18.png"/><Relationship Id="rId34" Type="http://schemas.openxmlformats.org/officeDocument/2006/relationships/hyperlink" Target="https://www.annualreports.com/HostedData/AnnualReportArchive/h/OTC_HYMTF_2023.pdf" TargetMode="External"/><Relationship Id="rId42" Type="http://schemas.openxmlformats.org/officeDocument/2006/relationships/hyperlink" Target="https://www.academia.edu/download/79702829/IJMRE_V2N1AI217_published_paper.pdf" TargetMode="External"/><Relationship Id="rId47" Type="http://schemas.openxmlformats.org/officeDocument/2006/relationships/hyperlink" Target="https://unitesi.unive.it/bitstream/20.500.14247/4284/1/872666-1280209.pdf" TargetMode="External"/><Relationship Id="rId50" Type="http://schemas.openxmlformats.org/officeDocument/2006/relationships/image" Target="media/image25.png"/><Relationship Id="rId55" Type="http://schemas.openxmlformats.org/officeDocument/2006/relationships/image" Target="media/image30.png"/><Relationship Id="rId63" Type="http://schemas.openxmlformats.org/officeDocument/2006/relationships/fontTable" Target="fontTable.xm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hyperlink" Target="https://www.researchgate.net/profile/Dr-Haralayya/publication/359186994_Working_Capital_Management_in_Hyundai_Showroom_Bidar/links/622c485f3c53d31ba4bcf7a3/Working-Capital-Management-in-Hyundai-Showroom-Bidar.pdf" TargetMode="External"/><Relationship Id="rId41" Type="http://schemas.openxmlformats.org/officeDocument/2006/relationships/hyperlink" Target="https://www.tandfonline.com/doi/pdf/10.1080/23322039.2024.2404707" TargetMode="External"/><Relationship Id="rId54" Type="http://schemas.openxmlformats.org/officeDocument/2006/relationships/image" Target="media/image29.png"/><Relationship Id="rId62" Type="http://schemas.openxmlformats.org/officeDocument/2006/relationships/image" Target="media/image3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hyperlink" Target="https://www.annualreports.com/HostedData/AnnualReportArchive/h/OTC_HYMTF_2021.pdf" TargetMode="External"/><Relationship Id="rId37" Type="http://schemas.openxmlformats.org/officeDocument/2006/relationships/hyperlink" Target="https://link.springer.com/chapter/10.1007/978-981-99-2042-6_2" TargetMode="External"/><Relationship Id="rId40" Type="http://schemas.openxmlformats.org/officeDocument/2006/relationships/hyperlink" Target="https://search.proquest.com/openview/d159a7dd71a3a32a58cf0a5d3c28e690/1?pq-origsite=gscholar&amp;cbl=4368392" TargetMode="External"/><Relationship Id="rId45" Type="http://schemas.openxmlformats.org/officeDocument/2006/relationships/hyperlink" Target="https://www.mdpi.com/2076-3417/13/7/4174" TargetMode="External"/><Relationship Id="rId53" Type="http://schemas.openxmlformats.org/officeDocument/2006/relationships/image" Target="media/image28.png"/><Relationship Id="rId58" Type="http://schemas.openxmlformats.org/officeDocument/2006/relationships/image" Target="media/image33.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hyperlink" Target="https://www.hyundainews.com/assets/documents/original/57081-EconomicContributionStudyofHyundaiMotorAmericasUSOperations.pdf" TargetMode="External"/><Relationship Id="rId36" Type="http://schemas.openxmlformats.org/officeDocument/2006/relationships/hyperlink" Target="https://www.hyundai.com/in/en/investor-relations/corporate-governance/committees" TargetMode="External"/><Relationship Id="rId49" Type="http://schemas.openxmlformats.org/officeDocument/2006/relationships/image" Target="media/image24.png"/><Relationship Id="rId57" Type="http://schemas.openxmlformats.org/officeDocument/2006/relationships/image" Target="media/image32.png"/><Relationship Id="rId61" Type="http://schemas.openxmlformats.org/officeDocument/2006/relationships/image" Target="media/image36.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hyperlink" Target="https://www.annualreports.com/HostedData/AnnualReportArchive/h/OTC_HYMTF_2020.pdf" TargetMode="External"/><Relationship Id="rId44" Type="http://schemas.openxmlformats.org/officeDocument/2006/relationships/hyperlink" Target="https://nepjol.info/index.php/ljbe/article/download/54320/40697" TargetMode="External"/><Relationship Id="rId52" Type="http://schemas.openxmlformats.org/officeDocument/2006/relationships/image" Target="media/image27.png"/><Relationship Id="rId60" Type="http://schemas.openxmlformats.org/officeDocument/2006/relationships/image" Target="media/image35.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hyperlink" Target="https://papers.ssrn.com/sol3/Delivery.cfm?abstractid=5188095" TargetMode="External"/><Relationship Id="rId30" Type="http://schemas.openxmlformats.org/officeDocument/2006/relationships/hyperlink" Target="https://papers.ssrn.com/sol3/Delivery.cfm?abstractid=4116810" TargetMode="External"/><Relationship Id="rId35" Type="http://schemas.openxmlformats.org/officeDocument/2006/relationships/hyperlink" Target="https://www.annualreports.com/HostedData/AnnualReports/PDF/OTC_HYMTF_2024.pdf" TargetMode="External"/><Relationship Id="rId43" Type="http://schemas.openxmlformats.org/officeDocument/2006/relationships/hyperlink" Target="https://papers.ssrn.com/sol3/Delivery.cfm?abstractid=4173907" TargetMode="External"/><Relationship Id="rId48" Type="http://schemas.openxmlformats.org/officeDocument/2006/relationships/image" Target="media/image23.png"/><Relationship Id="rId56" Type="http://schemas.openxmlformats.org/officeDocument/2006/relationships/image" Target="media/image31.png"/><Relationship Id="rId64" Type="http://schemas.openxmlformats.org/officeDocument/2006/relationships/theme" Target="theme/theme1.xml"/><Relationship Id="rId8" Type="http://schemas.openxmlformats.org/officeDocument/2006/relationships/image" Target="media/image5.png"/><Relationship Id="rId51" Type="http://schemas.openxmlformats.org/officeDocument/2006/relationships/image" Target="media/image26.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hyperlink" Target="https://www.annualreports.com/HostedData/AnnualReportArchive/h/OTC_HYMTF_2022.pdf" TargetMode="External"/><Relationship Id="rId38" Type="http://schemas.openxmlformats.org/officeDocument/2006/relationships/hyperlink" Target="https://www.emerald.com/ajeb/article-pdf/8/1/67/9525823/ajeb-03-2022-0033.pdf" TargetMode="External"/><Relationship Id="rId46" Type="http://schemas.openxmlformats.org/officeDocument/2006/relationships/hyperlink" Target="https://pmc.ncbi.nlm.nih.gov/articles/PMC8721513/pdf/main.pdf" TargetMode="External"/><Relationship Id="rId59" Type="http://schemas.openxmlformats.org/officeDocument/2006/relationships/image" Target="media/image3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9566</Words>
  <Characters>54527</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JAINIL PATEL</dc:creator>
  <cp:lastModifiedBy>Jainil Patel</cp:lastModifiedBy>
  <cp:revision>2</cp:revision>
  <dcterms:created xsi:type="dcterms:W3CDTF">2026-04-23T23:07:00Z</dcterms:created>
  <dcterms:modified xsi:type="dcterms:W3CDTF">2026-04-23T23:07:00Z</dcterms:modified>
</cp:coreProperties>
</file>