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426153" w:rsidP="38294824" w:rsidRDefault="20426153" w14:paraId="6A651B1C" w14:textId="5A54DD9A">
      <w:pPr>
        <w:spacing w:before="240" w:beforeAutospacing="off" w:after="240" w:afterAutospacing="off"/>
        <w:rPr>
          <w:rFonts w:ascii="Aptos" w:hAnsi="Aptos" w:eastAsia="Aptos" w:cs="Aptos"/>
          <w:b w:val="1"/>
          <w:bCs w:val="1"/>
          <w:noProof w:val="0"/>
          <w:sz w:val="32"/>
          <w:szCs w:val="32"/>
          <w:u w:val="single"/>
          <w:lang w:val="en-GB"/>
        </w:rPr>
      </w:pPr>
      <w:r w:rsidRPr="38294824" w:rsidR="6F246CCA">
        <w:rPr>
          <w:rFonts w:ascii="Aptos" w:hAnsi="Aptos" w:eastAsia="Aptos" w:cs="Aptos"/>
          <w:b w:val="1"/>
          <w:bCs w:val="1"/>
          <w:noProof w:val="0"/>
          <w:sz w:val="32"/>
          <w:szCs w:val="32"/>
          <w:u w:val="single"/>
          <w:lang w:val="en-GB"/>
        </w:rPr>
        <w:t>Contents page</w:t>
      </w:r>
    </w:p>
    <w:p w:rsidR="20426153" w:rsidP="38294824" w:rsidRDefault="20426153" w14:paraId="375017C8" w14:textId="6A7DD3CA">
      <w:pPr>
        <w:spacing w:before="240" w:beforeAutospacing="off" w:after="240" w:afterAutospacing="off"/>
        <w:rPr>
          <w:rFonts w:ascii="Aptos" w:hAnsi="Aptos" w:eastAsia="Aptos" w:cs="Aptos"/>
          <w:b w:val="1"/>
          <w:bCs w:val="1"/>
          <w:noProof w:val="0"/>
          <w:sz w:val="32"/>
          <w:szCs w:val="32"/>
          <w:u w:val="single"/>
          <w:lang w:val="en-GB"/>
        </w:rPr>
      </w:pPr>
    </w:p>
    <w:p w:rsidR="20426153" w:rsidP="38294824" w:rsidRDefault="20426153" w14:paraId="75C3242C" w14:textId="47D39B00">
      <w:pPr>
        <w:spacing w:before="240" w:beforeAutospacing="off" w:after="240" w:afterAutospacing="off"/>
        <w:rPr>
          <w:rFonts w:ascii="Aptos" w:hAnsi="Aptos" w:eastAsia="Aptos" w:cs="Aptos"/>
          <w:b w:val="0"/>
          <w:bCs w:val="0"/>
          <w:noProof w:val="0"/>
          <w:sz w:val="24"/>
          <w:szCs w:val="24"/>
          <w:u w:val="none"/>
          <w:lang w:val="en-GB"/>
        </w:rPr>
      </w:pPr>
      <w:r w:rsidRPr="38294824" w:rsidR="6F246CCA">
        <w:rPr>
          <w:rFonts w:ascii="Aptos" w:hAnsi="Aptos" w:eastAsia="Aptos" w:cs="Aptos"/>
          <w:b w:val="0"/>
          <w:bCs w:val="0"/>
          <w:noProof w:val="0"/>
          <w:sz w:val="24"/>
          <w:szCs w:val="24"/>
          <w:u w:val="none"/>
          <w:lang w:val="en-GB"/>
        </w:rPr>
        <w:t>Task 1 – pages 2-4</w:t>
      </w:r>
    </w:p>
    <w:p w:rsidR="20426153" w:rsidP="38294824" w:rsidRDefault="20426153" w14:paraId="20174F7D" w14:textId="77820A69">
      <w:pPr>
        <w:spacing w:before="240" w:beforeAutospacing="off" w:after="240" w:afterAutospacing="off"/>
        <w:rPr>
          <w:rFonts w:ascii="Aptos" w:hAnsi="Aptos" w:eastAsia="Aptos" w:cs="Aptos"/>
          <w:b w:val="0"/>
          <w:bCs w:val="0"/>
          <w:noProof w:val="0"/>
          <w:sz w:val="24"/>
          <w:szCs w:val="24"/>
          <w:u w:val="none"/>
          <w:lang w:val="en-GB"/>
        </w:rPr>
      </w:pPr>
      <w:r w:rsidRPr="38294824" w:rsidR="6F246CCA">
        <w:rPr>
          <w:rFonts w:ascii="Aptos" w:hAnsi="Aptos" w:eastAsia="Aptos" w:cs="Aptos"/>
          <w:b w:val="0"/>
          <w:bCs w:val="0"/>
          <w:noProof w:val="0"/>
          <w:sz w:val="24"/>
          <w:szCs w:val="24"/>
          <w:u w:val="none"/>
          <w:lang w:val="en-GB"/>
        </w:rPr>
        <w:t>Task 2 – pages 5-9</w:t>
      </w:r>
    </w:p>
    <w:p w:rsidR="20426153" w:rsidP="38294824" w:rsidRDefault="20426153" w14:paraId="4F81649E" w14:textId="734D2ABE">
      <w:pPr>
        <w:spacing w:before="240" w:beforeAutospacing="off" w:after="240" w:afterAutospacing="off"/>
        <w:rPr>
          <w:rFonts w:ascii="Aptos" w:hAnsi="Aptos" w:eastAsia="Aptos" w:cs="Aptos"/>
          <w:b w:val="0"/>
          <w:bCs w:val="0"/>
          <w:noProof w:val="0"/>
          <w:sz w:val="24"/>
          <w:szCs w:val="24"/>
          <w:u w:val="none"/>
          <w:lang w:val="en-GB"/>
        </w:rPr>
      </w:pPr>
      <w:r w:rsidRPr="38294824" w:rsidR="6F246CCA">
        <w:rPr>
          <w:rFonts w:ascii="Aptos" w:hAnsi="Aptos" w:eastAsia="Aptos" w:cs="Aptos"/>
          <w:b w:val="0"/>
          <w:bCs w:val="0"/>
          <w:noProof w:val="0"/>
          <w:sz w:val="24"/>
          <w:szCs w:val="24"/>
          <w:u w:val="none"/>
          <w:lang w:val="en-GB"/>
        </w:rPr>
        <w:t>Reference list 10-11</w:t>
      </w:r>
    </w:p>
    <w:p w:rsidR="20426153" w:rsidP="38294824" w:rsidRDefault="20426153" w14:paraId="41E154E9" w14:textId="6D46E31F">
      <w:pPr>
        <w:spacing w:before="240" w:beforeAutospacing="off" w:after="240" w:afterAutospacing="off"/>
        <w:rPr>
          <w:rFonts w:ascii="Aptos" w:hAnsi="Aptos" w:eastAsia="Aptos" w:cs="Aptos"/>
          <w:b w:val="0"/>
          <w:bCs w:val="0"/>
          <w:noProof w:val="0"/>
          <w:sz w:val="24"/>
          <w:szCs w:val="24"/>
          <w:u w:val="none"/>
          <w:lang w:val="en-GB"/>
        </w:rPr>
      </w:pPr>
    </w:p>
    <w:p w:rsidR="20426153" w:rsidP="38294824" w:rsidRDefault="20426153" w14:paraId="6FA7273C" w14:textId="19A3DD8D">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039EC7C6" w14:textId="0C4CB6B4">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7BD827A5" w14:textId="0D8227E6">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545AA807" w14:textId="70636159">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25AD6E34" w14:textId="55B775C1">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20D09B2E" w14:textId="0C7A96F3">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5F752A24" w14:textId="5B1D4E66">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0FE4EF8A" w14:textId="648EBA1E">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51ECC73C" w14:textId="71A3045B">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71ABA9A7" w14:textId="342AB8BC">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3D09729B" w14:textId="6C43AB74">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713F17D7" w14:textId="78B193E5">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287C5EB6" w14:textId="6399D803">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692227D1" w14:textId="38FE764A">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6795053B" w14:textId="0328A84B">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5B9318D4" w14:textId="1140EF01">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0CE77D60" w14:textId="795B962B">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6CAE161F" w14:textId="50E427AA">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4AB56A1C" w14:textId="7F805565">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3CA0895C" w14:textId="397635CF">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23996F86" w14:textId="1E1CE733">
      <w:pPr>
        <w:spacing w:before="240" w:beforeAutospacing="off" w:after="240" w:afterAutospacing="off"/>
        <w:rPr>
          <w:rFonts w:ascii="Aptos" w:hAnsi="Aptos" w:eastAsia="Aptos" w:cs="Aptos"/>
          <w:b w:val="1"/>
          <w:bCs w:val="1"/>
          <w:noProof w:val="0"/>
          <w:sz w:val="24"/>
          <w:szCs w:val="24"/>
          <w:u w:val="single"/>
          <w:lang w:val="en-GB"/>
        </w:rPr>
      </w:pPr>
    </w:p>
    <w:p w:rsidR="20426153" w:rsidP="38294824" w:rsidRDefault="20426153" w14:paraId="4B0F5505" w14:textId="6109F824">
      <w:pPr>
        <w:spacing w:before="240" w:beforeAutospacing="off" w:after="240" w:afterAutospacing="off"/>
        <w:rPr>
          <w:rFonts w:ascii="Aptos" w:hAnsi="Aptos" w:eastAsia="Aptos" w:cs="Aptos"/>
          <w:b w:val="1"/>
          <w:bCs w:val="1"/>
          <w:noProof w:val="0"/>
          <w:sz w:val="24"/>
          <w:szCs w:val="24"/>
          <w:u w:val="single"/>
          <w:lang w:val="en-GB"/>
        </w:rPr>
      </w:pPr>
      <w:r w:rsidRPr="38294824" w:rsidR="5755D824">
        <w:rPr>
          <w:rFonts w:ascii="Aptos" w:hAnsi="Aptos" w:eastAsia="Aptos" w:cs="Aptos"/>
          <w:b w:val="1"/>
          <w:bCs w:val="1"/>
          <w:noProof w:val="0"/>
          <w:sz w:val="24"/>
          <w:szCs w:val="24"/>
          <w:u w:val="single"/>
          <w:lang w:val="en-GB"/>
        </w:rPr>
        <w:t>Task 1</w:t>
      </w:r>
    </w:p>
    <w:p w:rsidR="20426153" w:rsidP="38294824" w:rsidRDefault="20426153" w14:paraId="1CA54E4D" w14:textId="100030FF">
      <w:pPr>
        <w:spacing w:before="240" w:beforeAutospacing="off" w:after="240" w:afterAutospacing="off"/>
        <w:rPr>
          <w:rFonts w:ascii="Aptos" w:hAnsi="Aptos" w:eastAsia="Aptos" w:cs="Aptos"/>
          <w:noProof w:val="0"/>
          <w:sz w:val="24"/>
          <w:szCs w:val="24"/>
          <w:lang w:val="en-GB"/>
        </w:rPr>
      </w:pPr>
    </w:p>
    <w:p w:rsidR="20426153" w:rsidP="38294824" w:rsidRDefault="20426153" w14:paraId="30FE426E" w14:textId="0DAAE62B">
      <w:pPr>
        <w:spacing w:before="240" w:beforeAutospacing="off" w:after="240" w:afterAutospacing="off"/>
      </w:pPr>
      <w:r w:rsidRPr="38294824" w:rsidR="5755D824">
        <w:rPr>
          <w:rFonts w:ascii="Aptos" w:hAnsi="Aptos" w:eastAsia="Aptos" w:cs="Aptos"/>
          <w:noProof w:val="0"/>
          <w:sz w:val="24"/>
          <w:szCs w:val="24"/>
          <w:lang w:val="en-GB"/>
        </w:rPr>
        <w:t>Sport organisations operate in increasingly complex and fast-changing environments, meaning they must use effective strategic management to remain competitive and sustainable. This assignment explores the key components of organisational strategy in sport, focusing on internal and external analysis, the development of strategic direction, strategy implementation, and the management of change. Strategic management enables organisations to understand their current position, recognise potential opportunities and threats, and develop appropriate responses to achieve long-term success. The discussion begins with internal and external analysis, including tools such as SWOT and PESTLE, before moving on to how organisations set strategic direction. It then considers the challenges of implementation and highlights the importance of managing change effectively. Throughout, relevant academic literature is used to support the discussion and demonstrate the significance of strategic management within the sport industry.</w:t>
      </w:r>
    </w:p>
    <w:p w:rsidR="20426153" w:rsidP="38294824" w:rsidRDefault="20426153" w14:paraId="597A9614" w14:textId="7FCBF879">
      <w:pPr>
        <w:spacing w:before="240" w:beforeAutospacing="off" w:after="240" w:afterAutospacing="off"/>
      </w:pPr>
      <w:r w:rsidRPr="38294824" w:rsidR="5755D824">
        <w:rPr>
          <w:rFonts w:ascii="Aptos" w:hAnsi="Aptos" w:eastAsia="Aptos" w:cs="Aptos"/>
          <w:noProof w:val="0"/>
          <w:sz w:val="24"/>
          <w:szCs w:val="24"/>
          <w:lang w:val="en-GB"/>
        </w:rPr>
        <w:t>Internal and external analysis form a crucial foundation for strategic decision-making, as they help sport organisations understand both their capabilities and the environment in which they operate. Internal analysis focuses on identifying strengths and weaknesses within the organisation, such as financial resources, staff expertise, and organisational culture (Johnson et al., 2020). For instance, a football club with a well-established youth academy may see this as a major strength, while limited financial backing could restrict its ability to compete at a higher level. In contrast, external analysis considers factors outside the organisation that may present opportunities or threats. The PESTLE framework is widely used to examine political, economic, social, technological, legal, and environmental influences (Smith and Stewart, 2015). Changes in areas such as broadcasting rights or sponsorship deals can create new revenue streams, whereas economic downturns may reduce fan spending. SWOT analysis brings these perspectives together by evaluating strengths, weaknesses, opportunities, and threats in a single framework. However, it has been criticised for being overly simplistic if not supported by deeper analysis (Gürel and Tat, 2017). Because of this, sport organisations need to go beyond basic models and engage in continuous, evidence-based evaluation. Without this, they risk failing to respond effectively to changes in their environment, which can impact long-term performance.</w:t>
      </w:r>
    </w:p>
    <w:p w:rsidR="20426153" w:rsidP="38294824" w:rsidRDefault="20426153" w14:paraId="3CDC65AA" w14:textId="00D428F0">
      <w:pPr>
        <w:spacing w:before="240" w:beforeAutospacing="off" w:after="240" w:afterAutospacing="off"/>
      </w:pPr>
      <w:r w:rsidRPr="38294824" w:rsidR="5755D824">
        <w:rPr>
          <w:rFonts w:ascii="Aptos" w:hAnsi="Aptos" w:eastAsia="Aptos" w:cs="Aptos"/>
          <w:noProof w:val="0"/>
          <w:sz w:val="24"/>
          <w:szCs w:val="24"/>
          <w:lang w:val="en-GB"/>
        </w:rPr>
        <w:t>Setting a clear strategic direction is another key part of the strategic management process, as it defines what the organisation aims to achieve in the long term. This typically involves establishing a vision, mission, and set of objectives that guide decision-making and priorities (Johnson et al., 2020). The vision outlines future ambitions, while the mission reflects the organisation’s core purpose and values. In the sport sector, organisations often base their strategy around goals such as increasing participation, improving performance, or enhancing financial stability. For example, governing bodies may focus on expanding global participation, while professional clubs might prioritise competitive success alongside commercial growth. Having a clear direction helps ensure that resources and efforts are aligned. However, it is equally important for strategies to remain flexible. In a rapidly changing environment, overly rigid plans can limit an organisation’s ability to adapt. As a result, sport organisations need to strike a balance between having a clear long-term vision and remaining responsive to change.</w:t>
      </w:r>
    </w:p>
    <w:p w:rsidR="20426153" w:rsidP="38294824" w:rsidRDefault="20426153" w14:paraId="085E5E13" w14:textId="13EAD461">
      <w:pPr>
        <w:spacing w:before="240" w:beforeAutospacing="off" w:after="240" w:afterAutospacing="off"/>
      </w:pPr>
      <w:r w:rsidRPr="38294824" w:rsidR="5755D824">
        <w:rPr>
          <w:rFonts w:ascii="Aptos" w:hAnsi="Aptos" w:eastAsia="Aptos" w:cs="Aptos"/>
          <w:noProof w:val="0"/>
          <w:sz w:val="24"/>
          <w:szCs w:val="24"/>
          <w:lang w:val="en-GB"/>
        </w:rPr>
        <w:t>Strategy implementation is where plans are put into practice, and it is often the stage that determines whether a strategy is successful. Even well-developed strategies can fail if they are not executed effectively (Johnson et al., 2020). Implementation requires careful allocation of resources, strong leadership, and clear communication across the organisation (Hoye et al., 2018). Within sport, this can be seen in initiatives such as investment in youth development or new approaches to fan engagement. For these strategies to succeed, they must be supported by adequate funding, coordination between stakeholders, and ongoing monitoring. However, implementation is widely recognised as one of the most challenging aspects of strategic management. Organisations may face issues such as limited resources, weak leadership, or resistance from staff (Mintzberg et al., 2009). This highlights the gap that can exist between planning and practice. To overcome these challenges, sport organisations need strong leadership and clear alignment across all areas of the organisation to ensure that strategic plans translate into meaningful outcomes.</w:t>
      </w:r>
    </w:p>
    <w:p w:rsidR="20426153" w:rsidP="38294824" w:rsidRDefault="20426153" w14:paraId="2C600BB2" w14:textId="29E80B29">
      <w:pPr>
        <w:spacing w:before="240" w:beforeAutospacing="off" w:after="240" w:afterAutospacing="off"/>
      </w:pPr>
      <w:r w:rsidRPr="38294824" w:rsidR="5755D824">
        <w:rPr>
          <w:rFonts w:ascii="Aptos" w:hAnsi="Aptos" w:eastAsia="Aptos" w:cs="Aptos"/>
          <w:noProof w:val="0"/>
          <w:sz w:val="24"/>
          <w:szCs w:val="24"/>
          <w:lang w:val="en-GB"/>
        </w:rPr>
        <w:t>Managing change is also a vital part of strategic management, particularly in the sport industry where organisations must constantly respond to new challenges and opportunities. Change can be planned, such as introducing new strategies or technologies, or it can be reactive in response to external pressures like economic shifts or technological developments (Burnes, 2017). In recent years, many sport organisations have had to adapt to digital transformation, using social media and streaming platforms to engage with fans in new ways. Lewin’s three-stage model provides a useful framework for understanding this process, involving unfreezing existing practices, implementing change, and then refreezing new approaches. This highlights the importance of preparing organisations for change and ensuring that new practices are sustained over time. However, change is not always easy to manage, as employees and stakeholders may resist new ideas. This makes effective leadership and communication essential. Sport organisations that are able to manage change successfully are more likely to remain competitive in a constantly evolving environment.</w:t>
      </w:r>
    </w:p>
    <w:p w:rsidR="20426153" w:rsidP="38294824" w:rsidRDefault="20426153" w14:paraId="3D60E069" w14:textId="3292F3F2">
      <w:pPr>
        <w:spacing w:before="240" w:beforeAutospacing="off" w:after="240" w:afterAutospacing="off"/>
      </w:pPr>
      <w:r w:rsidRPr="38294824" w:rsidR="5755D824">
        <w:rPr>
          <w:rFonts w:ascii="Aptos" w:hAnsi="Aptos" w:eastAsia="Aptos" w:cs="Aptos"/>
          <w:noProof w:val="0"/>
          <w:sz w:val="24"/>
          <w:szCs w:val="24"/>
          <w:lang w:val="en-GB"/>
        </w:rPr>
        <w:t xml:space="preserve">In conclusion, strategic management plays a crucial role in ensuring the success and long-term sustainability of sport organisations </w:t>
      </w:r>
      <w:r w:rsidRPr="38294824" w:rsidR="5755D824">
        <w:rPr>
          <w:rFonts w:ascii="Aptos" w:hAnsi="Aptos" w:eastAsia="Aptos" w:cs="Aptos"/>
          <w:noProof w:val="0"/>
          <w:sz w:val="24"/>
          <w:szCs w:val="24"/>
          <w:lang w:val="en-GB"/>
        </w:rPr>
        <w:t>operating</w:t>
      </w:r>
      <w:r w:rsidRPr="38294824" w:rsidR="5755D824">
        <w:rPr>
          <w:rFonts w:ascii="Aptos" w:hAnsi="Aptos" w:eastAsia="Aptos" w:cs="Aptos"/>
          <w:noProof w:val="0"/>
          <w:sz w:val="24"/>
          <w:szCs w:val="24"/>
          <w:lang w:val="en-GB"/>
        </w:rPr>
        <w:t xml:space="preserve"> in complex and competitive environments. This assignment has examined key stages of the process, including internal and external analysis, setting strategic direction, implementing strategy, and managing change. Each of these elements contributes to an organisation’s ability to respond to challenges and take advantage of opportunities within the sport sector. While developing a strong strategy is important, its success </w:t>
      </w:r>
      <w:r w:rsidRPr="38294824" w:rsidR="5755D824">
        <w:rPr>
          <w:rFonts w:ascii="Aptos" w:hAnsi="Aptos" w:eastAsia="Aptos" w:cs="Aptos"/>
          <w:noProof w:val="0"/>
          <w:sz w:val="24"/>
          <w:szCs w:val="24"/>
          <w:lang w:val="en-GB"/>
        </w:rPr>
        <w:t>ultimately depends</w:t>
      </w:r>
      <w:r w:rsidRPr="38294824" w:rsidR="5755D824">
        <w:rPr>
          <w:rFonts w:ascii="Aptos" w:hAnsi="Aptos" w:eastAsia="Aptos" w:cs="Aptos"/>
          <w:noProof w:val="0"/>
          <w:sz w:val="24"/>
          <w:szCs w:val="24"/>
          <w:lang w:val="en-GB"/>
        </w:rPr>
        <w:t xml:space="preserve"> on effective implementation and the ability to adapt to change. Without this, even well-designed plans may </w:t>
      </w:r>
      <w:r w:rsidRPr="38294824" w:rsidR="5755D824">
        <w:rPr>
          <w:rFonts w:ascii="Aptos" w:hAnsi="Aptos" w:eastAsia="Aptos" w:cs="Aptos"/>
          <w:noProof w:val="0"/>
          <w:sz w:val="24"/>
          <w:szCs w:val="24"/>
          <w:lang w:val="en-GB"/>
        </w:rPr>
        <w:t>fail to</w:t>
      </w:r>
      <w:r w:rsidRPr="38294824" w:rsidR="5755D824">
        <w:rPr>
          <w:rFonts w:ascii="Aptos" w:hAnsi="Aptos" w:eastAsia="Aptos" w:cs="Aptos"/>
          <w:noProof w:val="0"/>
          <w:sz w:val="24"/>
          <w:szCs w:val="24"/>
          <w:lang w:val="en-GB"/>
        </w:rPr>
        <w:t xml:space="preserve"> deliver the desired outcomes. Therefore, sport organisations must adopt a comprehensive and flexible approach to strategic management </w:t>
      </w:r>
      <w:r w:rsidRPr="38294824" w:rsidR="5755D824">
        <w:rPr>
          <w:rFonts w:ascii="Aptos" w:hAnsi="Aptos" w:eastAsia="Aptos" w:cs="Aptos"/>
          <w:noProof w:val="0"/>
          <w:sz w:val="24"/>
          <w:szCs w:val="24"/>
          <w:lang w:val="en-GB"/>
        </w:rPr>
        <w:t>to</w:t>
      </w:r>
      <w:r w:rsidRPr="38294824" w:rsidR="5755D824">
        <w:rPr>
          <w:rFonts w:ascii="Aptos" w:hAnsi="Aptos" w:eastAsia="Aptos" w:cs="Aptos"/>
          <w:noProof w:val="0"/>
          <w:sz w:val="24"/>
          <w:szCs w:val="24"/>
          <w:lang w:val="en-GB"/>
        </w:rPr>
        <w:t xml:space="preserve"> achieve their long-term </w:t>
      </w:r>
      <w:r w:rsidRPr="38294824" w:rsidR="5755D824">
        <w:rPr>
          <w:rFonts w:ascii="Aptos" w:hAnsi="Aptos" w:eastAsia="Aptos" w:cs="Aptos"/>
          <w:noProof w:val="0"/>
          <w:sz w:val="24"/>
          <w:szCs w:val="24"/>
          <w:lang w:val="en-GB"/>
        </w:rPr>
        <w:t>objectives</w:t>
      </w:r>
      <w:r w:rsidRPr="38294824" w:rsidR="5755D824">
        <w:rPr>
          <w:rFonts w:ascii="Aptos" w:hAnsi="Aptos" w:eastAsia="Aptos" w:cs="Aptos"/>
          <w:noProof w:val="0"/>
          <w:sz w:val="24"/>
          <w:szCs w:val="24"/>
          <w:lang w:val="en-GB"/>
        </w:rPr>
        <w:t xml:space="preserve"> and </w:t>
      </w:r>
      <w:r w:rsidRPr="38294824" w:rsidR="5755D824">
        <w:rPr>
          <w:rFonts w:ascii="Aptos" w:hAnsi="Aptos" w:eastAsia="Aptos" w:cs="Aptos"/>
          <w:noProof w:val="0"/>
          <w:sz w:val="24"/>
          <w:szCs w:val="24"/>
          <w:lang w:val="en-GB"/>
        </w:rPr>
        <w:t>maintain</w:t>
      </w:r>
      <w:r w:rsidRPr="38294824" w:rsidR="5755D824">
        <w:rPr>
          <w:rFonts w:ascii="Aptos" w:hAnsi="Aptos" w:eastAsia="Aptos" w:cs="Aptos"/>
          <w:noProof w:val="0"/>
          <w:sz w:val="24"/>
          <w:szCs w:val="24"/>
          <w:lang w:val="en-GB"/>
        </w:rPr>
        <w:t xml:space="preserve"> a competitive position.</w:t>
      </w:r>
    </w:p>
    <w:p w:rsidR="20426153" w:rsidP="20426153" w:rsidRDefault="20426153" w14:paraId="03549A50" w14:textId="706AC24B">
      <w:pPr>
        <w:pStyle w:val="Normal"/>
        <w:rPr>
          <w:rFonts w:ascii="Aptos" w:hAnsi="Aptos" w:eastAsia="Aptos" w:cs="Aptos"/>
          <w:noProof w:val="0"/>
          <w:sz w:val="24"/>
          <w:szCs w:val="24"/>
          <w:lang w:val="en-GB"/>
        </w:rPr>
      </w:pPr>
    </w:p>
    <w:p w:rsidR="47FF5F5C" w:rsidP="20426153" w:rsidRDefault="47FF5F5C" w14:paraId="6340AFE6" w14:textId="219D9D91">
      <w:pPr>
        <w:spacing w:before="240" w:beforeAutospacing="off" w:after="240" w:afterAutospacing="off"/>
      </w:pPr>
      <w:r w:rsidRPr="20426153" w:rsidR="47FF5F5C">
        <w:rPr>
          <w:rFonts w:ascii="Aptos" w:hAnsi="Aptos" w:eastAsia="Aptos" w:cs="Aptos"/>
          <w:noProof w:val="0"/>
          <w:sz w:val="24"/>
          <w:szCs w:val="24"/>
          <w:lang w:val="en-GB"/>
        </w:rPr>
        <w:t xml:space="preserve">Burnes, B. (2017) </w:t>
      </w:r>
      <w:r w:rsidRPr="20426153" w:rsidR="47FF5F5C">
        <w:rPr>
          <w:rFonts w:ascii="Aptos" w:hAnsi="Aptos" w:eastAsia="Aptos" w:cs="Aptos"/>
          <w:i w:val="1"/>
          <w:iCs w:val="1"/>
          <w:noProof w:val="0"/>
          <w:sz w:val="24"/>
          <w:szCs w:val="24"/>
          <w:lang w:val="en-GB"/>
        </w:rPr>
        <w:t>Managing Change</w:t>
      </w:r>
      <w:r w:rsidRPr="20426153" w:rsidR="47FF5F5C">
        <w:rPr>
          <w:rFonts w:ascii="Aptos" w:hAnsi="Aptos" w:eastAsia="Aptos" w:cs="Aptos"/>
          <w:noProof w:val="0"/>
          <w:sz w:val="24"/>
          <w:szCs w:val="24"/>
          <w:lang w:val="en-GB"/>
        </w:rPr>
        <w:t xml:space="preserve">. 7th edn. Harlow: Pearson. Available at: </w:t>
      </w:r>
      <w:hyperlink r:id="R26253bb19f4248d4">
        <w:r w:rsidRPr="20426153" w:rsidR="47FF5F5C">
          <w:rPr>
            <w:rStyle w:val="Hyperlink"/>
            <w:rFonts w:ascii="Aptos" w:hAnsi="Aptos" w:eastAsia="Aptos" w:cs="Aptos"/>
            <w:noProof w:val="0"/>
            <w:sz w:val="24"/>
            <w:szCs w:val="24"/>
            <w:lang w:val="en-GB"/>
          </w:rPr>
          <w:t>https://www.pearson.com/en-gb/subject-catalog/p/managing-change/P200000003438</w:t>
        </w:r>
      </w:hyperlink>
    </w:p>
    <w:p w:rsidR="47FF5F5C" w:rsidP="20426153" w:rsidRDefault="47FF5F5C" w14:paraId="51591FBF" w14:textId="5616BAF8">
      <w:pPr>
        <w:spacing w:before="240" w:beforeAutospacing="off" w:after="240" w:afterAutospacing="off"/>
      </w:pPr>
      <w:r w:rsidRPr="20426153" w:rsidR="47FF5F5C">
        <w:rPr>
          <w:rFonts w:ascii="Aptos" w:hAnsi="Aptos" w:eastAsia="Aptos" w:cs="Aptos"/>
          <w:noProof w:val="0"/>
          <w:sz w:val="24"/>
          <w:szCs w:val="24"/>
          <w:lang w:val="en-GB"/>
        </w:rPr>
        <w:t xml:space="preserve">Gürel, E. and Tat, M. (2017) ‘SWOT analysis: a theoretical review’, </w:t>
      </w:r>
      <w:r w:rsidRPr="20426153" w:rsidR="47FF5F5C">
        <w:rPr>
          <w:rFonts w:ascii="Aptos" w:hAnsi="Aptos" w:eastAsia="Aptos" w:cs="Aptos"/>
          <w:i w:val="1"/>
          <w:iCs w:val="1"/>
          <w:noProof w:val="0"/>
          <w:sz w:val="24"/>
          <w:szCs w:val="24"/>
          <w:lang w:val="en-GB"/>
        </w:rPr>
        <w:t>Journal of International Social Research</w:t>
      </w:r>
      <w:r w:rsidRPr="20426153" w:rsidR="47FF5F5C">
        <w:rPr>
          <w:rFonts w:ascii="Aptos" w:hAnsi="Aptos" w:eastAsia="Aptos" w:cs="Aptos"/>
          <w:noProof w:val="0"/>
          <w:sz w:val="24"/>
          <w:szCs w:val="24"/>
          <w:lang w:val="en-GB"/>
        </w:rPr>
        <w:t xml:space="preserve">, 10(51), pp. 994–1006. Available at: </w:t>
      </w:r>
      <w:hyperlink r:id="R113cf16928df47a9">
        <w:r w:rsidRPr="20426153" w:rsidR="47FF5F5C">
          <w:rPr>
            <w:rStyle w:val="Hyperlink"/>
            <w:rFonts w:ascii="Aptos" w:hAnsi="Aptos" w:eastAsia="Aptos" w:cs="Aptos"/>
            <w:noProof w:val="0"/>
            <w:sz w:val="24"/>
            <w:szCs w:val="24"/>
            <w:lang w:val="en-GB"/>
          </w:rPr>
          <w:t>https://doi.org/10.17719/jisr.2017.1832</w:t>
        </w:r>
      </w:hyperlink>
    </w:p>
    <w:p w:rsidR="47FF5F5C" w:rsidP="20426153" w:rsidRDefault="47FF5F5C" w14:paraId="597874A4" w14:textId="19DC5FCF">
      <w:pPr>
        <w:spacing w:before="240" w:beforeAutospacing="off" w:after="240" w:afterAutospacing="off"/>
      </w:pPr>
      <w:r w:rsidRPr="20426153" w:rsidR="47FF5F5C">
        <w:rPr>
          <w:rFonts w:ascii="Aptos" w:hAnsi="Aptos" w:eastAsia="Aptos" w:cs="Aptos"/>
          <w:noProof w:val="0"/>
          <w:sz w:val="24"/>
          <w:szCs w:val="24"/>
          <w:lang w:val="en-GB"/>
        </w:rPr>
        <w:t xml:space="preserve">Hoye, R., Smith, A., Nicholson, M. and Stewart, B. (2018) </w:t>
      </w:r>
      <w:r w:rsidRPr="20426153" w:rsidR="47FF5F5C">
        <w:rPr>
          <w:rFonts w:ascii="Aptos" w:hAnsi="Aptos" w:eastAsia="Aptos" w:cs="Aptos"/>
          <w:i w:val="1"/>
          <w:iCs w:val="1"/>
          <w:noProof w:val="0"/>
          <w:sz w:val="24"/>
          <w:szCs w:val="24"/>
          <w:lang w:val="en-GB"/>
        </w:rPr>
        <w:t>Sport Management: Principles and Applications</w:t>
      </w:r>
      <w:r w:rsidRPr="20426153" w:rsidR="47FF5F5C">
        <w:rPr>
          <w:rFonts w:ascii="Aptos" w:hAnsi="Aptos" w:eastAsia="Aptos" w:cs="Aptos"/>
          <w:noProof w:val="0"/>
          <w:sz w:val="24"/>
          <w:szCs w:val="24"/>
          <w:lang w:val="en-GB"/>
        </w:rPr>
        <w:t xml:space="preserve">. 5th edn. London: Routledge. Available at: </w:t>
      </w:r>
      <w:hyperlink r:id="R02eee9de279547dc">
        <w:r w:rsidRPr="20426153" w:rsidR="47FF5F5C">
          <w:rPr>
            <w:rStyle w:val="Hyperlink"/>
            <w:rFonts w:ascii="Aptos" w:hAnsi="Aptos" w:eastAsia="Aptos" w:cs="Aptos"/>
            <w:noProof w:val="0"/>
            <w:sz w:val="24"/>
            <w:szCs w:val="24"/>
            <w:lang w:val="en-GB"/>
          </w:rPr>
          <w:t>https://www.routledge.com/Sport-Management-Principles-and-Applications/Hoye-Smith-Nicholson-Stewart/p/book/9781138692295</w:t>
        </w:r>
      </w:hyperlink>
    </w:p>
    <w:p w:rsidR="47FF5F5C" w:rsidP="20426153" w:rsidRDefault="47FF5F5C" w14:paraId="46D77388" w14:textId="64B52CF8">
      <w:pPr>
        <w:spacing w:before="240" w:beforeAutospacing="off" w:after="240" w:afterAutospacing="off"/>
      </w:pPr>
      <w:r w:rsidRPr="20426153" w:rsidR="47FF5F5C">
        <w:rPr>
          <w:rFonts w:ascii="Aptos" w:hAnsi="Aptos" w:eastAsia="Aptos" w:cs="Aptos"/>
          <w:noProof w:val="0"/>
          <w:sz w:val="24"/>
          <w:szCs w:val="24"/>
          <w:lang w:val="en-GB"/>
        </w:rPr>
        <w:t xml:space="preserve">Johnson, G., Scholes, K. and Whittington, R. (2020) </w:t>
      </w:r>
      <w:r w:rsidRPr="20426153" w:rsidR="47FF5F5C">
        <w:rPr>
          <w:rFonts w:ascii="Aptos" w:hAnsi="Aptos" w:eastAsia="Aptos" w:cs="Aptos"/>
          <w:i w:val="1"/>
          <w:iCs w:val="1"/>
          <w:noProof w:val="0"/>
          <w:sz w:val="24"/>
          <w:szCs w:val="24"/>
          <w:lang w:val="en-GB"/>
        </w:rPr>
        <w:t>Exploring Strategy</w:t>
      </w:r>
      <w:r w:rsidRPr="20426153" w:rsidR="47FF5F5C">
        <w:rPr>
          <w:rFonts w:ascii="Aptos" w:hAnsi="Aptos" w:eastAsia="Aptos" w:cs="Aptos"/>
          <w:noProof w:val="0"/>
          <w:sz w:val="24"/>
          <w:szCs w:val="24"/>
          <w:lang w:val="en-GB"/>
        </w:rPr>
        <w:t xml:space="preserve">. 12th edn. Harlow: Pearson. Available at: </w:t>
      </w:r>
      <w:hyperlink r:id="R61488d2dbce44843">
        <w:r w:rsidRPr="20426153" w:rsidR="47FF5F5C">
          <w:rPr>
            <w:rStyle w:val="Hyperlink"/>
            <w:rFonts w:ascii="Aptos" w:hAnsi="Aptos" w:eastAsia="Aptos" w:cs="Aptos"/>
            <w:noProof w:val="0"/>
            <w:sz w:val="24"/>
            <w:szCs w:val="24"/>
            <w:lang w:val="en-GB"/>
          </w:rPr>
          <w:t>https://www.pearson.com/en-gb/subject-catalog/p/exploring-strategy/P200000003063</w:t>
        </w:r>
      </w:hyperlink>
    </w:p>
    <w:p w:rsidR="47FF5F5C" w:rsidP="20426153" w:rsidRDefault="47FF5F5C" w14:paraId="70464903" w14:textId="3A6BA06C">
      <w:pPr>
        <w:spacing w:before="240" w:beforeAutospacing="off" w:after="240" w:afterAutospacing="off"/>
      </w:pPr>
      <w:r w:rsidRPr="20426153" w:rsidR="47FF5F5C">
        <w:rPr>
          <w:rFonts w:ascii="Aptos" w:hAnsi="Aptos" w:eastAsia="Aptos" w:cs="Aptos"/>
          <w:noProof w:val="0"/>
          <w:sz w:val="24"/>
          <w:szCs w:val="24"/>
          <w:lang w:val="en-GB"/>
        </w:rPr>
        <w:t xml:space="preserve">Mintzberg, H., Ahlstrand, B. and Lampel, J. (2009) </w:t>
      </w:r>
      <w:r w:rsidRPr="20426153" w:rsidR="47FF5F5C">
        <w:rPr>
          <w:rFonts w:ascii="Aptos" w:hAnsi="Aptos" w:eastAsia="Aptos" w:cs="Aptos"/>
          <w:i w:val="1"/>
          <w:iCs w:val="1"/>
          <w:noProof w:val="0"/>
          <w:sz w:val="24"/>
          <w:szCs w:val="24"/>
          <w:lang w:val="en-GB"/>
        </w:rPr>
        <w:t>Strategy Safari</w:t>
      </w:r>
      <w:r w:rsidRPr="20426153" w:rsidR="47FF5F5C">
        <w:rPr>
          <w:rFonts w:ascii="Aptos" w:hAnsi="Aptos" w:eastAsia="Aptos" w:cs="Aptos"/>
          <w:noProof w:val="0"/>
          <w:sz w:val="24"/>
          <w:szCs w:val="24"/>
          <w:lang w:val="en-GB"/>
        </w:rPr>
        <w:t xml:space="preserve">. 2nd edn. Harlow: Pearson. Available at: </w:t>
      </w:r>
      <w:hyperlink r:id="R17444f24f4044819">
        <w:r w:rsidRPr="20426153" w:rsidR="47FF5F5C">
          <w:rPr>
            <w:rStyle w:val="Hyperlink"/>
            <w:rFonts w:ascii="Aptos" w:hAnsi="Aptos" w:eastAsia="Aptos" w:cs="Aptos"/>
            <w:noProof w:val="0"/>
            <w:sz w:val="24"/>
            <w:szCs w:val="24"/>
            <w:lang w:val="en-GB"/>
          </w:rPr>
          <w:t>https://www.pearson.com/en-gb/subject-catalog/p/strategy-safari/P200000003285</w:t>
        </w:r>
      </w:hyperlink>
    </w:p>
    <w:p w:rsidR="47FF5F5C" w:rsidP="20426153" w:rsidRDefault="47FF5F5C" w14:paraId="353C6E3C" w14:textId="66A2CD7B">
      <w:pPr>
        <w:spacing w:before="240" w:beforeAutospacing="off" w:after="240" w:afterAutospacing="off"/>
      </w:pPr>
      <w:r w:rsidRPr="38294824" w:rsidR="47FF5F5C">
        <w:rPr>
          <w:rFonts w:ascii="Aptos" w:hAnsi="Aptos" w:eastAsia="Aptos" w:cs="Aptos"/>
          <w:noProof w:val="0"/>
          <w:sz w:val="24"/>
          <w:szCs w:val="24"/>
          <w:lang w:val="en-GB"/>
        </w:rPr>
        <w:t xml:space="preserve">Smith, A. and Stewart, B. (2015) </w:t>
      </w:r>
      <w:r w:rsidRPr="38294824" w:rsidR="47FF5F5C">
        <w:rPr>
          <w:rFonts w:ascii="Aptos" w:hAnsi="Aptos" w:eastAsia="Aptos" w:cs="Aptos"/>
          <w:i w:val="1"/>
          <w:iCs w:val="1"/>
          <w:noProof w:val="0"/>
          <w:sz w:val="24"/>
          <w:szCs w:val="24"/>
          <w:lang w:val="en-GB"/>
        </w:rPr>
        <w:t>Introduction to Sport Marketing</w:t>
      </w:r>
      <w:r w:rsidRPr="38294824" w:rsidR="47FF5F5C">
        <w:rPr>
          <w:rFonts w:ascii="Aptos" w:hAnsi="Aptos" w:eastAsia="Aptos" w:cs="Aptos"/>
          <w:noProof w:val="0"/>
          <w:sz w:val="24"/>
          <w:szCs w:val="24"/>
          <w:lang w:val="en-GB"/>
        </w:rPr>
        <w:t xml:space="preserve">. London: Routledge. Available at: </w:t>
      </w:r>
      <w:hyperlink r:id="R3cadff0b1731437e">
        <w:r w:rsidRPr="38294824" w:rsidR="47FF5F5C">
          <w:rPr>
            <w:rStyle w:val="Hyperlink"/>
            <w:rFonts w:ascii="Aptos" w:hAnsi="Aptos" w:eastAsia="Aptos" w:cs="Aptos"/>
            <w:noProof w:val="0"/>
            <w:sz w:val="24"/>
            <w:szCs w:val="24"/>
            <w:lang w:val="en-GB"/>
          </w:rPr>
          <w:t>https://www.routledge.com/Introduction-to-Sport-Marketing/Smith-Stewart/p/book/9780415530282</w:t>
        </w:r>
      </w:hyperlink>
    </w:p>
    <w:p w:rsidR="38294824" w:rsidP="38294824" w:rsidRDefault="38294824" w14:paraId="45A9DF7B" w14:textId="58522378">
      <w:pPr>
        <w:pStyle w:val="Normal"/>
        <w:rPr>
          <w:rFonts w:ascii="Aptos" w:hAnsi="Aptos" w:eastAsia="Aptos" w:cs="Aptos"/>
          <w:b w:val="1"/>
          <w:bCs w:val="1"/>
          <w:noProof w:val="0"/>
          <w:sz w:val="24"/>
          <w:szCs w:val="24"/>
          <w:u w:val="single"/>
          <w:lang w:val="en-GB"/>
        </w:rPr>
      </w:pPr>
    </w:p>
    <w:p w:rsidR="20426153" w:rsidP="38294824" w:rsidRDefault="20426153" w14:paraId="1480901F" w14:textId="01296914">
      <w:pPr>
        <w:pStyle w:val="Normal"/>
        <w:rPr>
          <w:rFonts w:ascii="Aptos" w:hAnsi="Aptos" w:eastAsia="Aptos" w:cs="Aptos"/>
          <w:b w:val="1"/>
          <w:bCs w:val="1"/>
          <w:noProof w:val="0"/>
          <w:sz w:val="24"/>
          <w:szCs w:val="24"/>
          <w:u w:val="single"/>
          <w:lang w:val="en-GB"/>
        </w:rPr>
      </w:pPr>
      <w:r w:rsidRPr="38294824" w:rsidR="436D3D4B">
        <w:rPr>
          <w:rFonts w:ascii="Aptos" w:hAnsi="Aptos" w:eastAsia="Aptos" w:cs="Aptos"/>
          <w:b w:val="1"/>
          <w:bCs w:val="1"/>
          <w:noProof w:val="0"/>
          <w:sz w:val="24"/>
          <w:szCs w:val="24"/>
          <w:u w:val="single"/>
          <w:lang w:val="en-GB"/>
        </w:rPr>
        <w:t>Task 2</w:t>
      </w:r>
    </w:p>
    <w:p w:rsidR="38294824" w:rsidP="38294824" w:rsidRDefault="38294824" w14:paraId="5130ECE1" w14:textId="4B8351A9">
      <w:pPr>
        <w:pStyle w:val="Normal"/>
        <w:rPr>
          <w:rFonts w:ascii="Aptos" w:hAnsi="Aptos" w:eastAsia="Aptos" w:cs="Aptos"/>
          <w:b w:val="0"/>
          <w:bCs w:val="0"/>
          <w:noProof w:val="0"/>
          <w:sz w:val="24"/>
          <w:szCs w:val="24"/>
          <w:u w:val="none"/>
          <w:lang w:val="en-GB"/>
        </w:rPr>
      </w:pPr>
    </w:p>
    <w:p w:rsidR="09FAADF6" w:rsidP="38294824" w:rsidRDefault="09FAADF6" w14:paraId="230568E1" w14:textId="7CAA9C44">
      <w:pPr>
        <w:pStyle w:val="Normal"/>
      </w:pPr>
      <w:r w:rsidRPr="38294824" w:rsidR="09FAADF6">
        <w:rPr>
          <w:rFonts w:ascii="Aptos" w:hAnsi="Aptos" w:eastAsia="Aptos" w:cs="Aptos"/>
          <w:noProof w:val="0"/>
          <w:sz w:val="24"/>
          <w:szCs w:val="24"/>
          <w:lang w:val="en-GB"/>
        </w:rPr>
        <w:t>This assignment critically examines the strategic management approach of the Football Association of Wales (FAW) as outlined in its 2021–2026 strategic plan. It focuses on analysing the organisation’s internal and external strategic analysis, its approach to establishing strategic direction, and the effectiveness of its strategy implementation and change processes. By applying relevant strategic management theories, the assignment evaluates how effectively the FAW responds to the challenges and opportunities within the modern sport environment. The analysis aims to identify both strengths and limitations in the organisation’s strategy, providing a balanced assessment of its potential to achieve long-term success</w:t>
      </w:r>
    </w:p>
    <w:p w:rsidR="38294824" w:rsidP="38294824" w:rsidRDefault="38294824" w14:paraId="36AD0053" w14:textId="6E5315C9">
      <w:pPr>
        <w:pStyle w:val="Normal"/>
        <w:rPr>
          <w:rFonts w:ascii="Aptos" w:hAnsi="Aptos" w:eastAsia="Aptos" w:cs="Aptos"/>
          <w:noProof w:val="0"/>
          <w:sz w:val="24"/>
          <w:szCs w:val="24"/>
          <w:lang w:val="en-GB"/>
        </w:rPr>
      </w:pPr>
    </w:p>
    <w:p w:rsidR="38294824" w:rsidP="38294824" w:rsidRDefault="38294824" w14:paraId="682228B1" w14:textId="0842BF3F">
      <w:pPr>
        <w:pStyle w:val="Normal"/>
        <w:rPr>
          <w:rFonts w:ascii="Aptos" w:hAnsi="Aptos" w:eastAsia="Aptos" w:cs="Aptos"/>
          <w:noProof w:val="0"/>
          <w:sz w:val="24"/>
          <w:szCs w:val="24"/>
          <w:lang w:val="en-GB"/>
        </w:rPr>
      </w:pPr>
    </w:p>
    <w:p w:rsidR="6623E756" w:rsidP="38294824" w:rsidRDefault="6623E756" w14:paraId="71C71ABE" w14:textId="54760D7D">
      <w:pPr>
        <w:spacing w:before="240" w:beforeAutospacing="off" w:after="240" w:afterAutospacing="off"/>
      </w:pPr>
      <w:r w:rsidRPr="38294824" w:rsidR="6623E756">
        <w:rPr>
          <w:rFonts w:ascii="Aptos" w:hAnsi="Aptos" w:eastAsia="Aptos" w:cs="Aptos"/>
          <w:noProof w:val="0"/>
          <w:sz w:val="24"/>
          <w:szCs w:val="24"/>
          <w:lang w:val="en-GB"/>
        </w:rPr>
        <w:t xml:space="preserve">In its 2021–2026 strategic plan, the Football Association of Wales (FAW) adopts a broad approach to analysing both its internal and external </w:t>
      </w:r>
      <w:r w:rsidRPr="38294824" w:rsidR="7EB75E23">
        <w:rPr>
          <w:rFonts w:ascii="Aptos" w:hAnsi="Aptos" w:eastAsia="Aptos" w:cs="Aptos"/>
          <w:noProof w:val="0"/>
          <w:sz w:val="24"/>
          <w:szCs w:val="24"/>
          <w:lang w:val="en-GB"/>
        </w:rPr>
        <w:t>strategic analysis</w:t>
      </w:r>
      <w:r w:rsidRPr="38294824" w:rsidR="6623E756">
        <w:rPr>
          <w:rFonts w:ascii="Aptos" w:hAnsi="Aptos" w:eastAsia="Aptos" w:cs="Aptos"/>
          <w:noProof w:val="0"/>
          <w:sz w:val="24"/>
          <w:szCs w:val="24"/>
          <w:lang w:val="en-GB"/>
        </w:rPr>
        <w:t xml:space="preserve">. Internal analysis focuses on </w:t>
      </w:r>
      <w:r w:rsidRPr="38294824" w:rsidR="6623E756">
        <w:rPr>
          <w:rFonts w:ascii="Aptos" w:hAnsi="Aptos" w:eastAsia="Aptos" w:cs="Aptos"/>
          <w:noProof w:val="0"/>
          <w:sz w:val="24"/>
          <w:szCs w:val="24"/>
          <w:lang w:val="en-GB"/>
        </w:rPr>
        <w:t>identifying</w:t>
      </w:r>
      <w:r w:rsidRPr="38294824" w:rsidR="6623E756">
        <w:rPr>
          <w:rFonts w:ascii="Aptos" w:hAnsi="Aptos" w:eastAsia="Aptos" w:cs="Aptos"/>
          <w:noProof w:val="0"/>
          <w:sz w:val="24"/>
          <w:szCs w:val="24"/>
          <w:lang w:val="en-GB"/>
        </w:rPr>
        <w:t xml:space="preserve"> strengths and weaknesses, which play </w:t>
      </w:r>
      <w:r w:rsidRPr="38294824" w:rsidR="6623E756">
        <w:rPr>
          <w:rFonts w:ascii="Aptos" w:hAnsi="Aptos" w:eastAsia="Aptos" w:cs="Aptos"/>
          <w:noProof w:val="0"/>
          <w:sz w:val="24"/>
          <w:szCs w:val="24"/>
          <w:lang w:val="en-GB"/>
        </w:rPr>
        <w:t>an important role</w:t>
      </w:r>
      <w:r w:rsidRPr="38294824" w:rsidR="6623E756">
        <w:rPr>
          <w:rFonts w:ascii="Aptos" w:hAnsi="Aptos" w:eastAsia="Aptos" w:cs="Aptos"/>
          <w:noProof w:val="0"/>
          <w:sz w:val="24"/>
          <w:szCs w:val="24"/>
          <w:lang w:val="en-GB"/>
        </w:rPr>
        <w:t xml:space="preserve"> in shaping strategic decisions (Barney, 1991). </w:t>
      </w:r>
    </w:p>
    <w:p w:rsidR="6623E756" w:rsidP="38294824" w:rsidRDefault="6623E756" w14:paraId="337A4C8D" w14:textId="65375F90">
      <w:pPr>
        <w:spacing w:before="240" w:beforeAutospacing="off" w:after="240" w:afterAutospacing="off"/>
      </w:pPr>
      <w:r w:rsidRPr="38294824" w:rsidR="6623E756">
        <w:rPr>
          <w:rFonts w:ascii="Aptos" w:hAnsi="Aptos" w:eastAsia="Aptos" w:cs="Aptos"/>
          <w:noProof w:val="0"/>
          <w:sz w:val="24"/>
          <w:szCs w:val="24"/>
          <w:lang w:val="en-GB"/>
        </w:rPr>
        <w:t xml:space="preserve">The FAW highlights several key strengths, including the continued development of youth and women’s football pathways, improvements in governance, and recent international success. For example, qualification for major international tournaments and increased participation rates suggest that the organisation has built </w:t>
      </w:r>
      <w:r w:rsidRPr="38294824" w:rsidR="6623E756">
        <w:rPr>
          <w:rFonts w:ascii="Aptos" w:hAnsi="Aptos" w:eastAsia="Aptos" w:cs="Aptos"/>
          <w:noProof w:val="0"/>
          <w:sz w:val="24"/>
          <w:szCs w:val="24"/>
          <w:lang w:val="en-GB"/>
        </w:rPr>
        <w:t>a strong foundation</w:t>
      </w:r>
      <w:r w:rsidRPr="38294824" w:rsidR="6623E756">
        <w:rPr>
          <w:rFonts w:ascii="Aptos" w:hAnsi="Aptos" w:eastAsia="Aptos" w:cs="Aptos"/>
          <w:noProof w:val="0"/>
          <w:sz w:val="24"/>
          <w:szCs w:val="24"/>
          <w:lang w:val="en-GB"/>
        </w:rPr>
        <w:t xml:space="preserve"> for future growth. In addition, the FAW places clear importance on its people—players, coaches, and stakeholders—recognising them as valuable organisational assets. Its investment in education programmes and commitment to inclusion reflects an understanding of how human capital contributes to long-term success. This aligns with the resource-based view, which argues that organisations can gain a competitive advantage by effectively using their internal resources and capabilities (Barney, 1991). </w:t>
      </w:r>
    </w:p>
    <w:p w:rsidR="6623E756" w:rsidP="38294824" w:rsidRDefault="6623E756" w14:paraId="70479505" w14:textId="26A6854A">
      <w:pPr>
        <w:spacing w:before="240" w:beforeAutospacing="off" w:after="240" w:afterAutospacing="off"/>
      </w:pPr>
      <w:r w:rsidRPr="38294824" w:rsidR="6623E756">
        <w:rPr>
          <w:rFonts w:ascii="Aptos" w:hAnsi="Aptos" w:eastAsia="Aptos" w:cs="Aptos"/>
          <w:noProof w:val="0"/>
          <w:sz w:val="24"/>
          <w:szCs w:val="24"/>
          <w:lang w:val="en-GB"/>
        </w:rPr>
        <w:t xml:space="preserve">However, the FAW also acknowledges several internal weaknesses. Issues such as inconsistent governance at a local level and the </w:t>
      </w:r>
      <w:r w:rsidRPr="38294824" w:rsidR="6623E756">
        <w:rPr>
          <w:rFonts w:ascii="Aptos" w:hAnsi="Aptos" w:eastAsia="Aptos" w:cs="Aptos"/>
          <w:noProof w:val="0"/>
          <w:sz w:val="24"/>
          <w:szCs w:val="24"/>
          <w:lang w:val="en-GB"/>
        </w:rPr>
        <w:t>poor quality</w:t>
      </w:r>
      <w:r w:rsidRPr="38294824" w:rsidR="6623E756">
        <w:rPr>
          <w:rFonts w:ascii="Aptos" w:hAnsi="Aptos" w:eastAsia="Aptos" w:cs="Aptos"/>
          <w:noProof w:val="0"/>
          <w:sz w:val="24"/>
          <w:szCs w:val="24"/>
          <w:lang w:val="en-GB"/>
        </w:rPr>
        <w:t xml:space="preserve"> of some facilities continue to limit participation and development. This suggests that, despite recent progress, there are still structural challenges that need to be addressed. Alongside this, the FAW demonstrates awareness of a wide range of external factors that influence its strategy. These include major socio-political developments such as the COVID-19 pandemic, Brexit, and movements like Black Lives Matter, as well as broader concerns around climate change. This reflects the use of a PESTLE-type approach, which considers political, economic, social, technological, legal, and environmental influences on organisational performance (Johnson et al., 2020). The FAW also recognises the impact of changing consumer behaviour, developments in digital technology, and shifts in the media landscape, all of which are shaping how fans engage with sport. In addition, increased competition within the global sport industry and changing participation trends create further pressure for organisations to adapt. </w:t>
      </w:r>
    </w:p>
    <w:p w:rsidR="6623E756" w:rsidP="38294824" w:rsidRDefault="6623E756" w14:paraId="2056A3DD" w14:textId="53DD636F">
      <w:pPr>
        <w:spacing w:before="240" w:beforeAutospacing="off" w:after="240" w:afterAutospacing="off"/>
      </w:pPr>
      <w:r w:rsidRPr="38294824" w:rsidR="6623E756">
        <w:rPr>
          <w:rFonts w:ascii="Aptos" w:hAnsi="Aptos" w:eastAsia="Aptos" w:cs="Aptos"/>
          <w:noProof w:val="0"/>
          <w:sz w:val="24"/>
          <w:szCs w:val="24"/>
          <w:lang w:val="en-GB"/>
        </w:rPr>
        <w:t xml:space="preserve">As noted by Smith and Stewart (2010), sport organisations must remain flexible if they are to stay relevant in such dynamic environments. Despite </w:t>
      </w:r>
      <w:r w:rsidRPr="38294824" w:rsidR="6623E756">
        <w:rPr>
          <w:rFonts w:ascii="Aptos" w:hAnsi="Aptos" w:eastAsia="Aptos" w:cs="Aptos"/>
          <w:noProof w:val="0"/>
          <w:sz w:val="24"/>
          <w:szCs w:val="24"/>
          <w:lang w:val="en-GB"/>
        </w:rPr>
        <w:t>identifying</w:t>
      </w:r>
      <w:r w:rsidRPr="38294824" w:rsidR="6623E756">
        <w:rPr>
          <w:rFonts w:ascii="Aptos" w:hAnsi="Aptos" w:eastAsia="Aptos" w:cs="Aptos"/>
          <w:noProof w:val="0"/>
          <w:sz w:val="24"/>
          <w:szCs w:val="24"/>
          <w:lang w:val="en-GB"/>
        </w:rPr>
        <w:t xml:space="preserve"> a wide range of external challenges, the FAW’s analysis appears to be more descriptive than critical in places. For example, while issues such as limited media coverage, changing fan expectations, and inadequate facilities are acknowledged, there is little </w:t>
      </w:r>
      <w:r w:rsidRPr="38294824" w:rsidR="6623E756">
        <w:rPr>
          <w:rFonts w:ascii="Aptos" w:hAnsi="Aptos" w:eastAsia="Aptos" w:cs="Aptos"/>
          <w:noProof w:val="0"/>
          <w:sz w:val="24"/>
          <w:szCs w:val="24"/>
          <w:lang w:val="en-GB"/>
        </w:rPr>
        <w:t>indication</w:t>
      </w:r>
      <w:r w:rsidRPr="38294824" w:rsidR="6623E756">
        <w:rPr>
          <w:rFonts w:ascii="Aptos" w:hAnsi="Aptos" w:eastAsia="Aptos" w:cs="Aptos"/>
          <w:noProof w:val="0"/>
          <w:sz w:val="24"/>
          <w:szCs w:val="24"/>
          <w:lang w:val="en-GB"/>
        </w:rPr>
        <w:t xml:space="preserve"> of how these factors are prioritised, or which pose the greatest long-term risk. This is a key limitation, as effective strategy requires not only an understanding of the environment but also the ability to </w:t>
      </w:r>
      <w:r w:rsidRPr="38294824" w:rsidR="6623E756">
        <w:rPr>
          <w:rFonts w:ascii="Aptos" w:hAnsi="Aptos" w:eastAsia="Aptos" w:cs="Aptos"/>
          <w:noProof w:val="0"/>
          <w:sz w:val="24"/>
          <w:szCs w:val="24"/>
          <w:lang w:val="en-GB"/>
        </w:rPr>
        <w:t>identify</w:t>
      </w:r>
      <w:r w:rsidRPr="38294824" w:rsidR="6623E756">
        <w:rPr>
          <w:rFonts w:ascii="Aptos" w:hAnsi="Aptos" w:eastAsia="Aptos" w:cs="Aptos"/>
          <w:noProof w:val="0"/>
          <w:sz w:val="24"/>
          <w:szCs w:val="24"/>
          <w:lang w:val="en-GB"/>
        </w:rPr>
        <w:t xml:space="preserve"> the most significant drivers of performance (Grant, 2019). Without clear prioritisation, there is a risk that resources may be spread too thinly across multiple initiatives, reducing overall effectiveness. Overall, the FAW shows a solid understanding of both its internal strengths and the external pressures it faces. However, a more focused and critically prioritised analysis would strengthen its ability to respond effectively to the increasingly complex and competitive nature of the sport industry.</w:t>
      </w:r>
    </w:p>
    <w:p w:rsidR="38294824" w:rsidP="38294824" w:rsidRDefault="38294824" w14:paraId="54367032" w14:textId="703F4165">
      <w:pPr>
        <w:spacing w:before="240" w:beforeAutospacing="off" w:after="240" w:afterAutospacing="off"/>
        <w:rPr>
          <w:rFonts w:ascii="Aptos" w:hAnsi="Aptos" w:eastAsia="Aptos" w:cs="Aptos"/>
          <w:noProof w:val="0"/>
          <w:sz w:val="24"/>
          <w:szCs w:val="24"/>
          <w:lang w:val="en-GB"/>
        </w:rPr>
      </w:pPr>
    </w:p>
    <w:p w:rsidR="6B2B0FB7" w:rsidP="38294824" w:rsidRDefault="6B2B0FB7" w14:paraId="5BB51B16" w14:textId="1D00355A">
      <w:pPr>
        <w:spacing w:before="240" w:beforeAutospacing="off" w:after="240" w:afterAutospacing="off"/>
      </w:pPr>
      <w:r w:rsidRPr="38294824" w:rsidR="6B2B0FB7">
        <w:rPr>
          <w:rFonts w:ascii="Aptos" w:hAnsi="Aptos" w:eastAsia="Aptos" w:cs="Aptos"/>
          <w:noProof w:val="0"/>
          <w:sz w:val="24"/>
          <w:szCs w:val="24"/>
          <w:lang w:val="en-GB"/>
        </w:rPr>
        <w:t>The Football Association of Wales (FAW) sets out a clear and ambitious strategic direction in its 2021–2026 plan, centred on its aim of becoming “a leading football nation” both domestically and internationally. This vision provides an overall sense of purpose and helps guide long-term decision-making across the organisation. Establishing a clear vision and mission is widely recognised as a key element of effective strategic management, as it allows organisations to align their activities and communicate their purpose to stakeholders (Grant, 2019). To support this, the FAW identifies a number of strategic priorities, including increasing participation, improving fan engagement, and achieving stronger international performance. Alongside these objectives, the organisation also promotes core values such as high standards, respect, and a sense of family, which are intended to shape behaviour and culture throughout Welsh football. This reflects the idea that clearly defined goals and strong organisational values can lead to improved performance and greater stakeholder commitment (Slack and Parent, 2006).</w:t>
      </w:r>
    </w:p>
    <w:p w:rsidR="6B2B0FB7" w:rsidP="38294824" w:rsidRDefault="6B2B0FB7" w14:paraId="39D7200A" w14:textId="0E63E83E">
      <w:pPr>
        <w:spacing w:before="240" w:beforeAutospacing="off" w:after="240" w:afterAutospacing="off"/>
      </w:pPr>
      <w:r w:rsidRPr="38294824" w:rsidR="6B2B0FB7">
        <w:rPr>
          <w:rFonts w:ascii="Aptos" w:hAnsi="Aptos" w:eastAsia="Aptos" w:cs="Aptos"/>
          <w:noProof w:val="0"/>
          <w:sz w:val="24"/>
          <w:szCs w:val="24"/>
          <w:lang w:val="en-GB"/>
        </w:rPr>
        <w:t>The FAW’s strategy also highlights a strong commitment to inclusion, with particular focus on developing women’s and girls’ football, encouraging diversity, and widening access across different communities. This suggests that the organisation is not only focused on competitive success, but also on delivering wider social impact, which has become increasingly important in modern sport. As noted by Smith and Stewart (2010), sport organisations today are expected to balance commercial, competitive, and social objectives in order to remain relevant. However, despite these strengths, there are some clear limitations in the FAW’s approach to strategic direction. One issue is the broad and ambitious nature of its overall vision. While aiming to become a “leading football nation” is inspiring, it is also quite vague and difficult to measure in practice. This makes it harder to assess whether the organisation has successfully achieved its goals, which reflects a common criticism of strategic management — that unclear visions can weaken focus and make performance evaluation more challenging (Kaplan and Norton, 1996).</w:t>
      </w:r>
    </w:p>
    <w:p w:rsidR="6B2B0FB7" w:rsidP="38294824" w:rsidRDefault="6B2B0FB7" w14:paraId="42C14AAD" w14:textId="08B4AB2C">
      <w:pPr>
        <w:spacing w:before="240" w:beforeAutospacing="off" w:after="240" w:afterAutospacing="off"/>
      </w:pPr>
      <w:r w:rsidRPr="38294824" w:rsidR="6B2B0FB7">
        <w:rPr>
          <w:rFonts w:ascii="Aptos" w:hAnsi="Aptos" w:eastAsia="Aptos" w:cs="Aptos"/>
          <w:noProof w:val="0"/>
          <w:sz w:val="24"/>
          <w:szCs w:val="24"/>
          <w:lang w:val="en-GB"/>
        </w:rPr>
        <w:t>Another potential weakness is the number of strategic priorities identified across different areas such as performance, participation, governance, and facilities. Although this demonstrates ambition, it may also create difficulties in terms of prioritisation and resource allocation. As Mintzberg et al. (2009) suggest, organisations that try to pursue too many objectives at once can lose focus and struggle to implement their strategies effectively. This is particularly relevant in sport, where financial and human resources are often limited. In addition, while the FAW outlines key areas for development, there is relatively little detail on how these priorities will be ranked or how success will be measured beyond general targets. This lack of clarity could make it more difficult to track progress and ensure accountability over time. Effective strategic direction typically requires clear objectives, measurable outcomes, and defined performance indicators to monitor success (Kaplan and Norton, 1996).</w:t>
      </w:r>
    </w:p>
    <w:p w:rsidR="6B2B0FB7" w:rsidP="38294824" w:rsidRDefault="6B2B0FB7" w14:paraId="43258F68" w14:textId="591DDBCF">
      <w:pPr>
        <w:spacing w:before="240" w:beforeAutospacing="off" w:after="240" w:afterAutospacing="off"/>
      </w:pPr>
      <w:r w:rsidRPr="38294824" w:rsidR="6B2B0FB7">
        <w:rPr>
          <w:rFonts w:ascii="Aptos" w:hAnsi="Aptos" w:eastAsia="Aptos" w:cs="Aptos"/>
          <w:noProof w:val="0"/>
          <w:sz w:val="24"/>
          <w:szCs w:val="24"/>
          <w:lang w:val="en-GB"/>
        </w:rPr>
        <w:t>Overall, the FAW presents a clear and inclusive strategic direction that successfully combines performance ambitions with broader social goals. However, greater clarity, stronger prioritisation, and more defined performance measures would strengthen its ability to deliver long-term success in an increasingly competitive and complex sporting environment.</w:t>
      </w:r>
    </w:p>
    <w:p w:rsidR="38294824" w:rsidP="38294824" w:rsidRDefault="38294824" w14:paraId="6A32986B" w14:textId="7839D69F">
      <w:pPr>
        <w:spacing w:before="240" w:beforeAutospacing="off" w:after="240" w:afterAutospacing="off"/>
        <w:rPr>
          <w:rFonts w:ascii="Aptos" w:hAnsi="Aptos" w:eastAsia="Aptos" w:cs="Aptos"/>
          <w:noProof w:val="0"/>
          <w:sz w:val="24"/>
          <w:szCs w:val="24"/>
          <w:lang w:val="en-GB"/>
        </w:rPr>
      </w:pPr>
    </w:p>
    <w:p w:rsidR="38294824" w:rsidP="38294824" w:rsidRDefault="38294824" w14:paraId="4F59AEB7" w14:textId="7EB907AD">
      <w:pPr>
        <w:pStyle w:val="Normal"/>
        <w:spacing w:before="240" w:beforeAutospacing="off" w:after="240" w:afterAutospacing="off"/>
        <w:rPr>
          <w:rFonts w:ascii="Aptos" w:hAnsi="Aptos" w:eastAsia="Aptos" w:cs="Aptos"/>
          <w:noProof w:val="0"/>
          <w:sz w:val="24"/>
          <w:szCs w:val="24"/>
          <w:lang w:val="en-GB"/>
        </w:rPr>
      </w:pPr>
    </w:p>
    <w:p w:rsidR="04BB0AD1" w:rsidP="38294824" w:rsidRDefault="04BB0AD1" w14:paraId="4ED42188" w14:textId="7C10028C">
      <w:pPr>
        <w:spacing w:before="240" w:beforeAutospacing="off" w:after="240" w:afterAutospacing="off"/>
      </w:pPr>
      <w:r w:rsidRPr="38294824" w:rsidR="04BB0AD1">
        <w:rPr>
          <w:rFonts w:ascii="Aptos" w:hAnsi="Aptos" w:eastAsia="Aptos" w:cs="Aptos"/>
          <w:noProof w:val="0"/>
          <w:sz w:val="24"/>
          <w:szCs w:val="24"/>
          <w:lang w:val="en-GB"/>
        </w:rPr>
        <w:t>The Football Association of Wales (FAW) presents a structured approach to strategy implementation within its 2021–2026 strategic plan, outlining how its objectives are intended to be translated into practical outcomes. Strategy implementation involves putting plans into action through effective use of resources, leadership, and organisational processes (Hoye et al., 2018). To support this, the FAW identifies several key enablers, including investment, engagement, insight, systems, and organisational image. This highlights an awareness of the need to align internal capabilities with overall strategic aims, ensuring that plans are supported by the right structures and resources.</w:t>
      </w:r>
    </w:p>
    <w:p w:rsidR="04BB0AD1" w:rsidP="38294824" w:rsidRDefault="04BB0AD1" w14:paraId="201C045F" w14:textId="1642B3C5">
      <w:pPr>
        <w:spacing w:before="240" w:beforeAutospacing="off" w:after="240" w:afterAutospacing="off"/>
      </w:pPr>
      <w:r w:rsidRPr="38294824" w:rsidR="04BB0AD1">
        <w:rPr>
          <w:rFonts w:ascii="Aptos" w:hAnsi="Aptos" w:eastAsia="Aptos" w:cs="Aptos"/>
          <w:noProof w:val="0"/>
          <w:sz w:val="24"/>
          <w:szCs w:val="24"/>
          <w:lang w:val="en-GB"/>
        </w:rPr>
        <w:t>The FAW also places importance on monitoring and evaluation, using performance measures and regular progress reviews to track development. This reflects established strategic management practice, where continuous evaluation allows organisations to assess performance and make adjustments where necessary (Grant, 2019). The use of data analysis and performance tracking systems further suggests a move towards more evidence-based decision-making, which is particularly valuable in complex and rapidly changing environments. However, despite these strengths, there are some limitations within the FAW’s implementation approach. While a range of strategic priorities is identified, there is limited detail on how these will be prioritised or funded in practice. This lack of clarity could make effective delivery more challenging, particularly given the scale of the plan. As Mintzberg et al. (2009) argue, strategies often fail not because they are poorly designed, but because they are difficult to implement due to issues such as weak coordination or unclear direction.</w:t>
      </w:r>
    </w:p>
    <w:p w:rsidR="04BB0AD1" w:rsidP="38294824" w:rsidRDefault="04BB0AD1" w14:paraId="2DC660C2" w14:textId="14F9D50F">
      <w:pPr>
        <w:spacing w:before="240" w:beforeAutospacing="off" w:after="240" w:afterAutospacing="off"/>
      </w:pPr>
      <w:r w:rsidRPr="38294824" w:rsidR="04BB0AD1">
        <w:rPr>
          <w:rFonts w:ascii="Aptos" w:hAnsi="Aptos" w:eastAsia="Aptos" w:cs="Aptos"/>
          <w:noProof w:val="0"/>
          <w:sz w:val="24"/>
          <w:szCs w:val="24"/>
          <w:lang w:val="en-GB"/>
        </w:rPr>
        <w:t>In addition, the FAW’s reliance on a wide network of stakeholders—including partners, local organisations, and government bodies—adds further complexity to the implementation process. While collaboration can provide access to additional resources and expertise, it can also create challenges in terms of communication, accountability, and decision-making. This reflects the view that multi-stakeholder environments can make implementation more difficult, particularly in sport where governance structures are often fragmented (Ferkins and Shilbury, 2015).</w:t>
      </w:r>
    </w:p>
    <w:p w:rsidR="04BB0AD1" w:rsidP="38294824" w:rsidRDefault="04BB0AD1" w14:paraId="11FA338E" w14:textId="61BAC4D9">
      <w:pPr>
        <w:spacing w:before="240" w:beforeAutospacing="off" w:after="240" w:afterAutospacing="off"/>
      </w:pPr>
      <w:r w:rsidRPr="38294824" w:rsidR="04BB0AD1">
        <w:rPr>
          <w:rFonts w:ascii="Aptos" w:hAnsi="Aptos" w:eastAsia="Aptos" w:cs="Aptos"/>
          <w:noProof w:val="0"/>
          <w:sz w:val="24"/>
          <w:szCs w:val="24"/>
          <w:lang w:val="en-GB"/>
        </w:rPr>
        <w:t>In relation to change management, the FAW recognises the need to operate in an environment that is constantly evolving, highlighting challenges such as the COVID-19 pandemic, technological developments, and shifting social expectations. This demonstrates an understanding of the importance of organisational adaptability. Change management theory suggests that organisations need structured approaches to manage change effectively, reduce resistance, and support successful implementation (Burnes, 2017). The FAW’s focus on flexibility, ongoing monitoring, and stakeholder engagement indicates an attempt to take a proactive approach. However, there is limited detail on how change will be managed in practice, particularly in relation to handling resistance or ensuring consistency across different levels of the organisation. This could present a challenge, as resistance to change is a common barrier to successful strategy implementation.</w:t>
      </w:r>
    </w:p>
    <w:p w:rsidR="04BB0AD1" w:rsidP="38294824" w:rsidRDefault="04BB0AD1" w14:paraId="68C77985" w14:textId="1BDDB02E">
      <w:pPr>
        <w:spacing w:before="240" w:beforeAutospacing="off" w:after="240" w:afterAutospacing="off"/>
      </w:pPr>
      <w:r w:rsidRPr="38294824" w:rsidR="04BB0AD1">
        <w:rPr>
          <w:rFonts w:ascii="Aptos" w:hAnsi="Aptos" w:eastAsia="Aptos" w:cs="Aptos"/>
          <w:noProof w:val="0"/>
          <w:sz w:val="24"/>
          <w:szCs w:val="24"/>
          <w:lang w:val="en-GB"/>
        </w:rPr>
        <w:t>Overall, the FAW demonstrates a well-developed approach to strategy implementation, supported by clear structures and monitoring processes. However, issues around prioritisation, stakeholder coordination, and the practical management of change may limit its overall effectiveness. A more detailed and clearly defined approach to implementation and change management would strengthen the organisation’s ability to achieve its strategic objectives.</w:t>
      </w:r>
    </w:p>
    <w:p w:rsidR="58FEDC4E" w:rsidP="38294824" w:rsidRDefault="58FEDC4E" w14:paraId="2D65EEB2" w14:textId="21846550">
      <w:pPr>
        <w:spacing w:before="240" w:beforeAutospacing="off" w:after="240" w:afterAutospacing="off"/>
      </w:pPr>
      <w:r w:rsidRPr="38294824" w:rsidR="58FEDC4E">
        <w:rPr>
          <w:rFonts w:ascii="Aptos" w:hAnsi="Aptos" w:eastAsia="Aptos" w:cs="Aptos"/>
          <w:noProof w:val="0"/>
          <w:sz w:val="24"/>
          <w:szCs w:val="24"/>
          <w:lang w:val="en-GB"/>
        </w:rPr>
        <w:t xml:space="preserve">To conclude each strategy on a whole, the Football Association of Wales presents a clear and ambitious strategic plan, showing that it understands both its internal strengths and the challenges facing modern sport. Its use of internal and external analysis highlights positives such as recent international success and organisational progress, while also recognising wider pressures like economic uncertainty and changing participation trends. However, much of this analysis </w:t>
      </w:r>
      <w:r w:rsidRPr="38294824" w:rsidR="58FEDC4E">
        <w:rPr>
          <w:rFonts w:ascii="Aptos" w:hAnsi="Aptos" w:eastAsia="Aptos" w:cs="Aptos"/>
          <w:noProof w:val="0"/>
          <w:sz w:val="24"/>
          <w:szCs w:val="24"/>
          <w:lang w:val="en-GB"/>
        </w:rPr>
        <w:t>remains</w:t>
      </w:r>
      <w:r w:rsidRPr="38294824" w:rsidR="58FEDC4E">
        <w:rPr>
          <w:rFonts w:ascii="Aptos" w:hAnsi="Aptos" w:eastAsia="Aptos" w:cs="Aptos"/>
          <w:noProof w:val="0"/>
          <w:sz w:val="24"/>
          <w:szCs w:val="24"/>
          <w:lang w:val="en-GB"/>
        </w:rPr>
        <w:t xml:space="preserve"> quite descriptive, which may limit how useful it is when it comes to making practical decisions.</w:t>
      </w:r>
      <w:r w:rsidRPr="38294824" w:rsidR="5C77A422">
        <w:rPr>
          <w:rFonts w:ascii="Aptos" w:hAnsi="Aptos" w:eastAsia="Aptos" w:cs="Aptos"/>
          <w:noProof w:val="0"/>
          <w:sz w:val="24"/>
          <w:szCs w:val="24"/>
          <w:lang w:val="en-GB"/>
        </w:rPr>
        <w:t xml:space="preserve"> </w:t>
      </w:r>
      <w:r w:rsidRPr="38294824" w:rsidR="58FEDC4E">
        <w:rPr>
          <w:rFonts w:ascii="Aptos" w:hAnsi="Aptos" w:eastAsia="Aptos" w:cs="Aptos"/>
          <w:noProof w:val="0"/>
          <w:sz w:val="24"/>
          <w:szCs w:val="24"/>
          <w:lang w:val="en-GB"/>
        </w:rPr>
        <w:t xml:space="preserve">The FAW’s strategic direction shows a strong commitment to both performance and wider social impact, particularly through its focus on inclusion, participation, and international success. This creates a vision that is both broad and appealing. At the same time, the number of </w:t>
      </w:r>
      <w:r w:rsidRPr="38294824" w:rsidR="58FEDC4E">
        <w:rPr>
          <w:rFonts w:ascii="Aptos" w:hAnsi="Aptos" w:eastAsia="Aptos" w:cs="Aptos"/>
          <w:noProof w:val="0"/>
          <w:sz w:val="24"/>
          <w:szCs w:val="24"/>
          <w:lang w:val="en-GB"/>
        </w:rPr>
        <w:t>objectives</w:t>
      </w:r>
      <w:r w:rsidRPr="38294824" w:rsidR="58FEDC4E">
        <w:rPr>
          <w:rFonts w:ascii="Aptos" w:hAnsi="Aptos" w:eastAsia="Aptos" w:cs="Aptos"/>
          <w:noProof w:val="0"/>
          <w:sz w:val="24"/>
          <w:szCs w:val="24"/>
          <w:lang w:val="en-GB"/>
        </w:rPr>
        <w:t xml:space="preserve">, along with the lack of clearly defined measures of success, makes it harder to judge progress and </w:t>
      </w:r>
      <w:r w:rsidRPr="38294824" w:rsidR="58FEDC4E">
        <w:rPr>
          <w:rFonts w:ascii="Aptos" w:hAnsi="Aptos" w:eastAsia="Aptos" w:cs="Aptos"/>
          <w:noProof w:val="0"/>
          <w:sz w:val="24"/>
          <w:szCs w:val="24"/>
          <w:lang w:val="en-GB"/>
        </w:rPr>
        <w:t>maintain</w:t>
      </w:r>
      <w:r w:rsidRPr="38294824" w:rsidR="58FEDC4E">
        <w:rPr>
          <w:rFonts w:ascii="Aptos" w:hAnsi="Aptos" w:eastAsia="Aptos" w:cs="Aptos"/>
          <w:noProof w:val="0"/>
          <w:sz w:val="24"/>
          <w:szCs w:val="24"/>
          <w:lang w:val="en-GB"/>
        </w:rPr>
        <w:t xml:space="preserve"> a clear focus over time.</w:t>
      </w:r>
      <w:r w:rsidRPr="38294824" w:rsidR="3B235EF9">
        <w:rPr>
          <w:rFonts w:ascii="Aptos" w:hAnsi="Aptos" w:eastAsia="Aptos" w:cs="Aptos"/>
          <w:noProof w:val="0"/>
          <w:sz w:val="24"/>
          <w:szCs w:val="24"/>
          <w:lang w:val="en-GB"/>
        </w:rPr>
        <w:t xml:space="preserve"> </w:t>
      </w:r>
      <w:r w:rsidRPr="38294824" w:rsidR="58FEDC4E">
        <w:rPr>
          <w:rFonts w:ascii="Aptos" w:hAnsi="Aptos" w:eastAsia="Aptos" w:cs="Aptos"/>
          <w:noProof w:val="0"/>
          <w:sz w:val="24"/>
          <w:szCs w:val="24"/>
          <w:lang w:val="en-GB"/>
        </w:rPr>
        <w:t xml:space="preserve">When looking at implementation and change, the FAW shows a good awareness of the importance of </w:t>
      </w:r>
      <w:r w:rsidRPr="38294824" w:rsidR="58FEDC4E">
        <w:rPr>
          <w:rFonts w:ascii="Aptos" w:hAnsi="Aptos" w:eastAsia="Aptos" w:cs="Aptos"/>
          <w:noProof w:val="0"/>
          <w:sz w:val="24"/>
          <w:szCs w:val="24"/>
          <w:lang w:val="en-GB"/>
        </w:rPr>
        <w:t>monitoring</w:t>
      </w:r>
      <w:r w:rsidRPr="38294824" w:rsidR="58FEDC4E">
        <w:rPr>
          <w:rFonts w:ascii="Aptos" w:hAnsi="Aptos" w:eastAsia="Aptos" w:cs="Aptos"/>
          <w:noProof w:val="0"/>
          <w:sz w:val="24"/>
          <w:szCs w:val="24"/>
          <w:lang w:val="en-GB"/>
        </w:rPr>
        <w:t xml:space="preserve"> progress, involving stakeholders, and </w:t>
      </w:r>
      <w:r w:rsidRPr="38294824" w:rsidR="58FEDC4E">
        <w:rPr>
          <w:rFonts w:ascii="Aptos" w:hAnsi="Aptos" w:eastAsia="Aptos" w:cs="Aptos"/>
          <w:noProof w:val="0"/>
          <w:sz w:val="24"/>
          <w:szCs w:val="24"/>
          <w:lang w:val="en-GB"/>
        </w:rPr>
        <w:t>remaining</w:t>
      </w:r>
      <w:r w:rsidRPr="38294824" w:rsidR="58FEDC4E">
        <w:rPr>
          <w:rFonts w:ascii="Aptos" w:hAnsi="Aptos" w:eastAsia="Aptos" w:cs="Aptos"/>
          <w:noProof w:val="0"/>
          <w:sz w:val="24"/>
          <w:szCs w:val="24"/>
          <w:lang w:val="en-GB"/>
        </w:rPr>
        <w:t xml:space="preserve"> flexible. These are all </w:t>
      </w:r>
      <w:r w:rsidRPr="38294824" w:rsidR="58FEDC4E">
        <w:rPr>
          <w:rFonts w:ascii="Aptos" w:hAnsi="Aptos" w:eastAsia="Aptos" w:cs="Aptos"/>
          <w:noProof w:val="0"/>
          <w:sz w:val="24"/>
          <w:szCs w:val="24"/>
          <w:lang w:val="en-GB"/>
        </w:rPr>
        <w:t>important factors</w:t>
      </w:r>
      <w:r w:rsidRPr="38294824" w:rsidR="58FEDC4E">
        <w:rPr>
          <w:rFonts w:ascii="Aptos" w:hAnsi="Aptos" w:eastAsia="Aptos" w:cs="Aptos"/>
          <w:noProof w:val="0"/>
          <w:sz w:val="24"/>
          <w:szCs w:val="24"/>
          <w:lang w:val="en-GB"/>
        </w:rPr>
        <w:t xml:space="preserve"> in delivering a successful strategy. That said, coordinating a wide range of stakeholders, managing resources, and dealing with </w:t>
      </w:r>
      <w:r w:rsidRPr="38294824" w:rsidR="58FEDC4E">
        <w:rPr>
          <w:rFonts w:ascii="Aptos" w:hAnsi="Aptos" w:eastAsia="Aptos" w:cs="Aptos"/>
          <w:noProof w:val="0"/>
          <w:sz w:val="24"/>
          <w:szCs w:val="24"/>
          <w:lang w:val="en-GB"/>
        </w:rPr>
        <w:t>possible resistance</w:t>
      </w:r>
      <w:r w:rsidRPr="38294824" w:rsidR="58FEDC4E">
        <w:rPr>
          <w:rFonts w:ascii="Aptos" w:hAnsi="Aptos" w:eastAsia="Aptos" w:cs="Aptos"/>
          <w:noProof w:val="0"/>
          <w:sz w:val="24"/>
          <w:szCs w:val="24"/>
          <w:lang w:val="en-GB"/>
        </w:rPr>
        <w:t xml:space="preserve"> to change are likely to be more challenging in practice than the plan suggests.</w:t>
      </w:r>
      <w:r w:rsidRPr="38294824" w:rsidR="690F28E0">
        <w:rPr>
          <w:rFonts w:ascii="Aptos" w:hAnsi="Aptos" w:eastAsia="Aptos" w:cs="Aptos"/>
          <w:noProof w:val="0"/>
          <w:sz w:val="24"/>
          <w:szCs w:val="24"/>
          <w:lang w:val="en-GB"/>
        </w:rPr>
        <w:t xml:space="preserve"> </w:t>
      </w:r>
      <w:r w:rsidRPr="38294824" w:rsidR="58FEDC4E">
        <w:rPr>
          <w:rFonts w:ascii="Aptos" w:hAnsi="Aptos" w:eastAsia="Aptos" w:cs="Aptos"/>
          <w:noProof w:val="0"/>
          <w:sz w:val="24"/>
          <w:szCs w:val="24"/>
          <w:lang w:val="en-GB"/>
        </w:rPr>
        <w:t>Overall, the FAW’s strategy provides a strong starting point. However, its long-term success will depend on how effectively it can turn these broad ambitions into clear priorities and realistic actions. Without this, there is a real risk that the strategy may struggle to deliver what it sets out to achieve in an increasingly competitive and complex sporting environment.</w:t>
      </w:r>
    </w:p>
    <w:p w:rsidR="38294824" w:rsidP="38294824" w:rsidRDefault="38294824" w14:paraId="25173503" w14:textId="3B5247A1">
      <w:pPr>
        <w:spacing w:before="240" w:beforeAutospacing="off" w:after="240" w:afterAutospacing="off"/>
        <w:rPr>
          <w:rFonts w:ascii="Aptos" w:hAnsi="Aptos" w:eastAsia="Aptos" w:cs="Aptos"/>
          <w:noProof w:val="0"/>
          <w:sz w:val="24"/>
          <w:szCs w:val="24"/>
          <w:lang w:val="en-GB"/>
        </w:rPr>
      </w:pPr>
    </w:p>
    <w:p w:rsidR="38294824" w:rsidP="38294824" w:rsidRDefault="38294824" w14:paraId="6C8AB52F" w14:textId="207A31CB">
      <w:pPr>
        <w:spacing w:before="240" w:beforeAutospacing="off" w:after="240" w:afterAutospacing="off"/>
        <w:rPr>
          <w:rFonts w:ascii="Aptos" w:hAnsi="Aptos" w:eastAsia="Aptos" w:cs="Aptos"/>
          <w:noProof w:val="0"/>
          <w:sz w:val="24"/>
          <w:szCs w:val="24"/>
          <w:lang w:val="en-GB"/>
        </w:rPr>
      </w:pPr>
    </w:p>
    <w:p w:rsidR="38294824" w:rsidP="38294824" w:rsidRDefault="38294824" w14:paraId="3005EABA" w14:textId="18AC08FA">
      <w:pPr>
        <w:spacing w:before="240" w:beforeAutospacing="off" w:after="240" w:afterAutospacing="off"/>
        <w:rPr>
          <w:rFonts w:ascii="Aptos" w:hAnsi="Aptos" w:eastAsia="Aptos" w:cs="Aptos"/>
          <w:noProof w:val="0"/>
          <w:sz w:val="24"/>
          <w:szCs w:val="24"/>
          <w:lang w:val="en-GB"/>
        </w:rPr>
      </w:pPr>
    </w:p>
    <w:p w:rsidR="40F8B103" w:rsidP="38294824" w:rsidRDefault="40F8B103" w14:paraId="12D9D562" w14:textId="7B8C8E05">
      <w:pPr>
        <w:spacing w:before="240" w:beforeAutospacing="off" w:after="240" w:afterAutospacing="off"/>
        <w:rPr>
          <w:rFonts w:ascii="Aptos" w:hAnsi="Aptos" w:eastAsia="Aptos" w:cs="Aptos"/>
          <w:b w:val="1"/>
          <w:bCs w:val="1"/>
          <w:noProof w:val="0"/>
          <w:sz w:val="24"/>
          <w:szCs w:val="24"/>
          <w:u w:val="single"/>
          <w:lang w:val="en-GB"/>
        </w:rPr>
      </w:pPr>
      <w:r w:rsidRPr="38294824" w:rsidR="40F8B103">
        <w:rPr>
          <w:rFonts w:ascii="Aptos" w:hAnsi="Aptos" w:eastAsia="Aptos" w:cs="Aptos"/>
          <w:b w:val="1"/>
          <w:bCs w:val="1"/>
          <w:noProof w:val="0"/>
          <w:sz w:val="24"/>
          <w:szCs w:val="24"/>
          <w:u w:val="single"/>
          <w:lang w:val="en-GB"/>
        </w:rPr>
        <w:t xml:space="preserve">References </w:t>
      </w:r>
    </w:p>
    <w:p w:rsidR="40F8B103" w:rsidP="38294824" w:rsidRDefault="40F8B103" w14:paraId="64E6CD18" w14:textId="0C0B3F52">
      <w:pPr>
        <w:spacing w:before="240" w:beforeAutospacing="off" w:after="240" w:afterAutospacing="off"/>
      </w:pPr>
      <w:r w:rsidRPr="38294824" w:rsidR="40F8B103">
        <w:rPr>
          <w:rFonts w:ascii="Aptos" w:hAnsi="Aptos" w:eastAsia="Aptos" w:cs="Aptos"/>
          <w:noProof w:val="0"/>
          <w:sz w:val="24"/>
          <w:szCs w:val="24"/>
          <w:lang w:val="en-GB"/>
        </w:rPr>
        <w:t xml:space="preserve">Barney, J. (1991) ‘Firm resources and sustained competitive advantage’, </w:t>
      </w:r>
      <w:r w:rsidRPr="38294824" w:rsidR="40F8B103">
        <w:rPr>
          <w:rFonts w:ascii="Aptos" w:hAnsi="Aptos" w:eastAsia="Aptos" w:cs="Aptos"/>
          <w:i w:val="1"/>
          <w:iCs w:val="1"/>
          <w:noProof w:val="0"/>
          <w:sz w:val="24"/>
          <w:szCs w:val="24"/>
          <w:lang w:val="en-GB"/>
        </w:rPr>
        <w:t>Journal of Management</w:t>
      </w:r>
      <w:r w:rsidRPr="38294824" w:rsidR="40F8B103">
        <w:rPr>
          <w:rFonts w:ascii="Aptos" w:hAnsi="Aptos" w:eastAsia="Aptos" w:cs="Aptos"/>
          <w:noProof w:val="0"/>
          <w:sz w:val="24"/>
          <w:szCs w:val="24"/>
          <w:lang w:val="en-GB"/>
        </w:rPr>
        <w:t xml:space="preserve">, 17(1), pp. 99–120. Available at: </w:t>
      </w:r>
      <w:hyperlink r:id="R1f76a23c28394d91">
        <w:r w:rsidRPr="38294824" w:rsidR="40F8B103">
          <w:rPr>
            <w:rStyle w:val="Hyperlink"/>
            <w:rFonts w:ascii="Aptos" w:hAnsi="Aptos" w:eastAsia="Aptos" w:cs="Aptos"/>
            <w:noProof w:val="0"/>
            <w:sz w:val="24"/>
            <w:szCs w:val="24"/>
            <w:lang w:val="en-GB"/>
          </w:rPr>
          <w:t>https://doi.org/10.1177/014920639101700108</w:t>
        </w:r>
      </w:hyperlink>
    </w:p>
    <w:p w:rsidR="40F8B103" w:rsidP="38294824" w:rsidRDefault="40F8B103" w14:paraId="298A3C47" w14:textId="7B8A5856">
      <w:pPr>
        <w:spacing w:before="240" w:beforeAutospacing="off" w:after="240" w:afterAutospacing="off"/>
      </w:pPr>
      <w:r w:rsidRPr="38294824" w:rsidR="40F8B103">
        <w:rPr>
          <w:rFonts w:ascii="Aptos" w:hAnsi="Aptos" w:eastAsia="Aptos" w:cs="Aptos"/>
          <w:noProof w:val="0"/>
          <w:sz w:val="24"/>
          <w:szCs w:val="24"/>
          <w:lang w:val="en-GB"/>
        </w:rPr>
        <w:t xml:space="preserve">Burnes, B. (2017) </w:t>
      </w:r>
      <w:r w:rsidRPr="38294824" w:rsidR="40F8B103">
        <w:rPr>
          <w:rFonts w:ascii="Aptos" w:hAnsi="Aptos" w:eastAsia="Aptos" w:cs="Aptos"/>
          <w:i w:val="1"/>
          <w:iCs w:val="1"/>
          <w:noProof w:val="0"/>
          <w:sz w:val="24"/>
          <w:szCs w:val="24"/>
          <w:lang w:val="en-GB"/>
        </w:rPr>
        <w:t>Managing Change</w:t>
      </w:r>
      <w:r w:rsidRPr="38294824" w:rsidR="40F8B103">
        <w:rPr>
          <w:rFonts w:ascii="Aptos" w:hAnsi="Aptos" w:eastAsia="Aptos" w:cs="Aptos"/>
          <w:noProof w:val="0"/>
          <w:sz w:val="24"/>
          <w:szCs w:val="24"/>
          <w:lang w:val="en-GB"/>
        </w:rPr>
        <w:t xml:space="preserve">. 7th edn. Harlow: Pearson. Available at: </w:t>
      </w:r>
      <w:hyperlink r:id="Raf6f72c38ddd464f">
        <w:r w:rsidRPr="38294824" w:rsidR="40F8B103">
          <w:rPr>
            <w:rStyle w:val="Hyperlink"/>
            <w:rFonts w:ascii="Aptos" w:hAnsi="Aptos" w:eastAsia="Aptos" w:cs="Aptos"/>
            <w:noProof w:val="0"/>
            <w:sz w:val="24"/>
            <w:szCs w:val="24"/>
            <w:lang w:val="en-GB"/>
          </w:rPr>
          <w:t>https://www.pearson.com/en-gb/subject-catalog/p/managing-change/P200000003438</w:t>
        </w:r>
      </w:hyperlink>
    </w:p>
    <w:p w:rsidR="40F8B103" w:rsidP="38294824" w:rsidRDefault="40F8B103" w14:paraId="5C1BD04D" w14:textId="42505955">
      <w:pPr>
        <w:spacing w:before="240" w:beforeAutospacing="off" w:after="240" w:afterAutospacing="off"/>
      </w:pPr>
      <w:r w:rsidRPr="38294824" w:rsidR="40F8B103">
        <w:rPr>
          <w:rFonts w:ascii="Aptos" w:hAnsi="Aptos" w:eastAsia="Aptos" w:cs="Aptos"/>
          <w:noProof w:val="0"/>
          <w:sz w:val="24"/>
          <w:szCs w:val="24"/>
          <w:lang w:val="en-GB"/>
        </w:rPr>
        <w:t xml:space="preserve">Ferkins, L. and Shilbury, D. (2015) ‘The stakeholder dilemma in sport governance: Toward the notion of “stakeowner”’, </w:t>
      </w:r>
      <w:r w:rsidRPr="38294824" w:rsidR="40F8B103">
        <w:rPr>
          <w:rFonts w:ascii="Aptos" w:hAnsi="Aptos" w:eastAsia="Aptos" w:cs="Aptos"/>
          <w:i w:val="1"/>
          <w:iCs w:val="1"/>
          <w:noProof w:val="0"/>
          <w:sz w:val="24"/>
          <w:szCs w:val="24"/>
          <w:lang w:val="en-GB"/>
        </w:rPr>
        <w:t>Journal of Sport Management</w:t>
      </w:r>
      <w:r w:rsidRPr="38294824" w:rsidR="40F8B103">
        <w:rPr>
          <w:rFonts w:ascii="Aptos" w:hAnsi="Aptos" w:eastAsia="Aptos" w:cs="Aptos"/>
          <w:noProof w:val="0"/>
          <w:sz w:val="24"/>
          <w:szCs w:val="24"/>
          <w:lang w:val="en-GB"/>
        </w:rPr>
        <w:t xml:space="preserve">, 29(1), pp. 93–108. Available at: </w:t>
      </w:r>
      <w:hyperlink r:id="R6e7853f71e234e49">
        <w:r w:rsidRPr="38294824" w:rsidR="40F8B103">
          <w:rPr>
            <w:rStyle w:val="Hyperlink"/>
            <w:rFonts w:ascii="Aptos" w:hAnsi="Aptos" w:eastAsia="Aptos" w:cs="Aptos"/>
            <w:noProof w:val="0"/>
            <w:sz w:val="24"/>
            <w:szCs w:val="24"/>
            <w:lang w:val="en-GB"/>
          </w:rPr>
          <w:t>https://doi.org/10.1123/jsm.2014-0182</w:t>
        </w:r>
      </w:hyperlink>
    </w:p>
    <w:p w:rsidR="40F8B103" w:rsidP="38294824" w:rsidRDefault="40F8B103" w14:paraId="0B6B2775" w14:textId="4428B3A2">
      <w:pPr>
        <w:spacing w:before="240" w:beforeAutospacing="off" w:after="240" w:afterAutospacing="off"/>
      </w:pPr>
      <w:r w:rsidRPr="38294824" w:rsidR="40F8B103">
        <w:rPr>
          <w:rFonts w:ascii="Aptos" w:hAnsi="Aptos" w:eastAsia="Aptos" w:cs="Aptos"/>
          <w:noProof w:val="0"/>
          <w:sz w:val="24"/>
          <w:szCs w:val="24"/>
          <w:lang w:val="en-GB"/>
        </w:rPr>
        <w:t xml:space="preserve">Grant, R. (2019) </w:t>
      </w:r>
      <w:r w:rsidRPr="38294824" w:rsidR="40F8B103">
        <w:rPr>
          <w:rFonts w:ascii="Aptos" w:hAnsi="Aptos" w:eastAsia="Aptos" w:cs="Aptos"/>
          <w:i w:val="1"/>
          <w:iCs w:val="1"/>
          <w:noProof w:val="0"/>
          <w:sz w:val="24"/>
          <w:szCs w:val="24"/>
          <w:lang w:val="en-GB"/>
        </w:rPr>
        <w:t>Contemporary Strategy Analysis</w:t>
      </w:r>
      <w:r w:rsidRPr="38294824" w:rsidR="40F8B103">
        <w:rPr>
          <w:rFonts w:ascii="Aptos" w:hAnsi="Aptos" w:eastAsia="Aptos" w:cs="Aptos"/>
          <w:noProof w:val="0"/>
          <w:sz w:val="24"/>
          <w:szCs w:val="24"/>
          <w:lang w:val="en-GB"/>
        </w:rPr>
        <w:t xml:space="preserve">. 10th edn. Chichester: Wiley. Available at: </w:t>
      </w:r>
      <w:hyperlink r:id="R424c6644228142e5">
        <w:r w:rsidRPr="38294824" w:rsidR="40F8B103">
          <w:rPr>
            <w:rStyle w:val="Hyperlink"/>
            <w:rFonts w:ascii="Aptos" w:hAnsi="Aptos" w:eastAsia="Aptos" w:cs="Aptos"/>
            <w:noProof w:val="0"/>
            <w:sz w:val="24"/>
            <w:szCs w:val="24"/>
            <w:lang w:val="en-GB"/>
          </w:rPr>
          <w:t>https://www.wiley.com/en-gb/Contemporary+Strategy+Analysis-p-9781119495723</w:t>
        </w:r>
      </w:hyperlink>
    </w:p>
    <w:p w:rsidR="40F8B103" w:rsidP="38294824" w:rsidRDefault="40F8B103" w14:paraId="3FA3729C" w14:textId="18508CCF">
      <w:pPr>
        <w:spacing w:before="240" w:beforeAutospacing="off" w:after="240" w:afterAutospacing="off"/>
      </w:pPr>
      <w:r w:rsidRPr="38294824" w:rsidR="40F8B103">
        <w:rPr>
          <w:rFonts w:ascii="Aptos" w:hAnsi="Aptos" w:eastAsia="Aptos" w:cs="Aptos"/>
          <w:noProof w:val="0"/>
          <w:sz w:val="24"/>
          <w:szCs w:val="24"/>
          <w:lang w:val="en-GB"/>
        </w:rPr>
        <w:t xml:space="preserve">Gürel, E. and Tat, M. (2017) ‘SWOT analysis: a theoretical review’, </w:t>
      </w:r>
      <w:r w:rsidRPr="38294824" w:rsidR="40F8B103">
        <w:rPr>
          <w:rFonts w:ascii="Aptos" w:hAnsi="Aptos" w:eastAsia="Aptos" w:cs="Aptos"/>
          <w:i w:val="1"/>
          <w:iCs w:val="1"/>
          <w:noProof w:val="0"/>
          <w:sz w:val="24"/>
          <w:szCs w:val="24"/>
          <w:lang w:val="en-GB"/>
        </w:rPr>
        <w:t>Journal of International Social Research</w:t>
      </w:r>
      <w:r w:rsidRPr="38294824" w:rsidR="40F8B103">
        <w:rPr>
          <w:rFonts w:ascii="Aptos" w:hAnsi="Aptos" w:eastAsia="Aptos" w:cs="Aptos"/>
          <w:noProof w:val="0"/>
          <w:sz w:val="24"/>
          <w:szCs w:val="24"/>
          <w:lang w:val="en-GB"/>
        </w:rPr>
        <w:t xml:space="preserve">, 10(51), pp. 994–1006. Available at: </w:t>
      </w:r>
      <w:hyperlink r:id="R0f8f62cf9fb04bb3">
        <w:r w:rsidRPr="38294824" w:rsidR="40F8B103">
          <w:rPr>
            <w:rStyle w:val="Hyperlink"/>
            <w:rFonts w:ascii="Aptos" w:hAnsi="Aptos" w:eastAsia="Aptos" w:cs="Aptos"/>
            <w:noProof w:val="0"/>
            <w:sz w:val="24"/>
            <w:szCs w:val="24"/>
            <w:lang w:val="en-GB"/>
          </w:rPr>
          <w:t>https://doi.org/10.17719/jisr.2017.1832</w:t>
        </w:r>
      </w:hyperlink>
    </w:p>
    <w:p w:rsidR="40F8B103" w:rsidP="38294824" w:rsidRDefault="40F8B103" w14:paraId="3578A8AA" w14:textId="44C3B888">
      <w:pPr>
        <w:spacing w:before="240" w:beforeAutospacing="off" w:after="240" w:afterAutospacing="off"/>
      </w:pPr>
      <w:r w:rsidRPr="38294824" w:rsidR="40F8B103">
        <w:rPr>
          <w:rFonts w:ascii="Aptos" w:hAnsi="Aptos" w:eastAsia="Aptos" w:cs="Aptos"/>
          <w:noProof w:val="0"/>
          <w:sz w:val="24"/>
          <w:szCs w:val="24"/>
          <w:lang w:val="en-GB"/>
        </w:rPr>
        <w:t xml:space="preserve">Hoye, R., Smith, A., Nicholson, M. and Stewart, B. (2018) </w:t>
      </w:r>
      <w:r w:rsidRPr="38294824" w:rsidR="40F8B103">
        <w:rPr>
          <w:rFonts w:ascii="Aptos" w:hAnsi="Aptos" w:eastAsia="Aptos" w:cs="Aptos"/>
          <w:i w:val="1"/>
          <w:iCs w:val="1"/>
          <w:noProof w:val="0"/>
          <w:sz w:val="24"/>
          <w:szCs w:val="24"/>
          <w:lang w:val="en-GB"/>
        </w:rPr>
        <w:t>Sport Management: Principles and Applications</w:t>
      </w:r>
      <w:r w:rsidRPr="38294824" w:rsidR="40F8B103">
        <w:rPr>
          <w:rFonts w:ascii="Aptos" w:hAnsi="Aptos" w:eastAsia="Aptos" w:cs="Aptos"/>
          <w:noProof w:val="0"/>
          <w:sz w:val="24"/>
          <w:szCs w:val="24"/>
          <w:lang w:val="en-GB"/>
        </w:rPr>
        <w:t xml:space="preserve">. 5th edn. London: Routledge. Available at: </w:t>
      </w:r>
      <w:hyperlink r:id="Rb933b37b9d37442b">
        <w:r w:rsidRPr="38294824" w:rsidR="40F8B103">
          <w:rPr>
            <w:rStyle w:val="Hyperlink"/>
            <w:rFonts w:ascii="Aptos" w:hAnsi="Aptos" w:eastAsia="Aptos" w:cs="Aptos"/>
            <w:noProof w:val="0"/>
            <w:sz w:val="24"/>
            <w:szCs w:val="24"/>
            <w:lang w:val="en-GB"/>
          </w:rPr>
          <w:t>https://www.routledge.com/Sport-Management-Principles-and-Applications/Hoye-Smith-Nicholson-Stewart/p/book/9781138692295</w:t>
        </w:r>
      </w:hyperlink>
    </w:p>
    <w:p w:rsidR="40F8B103" w:rsidP="38294824" w:rsidRDefault="40F8B103" w14:paraId="1B44300B" w14:textId="32670F82">
      <w:pPr>
        <w:spacing w:before="240" w:beforeAutospacing="off" w:after="240" w:afterAutospacing="off"/>
      </w:pPr>
      <w:r w:rsidRPr="38294824" w:rsidR="40F8B103">
        <w:rPr>
          <w:rFonts w:ascii="Aptos" w:hAnsi="Aptos" w:eastAsia="Aptos" w:cs="Aptos"/>
          <w:noProof w:val="0"/>
          <w:sz w:val="24"/>
          <w:szCs w:val="24"/>
          <w:lang w:val="en-GB"/>
        </w:rPr>
        <w:t xml:space="preserve">Johnson, G., Scholes, K. and Whittington, R. (2020) </w:t>
      </w:r>
      <w:r w:rsidRPr="38294824" w:rsidR="40F8B103">
        <w:rPr>
          <w:rFonts w:ascii="Aptos" w:hAnsi="Aptos" w:eastAsia="Aptos" w:cs="Aptos"/>
          <w:i w:val="1"/>
          <w:iCs w:val="1"/>
          <w:noProof w:val="0"/>
          <w:sz w:val="24"/>
          <w:szCs w:val="24"/>
          <w:lang w:val="en-GB"/>
        </w:rPr>
        <w:t>Exploring Strategy</w:t>
      </w:r>
      <w:r w:rsidRPr="38294824" w:rsidR="40F8B103">
        <w:rPr>
          <w:rFonts w:ascii="Aptos" w:hAnsi="Aptos" w:eastAsia="Aptos" w:cs="Aptos"/>
          <w:noProof w:val="0"/>
          <w:sz w:val="24"/>
          <w:szCs w:val="24"/>
          <w:lang w:val="en-GB"/>
        </w:rPr>
        <w:t xml:space="preserve">. 12th edn. Harlow: Pearson. Available at: </w:t>
      </w:r>
      <w:hyperlink r:id="R118aa42718854b9b">
        <w:r w:rsidRPr="38294824" w:rsidR="40F8B103">
          <w:rPr>
            <w:rStyle w:val="Hyperlink"/>
            <w:rFonts w:ascii="Aptos" w:hAnsi="Aptos" w:eastAsia="Aptos" w:cs="Aptos"/>
            <w:noProof w:val="0"/>
            <w:sz w:val="24"/>
            <w:szCs w:val="24"/>
            <w:lang w:val="en-GB"/>
          </w:rPr>
          <w:t>https://www.pearson.com/en-gb/subject-catalog/p/exploring-strategy/P200000003063</w:t>
        </w:r>
      </w:hyperlink>
    </w:p>
    <w:p w:rsidR="40F8B103" w:rsidP="38294824" w:rsidRDefault="40F8B103" w14:paraId="77F39343" w14:textId="58297F4A">
      <w:pPr>
        <w:spacing w:before="240" w:beforeAutospacing="off" w:after="240" w:afterAutospacing="off"/>
      </w:pPr>
      <w:r w:rsidRPr="38294824" w:rsidR="40F8B103">
        <w:rPr>
          <w:rFonts w:ascii="Aptos" w:hAnsi="Aptos" w:eastAsia="Aptos" w:cs="Aptos"/>
          <w:noProof w:val="0"/>
          <w:sz w:val="24"/>
          <w:szCs w:val="24"/>
          <w:lang w:val="en-GB"/>
        </w:rPr>
        <w:t xml:space="preserve">Kaplan, R. and Norton, D. (1996) </w:t>
      </w:r>
      <w:r w:rsidRPr="38294824" w:rsidR="40F8B103">
        <w:rPr>
          <w:rFonts w:ascii="Aptos" w:hAnsi="Aptos" w:eastAsia="Aptos" w:cs="Aptos"/>
          <w:i w:val="1"/>
          <w:iCs w:val="1"/>
          <w:noProof w:val="0"/>
          <w:sz w:val="24"/>
          <w:szCs w:val="24"/>
          <w:lang w:val="en-GB"/>
        </w:rPr>
        <w:t>The Balanced Scorecard: Translating Strategy into Action</w:t>
      </w:r>
      <w:r w:rsidRPr="38294824" w:rsidR="40F8B103">
        <w:rPr>
          <w:rFonts w:ascii="Aptos" w:hAnsi="Aptos" w:eastAsia="Aptos" w:cs="Aptos"/>
          <w:noProof w:val="0"/>
          <w:sz w:val="24"/>
          <w:szCs w:val="24"/>
          <w:lang w:val="en-GB"/>
        </w:rPr>
        <w:t>. Boston: Harvard Business School Press.</w:t>
      </w:r>
    </w:p>
    <w:p w:rsidR="40F8B103" w:rsidP="38294824" w:rsidRDefault="40F8B103" w14:paraId="4778A43F" w14:textId="03CD511B">
      <w:pPr>
        <w:spacing w:before="240" w:beforeAutospacing="off" w:after="240" w:afterAutospacing="off"/>
      </w:pPr>
      <w:r w:rsidRPr="38294824" w:rsidR="40F8B103">
        <w:rPr>
          <w:rFonts w:ascii="Aptos" w:hAnsi="Aptos" w:eastAsia="Aptos" w:cs="Aptos"/>
          <w:noProof w:val="0"/>
          <w:sz w:val="24"/>
          <w:szCs w:val="24"/>
          <w:lang w:val="en-GB"/>
        </w:rPr>
        <w:t xml:space="preserve">Mintzberg, H., Ahlstrand, B. and Lampel, J. (2009) </w:t>
      </w:r>
      <w:r w:rsidRPr="38294824" w:rsidR="40F8B103">
        <w:rPr>
          <w:rFonts w:ascii="Aptos" w:hAnsi="Aptos" w:eastAsia="Aptos" w:cs="Aptos"/>
          <w:i w:val="1"/>
          <w:iCs w:val="1"/>
          <w:noProof w:val="0"/>
          <w:sz w:val="24"/>
          <w:szCs w:val="24"/>
          <w:lang w:val="en-GB"/>
        </w:rPr>
        <w:t>Strategy Safari</w:t>
      </w:r>
      <w:r w:rsidRPr="38294824" w:rsidR="40F8B103">
        <w:rPr>
          <w:rFonts w:ascii="Aptos" w:hAnsi="Aptos" w:eastAsia="Aptos" w:cs="Aptos"/>
          <w:noProof w:val="0"/>
          <w:sz w:val="24"/>
          <w:szCs w:val="24"/>
          <w:lang w:val="en-GB"/>
        </w:rPr>
        <w:t xml:space="preserve">. 2nd edn. Harlow: Pearson. Available at: </w:t>
      </w:r>
      <w:hyperlink r:id="Ra576ccd843224e3a">
        <w:r w:rsidRPr="38294824" w:rsidR="40F8B103">
          <w:rPr>
            <w:rStyle w:val="Hyperlink"/>
            <w:rFonts w:ascii="Aptos" w:hAnsi="Aptos" w:eastAsia="Aptos" w:cs="Aptos"/>
            <w:noProof w:val="0"/>
            <w:sz w:val="24"/>
            <w:szCs w:val="24"/>
            <w:lang w:val="en-GB"/>
          </w:rPr>
          <w:t>https://www.pearson.com/en-gb/subject-catalog/p/strategy-safari/P200000003285</w:t>
        </w:r>
      </w:hyperlink>
    </w:p>
    <w:p w:rsidR="40F8B103" w:rsidP="38294824" w:rsidRDefault="40F8B103" w14:paraId="326008A2" w14:textId="71AE8871">
      <w:pPr>
        <w:spacing w:before="240" w:beforeAutospacing="off" w:after="240" w:afterAutospacing="off"/>
      </w:pPr>
      <w:r w:rsidRPr="38294824" w:rsidR="40F8B103">
        <w:rPr>
          <w:rFonts w:ascii="Aptos" w:hAnsi="Aptos" w:eastAsia="Aptos" w:cs="Aptos"/>
          <w:noProof w:val="0"/>
          <w:sz w:val="24"/>
          <w:szCs w:val="24"/>
          <w:lang w:val="en-GB"/>
        </w:rPr>
        <w:t xml:space="preserve">Smith, A. and Stewart, B. (2010) ‘The special features of sport: A critical revisit’, </w:t>
      </w:r>
      <w:r w:rsidRPr="38294824" w:rsidR="40F8B103">
        <w:rPr>
          <w:rFonts w:ascii="Aptos" w:hAnsi="Aptos" w:eastAsia="Aptos" w:cs="Aptos"/>
          <w:i w:val="1"/>
          <w:iCs w:val="1"/>
          <w:noProof w:val="0"/>
          <w:sz w:val="24"/>
          <w:szCs w:val="24"/>
          <w:lang w:val="en-GB"/>
        </w:rPr>
        <w:t>Sport Management Review</w:t>
      </w:r>
      <w:r w:rsidRPr="38294824" w:rsidR="40F8B103">
        <w:rPr>
          <w:rFonts w:ascii="Aptos" w:hAnsi="Aptos" w:eastAsia="Aptos" w:cs="Aptos"/>
          <w:noProof w:val="0"/>
          <w:sz w:val="24"/>
          <w:szCs w:val="24"/>
          <w:lang w:val="en-GB"/>
        </w:rPr>
        <w:t xml:space="preserve">, 13(1), pp. 1–13. Available at: </w:t>
      </w:r>
      <w:hyperlink r:id="R916bb4124b6c4e75">
        <w:r w:rsidRPr="38294824" w:rsidR="40F8B103">
          <w:rPr>
            <w:rStyle w:val="Hyperlink"/>
            <w:rFonts w:ascii="Aptos" w:hAnsi="Aptos" w:eastAsia="Aptos" w:cs="Aptos"/>
            <w:noProof w:val="0"/>
            <w:sz w:val="24"/>
            <w:szCs w:val="24"/>
            <w:lang w:val="en-GB"/>
          </w:rPr>
          <w:t>https://doi.org/10.1016/j.smr.2009.07.002</w:t>
        </w:r>
      </w:hyperlink>
    </w:p>
    <w:p w:rsidR="40F8B103" w:rsidP="38294824" w:rsidRDefault="40F8B103" w14:paraId="104480B7" w14:textId="70246F56">
      <w:pPr>
        <w:spacing w:before="240" w:beforeAutospacing="off" w:after="240" w:afterAutospacing="off"/>
      </w:pPr>
      <w:r w:rsidRPr="38294824" w:rsidR="40F8B103">
        <w:rPr>
          <w:rFonts w:ascii="Aptos" w:hAnsi="Aptos" w:eastAsia="Aptos" w:cs="Aptos"/>
          <w:noProof w:val="0"/>
          <w:sz w:val="24"/>
          <w:szCs w:val="24"/>
          <w:lang w:val="en-GB"/>
        </w:rPr>
        <w:t xml:space="preserve">Smith, A. and Stewart, B. (2015) </w:t>
      </w:r>
      <w:r w:rsidRPr="38294824" w:rsidR="40F8B103">
        <w:rPr>
          <w:rFonts w:ascii="Aptos" w:hAnsi="Aptos" w:eastAsia="Aptos" w:cs="Aptos"/>
          <w:i w:val="1"/>
          <w:iCs w:val="1"/>
          <w:noProof w:val="0"/>
          <w:sz w:val="24"/>
          <w:szCs w:val="24"/>
          <w:lang w:val="en-GB"/>
        </w:rPr>
        <w:t>Introduction to Sport Marketing</w:t>
      </w:r>
      <w:r w:rsidRPr="38294824" w:rsidR="40F8B103">
        <w:rPr>
          <w:rFonts w:ascii="Aptos" w:hAnsi="Aptos" w:eastAsia="Aptos" w:cs="Aptos"/>
          <w:noProof w:val="0"/>
          <w:sz w:val="24"/>
          <w:szCs w:val="24"/>
          <w:lang w:val="en-GB"/>
        </w:rPr>
        <w:t xml:space="preserve">. London: Routledge. Available at: </w:t>
      </w:r>
      <w:hyperlink r:id="Rc86925a57e0f45a4">
        <w:r w:rsidRPr="38294824" w:rsidR="40F8B103">
          <w:rPr>
            <w:rStyle w:val="Hyperlink"/>
            <w:rFonts w:ascii="Aptos" w:hAnsi="Aptos" w:eastAsia="Aptos" w:cs="Aptos"/>
            <w:noProof w:val="0"/>
            <w:sz w:val="24"/>
            <w:szCs w:val="24"/>
            <w:lang w:val="en-GB"/>
          </w:rPr>
          <w:t>https://www.routledge.com/Introduction-to-Sport-Marketing/Smith-Stewart/p/book/9780415530282</w:t>
        </w:r>
      </w:hyperlink>
    </w:p>
    <w:p w:rsidR="40F8B103" w:rsidP="38294824" w:rsidRDefault="40F8B103" w14:paraId="4F43DA82" w14:textId="29D14752">
      <w:pPr>
        <w:spacing w:before="240" w:beforeAutospacing="off" w:after="240" w:afterAutospacing="off"/>
      </w:pPr>
      <w:r w:rsidRPr="38294824" w:rsidR="40F8B103">
        <w:rPr>
          <w:rFonts w:ascii="Aptos" w:hAnsi="Aptos" w:eastAsia="Aptos" w:cs="Aptos"/>
          <w:noProof w:val="0"/>
          <w:sz w:val="24"/>
          <w:szCs w:val="24"/>
          <w:lang w:val="en-GB"/>
        </w:rPr>
        <w:t xml:space="preserve">Slack, T. and Parent, M. (2006) </w:t>
      </w:r>
      <w:r w:rsidRPr="38294824" w:rsidR="40F8B103">
        <w:rPr>
          <w:rFonts w:ascii="Aptos" w:hAnsi="Aptos" w:eastAsia="Aptos" w:cs="Aptos"/>
          <w:i w:val="1"/>
          <w:iCs w:val="1"/>
          <w:noProof w:val="0"/>
          <w:sz w:val="24"/>
          <w:szCs w:val="24"/>
          <w:lang w:val="en-GB"/>
        </w:rPr>
        <w:t>Understanding Sport Organizations</w:t>
      </w:r>
      <w:r w:rsidRPr="38294824" w:rsidR="40F8B103">
        <w:rPr>
          <w:rFonts w:ascii="Aptos" w:hAnsi="Aptos" w:eastAsia="Aptos" w:cs="Aptos"/>
          <w:noProof w:val="0"/>
          <w:sz w:val="24"/>
          <w:szCs w:val="24"/>
          <w:lang w:val="en-GB"/>
        </w:rPr>
        <w:t xml:space="preserve">. 3rd edn. Champaign, IL: Human Kinetics. Available at: </w:t>
      </w:r>
      <w:hyperlink r:id="R52e0044647ac4b01">
        <w:r w:rsidRPr="38294824" w:rsidR="40F8B103">
          <w:rPr>
            <w:rStyle w:val="Hyperlink"/>
            <w:rFonts w:ascii="Aptos" w:hAnsi="Aptos" w:eastAsia="Aptos" w:cs="Aptos"/>
            <w:noProof w:val="0"/>
            <w:sz w:val="24"/>
            <w:szCs w:val="24"/>
            <w:lang w:val="en-GB"/>
          </w:rPr>
          <w:t>https://us.humankinetics.com/products/understanding-sport-organizations</w:t>
        </w:r>
      </w:hyperlink>
    </w:p>
    <w:p w:rsidR="40F8B103" w:rsidP="38294824" w:rsidRDefault="40F8B103" w14:paraId="32B62DC5" w14:textId="3BC54336">
      <w:pPr>
        <w:spacing w:before="240" w:beforeAutospacing="off" w:after="240" w:afterAutospacing="off"/>
      </w:pPr>
      <w:r w:rsidRPr="38294824" w:rsidR="40F8B103">
        <w:rPr>
          <w:rFonts w:ascii="Aptos" w:hAnsi="Aptos" w:eastAsia="Aptos" w:cs="Aptos"/>
          <w:noProof w:val="0"/>
          <w:sz w:val="24"/>
          <w:szCs w:val="24"/>
          <w:lang w:val="en-GB"/>
        </w:rPr>
        <w:t xml:space="preserve">Football Association of Wales (2021) </w:t>
      </w:r>
      <w:r w:rsidRPr="38294824" w:rsidR="40F8B103">
        <w:rPr>
          <w:rFonts w:ascii="Aptos" w:hAnsi="Aptos" w:eastAsia="Aptos" w:cs="Aptos"/>
          <w:i w:val="1"/>
          <w:iCs w:val="1"/>
          <w:noProof w:val="0"/>
          <w:sz w:val="24"/>
          <w:szCs w:val="24"/>
          <w:lang w:val="en-GB"/>
        </w:rPr>
        <w:t>Our Wales: FAW 2021–2026 Strategic Plan for Welsh Football</w:t>
      </w:r>
      <w:r w:rsidRPr="38294824" w:rsidR="40F8B103">
        <w:rPr>
          <w:rFonts w:ascii="Aptos" w:hAnsi="Aptos" w:eastAsia="Aptos" w:cs="Aptos"/>
          <w:noProof w:val="0"/>
          <w:sz w:val="24"/>
          <w:szCs w:val="24"/>
          <w:lang w:val="en-GB"/>
        </w:rPr>
        <w:t xml:space="preserve">. Available at: </w:t>
      </w:r>
      <w:hyperlink r:id="R6512d01862534b65">
        <w:r w:rsidRPr="38294824" w:rsidR="40F8B103">
          <w:rPr>
            <w:rStyle w:val="Hyperlink"/>
            <w:rFonts w:ascii="Aptos" w:hAnsi="Aptos" w:eastAsia="Aptos" w:cs="Aptos"/>
            <w:noProof w:val="0"/>
            <w:sz w:val="24"/>
            <w:szCs w:val="24"/>
            <w:lang w:val="en-GB"/>
          </w:rPr>
          <w:t>https://faw.cymru</w:t>
        </w:r>
      </w:hyperlink>
    </w:p>
    <w:p w:rsidR="38294824" w:rsidP="38294824" w:rsidRDefault="38294824" w14:paraId="0F0E4FB0" w14:textId="35384676">
      <w:pPr>
        <w:spacing w:before="240" w:beforeAutospacing="off" w:after="240" w:afterAutospacing="off"/>
        <w:rPr>
          <w:rFonts w:ascii="Aptos" w:hAnsi="Aptos" w:eastAsia="Aptos" w:cs="Aptos"/>
          <w:b w:val="1"/>
          <w:bCs w:val="1"/>
          <w:noProof w:val="0"/>
          <w:sz w:val="24"/>
          <w:szCs w:val="24"/>
          <w:u w:val="single"/>
          <w:lang w:val="en-GB"/>
        </w:rPr>
      </w:pPr>
    </w:p>
    <w:p w:rsidR="38294824" w:rsidP="38294824" w:rsidRDefault="38294824" w14:paraId="3EFF74C1" w14:textId="1500B2BA">
      <w:pPr>
        <w:pStyle w:val="Normal"/>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headerReference w:type="default" r:id="R77f0fbd9e5b14f54"/>
      <w:footerReference w:type="default" r:id="R5ae0bcdf9c4549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130DF5" w:rsidTr="05130DF5" w14:paraId="2DB3558A">
      <w:trPr>
        <w:trHeight w:val="300"/>
      </w:trPr>
      <w:tc>
        <w:tcPr>
          <w:tcW w:w="3120" w:type="dxa"/>
          <w:tcMar/>
        </w:tcPr>
        <w:p w:rsidR="05130DF5" w:rsidP="05130DF5" w:rsidRDefault="05130DF5" w14:paraId="52D3F0A7" w14:textId="55A95BE3">
          <w:pPr>
            <w:pStyle w:val="Header"/>
            <w:bidi w:val="0"/>
            <w:ind w:left="-115"/>
            <w:jc w:val="left"/>
          </w:pPr>
        </w:p>
      </w:tc>
      <w:tc>
        <w:tcPr>
          <w:tcW w:w="3120" w:type="dxa"/>
          <w:tcMar/>
        </w:tcPr>
        <w:p w:rsidR="05130DF5" w:rsidP="05130DF5" w:rsidRDefault="05130DF5" w14:paraId="329EA7E8" w14:textId="2BD4839D">
          <w:pPr>
            <w:pStyle w:val="Header"/>
            <w:bidi w:val="0"/>
            <w:jc w:val="center"/>
          </w:pPr>
        </w:p>
      </w:tc>
      <w:tc>
        <w:tcPr>
          <w:tcW w:w="3120" w:type="dxa"/>
          <w:tcMar/>
        </w:tcPr>
        <w:p w:rsidR="05130DF5" w:rsidP="05130DF5" w:rsidRDefault="05130DF5" w14:paraId="646132AC" w14:textId="60F1B366">
          <w:pPr>
            <w:pStyle w:val="Header"/>
            <w:bidi w:val="0"/>
            <w:ind w:right="-115"/>
            <w:jc w:val="right"/>
          </w:pPr>
        </w:p>
      </w:tc>
    </w:tr>
  </w:tbl>
  <w:p w:rsidR="05130DF5" w:rsidP="05130DF5" w:rsidRDefault="05130DF5" w14:paraId="3E0907BA" w14:textId="61D83C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5130DF5" w:rsidTr="05130DF5" w14:paraId="25D40A03">
      <w:trPr>
        <w:trHeight w:val="300"/>
      </w:trPr>
      <w:tc>
        <w:tcPr>
          <w:tcW w:w="3120" w:type="dxa"/>
          <w:tcMar/>
        </w:tcPr>
        <w:p w:rsidR="05130DF5" w:rsidP="05130DF5" w:rsidRDefault="05130DF5" w14:paraId="7CA5D834" w14:textId="757B22C4">
          <w:pPr>
            <w:pStyle w:val="Header"/>
            <w:bidi w:val="0"/>
            <w:ind w:left="-115"/>
            <w:jc w:val="left"/>
          </w:pPr>
        </w:p>
      </w:tc>
      <w:tc>
        <w:tcPr>
          <w:tcW w:w="3120" w:type="dxa"/>
          <w:tcMar/>
        </w:tcPr>
        <w:p w:rsidR="05130DF5" w:rsidP="05130DF5" w:rsidRDefault="05130DF5" w14:paraId="5F7451AF" w14:textId="3D791A29">
          <w:pPr>
            <w:pStyle w:val="Header"/>
            <w:bidi w:val="0"/>
            <w:jc w:val="center"/>
          </w:pPr>
        </w:p>
      </w:tc>
      <w:tc>
        <w:tcPr>
          <w:tcW w:w="3120" w:type="dxa"/>
          <w:tcMar/>
        </w:tcPr>
        <w:p w:rsidR="05130DF5" w:rsidP="05130DF5" w:rsidRDefault="05130DF5" w14:paraId="3755C2EE" w14:textId="3F687BE8">
          <w:pPr>
            <w:pStyle w:val="Header"/>
            <w:bidi w:val="0"/>
            <w:ind w:right="-115"/>
            <w:jc w:val="right"/>
          </w:pPr>
        </w:p>
      </w:tc>
    </w:tr>
  </w:tbl>
  <w:p w:rsidR="05130DF5" w:rsidP="05130DF5" w:rsidRDefault="05130DF5" w14:paraId="11CDD14F" w14:textId="40F17252">
    <w:pPr>
      <w:pStyle w:val="Header"/>
      <w:bidi w:val="0"/>
    </w:pPr>
  </w:p>
</w:hdr>
</file>

<file path=word/intelligence2.xml><?xml version="1.0" encoding="utf-8"?>
<int2:intelligence xmlns:int2="http://schemas.microsoft.com/office/intelligence/2020/intelligence">
  <int2:observations>
    <int2:bookmark int2:bookmarkName="_Int_7ukdNTr7" int2:invalidationBookmarkName="" int2:hashCode="eOHllacm7mO41d" int2:id="roiU1Mj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FFB508"/>
    <w:rsid w:val="01364540"/>
    <w:rsid w:val="01EFA2CE"/>
    <w:rsid w:val="01FBB06D"/>
    <w:rsid w:val="03974148"/>
    <w:rsid w:val="03EE7931"/>
    <w:rsid w:val="044C3BFB"/>
    <w:rsid w:val="04BB0AD1"/>
    <w:rsid w:val="05130DF5"/>
    <w:rsid w:val="07652688"/>
    <w:rsid w:val="0973DDD5"/>
    <w:rsid w:val="09FAADF6"/>
    <w:rsid w:val="0ADBA436"/>
    <w:rsid w:val="0B2887EB"/>
    <w:rsid w:val="0C0ADDC4"/>
    <w:rsid w:val="0C4E06A9"/>
    <w:rsid w:val="0D97773E"/>
    <w:rsid w:val="104A4690"/>
    <w:rsid w:val="120405DF"/>
    <w:rsid w:val="1228E264"/>
    <w:rsid w:val="14ED07F7"/>
    <w:rsid w:val="170E9A80"/>
    <w:rsid w:val="17E63CB9"/>
    <w:rsid w:val="18C5BFC9"/>
    <w:rsid w:val="19254BF5"/>
    <w:rsid w:val="1AEA8B80"/>
    <w:rsid w:val="1E2D92CF"/>
    <w:rsid w:val="1EABF013"/>
    <w:rsid w:val="1EEB1C9D"/>
    <w:rsid w:val="1F054D7E"/>
    <w:rsid w:val="20426153"/>
    <w:rsid w:val="210C15E0"/>
    <w:rsid w:val="21EE37BC"/>
    <w:rsid w:val="23802BEC"/>
    <w:rsid w:val="25769701"/>
    <w:rsid w:val="261F353C"/>
    <w:rsid w:val="277C82BB"/>
    <w:rsid w:val="27F9F5D5"/>
    <w:rsid w:val="2B288124"/>
    <w:rsid w:val="2B92BC1C"/>
    <w:rsid w:val="2E8A42D1"/>
    <w:rsid w:val="2F38BC7B"/>
    <w:rsid w:val="3048E196"/>
    <w:rsid w:val="30DE6D8A"/>
    <w:rsid w:val="339412AE"/>
    <w:rsid w:val="34A97617"/>
    <w:rsid w:val="38294824"/>
    <w:rsid w:val="388CD593"/>
    <w:rsid w:val="3B235EF9"/>
    <w:rsid w:val="3D579567"/>
    <w:rsid w:val="40F8B103"/>
    <w:rsid w:val="413E6384"/>
    <w:rsid w:val="413F108C"/>
    <w:rsid w:val="436D3D4B"/>
    <w:rsid w:val="46F996CA"/>
    <w:rsid w:val="47FF5F5C"/>
    <w:rsid w:val="480FD512"/>
    <w:rsid w:val="4854EFDA"/>
    <w:rsid w:val="487D56AD"/>
    <w:rsid w:val="4964DE2D"/>
    <w:rsid w:val="4A7549A3"/>
    <w:rsid w:val="4F4B6E94"/>
    <w:rsid w:val="512461C9"/>
    <w:rsid w:val="52CDA5EE"/>
    <w:rsid w:val="53BA9F4E"/>
    <w:rsid w:val="53CF631B"/>
    <w:rsid w:val="556FD85D"/>
    <w:rsid w:val="56C9DBD1"/>
    <w:rsid w:val="56FFB508"/>
    <w:rsid w:val="5755D824"/>
    <w:rsid w:val="58FEDC4E"/>
    <w:rsid w:val="5C77A422"/>
    <w:rsid w:val="5CF199E7"/>
    <w:rsid w:val="5DE3110D"/>
    <w:rsid w:val="617872F8"/>
    <w:rsid w:val="62F2A0F1"/>
    <w:rsid w:val="648C486E"/>
    <w:rsid w:val="6623E756"/>
    <w:rsid w:val="6638F819"/>
    <w:rsid w:val="6848211B"/>
    <w:rsid w:val="68CAD5F2"/>
    <w:rsid w:val="690F28E0"/>
    <w:rsid w:val="69862C8A"/>
    <w:rsid w:val="6A40754C"/>
    <w:rsid w:val="6A7E4183"/>
    <w:rsid w:val="6AA715B4"/>
    <w:rsid w:val="6ACA3FC7"/>
    <w:rsid w:val="6B2B0FB7"/>
    <w:rsid w:val="6B4F2BC3"/>
    <w:rsid w:val="6C62AF01"/>
    <w:rsid w:val="6C9A0F2A"/>
    <w:rsid w:val="6CE77DB9"/>
    <w:rsid w:val="6DD6268C"/>
    <w:rsid w:val="6F246CCA"/>
    <w:rsid w:val="6F631F5B"/>
    <w:rsid w:val="73F34013"/>
    <w:rsid w:val="7CEE054B"/>
    <w:rsid w:val="7DACFE02"/>
    <w:rsid w:val="7EB75E23"/>
    <w:rsid w:val="7F639E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F3B6"/>
  <w15:chartTrackingRefBased/>
  <w15:docId w15:val="{38BADCD1-DBC5-4A26-BE96-078BEF9445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042615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0426153"/>
    <w:rPr>
      <w:color w:val="467886"/>
      <w:u w:val="single"/>
    </w:rPr>
  </w:style>
  <w:style w:type="paragraph" w:styleId="Header">
    <w:uiPriority w:val="99"/>
    <w:name w:val="header"/>
    <w:basedOn w:val="Normal"/>
    <w:unhideWhenUsed/>
    <w:rsid w:val="05130DF5"/>
    <w:pPr>
      <w:tabs>
        <w:tab w:val="center" w:leader="none" w:pos="4680"/>
        <w:tab w:val="right" w:leader="none" w:pos="9360"/>
      </w:tabs>
      <w:spacing w:after="0" w:line="240" w:lineRule="auto"/>
    </w:pPr>
  </w:style>
  <w:style w:type="paragraph" w:styleId="Footer">
    <w:uiPriority w:val="99"/>
    <w:name w:val="footer"/>
    <w:basedOn w:val="Normal"/>
    <w:unhideWhenUsed/>
    <w:rsid w:val="05130DF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earson.com/en-gb/subject-catalog/p/managing-change/P200000003438" TargetMode="External" Id="R26253bb19f4248d4" /><Relationship Type="http://schemas.openxmlformats.org/officeDocument/2006/relationships/hyperlink" Target="https://doi.org/10.17719/jisr.2017.1832" TargetMode="External" Id="R113cf16928df47a9" /><Relationship Type="http://schemas.openxmlformats.org/officeDocument/2006/relationships/hyperlink" Target="https://www.routledge.com/Sport-Management-Principles-and-Applications/Hoye-Smith-Nicholson-Stewart/p/book/9781138692295" TargetMode="External" Id="R02eee9de279547dc" /><Relationship Type="http://schemas.openxmlformats.org/officeDocument/2006/relationships/hyperlink" Target="https://www.pearson.com/en-gb/subject-catalog/p/exploring-strategy/P200000003063" TargetMode="External" Id="R61488d2dbce44843" /><Relationship Type="http://schemas.openxmlformats.org/officeDocument/2006/relationships/hyperlink" Target="https://www.pearson.com/en-gb/subject-catalog/p/strategy-safari/P200000003285" TargetMode="External" Id="R17444f24f4044819" /><Relationship Type="http://schemas.openxmlformats.org/officeDocument/2006/relationships/header" Target="header.xml" Id="R77f0fbd9e5b14f54" /><Relationship Type="http://schemas.openxmlformats.org/officeDocument/2006/relationships/footer" Target="footer.xml" Id="R5ae0bcdf9c454962" /><Relationship Type="http://schemas.microsoft.com/office/2020/10/relationships/intelligence" Target="intelligence2.xml" Id="R89213545ce8d4b87" /><Relationship Type="http://schemas.openxmlformats.org/officeDocument/2006/relationships/hyperlink" Target="https://www.routledge.com/Introduction-to-Sport-Marketing/Smith-Stewart/p/book/9780415530282" TargetMode="External" Id="R3cadff0b1731437e" /><Relationship Type="http://schemas.openxmlformats.org/officeDocument/2006/relationships/hyperlink" Target="https://doi.org/10.1177/014920639101700108" TargetMode="External" Id="R1f76a23c28394d91" /><Relationship Type="http://schemas.openxmlformats.org/officeDocument/2006/relationships/hyperlink" Target="https://www.pearson.com/en-gb/subject-catalog/p/managing-change/P200000003438" TargetMode="External" Id="Raf6f72c38ddd464f" /><Relationship Type="http://schemas.openxmlformats.org/officeDocument/2006/relationships/hyperlink" Target="https://doi.org/10.1123/jsm.2014-0182" TargetMode="External" Id="R6e7853f71e234e49" /><Relationship Type="http://schemas.openxmlformats.org/officeDocument/2006/relationships/hyperlink" Target="https://www.wiley.com/en-gb/Contemporary+Strategy+Analysis-p-9781119495723" TargetMode="External" Id="R424c6644228142e5" /><Relationship Type="http://schemas.openxmlformats.org/officeDocument/2006/relationships/hyperlink" Target="https://doi.org/10.17719/jisr.2017.1832" TargetMode="External" Id="R0f8f62cf9fb04bb3" /><Relationship Type="http://schemas.openxmlformats.org/officeDocument/2006/relationships/hyperlink" Target="https://www.routledge.com/Sport-Management-Principles-and-Applications/Hoye-Smith-Nicholson-Stewart/p/book/9781138692295" TargetMode="External" Id="Rb933b37b9d37442b" /><Relationship Type="http://schemas.openxmlformats.org/officeDocument/2006/relationships/hyperlink" Target="https://www.pearson.com/en-gb/subject-catalog/p/exploring-strategy/P200000003063" TargetMode="External" Id="R118aa42718854b9b" /><Relationship Type="http://schemas.openxmlformats.org/officeDocument/2006/relationships/hyperlink" Target="https://www.pearson.com/en-gb/subject-catalog/p/strategy-safari/P200000003285" TargetMode="External" Id="Ra576ccd843224e3a" /><Relationship Type="http://schemas.openxmlformats.org/officeDocument/2006/relationships/hyperlink" Target="https://doi.org/10.1016/j.smr.2009.07.002" TargetMode="External" Id="R916bb4124b6c4e75" /><Relationship Type="http://schemas.openxmlformats.org/officeDocument/2006/relationships/hyperlink" Target="https://www.routledge.com/Introduction-to-Sport-Marketing/Smith-Stewart/p/book/9780415530282" TargetMode="External" Id="Rc86925a57e0f45a4" /><Relationship Type="http://schemas.openxmlformats.org/officeDocument/2006/relationships/hyperlink" Target="https://us.humankinetics.com/products/understanding-sport-organizations" TargetMode="External" Id="R52e0044647ac4b01" /><Relationship Type="http://schemas.openxmlformats.org/officeDocument/2006/relationships/hyperlink" Target="https://faw.cymru/" TargetMode="External" Id="R6512d01862534b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2026-03-19T13:20:53.6752758Z</dcterms:created>
  <dcterms:modified xsi:type="dcterms:W3CDTF">2026-04-28T13:47:30.4898446Z</dcterms:modified>
  <dc:creator>Joe Wade (2318273)</dc:creator>
  <lastModifiedBy>Joe Wade (2318273)</lastModifiedBy>
</coreProperties>
</file>