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7E3" w:rsidRPr="004B07E3" w:rsidRDefault="004B07E3" w:rsidP="004B07E3">
      <w:pPr>
        <w:spacing w:before="100" w:beforeAutospacing="1" w:after="100" w:afterAutospacing="1" w:line="408" w:lineRule="atLeast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DFKai-SB" w:eastAsia="DFKai-SB" w:hAnsi="DFKai-SB" w:cs="Times New Roman"/>
          <w:color w:val="000000"/>
          <w:spacing w:val="80"/>
          <w:sz w:val="27"/>
          <w:szCs w:val="27"/>
          <w:lang w:eastAsia="zh-TW"/>
        </w:rPr>
        <w:t>子貢欲去告朔之餼羊。子曰：賜也，爾愛其羊，我愛其禮。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highlight w:val="yellow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highlight w:val="yellow"/>
          <w:lang w:eastAsia="zh-TW"/>
        </w:rPr>
        <w:t>「告朔」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highlight w:val="yellow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highlight w:val="yellow"/>
          <w:lang w:eastAsia="zh-TW"/>
        </w:rPr>
        <w:t>邢疏引周禮春官太史：「頒告朔于邦國。」古時天子在季冬時，以來年每月的政事，定成政令書，古注稱為朔政，亦稱月令書，頒告諸侯。諸侯受之以後，藏於太廟，自新年一月起，每月朔日，也就是每月初一，供一隻餼羊，祭告於太廟，然後上朝奉行。諸侯告朔於太廟之禮，如春秋文公六年公羊傳何休注說：「禮，諸侯受十二月朔政於天子，藏於太祖廟，每月朔，朝廟，使大夫南面奉天子命，君北面而受之。」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highlight w:val="yellow"/>
          <w:lang w:eastAsia="zh-TW"/>
        </w:rPr>
        <w:t>此外，天子自己也在每月朔日舉行告朔禮。皇疏說：「禮，天子每月之旦，居於明堂，告其時帝布政，讀月令之書畢，又還太廟，告於太祖。諸侯無明堂，但告於太廟。並用牲。天子用牛，諸侯用羊。」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t>先儒通校諸經，以為告朔之禮本有兩種。一是天子以朔政頒告諸侯。一是天子告朔於明堂，諸侯告朔於廟。而論語及公羊傳所說就是後一種。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t>「子貢欲去告朔之餼羊。」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highlight w:val="yellow"/>
          <w:lang w:eastAsia="zh-TW"/>
        </w:rPr>
        <w:t>史記歷書說，周幽王、厲王時，「君不告朔。」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highlight w:val="yellow"/>
          <w:lang w:eastAsia="zh-TW"/>
        </w:rPr>
        <w:t>春秋記載，魯文公六年，閏月不告朔，十六年，文公又因疾病，而有四次不視朔。文公以後，魯君告朔之禮，逐漸由曠而廢。後來魯君雖不告朔，但每月初一，仍由有司送一隻餼羊供奉祖廟。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t>子貢認為，告朔之禮既不舉行，何必仍供一羊。故欲除去告朔之餼羊。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t>餼羊，鄭注為生羊。皇疏以為，生是未熟之義，生腥通用。因此，餼羊就是殺而未煮熟的腥羊。如果將生羊解釋為活的羊，</w:t>
      </w: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lastRenderedPageBreak/>
        <w:t>猶可以生養，則子貢何以愛之。愛，是如孟子所說的「不忍見其死」之義。</w:t>
      </w:r>
    </w:p>
    <w:p w:rsidR="004B07E3" w:rsidRP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/>
          <w:color w:val="00000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t>「子曰，賜也，爾愛其羊，我愛其禮。」</w:t>
      </w:r>
    </w:p>
    <w:p w:rsidR="004B07E3" w:rsidRDefault="004B07E3" w:rsidP="004B07E3">
      <w:pPr>
        <w:spacing w:before="100" w:beforeAutospacing="1" w:after="100" w:afterAutospacing="1" w:line="408" w:lineRule="atLeast"/>
        <w:ind w:firstLine="630"/>
        <w:rPr>
          <w:rFonts w:ascii="MingLiU" w:eastAsia="MingLiU" w:hAnsi="MingLiU" w:cs="Times New Roman"/>
          <w:color w:val="000000"/>
          <w:spacing w:val="80"/>
          <w:lang w:eastAsia="zh-TW"/>
        </w:rPr>
      </w:pPr>
      <w:r w:rsidRPr="004B07E3">
        <w:rPr>
          <w:rFonts w:ascii="MingLiU" w:eastAsia="MingLiU" w:hAnsi="MingLiU" w:cs="Times New Roman"/>
          <w:color w:val="000000"/>
          <w:spacing w:val="80"/>
          <w:lang w:eastAsia="zh-TW"/>
        </w:rPr>
        <w:t>孔子呼子貢之名說：「賜，你愛的是一隻羊，我愛的則是告朔之禮。」不行告朔禮，只供一餼羊，非為行禮而殺羊，應當去之。這是子貢愛羊之意。孔子則有另一種看法。繼續每月供奉餼羊，一般人民尚可由此而知時令。後世之人尚可見此餼羊而知有告朔之禮，得以考據而有所取。是以不去餼羊，其禮尚未全廢，餼羊一旦除去，其禮也就完全廢棄了，所以孔子說：「我愛其禮。」</w:t>
      </w:r>
    </w:p>
    <w:p w:rsidR="00062CC3" w:rsidRDefault="00062CC3" w:rsidP="00062CC3">
      <w:pPr>
        <w:pStyle w:val="NormalWeb"/>
        <w:spacing w:line="408" w:lineRule="atLeast"/>
        <w:rPr>
          <w:rFonts w:ascii="-webkit-standard" w:hAnsi="-webkit-standard"/>
          <w:color w:val="000000"/>
          <w:lang w:eastAsia="zh-TW"/>
        </w:rPr>
      </w:pPr>
      <w:r>
        <w:rPr>
          <w:rFonts w:ascii="DFKai-SB" w:eastAsia="DFKai-SB" w:hAnsi="DFKai-SB" w:cs="DFKai-SB"/>
          <w:color w:val="000000"/>
          <w:spacing w:val="80"/>
          <w:sz w:val="27"/>
          <w:szCs w:val="27"/>
          <w:lang w:eastAsia="zh-TW"/>
        </w:rPr>
        <w:t>子之武城，聞弦歌之聲。夫子莞爾而笑曰：割雞焉用牛刀。子游對曰：昔者偃也聞諸夫子曰：君子學道則愛人，小人學道則易使也。子曰：二三子，偃之言是也，前言戲之耳。</w:t>
      </w:r>
    </w:p>
    <w:p w:rsidR="00062CC3" w:rsidRDefault="00062CC3" w:rsidP="00062CC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武城在今山東省，當時是魯國一個小邑，依孔安國注，子游此時作武城宰，猶如今日的縣市長。</w:t>
      </w:r>
    </w:p>
    <w:p w:rsidR="00062CC3" w:rsidRDefault="00062CC3" w:rsidP="00062CC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「子之武城，聞弦歌之聲。」之武城的「之」字，作適字講，是到的意思。孔子到了武城，聽見弦歌的聲音。劉氏正義引周禮春官小師「(管)弦歌」鄭注：「弦、謂琴瑟也。歌、依詠詩也。」賈公彥疏：「謂工歌詩，依琴瑟而詠之詩。」詩是歌辭，有聲調，可唱，琴瑟是樂器，以琴瑟彈奏詩的聲調，再依聲調唱詩，即是弦歌之聲。</w:t>
      </w:r>
    </w:p>
    <w:p w:rsidR="00062CC3" w:rsidRDefault="00062CC3" w:rsidP="00062CC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「夫子莞爾而笑曰：割雞焉用牛刀。」孔子微笑說：「殺雞何用宰牛的刀。」孔安國注：「言治小何須用大道。」</w:t>
      </w:r>
    </w:p>
    <w:p w:rsidR="00062CC3" w:rsidRDefault="00062CC3" w:rsidP="00062CC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子游對曰：「昔者偃也，」偃，子游自稱其名，「聞之於夫子說，在位的人學了道，就能愛民，民眾學了道，就容易使令。」孔安國注：「道，謂禮樂也。樂以和人，人和則易使。」純正的音樂，如詩的雅頌之音，可以調和人的性情，配合禮教，</w:t>
      </w:r>
      <w:r>
        <w:rPr>
          <w:rFonts w:ascii="MingLiU" w:eastAsia="MingLiU" w:hAnsi="MingLiU"/>
          <w:color w:val="000000"/>
          <w:spacing w:val="80"/>
          <w:lang w:eastAsia="zh-TW"/>
        </w:rPr>
        <w:lastRenderedPageBreak/>
        <w:t>就是禮樂教化之道。民眾學了禮樂，與君子志同道合，對於君子愛民利民的政令必然擁護，所以易使。</w:t>
      </w:r>
    </w:p>
    <w:p w:rsidR="00062CC3" w:rsidRDefault="00062CC3" w:rsidP="00062CC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「子曰：二三子，偃之言是也，前言戲之耳。」二三子，是隨孔子到武城的諸弟子。孔子對諸弟子說：「偃的話是對的，前面我說的是一句戲言而已。」</w:t>
      </w:r>
    </w:p>
    <w:p w:rsidR="00062CC3" w:rsidRDefault="00062CC3" w:rsidP="00062CC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禮記學記篇說：「古之教者，家有塾，黨有庠。」春秋時，庠塾之教漸廢，所以雅頌之音不作。子游作了武城邑宰，實施庠塾之教，學習的人很多。孔子到武城，聽到弦歌之聲，一時高興，便說了「割雞焉用牛刀」這句戲言，足見聖人言語也有輕鬆的一面。但在輕鬆的言辭裡，卻能顯示禮樂教育的重要，即無論治理天下國家，以至像武城這樣的小邑，都要實施禮樂教育，這才是為政之道。</w:t>
      </w:r>
    </w:p>
    <w:p w:rsidR="00062CC3" w:rsidRPr="004B07E3" w:rsidRDefault="00062CC3" w:rsidP="004B07E3">
      <w:pPr>
        <w:spacing w:before="100" w:beforeAutospacing="1" w:after="100" w:afterAutospacing="1" w:line="408" w:lineRule="atLeast"/>
        <w:ind w:firstLine="630"/>
        <w:rPr>
          <w:rFonts w:ascii="-webkit-standard" w:eastAsia="Times New Roman" w:hAnsi="-webkit-standard" w:cs="Times New Roman" w:hint="eastAsia"/>
          <w:color w:val="000000"/>
          <w:lang w:eastAsia="zh-TW"/>
        </w:rPr>
      </w:pPr>
      <w:bookmarkStart w:id="0" w:name="_GoBack"/>
      <w:bookmarkEnd w:id="0"/>
    </w:p>
    <w:p w:rsidR="004B07E3" w:rsidRDefault="004B07E3" w:rsidP="004B07E3">
      <w:pPr>
        <w:pStyle w:val="NormalWeb"/>
        <w:spacing w:line="408" w:lineRule="atLeast"/>
        <w:rPr>
          <w:rFonts w:ascii="-webkit-standard" w:hAnsi="-webkit-standard"/>
          <w:color w:val="000000"/>
          <w:lang w:eastAsia="zh-TW"/>
        </w:rPr>
      </w:pPr>
      <w:r>
        <w:rPr>
          <w:rFonts w:ascii="DFKai-SB" w:eastAsia="DFKai-SB" w:hAnsi="DFKai-SB" w:cs="DFKai-SB"/>
          <w:color w:val="000000"/>
          <w:spacing w:val="80"/>
          <w:sz w:val="27"/>
          <w:szCs w:val="27"/>
          <w:lang w:eastAsia="zh-TW"/>
        </w:rPr>
        <w:t>子曰：君子坦蕩蕩，小人長戚戚。</w:t>
      </w:r>
    </w:p>
    <w:p w:rsidR="004B07E3" w:rsidRDefault="004B07E3" w:rsidP="004B07E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坦蕩蕩，是說君子的心境平坦廣大。長戚戚，鄭康成注為多憂懼，黃式三論語後案引詩經小雅節南山「蹙蹙靡所騁」，以為戚戚就是蹙蹙的正字，是迫縮的意思，與蕩蕩相反，依訓詁學講，此解為是，然將戚戚注為憂懼，也能適切的說明小人之心。</w:t>
      </w:r>
    </w:p>
    <w:p w:rsidR="004B07E3" w:rsidRDefault="004B07E3" w:rsidP="004B07E3">
      <w:pPr>
        <w:pStyle w:val="NormalWeb"/>
        <w:spacing w:line="408" w:lineRule="atLeast"/>
        <w:ind w:firstLine="630"/>
        <w:rPr>
          <w:rFonts w:ascii="-webkit-standard" w:hAnsi="-webkit-standard"/>
          <w:color w:val="000000"/>
          <w:lang w:eastAsia="zh-TW"/>
        </w:rPr>
      </w:pPr>
      <w:r>
        <w:rPr>
          <w:rFonts w:ascii="MingLiU" w:eastAsia="MingLiU" w:hAnsi="MingLiU"/>
          <w:color w:val="000000"/>
          <w:spacing w:val="80"/>
          <w:lang w:eastAsia="zh-TW"/>
        </w:rPr>
        <w:t>這章書是孔子辨別君子和小人兩種相反的心理。君子何以坦蕩蕩，小人何以長戚戚，程氏集釋引李二曲四書反身錄，解釋得很好，他說</w:t>
      </w:r>
      <w:r w:rsidRPr="004B07E3">
        <w:rPr>
          <w:rFonts w:ascii="MingLiU" w:eastAsia="MingLiU" w:hAnsi="MingLiU"/>
          <w:color w:val="000000"/>
          <w:spacing w:val="80"/>
          <w:highlight w:val="yellow"/>
          <w:lang w:eastAsia="zh-TW"/>
        </w:rPr>
        <w:t>：「君子不為名牽，不為利役，便俯仰無愧，便坦蕩自得。小人不為名牽，便為利役，未得患得，既得患失，便是長戚戚。」</w:t>
      </w:r>
    </w:p>
    <w:p w:rsidR="004B07E3" w:rsidRPr="004B07E3" w:rsidRDefault="004B07E3" w:rsidP="004B07E3">
      <w:pPr>
        <w:rPr>
          <w:rFonts w:ascii="Times New Roman" w:eastAsia="Times New Roman" w:hAnsi="Times New Roman" w:cs="Times New Roman"/>
          <w:lang w:eastAsia="zh-TW"/>
        </w:rPr>
      </w:pP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關於上古傳說史中的三位聖王三皇，有各種說法：</w:t>
      </w:r>
    </w:p>
    <w:p w:rsidR="004B07E3" w:rsidRPr="00CD4D65" w:rsidRDefault="004B07E3" w:rsidP="004B07E3">
      <w:pPr>
        <w:rPr>
          <w:sz w:val="28"/>
          <w:szCs w:val="28"/>
        </w:rPr>
      </w:pPr>
      <w:r w:rsidRPr="00CD4D65">
        <w:rPr>
          <w:sz w:val="28"/>
          <w:szCs w:val="28"/>
        </w:rPr>
        <w:t>•</w:t>
      </w:r>
      <w:r w:rsidRPr="00CD4D65">
        <w:rPr>
          <w:sz w:val="28"/>
          <w:szCs w:val="28"/>
        </w:rPr>
        <w:tab/>
      </w:r>
      <w:r w:rsidRPr="00CD4D65">
        <w:rPr>
          <w:rFonts w:hint="eastAsia"/>
          <w:sz w:val="28"/>
          <w:szCs w:val="28"/>
        </w:rPr>
        <w:t>伏羲、神農、女媧（《史记·三皇本纪》—司马贞补、《春秋運斗樞》、《春秋元命苞》）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cs"/>
          <w:sz w:val="28"/>
          <w:szCs w:val="28"/>
          <w:lang w:eastAsia="zh-TW"/>
        </w:rPr>
        <w:t>•</w:t>
      </w:r>
      <w:r w:rsidRPr="00CD4D65">
        <w:rPr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伏羲、神農、黃帝（《尚書·序》、《帝王世紀》）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cs"/>
          <w:sz w:val="28"/>
          <w:szCs w:val="28"/>
          <w:lang w:eastAsia="zh-TW"/>
        </w:rPr>
        <w:t>•</w:t>
      </w:r>
      <w:r w:rsidRPr="00CD4D65">
        <w:rPr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伏羲、神農、燧人（《尚書大傳》、《禮緯含文嘉》）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cs"/>
          <w:sz w:val="28"/>
          <w:szCs w:val="28"/>
          <w:lang w:eastAsia="zh-TW"/>
        </w:rPr>
        <w:t>•</w:t>
      </w:r>
      <w:r w:rsidRPr="00CD4D65">
        <w:rPr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伏羲、神農、祝融（《白虎通》）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cs"/>
          <w:sz w:val="28"/>
          <w:szCs w:val="28"/>
          <w:lang w:eastAsia="zh-TW"/>
        </w:rPr>
        <w:lastRenderedPageBreak/>
        <w:t>•</w:t>
      </w:r>
      <w:r w:rsidRPr="00CD4D65">
        <w:rPr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伏羲、神農、共工（《通鑒外紀》）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關於上古傳說史中的五位聖王五帝，有各種說法：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•</w:t>
      </w:r>
      <w:r w:rsidRPr="00CD4D65">
        <w:rPr>
          <w:rFonts w:hint="eastAsia"/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黃帝、顓頊、嚳、堯、舜（《史記·五帝本紀》、《世本》、《大戴禮記》、《易傳》、《禮記》、《春秋國語》）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•</w:t>
      </w:r>
      <w:r w:rsidRPr="00CD4D65">
        <w:rPr>
          <w:rFonts w:hint="eastAsia"/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少昊、顓頊、嚳、堯、舜（《尚書·序》、《白虎通義》）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•</w:t>
      </w:r>
      <w:r w:rsidRPr="00CD4D65">
        <w:rPr>
          <w:rFonts w:hint="eastAsia"/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黃帝、庖犧（伏羲）、神農、堯、舜（《戰國策》）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•</w:t>
      </w:r>
      <w:r w:rsidRPr="00CD4D65">
        <w:rPr>
          <w:rFonts w:hint="eastAsia"/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黃帝、顓頊、太昊（伏羲）、少昊、炎帝（《禮記·月令》、《呂氏春秋》、《淮南子》）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•</w:t>
      </w:r>
      <w:r w:rsidRPr="00CD4D65">
        <w:rPr>
          <w:rFonts w:hint="eastAsia"/>
          <w:sz w:val="28"/>
          <w:szCs w:val="28"/>
          <w:lang w:eastAsia="zh-TW"/>
        </w:rPr>
        <w:tab/>
      </w:r>
      <w:r w:rsidRPr="00CD4D65">
        <w:rPr>
          <w:rFonts w:hint="eastAsia"/>
          <w:sz w:val="28"/>
          <w:szCs w:val="28"/>
          <w:lang w:eastAsia="zh-TW"/>
        </w:rPr>
        <w:t>黃帝、顓頊、嚳、堯、少昊（《資治通鑒外紀》）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我們先採取《尚書·序》、《帝王世紀》裡面關於三皇五帝的說法：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三皇：伏羲、神農、黃帝（《尚書·序》、《帝王世紀》）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五帝：少昊（少昊金天氏）</w:t>
      </w:r>
      <w:r w:rsidRPr="00CD4D65">
        <w:rPr>
          <w:rFonts w:hint="eastAsia"/>
          <w:sz w:val="28"/>
          <w:szCs w:val="28"/>
          <w:lang w:eastAsia="zh-TW"/>
        </w:rPr>
        <w:t xml:space="preserve">   </w:t>
      </w:r>
      <w:r w:rsidRPr="00CD4D65">
        <w:rPr>
          <w:rFonts w:hint="eastAsia"/>
          <w:sz w:val="28"/>
          <w:szCs w:val="28"/>
          <w:lang w:eastAsia="zh-TW"/>
        </w:rPr>
        <w:t>、顓頊（颛顼高阳氏）</w:t>
      </w:r>
      <w:r w:rsidRPr="00CD4D65">
        <w:rPr>
          <w:rFonts w:hint="eastAsia"/>
          <w:sz w:val="28"/>
          <w:szCs w:val="28"/>
          <w:lang w:eastAsia="zh-TW"/>
        </w:rPr>
        <w:t xml:space="preserve">   </w:t>
      </w:r>
      <w:r w:rsidRPr="00CD4D65">
        <w:rPr>
          <w:rFonts w:hint="eastAsia"/>
          <w:sz w:val="28"/>
          <w:szCs w:val="28"/>
          <w:lang w:eastAsia="zh-TW"/>
        </w:rPr>
        <w:t>、嚳（帝喾高辛氏）</w:t>
      </w:r>
      <w:r w:rsidRPr="00CD4D65">
        <w:rPr>
          <w:rFonts w:hint="eastAsia"/>
          <w:sz w:val="28"/>
          <w:szCs w:val="28"/>
          <w:lang w:eastAsia="zh-TW"/>
        </w:rPr>
        <w:t xml:space="preserve">  </w:t>
      </w:r>
      <w:r w:rsidRPr="00CD4D65">
        <w:rPr>
          <w:rFonts w:hint="eastAsia"/>
          <w:sz w:val="28"/>
          <w:szCs w:val="28"/>
          <w:lang w:eastAsia="zh-TW"/>
        </w:rPr>
        <w:t>、堯（帝尧陶唐氏）</w:t>
      </w:r>
      <w:r w:rsidRPr="00CD4D65">
        <w:rPr>
          <w:rFonts w:hint="eastAsia"/>
          <w:sz w:val="28"/>
          <w:szCs w:val="28"/>
          <w:lang w:eastAsia="zh-TW"/>
        </w:rPr>
        <w:t xml:space="preserve">    </w:t>
      </w:r>
      <w:r w:rsidRPr="00CD4D65">
        <w:rPr>
          <w:rFonts w:hint="eastAsia"/>
          <w:sz w:val="28"/>
          <w:szCs w:val="28"/>
          <w:lang w:eastAsia="zh-TW"/>
        </w:rPr>
        <w:t>、舜（帝舜有虞氏）（《尚書·序》、《白虎通義》）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我周公，作周禮；著六官，存治體。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大小戴，注禮記；述聖言，禮樂備。</w:t>
      </w:r>
    </w:p>
    <w:p w:rsidR="004B07E3" w:rsidRPr="00CD4D65" w:rsidRDefault="004B07E3" w:rsidP="004B07E3">
      <w:pPr>
        <w:rPr>
          <w:sz w:val="28"/>
          <w:szCs w:val="28"/>
          <w:lang w:eastAsia="zh-TW"/>
        </w:rPr>
      </w:pPr>
      <w:r w:rsidRPr="00CD4D65">
        <w:rPr>
          <w:rFonts w:hint="eastAsia"/>
          <w:sz w:val="28"/>
          <w:szCs w:val="28"/>
          <w:lang w:eastAsia="zh-TW"/>
        </w:rPr>
        <w:t>易解：周公制定周禮，分官設職建立國家的政治制度，六官即六卿，包含了天官：吏部大塚宰，地官：戶部大司徒，春官：禮部大宗伯，夏官：兵部大司馬，秋官：刑部大司寇，冬官：工部大司空，分屬於天子之下，各司其職管理國家大事，為後世保存了良好的政治典範。</w:t>
      </w:r>
    </w:p>
    <w:p w:rsidR="004B07E3" w:rsidRDefault="004B07E3">
      <w:pPr>
        <w:rPr>
          <w:lang w:eastAsia="zh-TW"/>
        </w:rPr>
      </w:pPr>
    </w:p>
    <w:p w:rsidR="004B07E3" w:rsidRDefault="004B07E3">
      <w:pPr>
        <w:rPr>
          <w:lang w:eastAsia="zh-TW"/>
        </w:rPr>
      </w:pPr>
    </w:p>
    <w:sectPr w:rsidR="004B07E3" w:rsidSect="009C18A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7E3"/>
    <w:rsid w:val="00062CC3"/>
    <w:rsid w:val="004B07E3"/>
    <w:rsid w:val="009C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966629"/>
  <w15:chartTrackingRefBased/>
  <w15:docId w15:val="{8B35D084-DDEC-C147-AB5B-54A4BBA7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07E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8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2020-09-30T01:07:00Z</dcterms:created>
  <dcterms:modified xsi:type="dcterms:W3CDTF">2020-09-30T01:23:00Z</dcterms:modified>
</cp:coreProperties>
</file>