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0000001">
      <w:pPr>
        <w:pStyle w:val="3"/>
        <w:keepNext w:val="0"/>
        <w:keepLines w:val="0"/>
        <w:spacing w:after="80" w:line="360" w:lineRule="auto"/>
        <w:jc w:val="both"/>
        <w:rPr>
          <w:rFonts w:ascii="Times New Roman" w:hAnsi="Times New Roman" w:eastAsia="Times New Roman" w:cs="Times New Roman"/>
          <w:b/>
          <w:bCs/>
        </w:rPr>
      </w:pPr>
      <w:bookmarkStart w:id="0" w:name="_3lfa76j9z9xg" w:colFirst="0" w:colLast="0"/>
      <w:bookmarkEnd w:id="0"/>
      <w:r>
        <w:rPr>
          <w:rFonts w:ascii="Times New Roman" w:hAnsi="Times New Roman" w:eastAsia="Times New Roman" w:cs="Times New Roman"/>
          <w:b/>
          <w:bCs/>
          <w:sz w:val="24"/>
          <w:szCs w:val="24"/>
        </w:rPr>
        <w:drawing>
          <wp:inline distT="114300" distB="114300" distL="114300" distR="114300">
            <wp:extent cx="2147570" cy="130492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referRelativeResize="0"/>
                  </pic:nvPicPr>
                  <pic:blipFill>
                    <a:blip r:embed="rId5"/>
                    <a:srcRect/>
                    <a:stretch>
                      <a:fillRect/>
                    </a:stretch>
                  </pic:blipFill>
                  <pic:spPr>
                    <a:xfrm>
                      <a:off x="0" y="0"/>
                      <a:ext cx="2147888" cy="1304925"/>
                    </a:xfrm>
                    <a:prstGeom prst="rect">
                      <a:avLst/>
                    </a:prstGeom>
                  </pic:spPr>
                </pic:pic>
              </a:graphicData>
            </a:graphic>
          </wp:inline>
        </w:drawing>
      </w:r>
      <w:r>
        <w:rPr>
          <w:rFonts w:ascii="Times New Roman" w:hAnsi="Times New Roman" w:eastAsia="Times New Roman" w:cs="Times New Roman"/>
          <w:b/>
          <w:bCs/>
          <w:sz w:val="24"/>
          <w:szCs w:val="24"/>
        </w:rPr>
        <w:br w:type="textWrapping"/>
      </w:r>
      <w:r>
        <w:rPr>
          <w:rFonts w:ascii="Times New Roman" w:hAnsi="Times New Roman" w:eastAsia="Times New Roman" w:cs="Times New Roman"/>
          <w:b/>
          <w:bCs/>
          <w:sz w:val="24"/>
          <w:szCs w:val="24"/>
        </w:rPr>
        <w:br w:type="textWrapping"/>
      </w:r>
    </w:p>
    <w:tbl>
      <w:tblPr>
        <w:tblStyle w:val="13"/>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4680"/>
        <w:gridCol w:w="4680"/>
      </w:tblGrid>
      <w:tr w14:paraId="4B4D59E0">
        <w:tblPrEx>
          <w:tblLayout w:type="fixed"/>
        </w:tblPrEx>
        <w:tc>
          <w:tcPr>
            <w:tcW w:w="4680" w:type="dxa"/>
            <w:shd w:val="clear" w:color="auto" w:fill="auto"/>
            <w:tcMar>
              <w:top w:w="100" w:type="dxa"/>
              <w:left w:w="100" w:type="dxa"/>
              <w:bottom w:w="100" w:type="dxa"/>
              <w:right w:w="100" w:type="dxa"/>
            </w:tcMar>
            <w:vAlign w:val="top"/>
          </w:tcPr>
          <w:p w14:paraId="00000002">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360" w:lineRule="auto"/>
              <w:ind w:left="0" w:right="0" w:firstLine="0"/>
              <w:jc w:val="both"/>
              <w:rPr>
                <w:rFonts w:ascii="Times New Roman" w:hAnsi="Times New Roman" w:eastAsia="Times New Roman" w:cs="Times New Roman"/>
                <w:b/>
                <w:bCs/>
                <w:sz w:val="28"/>
                <w:szCs w:val="28"/>
              </w:rPr>
            </w:pPr>
            <w:r>
              <w:rPr>
                <w:rFonts w:ascii="Times New Roman" w:hAnsi="Times New Roman" w:eastAsia="Times New Roman" w:cs="Times New Roman"/>
                <w:b/>
                <w:bCs/>
                <w:sz w:val="28"/>
                <w:szCs w:val="28"/>
              </w:rPr>
              <w:t>Student Name</w:t>
            </w:r>
          </w:p>
        </w:tc>
        <w:tc>
          <w:tcPr>
            <w:tcW w:w="4680" w:type="dxa"/>
            <w:shd w:val="clear" w:color="auto" w:fill="auto"/>
            <w:tcMar>
              <w:top w:w="100" w:type="dxa"/>
              <w:left w:w="100" w:type="dxa"/>
              <w:bottom w:w="100" w:type="dxa"/>
              <w:right w:w="100" w:type="dxa"/>
            </w:tcMar>
            <w:vAlign w:val="top"/>
          </w:tcPr>
          <w:p w14:paraId="00000003">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360" w:lineRule="auto"/>
              <w:ind w:left="0" w:right="0" w:firstLine="0"/>
              <w:jc w:val="both"/>
              <w:rPr>
                <w:rFonts w:ascii="Times New Roman" w:hAnsi="Times New Roman" w:eastAsia="Times New Roman" w:cs="Times New Roman"/>
                <w:b/>
                <w:bCs/>
                <w:sz w:val="28"/>
                <w:szCs w:val="28"/>
                <w:lang w:val="en-US"/>
              </w:rPr>
            </w:pPr>
            <w:r>
              <w:rPr>
                <w:rFonts w:ascii="Times New Roman" w:hAnsi="Times New Roman" w:eastAsia="Times New Roman" w:cs="Times New Roman"/>
                <w:b/>
                <w:bCs/>
                <w:sz w:val="28"/>
                <w:szCs w:val="28"/>
                <w:lang w:val="en-US"/>
              </w:rPr>
              <w:t xml:space="preserve">Syed Raza Abbas </w:t>
            </w:r>
          </w:p>
        </w:tc>
      </w:tr>
      <w:tr w14:paraId="5EA44241">
        <w:tblPrEx>
          <w:tblLayout w:type="fixed"/>
        </w:tblPrEx>
        <w:tc>
          <w:tcPr>
            <w:tcW w:w="4680" w:type="dxa"/>
            <w:shd w:val="clear" w:color="auto" w:fill="auto"/>
            <w:tcMar>
              <w:top w:w="100" w:type="dxa"/>
              <w:left w:w="100" w:type="dxa"/>
              <w:bottom w:w="100" w:type="dxa"/>
              <w:right w:w="100" w:type="dxa"/>
            </w:tcMar>
            <w:vAlign w:val="top"/>
          </w:tcPr>
          <w:p w14:paraId="00000004">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360" w:lineRule="auto"/>
              <w:ind w:left="0" w:right="0" w:firstLine="0"/>
              <w:jc w:val="both"/>
              <w:rPr>
                <w:rFonts w:ascii="Times New Roman" w:hAnsi="Times New Roman" w:eastAsia="Times New Roman" w:cs="Times New Roman"/>
                <w:b/>
                <w:bCs/>
                <w:sz w:val="28"/>
                <w:szCs w:val="28"/>
              </w:rPr>
            </w:pPr>
            <w:r>
              <w:rPr>
                <w:rFonts w:ascii="Times New Roman" w:hAnsi="Times New Roman" w:eastAsia="Times New Roman" w:cs="Times New Roman"/>
                <w:b/>
                <w:bCs/>
                <w:sz w:val="28"/>
                <w:szCs w:val="28"/>
              </w:rPr>
              <w:t>Student Id</w:t>
            </w:r>
          </w:p>
        </w:tc>
        <w:tc>
          <w:tcPr>
            <w:tcW w:w="4680" w:type="dxa"/>
            <w:shd w:val="clear" w:color="auto" w:fill="auto"/>
            <w:tcMar>
              <w:top w:w="100" w:type="dxa"/>
              <w:left w:w="100" w:type="dxa"/>
              <w:bottom w:w="100" w:type="dxa"/>
              <w:right w:w="100" w:type="dxa"/>
            </w:tcMar>
            <w:vAlign w:val="top"/>
          </w:tcPr>
          <w:p w14:paraId="00000005">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360" w:lineRule="auto"/>
              <w:ind w:left="0" w:right="0" w:firstLine="0"/>
              <w:jc w:val="both"/>
              <w:rPr>
                <w:rFonts w:ascii="Times New Roman" w:hAnsi="Times New Roman" w:eastAsia="Times New Roman" w:cs="Times New Roman"/>
                <w:b/>
                <w:bCs/>
                <w:sz w:val="28"/>
                <w:szCs w:val="28"/>
                <w:lang w:val="en-US"/>
              </w:rPr>
            </w:pPr>
            <w:r>
              <w:rPr>
                <w:rFonts w:ascii="Times New Roman" w:hAnsi="Times New Roman" w:eastAsia="Times New Roman" w:cs="Times New Roman"/>
                <w:b/>
                <w:bCs/>
                <w:sz w:val="28"/>
                <w:szCs w:val="28"/>
                <w:lang w:val="en-US"/>
              </w:rPr>
              <w:t>2513491</w:t>
            </w:r>
            <w:bookmarkStart w:id="74" w:name="_GoBack"/>
            <w:bookmarkEnd w:id="74"/>
          </w:p>
        </w:tc>
      </w:tr>
      <w:tr w14:paraId="204B4471">
        <w:tblPrEx>
          <w:tblLayout w:type="fixed"/>
        </w:tblPrEx>
        <w:tc>
          <w:tcPr>
            <w:tcW w:w="4680" w:type="dxa"/>
            <w:shd w:val="clear" w:color="auto" w:fill="auto"/>
            <w:tcMar>
              <w:top w:w="100" w:type="dxa"/>
              <w:left w:w="100" w:type="dxa"/>
              <w:bottom w:w="100" w:type="dxa"/>
              <w:right w:w="100" w:type="dxa"/>
            </w:tcMar>
            <w:vAlign w:val="top"/>
          </w:tcPr>
          <w:p w14:paraId="00000006">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360" w:lineRule="auto"/>
              <w:ind w:left="0" w:right="0" w:firstLine="0"/>
              <w:jc w:val="both"/>
              <w:rPr>
                <w:rFonts w:ascii="Times New Roman" w:hAnsi="Times New Roman" w:eastAsia="Times New Roman" w:cs="Times New Roman"/>
                <w:b/>
                <w:bCs/>
                <w:sz w:val="28"/>
                <w:szCs w:val="28"/>
              </w:rPr>
            </w:pPr>
            <w:r>
              <w:rPr>
                <w:rFonts w:ascii="Times New Roman" w:hAnsi="Times New Roman" w:eastAsia="Times New Roman" w:cs="Times New Roman"/>
                <w:b/>
                <w:bCs/>
                <w:color w:val="000008"/>
                <w:sz w:val="28"/>
                <w:szCs w:val="28"/>
              </w:rPr>
              <w:t>Programme:</w:t>
            </w:r>
          </w:p>
        </w:tc>
        <w:tc>
          <w:tcPr>
            <w:tcW w:w="4680" w:type="dxa"/>
            <w:shd w:val="clear" w:color="auto" w:fill="auto"/>
            <w:tcMar>
              <w:top w:w="100" w:type="dxa"/>
              <w:left w:w="100" w:type="dxa"/>
              <w:bottom w:w="100" w:type="dxa"/>
              <w:right w:w="100" w:type="dxa"/>
            </w:tcMar>
            <w:vAlign w:val="top"/>
          </w:tcPr>
          <w:p w14:paraId="00000007">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360" w:lineRule="auto"/>
              <w:ind w:left="0" w:right="0" w:firstLine="0"/>
              <w:jc w:val="both"/>
              <w:rPr>
                <w:rFonts w:ascii="Times New Roman" w:hAnsi="Times New Roman" w:eastAsia="Times New Roman" w:cs="Times New Roman"/>
                <w:b/>
                <w:bCs/>
                <w:sz w:val="28"/>
                <w:szCs w:val="28"/>
              </w:rPr>
            </w:pPr>
            <w:r>
              <w:rPr>
                <w:rFonts w:ascii="Times New Roman" w:hAnsi="Times New Roman" w:eastAsia="Times New Roman" w:cs="Times New Roman"/>
                <w:b/>
                <w:bCs/>
                <w:color w:val="000008"/>
                <w:sz w:val="28"/>
                <w:szCs w:val="28"/>
              </w:rPr>
              <w:t>Master of Business Administration</w:t>
            </w:r>
          </w:p>
        </w:tc>
      </w:tr>
      <w:tr w14:paraId="71E5FA5B">
        <w:tblPrEx>
          <w:tblLayout w:type="fixed"/>
        </w:tblPrEx>
        <w:tc>
          <w:tcPr>
            <w:tcW w:w="4680" w:type="dxa"/>
            <w:shd w:val="clear" w:color="auto" w:fill="auto"/>
            <w:tcMar>
              <w:top w:w="100" w:type="dxa"/>
              <w:left w:w="100" w:type="dxa"/>
              <w:bottom w:w="100" w:type="dxa"/>
              <w:right w:w="100" w:type="dxa"/>
            </w:tcMar>
            <w:vAlign w:val="top"/>
          </w:tcPr>
          <w:p w14:paraId="00000008">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360" w:lineRule="auto"/>
              <w:ind w:left="0" w:right="0" w:firstLine="0"/>
              <w:jc w:val="both"/>
              <w:rPr>
                <w:rFonts w:ascii="Times New Roman" w:hAnsi="Times New Roman" w:eastAsia="Times New Roman" w:cs="Times New Roman"/>
                <w:b/>
                <w:bCs/>
                <w:sz w:val="28"/>
                <w:szCs w:val="28"/>
              </w:rPr>
            </w:pPr>
            <w:r>
              <w:rPr>
                <w:rFonts w:ascii="Times New Roman" w:hAnsi="Times New Roman" w:eastAsia="Times New Roman" w:cs="Times New Roman"/>
                <w:b/>
                <w:bCs/>
                <w:color w:val="000008"/>
                <w:sz w:val="28"/>
                <w:szCs w:val="28"/>
              </w:rPr>
              <w:t>Module:</w:t>
            </w:r>
          </w:p>
        </w:tc>
        <w:tc>
          <w:tcPr>
            <w:tcW w:w="4680" w:type="dxa"/>
            <w:shd w:val="clear" w:color="auto" w:fill="auto"/>
            <w:tcMar>
              <w:top w:w="100" w:type="dxa"/>
              <w:left w:w="100" w:type="dxa"/>
              <w:bottom w:w="100" w:type="dxa"/>
              <w:right w:w="100" w:type="dxa"/>
            </w:tcMar>
            <w:vAlign w:val="top"/>
          </w:tcPr>
          <w:p w14:paraId="00000009">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360" w:lineRule="auto"/>
              <w:ind w:left="0" w:right="0" w:firstLine="0"/>
              <w:jc w:val="both"/>
              <w:rPr>
                <w:rFonts w:ascii="Times New Roman" w:hAnsi="Times New Roman" w:eastAsia="Times New Roman" w:cs="Times New Roman"/>
                <w:b/>
                <w:bCs/>
                <w:color w:val="000008"/>
                <w:sz w:val="28"/>
                <w:szCs w:val="28"/>
              </w:rPr>
            </w:pPr>
            <w:r>
              <w:rPr>
                <w:rFonts w:ascii="Times New Roman" w:hAnsi="Times New Roman" w:eastAsia="Times New Roman" w:cs="Times New Roman"/>
                <w:b/>
                <w:bCs/>
                <w:color w:val="000008"/>
                <w:sz w:val="28"/>
                <w:szCs w:val="28"/>
              </w:rPr>
              <w:t>International Marketing: Principles and Practices</w:t>
            </w:r>
          </w:p>
        </w:tc>
      </w:tr>
      <w:tr w14:paraId="3D31F8C3">
        <w:tblPrEx>
          <w:tblLayout w:type="fixed"/>
        </w:tblPrEx>
        <w:tc>
          <w:tcPr>
            <w:tcW w:w="4680" w:type="dxa"/>
            <w:shd w:val="clear" w:color="auto" w:fill="auto"/>
            <w:tcMar>
              <w:top w:w="100" w:type="dxa"/>
              <w:left w:w="100" w:type="dxa"/>
              <w:bottom w:w="100" w:type="dxa"/>
              <w:right w:w="100" w:type="dxa"/>
            </w:tcMar>
            <w:vAlign w:val="top"/>
          </w:tcPr>
          <w:p w14:paraId="0000000A">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360" w:lineRule="auto"/>
              <w:ind w:left="0" w:right="0" w:firstLine="0"/>
              <w:jc w:val="both"/>
              <w:rPr>
                <w:rFonts w:ascii="Times New Roman" w:hAnsi="Times New Roman" w:eastAsia="Times New Roman" w:cs="Times New Roman"/>
                <w:b/>
                <w:bCs/>
                <w:color w:val="000008"/>
                <w:sz w:val="28"/>
                <w:szCs w:val="28"/>
              </w:rPr>
            </w:pPr>
            <w:r>
              <w:rPr>
                <w:rFonts w:ascii="Times New Roman" w:hAnsi="Times New Roman" w:eastAsia="Times New Roman" w:cs="Times New Roman"/>
                <w:b/>
                <w:bCs/>
                <w:color w:val="000008"/>
                <w:sz w:val="28"/>
                <w:szCs w:val="28"/>
              </w:rPr>
              <w:t>Module Code:</w:t>
            </w:r>
          </w:p>
        </w:tc>
        <w:tc>
          <w:tcPr>
            <w:tcW w:w="4680" w:type="dxa"/>
            <w:shd w:val="clear" w:color="auto" w:fill="auto"/>
            <w:tcMar>
              <w:top w:w="100" w:type="dxa"/>
              <w:left w:w="100" w:type="dxa"/>
              <w:bottom w:w="100" w:type="dxa"/>
              <w:right w:w="100" w:type="dxa"/>
            </w:tcMar>
            <w:vAlign w:val="top"/>
          </w:tcPr>
          <w:p w14:paraId="0000000B">
            <w:pPr>
              <w:widowControl w:val="0"/>
              <w:spacing w:line="360" w:lineRule="auto"/>
              <w:jc w:val="both"/>
              <w:rPr>
                <w:rFonts w:ascii="Times New Roman" w:hAnsi="Times New Roman" w:eastAsia="Times New Roman" w:cs="Times New Roman"/>
                <w:b/>
                <w:bCs/>
                <w:color w:val="000008"/>
                <w:sz w:val="28"/>
                <w:szCs w:val="28"/>
              </w:rPr>
            </w:pPr>
            <w:r>
              <w:rPr>
                <w:rFonts w:ascii="Times New Roman" w:hAnsi="Times New Roman" w:eastAsia="Times New Roman" w:cs="Times New Roman"/>
                <w:b/>
                <w:bCs/>
                <w:color w:val="000008"/>
                <w:sz w:val="28"/>
                <w:szCs w:val="28"/>
              </w:rPr>
              <w:t xml:space="preserve">LCMB7026 </w:t>
            </w:r>
          </w:p>
        </w:tc>
      </w:tr>
      <w:tr w14:paraId="2C4DBC34">
        <w:tblPrEx>
          <w:tblLayout w:type="fixed"/>
        </w:tblPrEx>
        <w:tc>
          <w:tcPr>
            <w:tcW w:w="4680" w:type="dxa"/>
            <w:shd w:val="clear" w:color="auto" w:fill="auto"/>
            <w:tcMar>
              <w:top w:w="100" w:type="dxa"/>
              <w:left w:w="100" w:type="dxa"/>
              <w:bottom w:w="100" w:type="dxa"/>
              <w:right w:w="100" w:type="dxa"/>
            </w:tcMar>
            <w:vAlign w:val="top"/>
          </w:tcPr>
          <w:p w14:paraId="0000000C">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360" w:lineRule="auto"/>
              <w:ind w:left="0" w:right="0" w:firstLine="0"/>
              <w:jc w:val="both"/>
              <w:rPr>
                <w:rFonts w:ascii="Times New Roman" w:hAnsi="Times New Roman" w:eastAsia="Times New Roman" w:cs="Times New Roman"/>
                <w:b/>
                <w:bCs/>
                <w:sz w:val="28"/>
                <w:szCs w:val="28"/>
              </w:rPr>
            </w:pPr>
            <w:r>
              <w:rPr>
                <w:rFonts w:ascii="Times New Roman" w:hAnsi="Times New Roman" w:eastAsia="Times New Roman" w:cs="Times New Roman"/>
                <w:b/>
                <w:bCs/>
                <w:color w:val="000008"/>
                <w:sz w:val="28"/>
                <w:szCs w:val="28"/>
              </w:rPr>
              <w:t>Lecturer:</w:t>
            </w:r>
          </w:p>
        </w:tc>
        <w:tc>
          <w:tcPr>
            <w:tcW w:w="4680" w:type="dxa"/>
            <w:shd w:val="clear" w:color="auto" w:fill="auto"/>
            <w:tcMar>
              <w:top w:w="100" w:type="dxa"/>
              <w:left w:w="100" w:type="dxa"/>
              <w:bottom w:w="100" w:type="dxa"/>
              <w:right w:w="100" w:type="dxa"/>
            </w:tcMar>
            <w:vAlign w:val="top"/>
          </w:tcPr>
          <w:p w14:paraId="0000000D">
            <w:pPr>
              <w:widowControl w:val="0"/>
              <w:spacing w:after="100" w:line="360" w:lineRule="auto"/>
              <w:jc w:val="both"/>
              <w:rPr>
                <w:rFonts w:ascii="Times New Roman" w:hAnsi="Times New Roman" w:eastAsia="Times New Roman" w:cs="Times New Roman"/>
                <w:b/>
                <w:bCs/>
                <w:sz w:val="28"/>
                <w:szCs w:val="28"/>
              </w:rPr>
            </w:pPr>
            <w:r>
              <w:rPr>
                <w:rFonts w:ascii="Times New Roman" w:hAnsi="Times New Roman" w:eastAsia="Times New Roman" w:cs="Times New Roman"/>
                <w:b/>
                <w:bCs/>
                <w:sz w:val="28"/>
                <w:szCs w:val="28"/>
              </w:rPr>
              <w:t xml:space="preserve">Tushara Balendran / </w:t>
            </w:r>
            <w:r>
              <w:rPr>
                <w:rFonts w:ascii="Times New Roman" w:hAnsi="Times New Roman" w:eastAsia="Times New Roman" w:cs="Times New Roman"/>
                <w:b/>
                <w:bCs/>
                <w:color w:val="000008"/>
                <w:sz w:val="28"/>
                <w:szCs w:val="28"/>
              </w:rPr>
              <w:t>Dian Mayasari</w:t>
            </w:r>
          </w:p>
        </w:tc>
      </w:tr>
      <w:tr w14:paraId="23E78F0E">
        <w:tblPrEx>
          <w:tblLayout w:type="fixed"/>
        </w:tblPrEx>
        <w:tc>
          <w:tcPr>
            <w:tcW w:w="4680" w:type="dxa"/>
            <w:shd w:val="clear" w:color="auto" w:fill="auto"/>
            <w:tcMar>
              <w:top w:w="100" w:type="dxa"/>
              <w:left w:w="100" w:type="dxa"/>
              <w:bottom w:w="100" w:type="dxa"/>
              <w:right w:w="100" w:type="dxa"/>
            </w:tcMar>
            <w:vAlign w:val="top"/>
          </w:tcPr>
          <w:p w14:paraId="0000000E">
            <w:pPr>
              <w:widowControl w:val="0"/>
              <w:spacing w:line="360" w:lineRule="auto"/>
              <w:jc w:val="both"/>
              <w:rPr>
                <w:rFonts w:ascii="Times New Roman" w:hAnsi="Times New Roman" w:eastAsia="Times New Roman" w:cs="Times New Roman"/>
                <w:b/>
                <w:bCs/>
                <w:color w:val="000008"/>
                <w:sz w:val="28"/>
                <w:szCs w:val="28"/>
              </w:rPr>
            </w:pPr>
            <w:r>
              <w:rPr>
                <w:rFonts w:ascii="Times New Roman" w:hAnsi="Times New Roman" w:eastAsia="Times New Roman" w:cs="Times New Roman"/>
                <w:b/>
                <w:bCs/>
                <w:color w:val="000008"/>
                <w:sz w:val="28"/>
                <w:szCs w:val="28"/>
              </w:rPr>
              <w:t>Assignment</w:t>
            </w:r>
          </w:p>
          <w:p w14:paraId="0000000F">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360" w:lineRule="auto"/>
              <w:ind w:left="0" w:right="0" w:firstLine="0"/>
              <w:jc w:val="both"/>
              <w:rPr>
                <w:rFonts w:ascii="Times New Roman" w:hAnsi="Times New Roman" w:eastAsia="Times New Roman" w:cs="Times New Roman"/>
                <w:b/>
                <w:bCs/>
                <w:color w:val="000008"/>
                <w:sz w:val="28"/>
                <w:szCs w:val="28"/>
              </w:rPr>
            </w:pPr>
            <w:r>
              <w:rPr>
                <w:rFonts w:ascii="Times New Roman" w:hAnsi="Times New Roman" w:eastAsia="Times New Roman" w:cs="Times New Roman"/>
                <w:b/>
                <w:bCs/>
                <w:color w:val="000008"/>
                <w:sz w:val="28"/>
                <w:szCs w:val="28"/>
              </w:rPr>
              <w:t>Title:</w:t>
            </w:r>
          </w:p>
        </w:tc>
        <w:tc>
          <w:tcPr>
            <w:tcW w:w="4680" w:type="dxa"/>
            <w:shd w:val="clear" w:color="auto" w:fill="auto"/>
            <w:tcMar>
              <w:top w:w="100" w:type="dxa"/>
              <w:left w:w="100" w:type="dxa"/>
              <w:bottom w:w="100" w:type="dxa"/>
              <w:right w:w="100" w:type="dxa"/>
            </w:tcMar>
            <w:vAlign w:val="top"/>
          </w:tcPr>
          <w:p w14:paraId="00000010">
            <w:pPr>
              <w:widowControl w:val="0"/>
              <w:spacing w:after="100" w:line="360" w:lineRule="auto"/>
              <w:jc w:val="both"/>
              <w:rPr>
                <w:rFonts w:ascii="Times New Roman" w:hAnsi="Times New Roman" w:eastAsia="Times New Roman" w:cs="Times New Roman"/>
                <w:b/>
                <w:bCs/>
                <w:sz w:val="28"/>
                <w:szCs w:val="28"/>
              </w:rPr>
            </w:pPr>
            <w:r>
              <w:rPr>
                <w:rFonts w:ascii="Times New Roman" w:hAnsi="Times New Roman" w:eastAsia="Times New Roman" w:cs="Times New Roman"/>
                <w:b/>
                <w:bCs/>
                <w:sz w:val="28"/>
                <w:szCs w:val="28"/>
              </w:rPr>
              <w:t>Assessment component 1:</w:t>
            </w:r>
          </w:p>
          <w:p w14:paraId="00000011">
            <w:pPr>
              <w:widowControl w:val="0"/>
              <w:spacing w:after="100" w:line="360" w:lineRule="auto"/>
              <w:jc w:val="both"/>
              <w:rPr>
                <w:rFonts w:ascii="Times New Roman" w:hAnsi="Times New Roman" w:eastAsia="Times New Roman" w:cs="Times New Roman"/>
                <w:b/>
                <w:bCs/>
                <w:sz w:val="28"/>
                <w:szCs w:val="28"/>
              </w:rPr>
            </w:pPr>
            <w:r>
              <w:rPr>
                <w:rFonts w:ascii="Times New Roman" w:hAnsi="Times New Roman" w:eastAsia="Times New Roman" w:cs="Times New Roman"/>
                <w:b/>
                <w:bCs/>
                <w:color w:val="000008"/>
                <w:sz w:val="28"/>
                <w:szCs w:val="28"/>
              </w:rPr>
              <w:t>Individual report</w:t>
            </w:r>
          </w:p>
        </w:tc>
      </w:tr>
      <w:tr w14:paraId="3443B0E6">
        <w:tblPrEx>
          <w:tblLayout w:type="fixed"/>
        </w:tblPrEx>
        <w:tc>
          <w:tcPr>
            <w:tcW w:w="4680" w:type="dxa"/>
            <w:shd w:val="clear" w:color="auto" w:fill="auto"/>
            <w:tcMar>
              <w:top w:w="100" w:type="dxa"/>
              <w:left w:w="100" w:type="dxa"/>
              <w:bottom w:w="100" w:type="dxa"/>
              <w:right w:w="100" w:type="dxa"/>
            </w:tcMar>
            <w:vAlign w:val="top"/>
          </w:tcPr>
          <w:p w14:paraId="00000012">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360" w:lineRule="auto"/>
              <w:ind w:left="0" w:right="0" w:firstLine="0"/>
              <w:jc w:val="both"/>
              <w:rPr>
                <w:rFonts w:ascii="Times New Roman" w:hAnsi="Times New Roman" w:eastAsia="Times New Roman" w:cs="Times New Roman"/>
                <w:b/>
                <w:bCs/>
                <w:color w:val="000008"/>
                <w:sz w:val="28"/>
                <w:szCs w:val="28"/>
              </w:rPr>
            </w:pPr>
            <w:r>
              <w:rPr>
                <w:rFonts w:ascii="Times New Roman" w:hAnsi="Times New Roman" w:eastAsia="Times New Roman" w:cs="Times New Roman"/>
                <w:b/>
                <w:bCs/>
                <w:color w:val="000008"/>
                <w:sz w:val="28"/>
                <w:szCs w:val="28"/>
              </w:rPr>
              <w:t>Word Count</w:t>
            </w:r>
          </w:p>
        </w:tc>
        <w:tc>
          <w:tcPr>
            <w:tcW w:w="4680" w:type="dxa"/>
            <w:shd w:val="clear" w:color="auto" w:fill="auto"/>
            <w:tcMar>
              <w:top w:w="100" w:type="dxa"/>
              <w:left w:w="100" w:type="dxa"/>
              <w:bottom w:w="100" w:type="dxa"/>
              <w:right w:w="100" w:type="dxa"/>
            </w:tcMar>
            <w:vAlign w:val="top"/>
          </w:tcPr>
          <w:p w14:paraId="00000013">
            <w:pPr>
              <w:widowControl w:val="0"/>
              <w:spacing w:after="100" w:line="360" w:lineRule="auto"/>
              <w:jc w:val="both"/>
              <w:rPr>
                <w:rFonts w:ascii="Times New Roman" w:hAnsi="Times New Roman" w:eastAsia="Times New Roman" w:cs="Times New Roman"/>
                <w:b/>
                <w:bCs/>
                <w:sz w:val="28"/>
                <w:szCs w:val="28"/>
              </w:rPr>
            </w:pPr>
            <w:r>
              <w:rPr>
                <w:rFonts w:ascii="Times New Roman" w:hAnsi="Times New Roman" w:eastAsia="Times New Roman" w:cs="Times New Roman"/>
                <w:b/>
                <w:bCs/>
                <w:sz w:val="28"/>
                <w:szCs w:val="28"/>
              </w:rPr>
              <w:t>5000</w:t>
            </w:r>
          </w:p>
        </w:tc>
      </w:tr>
    </w:tbl>
    <w:p w14:paraId="00000014">
      <w:pPr>
        <w:pStyle w:val="3"/>
        <w:keepNext w:val="0"/>
        <w:keepLines w:val="0"/>
        <w:spacing w:after="80" w:line="360" w:lineRule="auto"/>
        <w:ind w:left="0" w:firstLine="0"/>
        <w:jc w:val="both"/>
        <w:rPr>
          <w:rFonts w:ascii="Times New Roman" w:hAnsi="Times New Roman" w:eastAsia="Times New Roman" w:cs="Times New Roman"/>
          <w:b/>
          <w:bCs/>
          <w:sz w:val="28"/>
          <w:szCs w:val="28"/>
        </w:rPr>
      </w:pPr>
      <w:bookmarkStart w:id="1" w:name="_l0ljckrljwly" w:colFirst="0" w:colLast="0"/>
      <w:bookmarkEnd w:id="1"/>
    </w:p>
    <w:p w14:paraId="00000015">
      <w:pPr>
        <w:pStyle w:val="3"/>
        <w:keepNext w:val="0"/>
        <w:keepLines w:val="0"/>
        <w:spacing w:after="80" w:line="360" w:lineRule="auto"/>
        <w:ind w:left="0" w:firstLine="0"/>
        <w:jc w:val="both"/>
        <w:rPr>
          <w:rFonts w:ascii="Times New Roman" w:hAnsi="Times New Roman" w:eastAsia="Times New Roman" w:cs="Times New Roman"/>
          <w:b/>
          <w:bCs/>
          <w:sz w:val="28"/>
          <w:szCs w:val="28"/>
        </w:rPr>
      </w:pPr>
      <w:bookmarkStart w:id="2" w:name="_kph4c7ivxdi3" w:colFirst="0" w:colLast="0"/>
      <w:bookmarkEnd w:id="2"/>
    </w:p>
    <w:p w14:paraId="00000016">
      <w:pPr>
        <w:keepNext w:val="0"/>
        <w:keepLines w:val="0"/>
        <w:spacing w:after="80" w:line="360" w:lineRule="auto"/>
        <w:jc w:val="both"/>
        <w:rPr>
          <w:rFonts w:ascii="Times New Roman" w:hAnsi="Times New Roman" w:eastAsia="Times New Roman" w:cs="Times New Roman"/>
          <w:b/>
          <w:bCs/>
          <w:sz w:val="28"/>
          <w:szCs w:val="28"/>
        </w:rPr>
      </w:pPr>
      <w:r>
        <w:rPr>
          <w:rFonts w:ascii="Times New Roman" w:hAnsi="Times New Roman" w:eastAsia="Times New Roman" w:cs="Times New Roman"/>
          <w:b/>
          <w:bCs/>
          <w:sz w:val="28"/>
          <w:szCs w:val="28"/>
        </w:rPr>
        <w:br w:type="textWrapping"/>
      </w:r>
      <w:r>
        <w:rPr>
          <w:rFonts w:ascii="Times New Roman" w:hAnsi="Times New Roman" w:eastAsia="Times New Roman" w:cs="Times New Roman"/>
          <w:b/>
          <w:bCs/>
          <w:sz w:val="28"/>
          <w:szCs w:val="28"/>
        </w:rPr>
        <w:t>Table Of Content:</w:t>
      </w:r>
    </w:p>
    <w:sdt>
      <w:sdtPr>
        <w:id w:val="-623897816"/>
      </w:sdtPr>
      <w:sdtContent>
        <w:p w14:paraId="00000017">
          <w:pPr>
            <w:widowControl w:val="0"/>
            <w:tabs>
              <w:tab w:val="right" w:leader="dot" w:pos="12000"/>
            </w:tabs>
            <w:spacing w:before="60" w:line="240" w:lineRule="auto"/>
            <w:rPr>
              <w:rFonts w:ascii="Arial" w:hAnsi="Arial" w:eastAsia="Arial" w:cs="Arial"/>
              <w:b/>
              <w:bCs/>
              <w:i w:val="0"/>
              <w:iCs w:val="0"/>
              <w:smallCaps w:val="0"/>
              <w:strike w:val="0"/>
              <w:color w:val="000000"/>
              <w:sz w:val="22"/>
              <w:szCs w:val="22"/>
              <w:u w:val="none"/>
              <w:shd w:val="clear" w:fill="auto"/>
              <w:vertAlign w:val="baseline"/>
            </w:rPr>
          </w:pPr>
          <w:r>
            <w:fldChar w:fldCharType="begin"/>
          </w:r>
          <w:r>
            <w:instrText xml:space="preserve"> TOC \h \u \z \t "Heading 1,1,Heading 2,2,Heading 3,3,Heading 4,4,Heading 5,5,Heading 6,6,"</w:instrText>
          </w:r>
          <w:r>
            <w:fldChar w:fldCharType="separate"/>
          </w:r>
          <w:r>
            <w:fldChar w:fldCharType="begin"/>
          </w:r>
          <w:r>
            <w:instrText xml:space="preserve"> HYPERLINK \l "_d0zupmmn2yaf" \h </w:instrText>
          </w:r>
          <w:r>
            <w:fldChar w:fldCharType="separate"/>
          </w:r>
          <w:r>
            <w:rPr>
              <w:rFonts w:ascii="Arial" w:hAnsi="Arial" w:eastAsia="Arial" w:cs="Arial"/>
              <w:b/>
              <w:bCs/>
              <w:i w:val="0"/>
              <w:iCs w:val="0"/>
              <w:smallCaps w:val="0"/>
              <w:strike w:val="0"/>
              <w:color w:val="000000"/>
              <w:sz w:val="22"/>
              <w:szCs w:val="22"/>
              <w:u w:val="none"/>
              <w:shd w:val="clear" w:fill="auto"/>
              <w:vertAlign w:val="baseline"/>
            </w:rPr>
            <w:t>Section 1: Case Study: IKEA in China and the United Kingdom</w:t>
          </w:r>
          <w:r>
            <w:rPr>
              <w:rFonts w:ascii="Arial" w:hAnsi="Arial" w:eastAsia="Arial" w:cs="Arial"/>
              <w:b/>
              <w:bCs/>
              <w:i w:val="0"/>
              <w:iCs w:val="0"/>
              <w:smallCaps w:val="0"/>
              <w:strike w:val="0"/>
              <w:color w:val="000000"/>
              <w:sz w:val="22"/>
              <w:szCs w:val="22"/>
              <w:u w:val="none"/>
              <w:shd w:val="clear" w:fill="auto"/>
              <w:vertAlign w:val="baseline"/>
            </w:rPr>
            <w:tab/>
          </w:r>
          <w:r>
            <w:rPr>
              <w:rFonts w:ascii="Arial" w:hAnsi="Arial" w:eastAsia="Arial" w:cs="Arial"/>
              <w:b/>
              <w:bCs/>
              <w:i w:val="0"/>
              <w:iCs w:val="0"/>
              <w:smallCaps w:val="0"/>
              <w:strike w:val="0"/>
              <w:color w:val="000000"/>
              <w:sz w:val="22"/>
              <w:szCs w:val="22"/>
              <w:u w:val="none"/>
              <w:shd w:val="clear" w:fill="auto"/>
              <w:vertAlign w:val="baseline"/>
            </w:rPr>
            <w:t>4</w:t>
          </w:r>
          <w:r>
            <w:rPr>
              <w:rFonts w:ascii="Arial" w:hAnsi="Arial" w:eastAsia="Arial" w:cs="Arial"/>
              <w:b/>
              <w:bCs/>
              <w:i w:val="0"/>
              <w:iCs w:val="0"/>
              <w:smallCaps w:val="0"/>
              <w:strike w:val="0"/>
              <w:color w:val="000000"/>
              <w:sz w:val="22"/>
              <w:szCs w:val="22"/>
              <w:u w:val="none"/>
              <w:shd w:val="clear" w:fill="auto"/>
              <w:vertAlign w:val="baseline"/>
            </w:rPr>
            <w:fldChar w:fldCharType="end"/>
          </w:r>
        </w:p>
        <w:p w14:paraId="00000018">
          <w:pPr>
            <w:widowControl w:val="0"/>
            <w:tabs>
              <w:tab w:val="right" w:leader="dot" w:pos="12000"/>
            </w:tabs>
            <w:spacing w:before="60" w:line="240" w:lineRule="auto"/>
            <w:ind w:left="360" w:firstLine="0"/>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HYPERLINK \l "_93d2fxujcd7c"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1. Introduction</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4</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19">
          <w:pPr>
            <w:widowControl w:val="0"/>
            <w:tabs>
              <w:tab w:val="right" w:leader="dot" w:pos="12000"/>
            </w:tabs>
            <w:spacing w:before="60" w:line="240" w:lineRule="auto"/>
            <w:ind w:left="360" w:firstLine="0"/>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HYPERLINK \l "_xyjdqu7oy17e"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2. Comparative Macro-Environmental Analysis (PESTEL)</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5</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1A">
          <w:pPr>
            <w:widowControl w:val="0"/>
            <w:tabs>
              <w:tab w:val="right" w:leader="dot" w:pos="12000"/>
            </w:tabs>
            <w:spacing w:before="60" w:line="240" w:lineRule="auto"/>
            <w:ind w:left="720" w:firstLine="0"/>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HYPERLINK \l "_v5x06xhmc6gz"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2.1 Political and Legal Factors</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7</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1B">
          <w:pPr>
            <w:widowControl w:val="0"/>
            <w:tabs>
              <w:tab w:val="right" w:leader="dot" w:pos="12000"/>
            </w:tabs>
            <w:spacing w:before="60" w:line="240" w:lineRule="auto"/>
            <w:ind w:left="720" w:firstLine="0"/>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HYPERLINK \l "_1zltbom8s232"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2.2 Economic Factors</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7</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1C">
          <w:pPr>
            <w:widowControl w:val="0"/>
            <w:tabs>
              <w:tab w:val="right" w:leader="dot" w:pos="12000"/>
            </w:tabs>
            <w:spacing w:before="60" w:line="240" w:lineRule="auto"/>
            <w:ind w:left="720" w:firstLine="0"/>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HYPERLINK \l "_a71v50fxjod2"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2.3 Social and Cultural Factors</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8</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1D">
          <w:pPr>
            <w:widowControl w:val="0"/>
            <w:tabs>
              <w:tab w:val="right" w:leader="dot" w:pos="12000"/>
            </w:tabs>
            <w:spacing w:before="60" w:line="240" w:lineRule="auto"/>
            <w:ind w:left="720" w:firstLine="0"/>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HYPERLINK \l "_jf8k3f2m1qx4"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2.4 Technological Factors</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9</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1E">
          <w:pPr>
            <w:widowControl w:val="0"/>
            <w:tabs>
              <w:tab w:val="right" w:leader="dot" w:pos="12000"/>
            </w:tabs>
            <w:spacing w:before="60" w:line="240" w:lineRule="auto"/>
            <w:ind w:left="720" w:firstLine="0"/>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HYPERLINK \l "_hflfj9t2tezc"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2.5 Environmental Factors</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9</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1F">
          <w:pPr>
            <w:widowControl w:val="0"/>
            <w:tabs>
              <w:tab w:val="right" w:leader="dot" w:pos="12000"/>
            </w:tabs>
            <w:spacing w:before="60" w:line="240" w:lineRule="auto"/>
            <w:ind w:left="360" w:firstLine="0"/>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HYPERLINK \l "_ly66gto866l0"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3. STP Analysis in the United Kingdom and China</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11</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20">
          <w:pPr>
            <w:widowControl w:val="0"/>
            <w:tabs>
              <w:tab w:val="right" w:leader="dot" w:pos="12000"/>
            </w:tabs>
            <w:spacing w:before="60" w:line="240" w:lineRule="auto"/>
            <w:ind w:left="720" w:firstLine="0"/>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HYPERLINK \l "_8afgct6tr0qr"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3.1 Segmentation</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11</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21">
          <w:pPr>
            <w:widowControl w:val="0"/>
            <w:tabs>
              <w:tab w:val="right" w:leader="dot" w:pos="12000"/>
            </w:tabs>
            <w:spacing w:before="60" w:line="240" w:lineRule="auto"/>
            <w:ind w:left="720" w:firstLine="0"/>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HYPERLINK \l "_k0qcixs8d2pe"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3.2 Targeting</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12</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22">
          <w:pPr>
            <w:widowControl w:val="0"/>
            <w:tabs>
              <w:tab w:val="right" w:leader="dot" w:pos="12000"/>
            </w:tabs>
            <w:spacing w:before="60" w:line="240" w:lineRule="auto"/>
            <w:ind w:left="720" w:firstLine="0"/>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HYPERLINK \l "_57129dwuf6dx"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3.3 Positioning</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12</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23">
          <w:pPr>
            <w:widowControl w:val="0"/>
            <w:tabs>
              <w:tab w:val="right" w:leader="dot" w:pos="12000"/>
            </w:tabs>
            <w:spacing w:before="60" w:line="240" w:lineRule="auto"/>
            <w:ind w:left="720" w:firstLine="0"/>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HYPERLINK \l "_uxoomtaayyeo"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4.2 Price</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15</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24">
          <w:pPr>
            <w:widowControl w:val="0"/>
            <w:tabs>
              <w:tab w:val="right" w:leader="dot" w:pos="12000"/>
            </w:tabs>
            <w:spacing w:before="60" w:line="240" w:lineRule="auto"/>
            <w:ind w:left="720" w:firstLine="0"/>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HYPERLINK \l "_2lv4nbiz4bgv"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4.3 Place</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15</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25">
          <w:pPr>
            <w:widowControl w:val="0"/>
            <w:tabs>
              <w:tab w:val="right" w:leader="dot" w:pos="12000"/>
            </w:tabs>
            <w:spacing w:before="60" w:line="240" w:lineRule="auto"/>
            <w:ind w:left="720" w:firstLine="0"/>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HYPERLINK \l "_ui6r9znbuwnm"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4.4 Promotion</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16</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26">
          <w:pPr>
            <w:widowControl w:val="0"/>
            <w:tabs>
              <w:tab w:val="right" w:leader="dot" w:pos="12000"/>
            </w:tabs>
            <w:spacing w:before="60" w:line="240" w:lineRule="auto"/>
            <w:ind w:left="720" w:firstLine="0"/>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HYPERLINK \l "_w3xwfb3mggz5"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4.5 People</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16</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27">
          <w:pPr>
            <w:widowControl w:val="0"/>
            <w:tabs>
              <w:tab w:val="right" w:leader="dot" w:pos="12000"/>
            </w:tabs>
            <w:spacing w:before="60" w:line="240" w:lineRule="auto"/>
            <w:ind w:left="720" w:firstLine="0"/>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HYPERLINK \l "_qf72b28ok22a"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4.6 Process</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16</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28">
          <w:pPr>
            <w:widowControl w:val="0"/>
            <w:tabs>
              <w:tab w:val="right" w:leader="dot" w:pos="12000"/>
            </w:tabs>
            <w:spacing w:before="60" w:line="240" w:lineRule="auto"/>
            <w:ind w:left="720" w:firstLine="0"/>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HYPERLINK \l "_asns4zfo4cx"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4.7 Physical Evidence</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17</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29">
          <w:pPr>
            <w:widowControl w:val="0"/>
            <w:tabs>
              <w:tab w:val="right" w:leader="dot" w:pos="12000"/>
            </w:tabs>
            <w:spacing w:before="60" w:line="240" w:lineRule="auto"/>
            <w:ind w:left="360" w:firstLine="0"/>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HYPERLINK \l "_70lvbvdq8odg"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5. Directional Development Strategy: IKEA in China</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18</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2A">
          <w:pPr>
            <w:widowControl w:val="0"/>
            <w:tabs>
              <w:tab w:val="right" w:leader="dot" w:pos="12000"/>
            </w:tabs>
            <w:spacing w:before="60" w:line="240" w:lineRule="auto"/>
            <w:ind w:left="360" w:firstLine="0"/>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HYPERLINK \l "_hoe3oww5kym0"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6. Ethical Issues in the Marketing Mix</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20</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2B">
          <w:pPr>
            <w:widowControl w:val="0"/>
            <w:tabs>
              <w:tab w:val="right" w:leader="dot" w:pos="12000"/>
            </w:tabs>
            <w:spacing w:before="60" w:line="240" w:lineRule="auto"/>
            <w:ind w:left="720" w:firstLine="0"/>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HYPERLINK \l "_rutg3o7q70uv"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6.1 Labour and Supply Chain Ethics</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20</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2C">
          <w:pPr>
            <w:widowControl w:val="0"/>
            <w:tabs>
              <w:tab w:val="right" w:leader="dot" w:pos="12000"/>
            </w:tabs>
            <w:spacing w:before="60" w:line="240" w:lineRule="auto"/>
            <w:ind w:left="720" w:firstLine="0"/>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HYPERLINK \l "_l2psp68bfbws"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6.2 Cultural Sensitivity in Promotion</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20</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2D">
          <w:pPr>
            <w:widowControl w:val="0"/>
            <w:tabs>
              <w:tab w:val="right" w:leader="dot" w:pos="12000"/>
            </w:tabs>
            <w:spacing w:before="60" w:line="240" w:lineRule="auto"/>
            <w:ind w:left="720" w:firstLine="0"/>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HYPERLINK \l "_k1qwcwr93xko"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6.3 Sustainability Claims</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20</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2E">
          <w:pPr>
            <w:widowControl w:val="0"/>
            <w:tabs>
              <w:tab w:val="right" w:leader="dot" w:pos="12000"/>
            </w:tabs>
            <w:spacing w:before="60" w:line="240" w:lineRule="auto"/>
            <w:ind w:left="360" w:firstLine="0"/>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HYPERLINK \l "_ca3ampmgw4ws"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7. Recommendations</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21</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2F">
          <w:pPr>
            <w:widowControl w:val="0"/>
            <w:tabs>
              <w:tab w:val="right" w:leader="dot" w:pos="12000"/>
            </w:tabs>
            <w:spacing w:before="60" w:line="240" w:lineRule="auto"/>
            <w:ind w:left="720" w:firstLine="0"/>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HYPERLINK \l "_uxtxc3esvibx"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7.1 Digital Integration in China</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21</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30">
          <w:pPr>
            <w:widowControl w:val="0"/>
            <w:tabs>
              <w:tab w:val="right" w:leader="dot" w:pos="12000"/>
            </w:tabs>
            <w:spacing w:before="60" w:line="240" w:lineRule="auto"/>
            <w:ind w:left="720" w:firstLine="0"/>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HYPERLINK \l "_8mb5u3xxw57i"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7.2 Urban Micro-Formats in the UK</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21</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31">
          <w:pPr>
            <w:widowControl w:val="0"/>
            <w:tabs>
              <w:tab w:val="right" w:leader="dot" w:pos="12000"/>
            </w:tabs>
            <w:spacing w:before="60" w:line="240" w:lineRule="auto"/>
            <w:ind w:left="720" w:firstLine="0"/>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HYPERLINK \l "_2wdc8lia52n"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7.3 Hyper-Localisation Strategy</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21</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32">
          <w:pPr>
            <w:widowControl w:val="0"/>
            <w:tabs>
              <w:tab w:val="right" w:leader="dot" w:pos="12000"/>
            </w:tabs>
            <w:spacing w:before="60" w:line="240" w:lineRule="auto"/>
            <w:ind w:left="720" w:firstLine="0"/>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HYPERLINK \l "_3nqvypdxa4s8"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7.4 Service Innovation in China</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21</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33">
          <w:pPr>
            <w:widowControl w:val="0"/>
            <w:tabs>
              <w:tab w:val="right" w:leader="dot" w:pos="12000"/>
            </w:tabs>
            <w:spacing w:before="60" w:line="240" w:lineRule="auto"/>
            <w:ind w:left="720" w:firstLine="0"/>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HYPERLINK \l "_susbl9fqasl0"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7.5 Sustainability Leadership</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22</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34">
          <w:pPr>
            <w:widowControl w:val="0"/>
            <w:tabs>
              <w:tab w:val="right" w:leader="dot" w:pos="12000"/>
            </w:tabs>
            <w:spacing w:before="60" w:line="240" w:lineRule="auto"/>
            <w:ind w:left="360" w:firstLine="0"/>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HYPERLINK \l "_j0d88tnsza4j"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8. Conclusion</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22</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35">
          <w:pPr>
            <w:widowControl w:val="0"/>
            <w:tabs>
              <w:tab w:val="right" w:leader="dot" w:pos="12000"/>
            </w:tabs>
            <w:spacing w:before="60" w:line="240" w:lineRule="auto"/>
            <w:rPr>
              <w:rFonts w:ascii="Arial" w:hAnsi="Arial" w:eastAsia="Arial" w:cs="Arial"/>
              <w:b/>
              <w:bCs/>
              <w:i w:val="0"/>
              <w:iCs w:val="0"/>
              <w:smallCaps w:val="0"/>
              <w:strike w:val="0"/>
              <w:color w:val="000000"/>
              <w:sz w:val="22"/>
              <w:szCs w:val="22"/>
              <w:u w:val="none"/>
              <w:shd w:val="clear" w:fill="auto"/>
              <w:vertAlign w:val="baseline"/>
            </w:rPr>
          </w:pPr>
          <w:r>
            <w:fldChar w:fldCharType="begin"/>
          </w:r>
          <w:r>
            <w:instrText xml:space="preserve"> HYPERLINK \l "_lue6t1ov1gsy" \h </w:instrText>
          </w:r>
          <w:r>
            <w:fldChar w:fldCharType="separate"/>
          </w:r>
          <w:r>
            <w:rPr>
              <w:rFonts w:ascii="Arial" w:hAnsi="Arial" w:eastAsia="Arial" w:cs="Arial"/>
              <w:b/>
              <w:bCs/>
              <w:i w:val="0"/>
              <w:iCs w:val="0"/>
              <w:smallCaps w:val="0"/>
              <w:strike w:val="0"/>
              <w:color w:val="000000"/>
              <w:sz w:val="22"/>
              <w:szCs w:val="22"/>
              <w:u w:val="none"/>
              <w:shd w:val="clear" w:fill="auto"/>
              <w:vertAlign w:val="baseline"/>
            </w:rPr>
            <w:t>Section 2: Reflective Account on Research and Analysis Process – Using Gibbs’ Reflective Cycle</w:t>
          </w:r>
          <w:r>
            <w:rPr>
              <w:rFonts w:ascii="Arial" w:hAnsi="Arial" w:eastAsia="Arial" w:cs="Arial"/>
              <w:b/>
              <w:bCs/>
              <w:i w:val="0"/>
              <w:iCs w:val="0"/>
              <w:smallCaps w:val="0"/>
              <w:strike w:val="0"/>
              <w:color w:val="000000"/>
              <w:sz w:val="22"/>
              <w:szCs w:val="22"/>
              <w:u w:val="none"/>
              <w:shd w:val="clear" w:fill="auto"/>
              <w:vertAlign w:val="baseline"/>
            </w:rPr>
            <w:tab/>
          </w:r>
          <w:r>
            <w:rPr>
              <w:rFonts w:ascii="Arial" w:hAnsi="Arial" w:eastAsia="Arial" w:cs="Arial"/>
              <w:b/>
              <w:bCs/>
              <w:i w:val="0"/>
              <w:iCs w:val="0"/>
              <w:smallCaps w:val="0"/>
              <w:strike w:val="0"/>
              <w:color w:val="000000"/>
              <w:sz w:val="22"/>
              <w:szCs w:val="22"/>
              <w:u w:val="none"/>
              <w:shd w:val="clear" w:fill="auto"/>
              <w:vertAlign w:val="baseline"/>
            </w:rPr>
            <w:t>24</w:t>
          </w:r>
          <w:r>
            <w:rPr>
              <w:rFonts w:ascii="Arial" w:hAnsi="Arial" w:eastAsia="Arial" w:cs="Arial"/>
              <w:b/>
              <w:bCs/>
              <w:i w:val="0"/>
              <w:iCs w:val="0"/>
              <w:smallCaps w:val="0"/>
              <w:strike w:val="0"/>
              <w:color w:val="000000"/>
              <w:sz w:val="22"/>
              <w:szCs w:val="22"/>
              <w:u w:val="none"/>
              <w:shd w:val="clear" w:fill="auto"/>
              <w:vertAlign w:val="baseline"/>
            </w:rPr>
            <w:fldChar w:fldCharType="end"/>
          </w:r>
        </w:p>
        <w:p w14:paraId="00000036">
          <w:pPr>
            <w:widowControl w:val="0"/>
            <w:tabs>
              <w:tab w:val="right" w:leader="dot" w:pos="12000"/>
            </w:tabs>
            <w:spacing w:before="60" w:line="240" w:lineRule="auto"/>
            <w:ind w:left="360" w:firstLine="0"/>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HYPERLINK \l "_xlkzp1ywpzv5"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2.1 Description</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25</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37">
          <w:pPr>
            <w:widowControl w:val="0"/>
            <w:tabs>
              <w:tab w:val="right" w:leader="dot" w:pos="12000"/>
            </w:tabs>
            <w:spacing w:before="60" w:line="240" w:lineRule="auto"/>
            <w:ind w:left="360" w:firstLine="0"/>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HYPERLINK \l "_n34403uov4ox"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2.2 Feelings</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25</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38">
          <w:pPr>
            <w:widowControl w:val="0"/>
            <w:tabs>
              <w:tab w:val="right" w:leader="dot" w:pos="12000"/>
            </w:tabs>
            <w:spacing w:before="60" w:line="240" w:lineRule="auto"/>
            <w:ind w:left="360" w:firstLine="0"/>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HYPERLINK \l "_kvbu3i5wyz5r"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2.3 Evaluation</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26</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39">
          <w:pPr>
            <w:widowControl w:val="0"/>
            <w:tabs>
              <w:tab w:val="right" w:leader="dot" w:pos="12000"/>
            </w:tabs>
            <w:spacing w:before="60" w:line="240" w:lineRule="auto"/>
            <w:ind w:left="360" w:firstLine="0"/>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HYPERLINK \l "_2e11xyj3trzg"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2.4 Analysis</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26</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3A">
          <w:pPr>
            <w:widowControl w:val="0"/>
            <w:tabs>
              <w:tab w:val="right" w:leader="dot" w:pos="12000"/>
            </w:tabs>
            <w:spacing w:before="60" w:line="240" w:lineRule="auto"/>
            <w:ind w:left="360" w:firstLine="0"/>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HYPERLINK \l "_oxxhwlvudbjh"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2.5 Conclusion</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27</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3B">
          <w:pPr>
            <w:widowControl w:val="0"/>
            <w:tabs>
              <w:tab w:val="right" w:leader="dot" w:pos="12000"/>
            </w:tabs>
            <w:spacing w:before="60" w:line="240" w:lineRule="auto"/>
            <w:ind w:left="360" w:firstLine="0"/>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HYPERLINK \l "_4cs3tfgbqani"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2.6 Action Plan</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27</w:t>
          </w:r>
          <w:r>
            <w:rPr>
              <w:rFonts w:ascii="Arial" w:hAnsi="Arial" w:eastAsia="Arial" w:cs="Arial"/>
              <w:b w:val="0"/>
              <w:bCs w:val="0"/>
              <w:i w:val="0"/>
              <w:iCs w:val="0"/>
              <w:smallCaps w:val="0"/>
              <w:strike w:val="0"/>
              <w:color w:val="000000"/>
              <w:sz w:val="22"/>
              <w:szCs w:val="22"/>
              <w:u w:val="none"/>
              <w:shd w:val="clear" w:fill="auto"/>
              <w:vertAlign w:val="baseline"/>
            </w:rPr>
            <w:fldChar w:fldCharType="end"/>
          </w:r>
        </w:p>
        <w:p w14:paraId="0000003C">
          <w:pPr>
            <w:widowControl w:val="0"/>
            <w:tabs>
              <w:tab w:val="right" w:leader="dot" w:pos="12000"/>
            </w:tabs>
            <w:spacing w:before="60" w:line="240" w:lineRule="auto"/>
            <w:ind w:left="360" w:firstLine="0"/>
            <w:rPr>
              <w:rFonts w:ascii="Arial" w:hAnsi="Arial" w:eastAsia="Arial" w:cs="Arial"/>
              <w:b w:val="0"/>
              <w:bCs w:val="0"/>
              <w:i w:val="0"/>
              <w:iCs w:val="0"/>
              <w:smallCaps w:val="0"/>
              <w:strike w:val="0"/>
              <w:color w:val="000000"/>
              <w:sz w:val="22"/>
              <w:szCs w:val="22"/>
              <w:u w:val="none"/>
              <w:shd w:val="clear" w:fill="auto"/>
              <w:vertAlign w:val="baseline"/>
            </w:rPr>
          </w:pPr>
          <w:r>
            <w:fldChar w:fldCharType="begin"/>
          </w:r>
          <w:r>
            <w:instrText xml:space="preserve"> HYPERLINK \l "_wwcb12ua77f5" \h </w:instrText>
          </w:r>
          <w:r>
            <w:fldChar w:fldCharType="separate"/>
          </w:r>
          <w:r>
            <w:rPr>
              <w:rFonts w:ascii="Arial" w:hAnsi="Arial" w:eastAsia="Arial" w:cs="Arial"/>
              <w:b w:val="0"/>
              <w:bCs w:val="0"/>
              <w:i w:val="0"/>
              <w:iCs w:val="0"/>
              <w:smallCaps w:val="0"/>
              <w:strike w:val="0"/>
              <w:color w:val="000000"/>
              <w:sz w:val="22"/>
              <w:szCs w:val="22"/>
              <w:u w:val="none"/>
              <w:shd w:val="clear" w:fill="auto"/>
              <w:vertAlign w:val="baseline"/>
            </w:rPr>
            <w:t>References</w:t>
          </w:r>
          <w:r>
            <w:rPr>
              <w:rFonts w:ascii="Arial" w:hAnsi="Arial" w:eastAsia="Arial" w:cs="Arial"/>
              <w:b w:val="0"/>
              <w:bCs w:val="0"/>
              <w:i w:val="0"/>
              <w:iCs w:val="0"/>
              <w:smallCaps w:val="0"/>
              <w:strike w:val="0"/>
              <w:color w:val="000000"/>
              <w:sz w:val="22"/>
              <w:szCs w:val="22"/>
              <w:u w:val="none"/>
              <w:shd w:val="clear" w:fill="auto"/>
              <w:vertAlign w:val="baseline"/>
            </w:rPr>
            <w:tab/>
          </w:r>
          <w:r>
            <w:rPr>
              <w:rFonts w:ascii="Arial" w:hAnsi="Arial" w:eastAsia="Arial" w:cs="Arial"/>
              <w:b w:val="0"/>
              <w:bCs w:val="0"/>
              <w:i w:val="0"/>
              <w:iCs w:val="0"/>
              <w:smallCaps w:val="0"/>
              <w:strike w:val="0"/>
              <w:color w:val="000000"/>
              <w:sz w:val="22"/>
              <w:szCs w:val="22"/>
              <w:u w:val="none"/>
              <w:shd w:val="clear" w:fill="auto"/>
              <w:vertAlign w:val="baseline"/>
            </w:rPr>
            <w:t>29</w:t>
          </w:r>
          <w:r>
            <w:rPr>
              <w:rFonts w:ascii="Arial" w:hAnsi="Arial" w:eastAsia="Arial" w:cs="Arial"/>
              <w:b w:val="0"/>
              <w:bCs w:val="0"/>
              <w:i w:val="0"/>
              <w:iCs w:val="0"/>
              <w:smallCaps w:val="0"/>
              <w:strike w:val="0"/>
              <w:color w:val="000000"/>
              <w:sz w:val="22"/>
              <w:szCs w:val="22"/>
              <w:u w:val="none"/>
              <w:shd w:val="clear" w:fill="auto"/>
              <w:vertAlign w:val="baseline"/>
            </w:rPr>
            <w:fldChar w:fldCharType="end"/>
          </w:r>
          <w:r>
            <w:fldChar w:fldCharType="end"/>
          </w:r>
        </w:p>
      </w:sdtContent>
    </w:sdt>
    <w:p w14:paraId="0000003D">
      <w:pPr>
        <w:keepNext w:val="0"/>
        <w:keepLines w:val="0"/>
        <w:spacing w:after="80" w:line="360" w:lineRule="auto"/>
        <w:jc w:val="both"/>
        <w:rPr>
          <w:rFonts w:ascii="Times New Roman" w:hAnsi="Times New Roman" w:eastAsia="Times New Roman" w:cs="Times New Roman"/>
          <w:b/>
          <w:bCs/>
          <w:sz w:val="28"/>
          <w:szCs w:val="28"/>
        </w:rPr>
      </w:pPr>
    </w:p>
    <w:p w14:paraId="0000003E">
      <w:pPr>
        <w:pStyle w:val="3"/>
        <w:keepNext w:val="0"/>
        <w:keepLines w:val="0"/>
        <w:spacing w:after="80" w:line="360" w:lineRule="auto"/>
        <w:ind w:left="0" w:firstLine="0"/>
        <w:jc w:val="both"/>
        <w:rPr>
          <w:rFonts w:ascii="Times New Roman" w:hAnsi="Times New Roman" w:eastAsia="Times New Roman" w:cs="Times New Roman"/>
          <w:b/>
          <w:bCs/>
          <w:sz w:val="24"/>
          <w:szCs w:val="24"/>
        </w:rPr>
      </w:pPr>
      <w:bookmarkStart w:id="3" w:name="_xt2r7no5fi0v" w:colFirst="0" w:colLast="0"/>
      <w:bookmarkEnd w:id="3"/>
    </w:p>
    <w:p w14:paraId="0000003F">
      <w:pPr>
        <w:pStyle w:val="3"/>
        <w:keepNext w:val="0"/>
        <w:keepLines w:val="0"/>
        <w:spacing w:after="80" w:line="360" w:lineRule="auto"/>
        <w:ind w:left="0" w:firstLine="0"/>
        <w:jc w:val="both"/>
        <w:rPr>
          <w:rFonts w:ascii="Times New Roman" w:hAnsi="Times New Roman" w:eastAsia="Times New Roman" w:cs="Times New Roman"/>
          <w:b/>
          <w:bCs/>
          <w:sz w:val="24"/>
          <w:szCs w:val="24"/>
        </w:rPr>
      </w:pPr>
      <w:bookmarkStart w:id="4" w:name="_h1rnmmupvk69" w:colFirst="0" w:colLast="0"/>
      <w:bookmarkEnd w:id="4"/>
    </w:p>
    <w:p w14:paraId="00000040">
      <w:pPr>
        <w:pStyle w:val="3"/>
        <w:keepNext w:val="0"/>
        <w:keepLines w:val="0"/>
        <w:spacing w:after="80" w:line="360" w:lineRule="auto"/>
        <w:ind w:left="0" w:firstLine="0"/>
        <w:jc w:val="both"/>
        <w:rPr>
          <w:rFonts w:ascii="Times New Roman" w:hAnsi="Times New Roman" w:eastAsia="Times New Roman" w:cs="Times New Roman"/>
          <w:b/>
          <w:bCs/>
          <w:sz w:val="24"/>
          <w:szCs w:val="24"/>
        </w:rPr>
      </w:pPr>
      <w:bookmarkStart w:id="5" w:name="_yimyj8wihamw" w:colFirst="0" w:colLast="0"/>
      <w:bookmarkEnd w:id="5"/>
    </w:p>
    <w:p w14:paraId="00000041">
      <w:pPr>
        <w:pStyle w:val="3"/>
        <w:keepNext w:val="0"/>
        <w:keepLines w:val="0"/>
        <w:spacing w:after="80" w:line="360" w:lineRule="auto"/>
        <w:ind w:left="0" w:firstLine="0"/>
        <w:jc w:val="both"/>
        <w:rPr>
          <w:rFonts w:ascii="Times New Roman" w:hAnsi="Times New Roman" w:eastAsia="Times New Roman" w:cs="Times New Roman"/>
          <w:b/>
          <w:bCs/>
          <w:sz w:val="24"/>
          <w:szCs w:val="24"/>
        </w:rPr>
      </w:pPr>
      <w:bookmarkStart w:id="6" w:name="_rfsi423bmwq9" w:colFirst="0" w:colLast="0"/>
      <w:bookmarkEnd w:id="6"/>
    </w:p>
    <w:p w14:paraId="00000042">
      <w:pPr>
        <w:pStyle w:val="3"/>
        <w:keepNext w:val="0"/>
        <w:keepLines w:val="0"/>
        <w:spacing w:after="80" w:line="360" w:lineRule="auto"/>
        <w:ind w:left="0" w:firstLine="0"/>
        <w:jc w:val="both"/>
        <w:rPr>
          <w:rFonts w:ascii="Times New Roman" w:hAnsi="Times New Roman" w:eastAsia="Times New Roman" w:cs="Times New Roman"/>
          <w:b/>
          <w:bCs/>
          <w:sz w:val="24"/>
          <w:szCs w:val="24"/>
        </w:rPr>
      </w:pPr>
      <w:bookmarkStart w:id="7" w:name="_7zxotn2jkvxv" w:colFirst="0" w:colLast="0"/>
      <w:bookmarkEnd w:id="7"/>
    </w:p>
    <w:p w14:paraId="00000043">
      <w:pPr>
        <w:pStyle w:val="3"/>
        <w:keepNext w:val="0"/>
        <w:keepLines w:val="0"/>
        <w:spacing w:after="80" w:line="360" w:lineRule="auto"/>
        <w:ind w:left="0" w:firstLine="0"/>
        <w:jc w:val="both"/>
        <w:rPr>
          <w:rFonts w:ascii="Times New Roman" w:hAnsi="Times New Roman" w:eastAsia="Times New Roman" w:cs="Times New Roman"/>
          <w:b/>
          <w:bCs/>
          <w:sz w:val="24"/>
          <w:szCs w:val="24"/>
        </w:rPr>
      </w:pPr>
      <w:bookmarkStart w:id="8" w:name="_9glfgzzgnty3" w:colFirst="0" w:colLast="0"/>
      <w:bookmarkEnd w:id="8"/>
    </w:p>
    <w:p w14:paraId="00000044">
      <w:pPr>
        <w:pStyle w:val="3"/>
        <w:keepNext w:val="0"/>
        <w:keepLines w:val="0"/>
        <w:spacing w:after="80" w:line="360" w:lineRule="auto"/>
        <w:ind w:left="0" w:firstLine="0"/>
        <w:jc w:val="both"/>
        <w:rPr>
          <w:rFonts w:ascii="Times New Roman" w:hAnsi="Times New Roman" w:eastAsia="Times New Roman" w:cs="Times New Roman"/>
          <w:b/>
          <w:bCs/>
          <w:sz w:val="24"/>
          <w:szCs w:val="24"/>
        </w:rPr>
      </w:pPr>
      <w:bookmarkStart w:id="9" w:name="_ati4cil4tggt" w:colFirst="0" w:colLast="0"/>
      <w:bookmarkEnd w:id="9"/>
    </w:p>
    <w:p w14:paraId="00000045">
      <w:pPr>
        <w:pStyle w:val="3"/>
        <w:keepNext w:val="0"/>
        <w:keepLines w:val="0"/>
        <w:spacing w:after="80" w:line="360" w:lineRule="auto"/>
        <w:ind w:left="0" w:firstLine="0"/>
        <w:jc w:val="both"/>
        <w:rPr>
          <w:rFonts w:ascii="Times New Roman" w:hAnsi="Times New Roman" w:eastAsia="Times New Roman" w:cs="Times New Roman"/>
          <w:b/>
          <w:bCs/>
          <w:sz w:val="24"/>
          <w:szCs w:val="24"/>
        </w:rPr>
      </w:pPr>
      <w:bookmarkStart w:id="10" w:name="_u7wabvxjyat" w:colFirst="0" w:colLast="0"/>
      <w:bookmarkEnd w:id="10"/>
    </w:p>
    <w:p w14:paraId="00000046">
      <w:pPr>
        <w:pStyle w:val="3"/>
        <w:keepNext w:val="0"/>
        <w:keepLines w:val="0"/>
        <w:spacing w:after="80" w:line="360" w:lineRule="auto"/>
        <w:ind w:left="0" w:firstLine="0"/>
        <w:jc w:val="both"/>
        <w:rPr>
          <w:rFonts w:ascii="Times New Roman" w:hAnsi="Times New Roman" w:eastAsia="Times New Roman" w:cs="Times New Roman"/>
          <w:b/>
          <w:bCs/>
          <w:sz w:val="24"/>
          <w:szCs w:val="24"/>
        </w:rPr>
      </w:pPr>
      <w:bookmarkStart w:id="11" w:name="_6pxypywmqzi2" w:colFirst="0" w:colLast="0"/>
      <w:bookmarkEnd w:id="11"/>
    </w:p>
    <w:p w14:paraId="00000047">
      <w:pPr>
        <w:pStyle w:val="3"/>
        <w:keepNext w:val="0"/>
        <w:keepLines w:val="0"/>
        <w:spacing w:after="80" w:line="360" w:lineRule="auto"/>
        <w:ind w:left="0" w:firstLine="0"/>
        <w:jc w:val="both"/>
        <w:rPr>
          <w:rFonts w:ascii="Times New Roman" w:hAnsi="Times New Roman" w:eastAsia="Times New Roman" w:cs="Times New Roman"/>
          <w:b/>
          <w:bCs/>
          <w:sz w:val="24"/>
          <w:szCs w:val="24"/>
        </w:rPr>
      </w:pPr>
      <w:bookmarkStart w:id="12" w:name="_n2jgi6cg9hnz" w:colFirst="0" w:colLast="0"/>
      <w:bookmarkEnd w:id="12"/>
    </w:p>
    <w:p w14:paraId="00000048">
      <w:pPr>
        <w:pStyle w:val="3"/>
        <w:keepNext w:val="0"/>
        <w:keepLines w:val="0"/>
        <w:spacing w:before="480" w:line="360" w:lineRule="auto"/>
        <w:jc w:val="both"/>
        <w:rPr>
          <w:rFonts w:ascii="Times New Roman" w:hAnsi="Times New Roman" w:eastAsia="Times New Roman" w:cs="Times New Roman"/>
          <w:b/>
          <w:bCs/>
          <w:sz w:val="28"/>
          <w:szCs w:val="28"/>
        </w:rPr>
      </w:pPr>
      <w:bookmarkStart w:id="13" w:name="_s17z1r9n8xz9" w:colFirst="0" w:colLast="0"/>
      <w:bookmarkEnd w:id="13"/>
    </w:p>
    <w:p w14:paraId="00000049">
      <w:pPr>
        <w:pStyle w:val="3"/>
        <w:keepNext w:val="0"/>
        <w:keepLines w:val="0"/>
        <w:spacing w:before="480" w:line="360" w:lineRule="auto"/>
        <w:jc w:val="both"/>
        <w:rPr>
          <w:rFonts w:ascii="Times New Roman" w:hAnsi="Times New Roman" w:eastAsia="Times New Roman" w:cs="Times New Roman"/>
          <w:b/>
          <w:bCs/>
          <w:sz w:val="28"/>
          <w:szCs w:val="28"/>
        </w:rPr>
      </w:pPr>
      <w:bookmarkStart w:id="14" w:name="_kdpkjtkp847o" w:colFirst="0" w:colLast="0"/>
      <w:bookmarkEnd w:id="14"/>
    </w:p>
    <w:p w14:paraId="0000004A">
      <w:pPr>
        <w:pStyle w:val="3"/>
        <w:keepNext w:val="0"/>
        <w:keepLines w:val="0"/>
        <w:spacing w:before="480" w:line="360" w:lineRule="auto"/>
        <w:jc w:val="both"/>
        <w:rPr>
          <w:rFonts w:ascii="Times New Roman" w:hAnsi="Times New Roman" w:eastAsia="Times New Roman" w:cs="Times New Roman"/>
          <w:b/>
          <w:bCs/>
          <w:sz w:val="28"/>
          <w:szCs w:val="28"/>
        </w:rPr>
      </w:pPr>
      <w:bookmarkStart w:id="15" w:name="_wcdd6fjxispn" w:colFirst="0" w:colLast="0"/>
      <w:bookmarkEnd w:id="15"/>
    </w:p>
    <w:p w14:paraId="0000004B">
      <w:pPr>
        <w:pStyle w:val="3"/>
        <w:keepNext w:val="0"/>
        <w:keepLines w:val="0"/>
        <w:spacing w:before="480" w:line="360" w:lineRule="auto"/>
        <w:jc w:val="both"/>
        <w:rPr>
          <w:rFonts w:ascii="Times New Roman" w:hAnsi="Times New Roman" w:eastAsia="Times New Roman" w:cs="Times New Roman"/>
          <w:b/>
          <w:bCs/>
          <w:sz w:val="28"/>
          <w:szCs w:val="28"/>
        </w:rPr>
      </w:pPr>
      <w:bookmarkStart w:id="16" w:name="_vf8iu8fj67ju" w:colFirst="0" w:colLast="0"/>
      <w:bookmarkEnd w:id="16"/>
    </w:p>
    <w:p w14:paraId="0000004C">
      <w:pPr>
        <w:pStyle w:val="2"/>
        <w:keepNext w:val="0"/>
        <w:keepLines w:val="0"/>
        <w:spacing w:before="280" w:line="360" w:lineRule="auto"/>
        <w:jc w:val="both"/>
        <w:rPr>
          <w:rFonts w:ascii="Times New Roman" w:hAnsi="Times New Roman" w:eastAsia="Times New Roman" w:cs="Times New Roman"/>
          <w:b/>
          <w:bCs/>
          <w:sz w:val="32"/>
          <w:szCs w:val="32"/>
        </w:rPr>
      </w:pPr>
      <w:bookmarkStart w:id="17" w:name="_d0zupmmn2yaf" w:colFirst="0" w:colLast="0"/>
      <w:bookmarkEnd w:id="17"/>
      <w:r>
        <w:rPr>
          <w:rFonts w:ascii="Times New Roman" w:hAnsi="Times New Roman" w:eastAsia="Times New Roman" w:cs="Times New Roman"/>
          <w:b/>
          <w:bCs/>
          <w:color w:val="000008"/>
          <w:sz w:val="32"/>
          <w:szCs w:val="32"/>
        </w:rPr>
        <w:t xml:space="preserve">Section 1: </w:t>
      </w:r>
      <w:r>
        <w:rPr>
          <w:rFonts w:ascii="Times New Roman" w:hAnsi="Times New Roman" w:eastAsia="Times New Roman" w:cs="Times New Roman"/>
          <w:b/>
          <w:bCs/>
          <w:sz w:val="32"/>
          <w:szCs w:val="32"/>
        </w:rPr>
        <w:t>Case Study: IKEA in China and the United Kingdom</w:t>
      </w:r>
    </w:p>
    <w:p w14:paraId="0000004D">
      <w:pPr>
        <w:pStyle w:val="3"/>
        <w:keepNext w:val="0"/>
        <w:keepLines w:val="0"/>
        <w:spacing w:before="480" w:line="360" w:lineRule="auto"/>
        <w:jc w:val="both"/>
        <w:rPr>
          <w:rFonts w:ascii="Times New Roman" w:hAnsi="Times New Roman" w:eastAsia="Times New Roman" w:cs="Times New Roman"/>
          <w:b/>
          <w:bCs/>
          <w:sz w:val="28"/>
          <w:szCs w:val="28"/>
        </w:rPr>
      </w:pPr>
      <w:bookmarkStart w:id="18" w:name="_93d2fxujcd7c" w:colFirst="0" w:colLast="0"/>
      <w:bookmarkEnd w:id="18"/>
      <w:r>
        <w:rPr>
          <w:rFonts w:ascii="Times New Roman" w:hAnsi="Times New Roman" w:eastAsia="Times New Roman" w:cs="Times New Roman"/>
          <w:b/>
          <w:bCs/>
          <w:sz w:val="28"/>
          <w:szCs w:val="28"/>
        </w:rPr>
        <w:t>1. Introduction</w:t>
      </w:r>
    </w:p>
    <w:p w14:paraId="0000004E">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international marketing strategy demands multinational enterprises (MNEs) to manoeuvre the highly recognised strategic conflict between global and local responsiveness (Jain, 2024). This conflict can be theorized within the framework of Integration-Responsiveness (I-R) which states that companies have to define an adequate balance between standardisation and adaptation in their activities in a variety of markets (Pudelko, 2023). Over standardisation will bring economies of scale but may cause cultural misfit and over localisation will result in brand erosion and erosion of cost leadership (Hassan and Rukiman, 2025). This means that to attain strategic coherence, firms need to be sensitive to institutional, cultural, and economic diversity and stay competitive (Chinedu and Ujam, 2025).</w:t>
      </w:r>
    </w:p>
    <w:p w14:paraId="0000004F">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this report, the international market entry strategy and marketing mix of IKEA in two different markets China and the United Kingdom are critically analyzed (Gabellini, 2024). IKEA is a successful example of a global retailer with competitive advantages in the Scandinavian design, flat-pack self-assembly, cost leadership, and experience retailing (Kabir and Simon, 2025). Although the business model of the company reflects its high levels of global standardisation, the process of its internationalisation is also characterised by the fact that a significant level of market penetration usually requires specific local adjustments to the consumer behaviour, cultural practices and regulatory frameworks, which reflects the real-life implementation of the international marketing theory in multifaceted market conditions.</w:t>
      </w:r>
    </w:p>
    <w:p w14:paraId="00000050">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China and the UK have been selected strategically to compare the two countries (Huang, Cox and Cox, 2023). The furniture market in China was estimated to be around USD 160.5 billion in 2025 with an overall estimation of USD 220.2 billion by 2031 due to its long term demand and increasing consumer spending capability despite macroeconomic head winds. The factors that have contributed to this growth include urbanisation, increased disposable income and higher demand for modern home living solutions both in Tier-1 and Tier-2 cities. In comparison, the UK home furniture market is projected to grow to USD 14.73 billion in 2025 and USD 17.18 billion by 2030, which means that it will have a steady growth in the market in the conditions of a mature economy. Such contrasting market sizes, growth patterns and consumption patterns provide fertile grounds upon which the international marketing strategies can be analysed as to why they vary in various countries (Feurer et al., 2025).</w:t>
      </w:r>
    </w:p>
    <w:p w14:paraId="00000051">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Also, the size of the Chinese population (more than 1.4 billion) and the speed of digitalization precondition unique patterns of consumer engagement when mobile commerce, social retailing, and integrating of the omnichannel are the keys to competitive advantage (Popova and Lysa, 2023). The UK market with high levels of e-commerce penetration and an unchanging demand of sustainable, practical furniture brings to light another set of consumer anticipations and retail standards (Al Darwish, 2023).</w:t>
      </w:r>
    </w:p>
    <w:p w14:paraId="00000052">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report is structured to:</w:t>
      </w:r>
    </w:p>
    <w:p w14:paraId="00000053">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PESTEL comparison between China and the UK in terms of macro-environmental factors; Critically evaluate the variations of segmentation, targeting and positioning (STP) and the extended marketing mix 7Ps; assess the strategic directional development strategy of IKEA in China through the available strategic frameworks; And critically discuss ethical challenges that the IKEA international marketing practice poses; and Give theoretically based policy guidelines on the future strategic development.</w:t>
      </w:r>
    </w:p>
    <w:p w14:paraId="00000054">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report combines theoretical concepts with empirical research to show how international marketing principles are applied in various socio-economic settings to shed light on the strategic trade-offs between global standardisation and local adaptation.</w:t>
      </w:r>
    </w:p>
    <w:p w14:paraId="00000055">
      <w:pPr>
        <w:pStyle w:val="3"/>
        <w:keepNext w:val="0"/>
        <w:keepLines w:val="0"/>
        <w:spacing w:before="480" w:line="360" w:lineRule="auto"/>
        <w:jc w:val="both"/>
        <w:rPr>
          <w:rFonts w:ascii="Times New Roman" w:hAnsi="Times New Roman" w:eastAsia="Times New Roman" w:cs="Times New Roman"/>
          <w:b/>
          <w:bCs/>
          <w:sz w:val="28"/>
          <w:szCs w:val="28"/>
        </w:rPr>
      </w:pPr>
      <w:bookmarkStart w:id="19" w:name="_xyjdqu7oy17e" w:colFirst="0" w:colLast="0"/>
      <w:bookmarkEnd w:id="19"/>
      <w:r>
        <w:rPr>
          <w:rFonts w:ascii="Times New Roman" w:hAnsi="Times New Roman" w:eastAsia="Times New Roman" w:cs="Times New Roman"/>
          <w:b/>
          <w:bCs/>
          <w:sz w:val="28"/>
          <w:szCs w:val="28"/>
        </w:rPr>
        <w:t>2. Comparative Macro-Environmental Analysis (PESTEL)</w:t>
      </w:r>
    </w:p>
    <w:p w14:paraId="00000056">
      <w:pPr>
        <w:spacing w:before="240" w:after="240" w:line="360" w:lineRule="auto"/>
        <w:jc w:val="both"/>
        <w:rPr>
          <w:rFonts w:ascii="Times New Roman" w:hAnsi="Times New Roman" w:eastAsia="Times New Roman" w:cs="Times New Roman"/>
          <w:b/>
          <w:bCs/>
          <w:sz w:val="46"/>
          <w:szCs w:val="46"/>
        </w:rPr>
      </w:pPr>
      <w:r>
        <w:rPr>
          <w:rFonts w:ascii="Times New Roman" w:hAnsi="Times New Roman" w:eastAsia="Times New Roman" w:cs="Times New Roman"/>
          <w:sz w:val="24"/>
          <w:szCs w:val="24"/>
        </w:rPr>
        <w:t>A systematic PESTEL analysis allows assessing the external forces influencing the strategic choices of IKEA in the United Kingdom and China. Although the global business model of IKEA is premised on the cost leadership and standardised design, the macro-environmental dissimilarity in these markets calls for differentiated strategic reactions. The analysis presented below illustrates how the marketing and operational adaptation depends on institutional, economic, socio-cultural, technological and environmental forces (Bahorka, Kvasova and Yurchenko, 2023).</w:t>
      </w:r>
    </w:p>
    <w:p w14:paraId="00000057">
      <w:pPr>
        <w:spacing w:line="360" w:lineRule="auto"/>
        <w:jc w:val="both"/>
        <w:rPr>
          <w:rFonts w:ascii="Times New Roman" w:hAnsi="Times New Roman" w:eastAsia="Times New Roman" w:cs="Times New Roman"/>
          <w:sz w:val="24"/>
          <w:szCs w:val="24"/>
        </w:rPr>
      </w:pPr>
      <w:r>
        <w:t xml:space="preserve">               </w:t>
      </w:r>
      <w:r>
        <w:drawing>
          <wp:inline distT="114300" distB="114300" distL="114300" distR="114300">
            <wp:extent cx="5476875" cy="4651375"/>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referRelativeResize="0"/>
                  </pic:nvPicPr>
                  <pic:blipFill>
                    <a:blip r:embed="rId6"/>
                    <a:srcRect/>
                    <a:stretch>
                      <a:fillRect/>
                    </a:stretch>
                  </pic:blipFill>
                  <pic:spPr>
                    <a:xfrm>
                      <a:off x="0" y="0"/>
                      <a:ext cx="5476875" cy="4651759"/>
                    </a:xfrm>
                    <a:prstGeom prst="rect">
                      <a:avLst/>
                    </a:prstGeom>
                  </pic:spPr>
                </pic:pic>
              </a:graphicData>
            </a:graphic>
          </wp:inline>
        </w:drawing>
      </w:r>
      <w:r>
        <w:t xml:space="preserve">  </w:t>
      </w:r>
      <w:r>
        <w:br w:type="textWrapping"/>
      </w:r>
      <w:r>
        <w:br w:type="textWrapping"/>
      </w:r>
      <w:r>
        <w:br w:type="textWrapping"/>
      </w:r>
      <w:r>
        <w:t xml:space="preserve"> </w:t>
      </w:r>
      <w:r>
        <w:rPr>
          <w:rFonts w:ascii="Times New Roman" w:hAnsi="Times New Roman" w:eastAsia="Times New Roman" w:cs="Times New Roman"/>
          <w:b/>
          <w:bCs/>
          <w:sz w:val="24"/>
          <w:szCs w:val="24"/>
        </w:rPr>
        <w:t>Figure 1: Comparative Macro-Environmental Analysis (PESTEL)(Nishadha, 2025)</w:t>
      </w:r>
      <w:r>
        <w:rPr>
          <w:rFonts w:ascii="Times New Roman" w:hAnsi="Times New Roman" w:eastAsia="Times New Roman" w:cs="Times New Roman"/>
          <w:b/>
          <w:bCs/>
          <w:sz w:val="24"/>
          <w:szCs w:val="24"/>
        </w:rPr>
        <w:br w:type="textWrapping"/>
      </w:r>
      <w:r>
        <w:rPr>
          <w:rFonts w:ascii="Times New Roman" w:hAnsi="Times New Roman" w:eastAsia="Times New Roman" w:cs="Times New Roman"/>
          <w:sz w:val="24"/>
          <w:szCs w:val="24"/>
        </w:rPr>
        <w:br w:type="textWrapping"/>
      </w:r>
      <w:r>
        <w:rPr>
          <w:rFonts w:ascii="Times New Roman" w:hAnsi="Times New Roman" w:eastAsia="Times New Roman" w:cs="Times New Roman"/>
          <w:sz w:val="24"/>
          <w:szCs w:val="24"/>
        </w:rPr>
        <w:br w:type="textWrapping"/>
      </w:r>
    </w:p>
    <w:p w14:paraId="00000058">
      <w:pPr>
        <w:pStyle w:val="4"/>
        <w:spacing w:before="240" w:after="240" w:line="360" w:lineRule="auto"/>
        <w:jc w:val="both"/>
        <w:rPr>
          <w:rFonts w:ascii="Times New Roman" w:hAnsi="Times New Roman" w:eastAsia="Times New Roman" w:cs="Times New Roman"/>
          <w:b/>
          <w:bCs/>
          <w:color w:val="000000"/>
          <w:sz w:val="24"/>
          <w:szCs w:val="24"/>
        </w:rPr>
      </w:pPr>
      <w:bookmarkStart w:id="20" w:name="_v5x06xhmc6gz" w:colFirst="0" w:colLast="0"/>
      <w:bookmarkEnd w:id="20"/>
      <w:r>
        <w:br w:type="textWrapping"/>
      </w:r>
      <w:r>
        <w:br w:type="textWrapping"/>
      </w:r>
      <w:r>
        <w:br w:type="textWrapping"/>
      </w:r>
      <w:r>
        <w:rPr>
          <w:rFonts w:ascii="Times New Roman" w:hAnsi="Times New Roman" w:eastAsia="Times New Roman" w:cs="Times New Roman"/>
          <w:b/>
          <w:bCs/>
          <w:color w:val="000000"/>
          <w:sz w:val="24"/>
          <w:szCs w:val="24"/>
        </w:rPr>
        <w:t>2.1 Political and Legal Factors</w:t>
      </w:r>
    </w:p>
    <w:p w14:paraId="00000059">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br w:type="textWrapping"/>
      </w:r>
      <w:r>
        <w:rPr>
          <w:rFonts w:ascii="Times New Roman" w:hAnsi="Times New Roman" w:eastAsia="Times New Roman" w:cs="Times New Roman"/>
          <w:sz w:val="24"/>
          <w:szCs w:val="24"/>
        </w:rPr>
        <w:t>The UK is a good institutional environment characterized by clear regulations, good protection of intellectual property and predictable governance (Islam et al., 2024). Employment laws guarantee minimum wage/ health and safety and anti-discrimination. Such formal institutions according to the institutional theory (North, 1990) minimise uncertainty and act in favour of strategic planning (Hartmann, 2025). The retailers such as IKEA that depend on the efficiency of cross-border supply chains have found the post-Brexit trade adjustments such as a customs check, tariffs, and frictions associated with logistics challenging to imports (Imtiaz and Muzaffar, 2025). These demands require local sourcing or restructuring of the supply chain in order to sustain cost leadership.</w:t>
      </w:r>
    </w:p>
    <w:p w14:paraId="0000005A">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China is a country where the political environment bears more state influence, the regional policy diversity, and the dynamic regulation of foreign companies (Walter, 2024). Strategies such as joint ventures are early entry, which are strategies based on institutional accommodation and isomorphism which guarantee acceptance in host-country norms. In recent years, there has been increased enforcement of consumer protection, cyber security, environmental regulation and labour regulation. Although labour is cheaper than in the UK, better compliance standards decrease the competitive edge. IKEA needs to strike a balance between performance and compliance requirements to reduce compliance risks (Mandal, 2025).</w:t>
      </w:r>
    </w:p>
    <w:p w14:paraId="0000005B">
      <w:pPr>
        <w:pStyle w:val="4"/>
        <w:keepNext w:val="0"/>
        <w:keepLines w:val="0"/>
        <w:spacing w:after="80" w:line="360" w:lineRule="auto"/>
        <w:jc w:val="both"/>
        <w:rPr>
          <w:rFonts w:ascii="Times New Roman" w:hAnsi="Times New Roman" w:eastAsia="Times New Roman" w:cs="Times New Roman"/>
          <w:b/>
          <w:bCs/>
          <w:color w:val="000000"/>
          <w:sz w:val="24"/>
          <w:szCs w:val="24"/>
        </w:rPr>
      </w:pPr>
      <w:bookmarkStart w:id="21" w:name="_1zltbom8s232" w:colFirst="0" w:colLast="0"/>
      <w:bookmarkEnd w:id="21"/>
      <w:r>
        <w:rPr>
          <w:rFonts w:ascii="Times New Roman" w:hAnsi="Times New Roman" w:eastAsia="Times New Roman" w:cs="Times New Roman"/>
          <w:b/>
          <w:bCs/>
          <w:color w:val="000000"/>
          <w:sz w:val="24"/>
          <w:szCs w:val="24"/>
        </w:rPr>
        <w:t>2.2 Economic Factors</w:t>
      </w:r>
    </w:p>
    <w:p w14:paraId="0000005C">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UK is a developed and high-income market with a stable purchasing power but sluggish retail growth (O’Donovan, 2021). The value proposition of IKEA is increased by inflation and cost-of-living pressures which increase consumer price sensitivity. Saturation and high levels of competition, however, constrain the expansion of a geographical spread. Growth strategies rely on format innovation, digital channels and service enhancement as opposed to aggressive expansion (Gershon, 2024).</w:t>
      </w:r>
    </w:p>
    <w:p w14:paraId="0000005D">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China has been enjoying decades of economic growth, urbanisation, and the emergence of a large middle-income group (Sicular, Yang and Gustafsson, 2022). Despite the modest growth in the GDP, urban dwelling consumption, especially among the younger professionals, is growing to demand modern home furnishings. In the purchase power, there are regional disparities that can result in segmentation problems. First, the products imported by IKEA were considered high-end thereby restricting accessibility. Dependent on adaptive strategies that included higher levels of local sourcing, alterations in product specification and price cuts, could be seen to align with the middle-class affordability and shows a responsiveness to the economic structures as opposed to currency conversion.</w:t>
      </w:r>
    </w:p>
    <w:p w14:paraId="0000005E">
      <w:pPr>
        <w:pStyle w:val="4"/>
        <w:keepNext w:val="0"/>
        <w:keepLines w:val="0"/>
        <w:spacing w:after="80" w:line="360" w:lineRule="auto"/>
        <w:jc w:val="both"/>
        <w:rPr>
          <w:rFonts w:ascii="Times New Roman" w:hAnsi="Times New Roman" w:eastAsia="Times New Roman" w:cs="Times New Roman"/>
          <w:b/>
          <w:bCs/>
          <w:color w:val="000000"/>
          <w:sz w:val="24"/>
          <w:szCs w:val="24"/>
        </w:rPr>
      </w:pPr>
      <w:bookmarkStart w:id="22" w:name="_a71v50fxjod2" w:colFirst="0" w:colLast="0"/>
      <w:bookmarkEnd w:id="22"/>
      <w:r>
        <w:rPr>
          <w:rFonts w:ascii="Times New Roman" w:hAnsi="Times New Roman" w:eastAsia="Times New Roman" w:cs="Times New Roman"/>
          <w:b/>
          <w:bCs/>
          <w:color w:val="000000"/>
          <w:sz w:val="24"/>
          <w:szCs w:val="24"/>
        </w:rPr>
        <w:t>2.3 Social and Cultural Factors</w:t>
      </w:r>
    </w:p>
    <w:p w14:paraId="0000005F">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marketing adaptation between the UK and China is high because there are cultural differences (Zhao et al., 2023). Based on the dimensions of Hofstede, the UK is a high-individualist country with a focus on autonomy and self-expression, whereas China is a collectivist country with a focus on family cohesion and a long-term orientation.</w:t>
      </w:r>
    </w:p>
    <w:p w14:paraId="00000060">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IKEA DIY self-assembly model is fitting the traditions in the UK; assembly is viewed as empowering, economical and in harmony with practical consumer values (Kirchmer, 2023). The culture of DIY is poor in China, and the assembly of furniture may be regarded as inconvenient or inappropriate. IKEA responded to this by offering low-cost assembly and delivery services and proves that it is culturally responsive without sacrificing its brand essence.</w:t>
      </w:r>
    </w:p>
    <w:p w14:paraId="00000061">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China power distance is more, and consumers might require more guided shopping whereas the UK consumers like to go independently. The long-term orientation of China gives more preference to durability, quality assurance and value of investments in influencing marketing messages. In addition, the Chinese customers enjoy IKEA stores as social and experiential venues, indicating a co-creation of retail meaning which has been integrated in the store design and customer interaction practices (Wang, 2024).</w:t>
      </w:r>
    </w:p>
    <w:p w14:paraId="00000062">
      <w:pPr>
        <w:pStyle w:val="4"/>
        <w:keepNext w:val="0"/>
        <w:keepLines w:val="0"/>
        <w:spacing w:after="80" w:line="360" w:lineRule="auto"/>
        <w:jc w:val="both"/>
        <w:rPr>
          <w:rFonts w:ascii="Times New Roman" w:hAnsi="Times New Roman" w:eastAsia="Times New Roman" w:cs="Times New Roman"/>
          <w:b/>
          <w:bCs/>
          <w:color w:val="000000"/>
          <w:sz w:val="26"/>
          <w:szCs w:val="26"/>
        </w:rPr>
      </w:pPr>
      <w:bookmarkStart w:id="23" w:name="_jf8k3f2m1qx4" w:colFirst="0" w:colLast="0"/>
      <w:bookmarkEnd w:id="23"/>
      <w:r>
        <w:rPr>
          <w:rFonts w:ascii="Times New Roman" w:hAnsi="Times New Roman" w:eastAsia="Times New Roman" w:cs="Times New Roman"/>
          <w:b/>
          <w:bCs/>
          <w:color w:val="000000"/>
          <w:sz w:val="26"/>
          <w:szCs w:val="26"/>
        </w:rPr>
        <w:t>2.4 Technological Factors</w:t>
      </w:r>
    </w:p>
    <w:p w14:paraId="00000063">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UK has well developed internet penetration, e-commerce uptake and logistics networks. (Gatta, Marcucci and Pira, 2023).IKEA combines the elements of the omnichannel strategies, such as click-and-collect, online configurators, or digital catalogues (Dang, 2022).</w:t>
      </w:r>
    </w:p>
    <w:p w14:paraId="00000064">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Chinese digital environment is mobile-driven, and the e-commerce penetration is exceptionally high, as well as the social commerce (Khanam, 2025). Online platforms are important in product discovery, reviews and payment by the consumers (Sung, Chung and Lee, 2023). The digital strategy of IKEA in China requires intense platform integration and mobile-first solution, so the technological adaptation is a strategic necessity and not a choice (Madouri, 2025).</w:t>
      </w:r>
    </w:p>
    <w:p w14:paraId="00000065">
      <w:pPr>
        <w:pStyle w:val="4"/>
        <w:keepNext w:val="0"/>
        <w:keepLines w:val="0"/>
        <w:spacing w:after="80" w:line="360" w:lineRule="auto"/>
        <w:jc w:val="both"/>
        <w:rPr>
          <w:rFonts w:ascii="Times New Roman" w:hAnsi="Times New Roman" w:eastAsia="Times New Roman" w:cs="Times New Roman"/>
          <w:b/>
          <w:bCs/>
          <w:color w:val="000000"/>
          <w:sz w:val="24"/>
          <w:szCs w:val="24"/>
        </w:rPr>
      </w:pPr>
      <w:bookmarkStart w:id="24" w:name="_hflfj9t2tezc" w:colFirst="0" w:colLast="0"/>
      <w:bookmarkEnd w:id="24"/>
      <w:r>
        <w:rPr>
          <w:rFonts w:ascii="Times New Roman" w:hAnsi="Times New Roman" w:eastAsia="Times New Roman" w:cs="Times New Roman"/>
          <w:b/>
          <w:bCs/>
          <w:color w:val="000000"/>
          <w:sz w:val="24"/>
          <w:szCs w:val="24"/>
        </w:rPr>
        <w:t>2.5 Environmental Factors</w:t>
      </w:r>
    </w:p>
    <w:p w14:paraId="00000066">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Sustainability concerns brand perception in the developed markets. The UK customers have a high level of environmental awareness, and the policies focus on the minimization of carbon emissions, eco-friendly sourcing, and the circular economy (Mascarenhas, 2024). IKEA is committed to sustainable materials and product recyclability; they meet these expectations and serve as a competitive edge (Alzoubi et al., 2023).</w:t>
      </w:r>
    </w:p>
    <w:p w14:paraId="0000006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environmental compliance pressure is also at the rise in China, but regionalised consumer demand on sustainability is often secondary to price and functionality (Shao et al., 2022). Sustainability communication is mainly an exercise of reputational improvement. However, the tightening of regulations in the future means that environmental performance will play a more strategic role in the competitive advantage (Fabrizi et al., 2024).</w:t>
      </w:r>
    </w:p>
    <w:p w14:paraId="00000068">
      <w:pPr>
        <w:keepNext w:val="0"/>
        <w:keepLines w:val="0"/>
        <w:spacing w:before="280" w:line="360" w:lineRule="auto"/>
        <w:jc w:val="both"/>
        <w:rPr>
          <w:rFonts w:ascii="Times New Roman" w:hAnsi="Times New Roman" w:eastAsia="Times New Roman" w:cs="Times New Roman"/>
          <w:b/>
          <w:bCs/>
          <w:sz w:val="28"/>
          <w:szCs w:val="28"/>
        </w:rPr>
      </w:pPr>
      <w:r>
        <w:rPr>
          <w:rFonts w:ascii="Times New Roman" w:hAnsi="Times New Roman" w:eastAsia="Times New Roman" w:cs="Times New Roman"/>
          <w:b/>
          <w:bCs/>
          <w:sz w:val="28"/>
          <w:szCs w:val="28"/>
        </w:rPr>
        <w:t xml:space="preserve"> PESTEL Comparison Table</w:t>
      </w:r>
    </w:p>
    <w:p w14:paraId="00000069">
      <w:pPr>
        <w:keepNext w:val="0"/>
        <w:keepLines w:val="0"/>
        <w:spacing w:before="280" w:line="360" w:lineRule="auto"/>
        <w:jc w:val="both"/>
        <w:rPr>
          <w:rFonts w:ascii="Times New Roman" w:hAnsi="Times New Roman" w:eastAsia="Times New Roman" w:cs="Times New Roman"/>
          <w:b/>
          <w:bCs/>
          <w:sz w:val="28"/>
          <w:szCs w:val="28"/>
        </w:rPr>
      </w:pPr>
    </w:p>
    <w:tbl>
      <w:tblPr>
        <w:tblStyle w:val="14"/>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2340"/>
        <w:gridCol w:w="2340"/>
        <w:gridCol w:w="2340"/>
        <w:gridCol w:w="2340"/>
      </w:tblGrid>
      <w:tr w14:paraId="066A36FE">
        <w:tblPrEx>
          <w:tblLayout w:type="fixed"/>
        </w:tblPrEx>
        <w:tc>
          <w:tcPr>
            <w:tcW w:w="2340" w:type="dxa"/>
            <w:shd w:val="clear" w:color="auto" w:fill="auto"/>
            <w:tcMar>
              <w:top w:w="100" w:type="dxa"/>
              <w:left w:w="100" w:type="dxa"/>
              <w:bottom w:w="100" w:type="dxa"/>
              <w:right w:w="100" w:type="dxa"/>
            </w:tcMar>
            <w:vAlign w:val="top"/>
          </w:tcPr>
          <w:p w14:paraId="0000006A">
            <w:pPr>
              <w:keepNext w:val="0"/>
              <w:keepLines w:val="0"/>
              <w:spacing w:before="480"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Factor</w:t>
            </w:r>
          </w:p>
        </w:tc>
        <w:tc>
          <w:tcPr>
            <w:tcW w:w="2340" w:type="dxa"/>
            <w:shd w:val="clear" w:color="auto" w:fill="auto"/>
            <w:tcMar>
              <w:top w:w="100" w:type="dxa"/>
              <w:left w:w="100" w:type="dxa"/>
              <w:bottom w:w="100" w:type="dxa"/>
              <w:right w:w="100" w:type="dxa"/>
            </w:tcMar>
            <w:vAlign w:val="top"/>
          </w:tcPr>
          <w:p w14:paraId="0000006B">
            <w:pPr>
              <w:keepNext w:val="0"/>
              <w:keepLines w:val="0"/>
              <w:spacing w:before="480"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UK</w:t>
            </w:r>
          </w:p>
        </w:tc>
        <w:tc>
          <w:tcPr>
            <w:tcW w:w="2340" w:type="dxa"/>
            <w:shd w:val="clear" w:color="auto" w:fill="auto"/>
            <w:tcMar>
              <w:top w:w="100" w:type="dxa"/>
              <w:left w:w="100" w:type="dxa"/>
              <w:bottom w:w="100" w:type="dxa"/>
              <w:right w:w="100" w:type="dxa"/>
            </w:tcMar>
            <w:vAlign w:val="top"/>
          </w:tcPr>
          <w:p w14:paraId="0000006C">
            <w:pPr>
              <w:keepNext w:val="0"/>
              <w:keepLines w:val="0"/>
              <w:spacing w:before="480"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China</w:t>
            </w:r>
          </w:p>
        </w:tc>
        <w:tc>
          <w:tcPr>
            <w:tcW w:w="2340" w:type="dxa"/>
            <w:shd w:val="clear" w:color="auto" w:fill="auto"/>
            <w:tcMar>
              <w:top w:w="100" w:type="dxa"/>
              <w:left w:w="100" w:type="dxa"/>
              <w:bottom w:w="100" w:type="dxa"/>
              <w:right w:w="100" w:type="dxa"/>
            </w:tcMar>
            <w:vAlign w:val="top"/>
          </w:tcPr>
          <w:p w14:paraId="0000006D">
            <w:pPr>
              <w:keepNext w:val="0"/>
              <w:keepLines w:val="0"/>
              <w:spacing w:before="480" w:line="360" w:lineRule="auto"/>
              <w:jc w:val="left"/>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 xml:space="preserve">  Strategic Implications</w:t>
            </w:r>
          </w:p>
        </w:tc>
      </w:tr>
      <w:tr w14:paraId="1BA8C3F3">
        <w:tblPrEx>
          <w:tblLayout w:type="fixed"/>
        </w:tblPrEx>
        <w:tc>
          <w:tcPr>
            <w:tcW w:w="2340" w:type="dxa"/>
            <w:shd w:val="clear" w:color="auto" w:fill="auto"/>
            <w:tcMar>
              <w:top w:w="100" w:type="dxa"/>
              <w:left w:w="100" w:type="dxa"/>
              <w:bottom w:w="100" w:type="dxa"/>
              <w:right w:w="100" w:type="dxa"/>
            </w:tcMar>
            <w:vAlign w:val="top"/>
          </w:tcPr>
          <w:p w14:paraId="0000006E">
            <w:pPr>
              <w:keepNext w:val="0"/>
              <w:keepLines w:val="0"/>
              <w:spacing w:before="48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Political/Legal</w:t>
            </w:r>
          </w:p>
        </w:tc>
        <w:tc>
          <w:tcPr>
            <w:tcW w:w="2340" w:type="dxa"/>
            <w:shd w:val="clear" w:color="auto" w:fill="auto"/>
            <w:tcMar>
              <w:top w:w="100" w:type="dxa"/>
              <w:left w:w="100" w:type="dxa"/>
              <w:bottom w:w="100" w:type="dxa"/>
              <w:right w:w="100" w:type="dxa"/>
            </w:tcMar>
            <w:vAlign w:val="top"/>
          </w:tcPr>
          <w:p w14:paraId="0000006F">
            <w:pPr>
              <w:keepNext w:val="0"/>
              <w:keepLines w:val="0"/>
              <w:spacing w:before="48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Stable, strong IP, predictable regulation, post-Brexit trade friction</w:t>
            </w:r>
          </w:p>
        </w:tc>
        <w:tc>
          <w:tcPr>
            <w:tcW w:w="2340" w:type="dxa"/>
            <w:shd w:val="clear" w:color="auto" w:fill="auto"/>
            <w:tcMar>
              <w:top w:w="100" w:type="dxa"/>
              <w:left w:w="100" w:type="dxa"/>
              <w:bottom w:w="100" w:type="dxa"/>
              <w:right w:w="100" w:type="dxa"/>
            </w:tcMar>
            <w:vAlign w:val="top"/>
          </w:tcPr>
          <w:p w14:paraId="00000070">
            <w:pPr>
              <w:keepNext w:val="0"/>
              <w:keepLines w:val="0"/>
              <w:spacing w:before="48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High state control, regional policy variability, strict enforcement of consumer protection &amp; labor laws</w:t>
            </w:r>
          </w:p>
        </w:tc>
        <w:tc>
          <w:tcPr>
            <w:tcW w:w="2340" w:type="dxa"/>
            <w:shd w:val="clear" w:color="auto" w:fill="auto"/>
            <w:tcMar>
              <w:top w:w="100" w:type="dxa"/>
              <w:left w:w="100" w:type="dxa"/>
              <w:bottom w:w="100" w:type="dxa"/>
              <w:right w:w="100" w:type="dxa"/>
            </w:tcMar>
            <w:vAlign w:val="top"/>
          </w:tcPr>
          <w:p w14:paraId="00000071">
            <w:pPr>
              <w:keepNext w:val="0"/>
              <w:keepLines w:val="0"/>
              <w:spacing w:before="48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UK allows standardisation; China requires regulatory adaptation &amp; local compliance</w:t>
            </w:r>
          </w:p>
        </w:tc>
      </w:tr>
      <w:tr w14:paraId="1BDDF5E9">
        <w:tblPrEx>
          <w:tblLayout w:type="fixed"/>
        </w:tblPrEx>
        <w:tc>
          <w:tcPr>
            <w:tcW w:w="2340" w:type="dxa"/>
            <w:shd w:val="clear" w:color="auto" w:fill="auto"/>
            <w:tcMar>
              <w:top w:w="100" w:type="dxa"/>
              <w:left w:w="100" w:type="dxa"/>
              <w:bottom w:w="100" w:type="dxa"/>
              <w:right w:w="100" w:type="dxa"/>
            </w:tcMar>
            <w:vAlign w:val="top"/>
          </w:tcPr>
          <w:p w14:paraId="00000072">
            <w:pPr>
              <w:keepNext w:val="0"/>
              <w:keepLines w:val="0"/>
              <w:spacing w:before="48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Economic</w:t>
            </w:r>
          </w:p>
        </w:tc>
        <w:tc>
          <w:tcPr>
            <w:tcW w:w="2340" w:type="dxa"/>
            <w:shd w:val="clear" w:color="auto" w:fill="auto"/>
            <w:tcMar>
              <w:top w:w="100" w:type="dxa"/>
              <w:left w:w="100" w:type="dxa"/>
              <w:bottom w:w="100" w:type="dxa"/>
              <w:right w:w="100" w:type="dxa"/>
            </w:tcMar>
            <w:vAlign w:val="top"/>
          </w:tcPr>
          <w:p w14:paraId="00000073">
            <w:pPr>
              <w:keepNext w:val="0"/>
              <w:keepLines w:val="0"/>
              <w:spacing w:before="48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High-income, mature market, price-sensitive consumers</w:t>
            </w:r>
          </w:p>
        </w:tc>
        <w:tc>
          <w:tcPr>
            <w:tcW w:w="2340" w:type="dxa"/>
            <w:shd w:val="clear" w:color="auto" w:fill="auto"/>
            <w:tcMar>
              <w:top w:w="100" w:type="dxa"/>
              <w:left w:w="100" w:type="dxa"/>
              <w:bottom w:w="100" w:type="dxa"/>
              <w:right w:w="100" w:type="dxa"/>
            </w:tcMar>
            <w:vAlign w:val="top"/>
          </w:tcPr>
          <w:p w14:paraId="00000074">
            <w:pPr>
              <w:keepNext w:val="0"/>
              <w:keepLines w:val="0"/>
              <w:spacing w:before="48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Emerging middle class, urban growth, regional income disparities</w:t>
            </w:r>
          </w:p>
        </w:tc>
        <w:tc>
          <w:tcPr>
            <w:tcW w:w="2340" w:type="dxa"/>
            <w:shd w:val="clear" w:color="auto" w:fill="auto"/>
            <w:tcMar>
              <w:top w:w="100" w:type="dxa"/>
              <w:left w:w="100" w:type="dxa"/>
              <w:bottom w:w="100" w:type="dxa"/>
              <w:right w:w="100" w:type="dxa"/>
            </w:tcMar>
            <w:vAlign w:val="top"/>
          </w:tcPr>
          <w:p w14:paraId="00000075">
            <w:pPr>
              <w:keepNext w:val="0"/>
              <w:keepLines w:val="0"/>
              <w:spacing w:before="48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UK focuses on format innovation &amp; service; China requires adaptive pricing &amp; local sourcing</w:t>
            </w:r>
          </w:p>
        </w:tc>
      </w:tr>
      <w:tr w14:paraId="0DB0C6B5">
        <w:tblPrEx>
          <w:tblLayout w:type="fixed"/>
        </w:tblPrEx>
        <w:tc>
          <w:tcPr>
            <w:tcW w:w="2340" w:type="dxa"/>
            <w:shd w:val="clear" w:color="auto" w:fill="auto"/>
            <w:tcMar>
              <w:top w:w="100" w:type="dxa"/>
              <w:left w:w="100" w:type="dxa"/>
              <w:bottom w:w="100" w:type="dxa"/>
              <w:right w:w="100" w:type="dxa"/>
            </w:tcMar>
            <w:vAlign w:val="top"/>
          </w:tcPr>
          <w:p w14:paraId="00000076">
            <w:pPr>
              <w:keepNext w:val="0"/>
              <w:keepLines w:val="0"/>
              <w:spacing w:before="48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Social/Cultural</w:t>
            </w:r>
          </w:p>
        </w:tc>
        <w:tc>
          <w:tcPr>
            <w:tcW w:w="2340" w:type="dxa"/>
            <w:shd w:val="clear" w:color="auto" w:fill="auto"/>
            <w:tcMar>
              <w:top w:w="100" w:type="dxa"/>
              <w:left w:w="100" w:type="dxa"/>
              <w:bottom w:w="100" w:type="dxa"/>
              <w:right w:w="100" w:type="dxa"/>
            </w:tcMar>
            <w:vAlign w:val="top"/>
          </w:tcPr>
          <w:p w14:paraId="00000077">
            <w:pPr>
              <w:keepNext w:val="0"/>
              <w:keepLines w:val="0"/>
              <w:spacing w:before="48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Individualistic, DIY culture, moderate power distance</w:t>
            </w:r>
          </w:p>
        </w:tc>
        <w:tc>
          <w:tcPr>
            <w:tcW w:w="2340" w:type="dxa"/>
            <w:shd w:val="clear" w:color="auto" w:fill="auto"/>
            <w:tcMar>
              <w:top w:w="100" w:type="dxa"/>
              <w:left w:w="100" w:type="dxa"/>
              <w:bottom w:w="100" w:type="dxa"/>
              <w:right w:w="100" w:type="dxa"/>
            </w:tcMar>
            <w:vAlign w:val="top"/>
          </w:tcPr>
          <w:p w14:paraId="00000078">
            <w:pPr>
              <w:keepNext w:val="0"/>
              <w:keepLines w:val="0"/>
              <w:spacing w:before="48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Collectivist, family-oriented, high power distance, weak DIY</w:t>
            </w:r>
          </w:p>
        </w:tc>
        <w:tc>
          <w:tcPr>
            <w:tcW w:w="2340" w:type="dxa"/>
            <w:shd w:val="clear" w:color="auto" w:fill="auto"/>
            <w:tcMar>
              <w:top w:w="100" w:type="dxa"/>
              <w:left w:w="100" w:type="dxa"/>
              <w:bottom w:w="100" w:type="dxa"/>
              <w:right w:w="100" w:type="dxa"/>
            </w:tcMar>
            <w:vAlign w:val="top"/>
          </w:tcPr>
          <w:p w14:paraId="00000079">
            <w:pPr>
              <w:keepNext w:val="0"/>
              <w:keepLines w:val="0"/>
              <w:spacing w:before="48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UK supports self-assembly model; China requires assembly &amp; experiential services</w:t>
            </w:r>
          </w:p>
        </w:tc>
      </w:tr>
      <w:tr w14:paraId="08BC6FF1">
        <w:tblPrEx>
          <w:tblLayout w:type="fixed"/>
        </w:tblPrEx>
        <w:tc>
          <w:tcPr>
            <w:tcW w:w="2340" w:type="dxa"/>
            <w:shd w:val="clear" w:color="auto" w:fill="auto"/>
            <w:tcMar>
              <w:top w:w="100" w:type="dxa"/>
              <w:left w:w="100" w:type="dxa"/>
              <w:bottom w:w="100" w:type="dxa"/>
              <w:right w:w="100" w:type="dxa"/>
            </w:tcMar>
            <w:vAlign w:val="top"/>
          </w:tcPr>
          <w:p w14:paraId="0000007A">
            <w:pPr>
              <w:keepNext w:val="0"/>
              <w:keepLines w:val="0"/>
              <w:spacing w:before="48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Technological</w:t>
            </w:r>
          </w:p>
        </w:tc>
        <w:tc>
          <w:tcPr>
            <w:tcW w:w="2340" w:type="dxa"/>
            <w:shd w:val="clear" w:color="auto" w:fill="auto"/>
            <w:tcMar>
              <w:top w:w="100" w:type="dxa"/>
              <w:left w:w="100" w:type="dxa"/>
              <w:bottom w:w="100" w:type="dxa"/>
              <w:right w:w="100" w:type="dxa"/>
            </w:tcMar>
            <w:vAlign w:val="top"/>
          </w:tcPr>
          <w:p w14:paraId="0000007B">
            <w:pPr>
              <w:keepNext w:val="0"/>
              <w:keepLines w:val="0"/>
              <w:spacing w:before="48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High internet penetration, mature e-commerce</w:t>
            </w:r>
          </w:p>
        </w:tc>
        <w:tc>
          <w:tcPr>
            <w:tcW w:w="2340" w:type="dxa"/>
            <w:shd w:val="clear" w:color="auto" w:fill="auto"/>
            <w:tcMar>
              <w:top w:w="100" w:type="dxa"/>
              <w:left w:w="100" w:type="dxa"/>
              <w:bottom w:w="100" w:type="dxa"/>
              <w:right w:w="100" w:type="dxa"/>
            </w:tcMar>
            <w:vAlign w:val="top"/>
          </w:tcPr>
          <w:p w14:paraId="0000007C">
            <w:pPr>
              <w:keepNext w:val="0"/>
              <w:keepLines w:val="0"/>
              <w:spacing w:before="48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Mobile-first, super-apps, social commerce dominant</w:t>
            </w:r>
          </w:p>
        </w:tc>
        <w:tc>
          <w:tcPr>
            <w:tcW w:w="2340" w:type="dxa"/>
            <w:shd w:val="clear" w:color="auto" w:fill="auto"/>
            <w:tcMar>
              <w:top w:w="100" w:type="dxa"/>
              <w:left w:w="100" w:type="dxa"/>
              <w:bottom w:w="100" w:type="dxa"/>
              <w:right w:w="100" w:type="dxa"/>
            </w:tcMar>
            <w:vAlign w:val="top"/>
          </w:tcPr>
          <w:p w14:paraId="0000007D">
            <w:pPr>
              <w:keepNext w:val="0"/>
              <w:keepLines w:val="0"/>
              <w:spacing w:before="48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UK: omnichannel integration; China: mobile platforms &amp; digital adaptation essential</w:t>
            </w:r>
          </w:p>
        </w:tc>
      </w:tr>
      <w:tr w14:paraId="3FB100C1">
        <w:tblPrEx>
          <w:tblLayout w:type="fixed"/>
        </w:tblPrEx>
        <w:tc>
          <w:tcPr>
            <w:tcW w:w="2340" w:type="dxa"/>
            <w:shd w:val="clear" w:color="auto" w:fill="auto"/>
            <w:tcMar>
              <w:top w:w="100" w:type="dxa"/>
              <w:left w:w="100" w:type="dxa"/>
              <w:bottom w:w="100" w:type="dxa"/>
              <w:right w:w="100" w:type="dxa"/>
            </w:tcMar>
            <w:vAlign w:val="top"/>
          </w:tcPr>
          <w:p w14:paraId="0000007E">
            <w:pPr>
              <w:keepNext w:val="0"/>
              <w:keepLines w:val="0"/>
              <w:spacing w:before="48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Environmental</w:t>
            </w:r>
          </w:p>
        </w:tc>
        <w:tc>
          <w:tcPr>
            <w:tcW w:w="2340" w:type="dxa"/>
            <w:shd w:val="clear" w:color="auto" w:fill="auto"/>
            <w:tcMar>
              <w:top w:w="100" w:type="dxa"/>
              <w:left w:w="100" w:type="dxa"/>
              <w:bottom w:w="100" w:type="dxa"/>
              <w:right w:w="100" w:type="dxa"/>
            </w:tcMar>
            <w:vAlign w:val="top"/>
          </w:tcPr>
          <w:p w14:paraId="0000007F">
            <w:pPr>
              <w:keepNext w:val="0"/>
              <w:keepLines w:val="0"/>
              <w:spacing w:before="48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High sustainability awareness, regulatory focus</w:t>
            </w:r>
          </w:p>
        </w:tc>
        <w:tc>
          <w:tcPr>
            <w:tcW w:w="2340" w:type="dxa"/>
            <w:shd w:val="clear" w:color="auto" w:fill="auto"/>
            <w:tcMar>
              <w:top w:w="100" w:type="dxa"/>
              <w:left w:w="100" w:type="dxa"/>
              <w:bottom w:w="100" w:type="dxa"/>
              <w:right w:w="100" w:type="dxa"/>
            </w:tcMar>
            <w:vAlign w:val="top"/>
          </w:tcPr>
          <w:p w14:paraId="00000080">
            <w:pPr>
              <w:keepNext w:val="0"/>
              <w:keepLines w:val="0"/>
              <w:spacing w:before="48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Growing environmental regulation, variable consumer concern</w:t>
            </w:r>
          </w:p>
        </w:tc>
        <w:tc>
          <w:tcPr>
            <w:tcW w:w="2340" w:type="dxa"/>
            <w:shd w:val="clear" w:color="auto" w:fill="auto"/>
            <w:tcMar>
              <w:top w:w="100" w:type="dxa"/>
              <w:left w:w="100" w:type="dxa"/>
              <w:bottom w:w="100" w:type="dxa"/>
              <w:right w:w="100" w:type="dxa"/>
            </w:tcMar>
            <w:vAlign w:val="top"/>
          </w:tcPr>
          <w:p w14:paraId="00000081">
            <w:pPr>
              <w:keepNext w:val="0"/>
              <w:keepLines w:val="0"/>
              <w:spacing w:before="48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UK: sustainability as differentiator; China: future strategic advantage</w:t>
            </w:r>
          </w:p>
        </w:tc>
      </w:tr>
      <w:tr w14:paraId="784D05F4">
        <w:tblPrEx>
          <w:tblLayout w:type="fixed"/>
        </w:tblPrEx>
        <w:tc>
          <w:tcPr>
            <w:tcW w:w="2340" w:type="dxa"/>
            <w:shd w:val="clear" w:color="auto" w:fill="auto"/>
            <w:tcMar>
              <w:top w:w="100" w:type="dxa"/>
              <w:left w:w="100" w:type="dxa"/>
              <w:bottom w:w="100" w:type="dxa"/>
              <w:right w:w="100" w:type="dxa"/>
            </w:tcMar>
            <w:vAlign w:val="top"/>
          </w:tcPr>
          <w:p w14:paraId="00000082">
            <w:pPr>
              <w:keepNext w:val="0"/>
              <w:keepLines w:val="0"/>
              <w:spacing w:before="48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Legal</w:t>
            </w:r>
          </w:p>
        </w:tc>
        <w:tc>
          <w:tcPr>
            <w:tcW w:w="2340" w:type="dxa"/>
            <w:shd w:val="clear" w:color="auto" w:fill="auto"/>
            <w:tcMar>
              <w:top w:w="100" w:type="dxa"/>
              <w:left w:w="100" w:type="dxa"/>
              <w:bottom w:w="100" w:type="dxa"/>
              <w:right w:w="100" w:type="dxa"/>
            </w:tcMar>
            <w:vAlign w:val="top"/>
          </w:tcPr>
          <w:p w14:paraId="00000083">
            <w:pPr>
              <w:keepNext w:val="0"/>
              <w:keepLines w:val="0"/>
              <w:spacing w:before="48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Strict employment, anti-discrimination, consumer</w:t>
            </w:r>
          </w:p>
        </w:tc>
        <w:tc>
          <w:tcPr>
            <w:tcW w:w="2340" w:type="dxa"/>
            <w:shd w:val="clear" w:color="auto" w:fill="auto"/>
            <w:tcMar>
              <w:top w:w="100" w:type="dxa"/>
              <w:left w:w="100" w:type="dxa"/>
              <w:bottom w:w="100" w:type="dxa"/>
              <w:right w:w="100" w:type="dxa"/>
            </w:tcMar>
            <w:vAlign w:val="top"/>
          </w:tcPr>
          <w:p w14:paraId="00000084">
            <w:pPr>
              <w:keepNext w:val="0"/>
              <w:keepLines w:val="0"/>
              <w:spacing w:before="48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Increasing labor &amp; environmental enforcement</w:t>
            </w:r>
          </w:p>
        </w:tc>
        <w:tc>
          <w:tcPr>
            <w:tcW w:w="2340" w:type="dxa"/>
            <w:shd w:val="clear" w:color="auto" w:fill="auto"/>
            <w:tcMar>
              <w:top w:w="100" w:type="dxa"/>
              <w:left w:w="100" w:type="dxa"/>
              <w:bottom w:w="100" w:type="dxa"/>
              <w:right w:w="100" w:type="dxa"/>
            </w:tcMar>
            <w:vAlign w:val="top"/>
          </w:tcPr>
          <w:p w14:paraId="00000085">
            <w:pPr>
              <w:keepNext w:val="0"/>
              <w:keepLines w:val="0"/>
              <w:spacing w:before="48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Compliance affects cost and operational planning</w:t>
            </w:r>
          </w:p>
        </w:tc>
      </w:tr>
    </w:tbl>
    <w:p w14:paraId="00000086">
      <w:pPr>
        <w:pStyle w:val="3"/>
        <w:keepNext w:val="0"/>
        <w:keepLines w:val="0"/>
        <w:spacing w:before="480" w:line="360" w:lineRule="auto"/>
        <w:jc w:val="both"/>
        <w:rPr>
          <w:rFonts w:ascii="Times New Roman" w:hAnsi="Times New Roman" w:eastAsia="Times New Roman" w:cs="Times New Roman"/>
          <w:b/>
          <w:bCs/>
          <w:sz w:val="28"/>
          <w:szCs w:val="28"/>
        </w:rPr>
      </w:pPr>
      <w:bookmarkStart w:id="25" w:name="_ly66gto866l0" w:colFirst="0" w:colLast="0"/>
      <w:bookmarkEnd w:id="25"/>
      <w:r>
        <w:rPr>
          <w:rFonts w:ascii="Times New Roman" w:hAnsi="Times New Roman" w:eastAsia="Times New Roman" w:cs="Times New Roman"/>
          <w:b/>
          <w:bCs/>
          <w:sz w:val="28"/>
          <w:szCs w:val="28"/>
        </w:rPr>
        <w:t>3. STP Analysis in the United Kingdom and China</w:t>
      </w:r>
    </w:p>
    <w:p w14:paraId="0000008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segmentation, targeting and positioning (STP) model can offer a strategic perspective through which the extent to which IKEA has differentiated its value proposition in the United Kingdom and China can be assessed (Mogaji, 2025). IKEA has a globally identifiable brand name, but its orientation on the market is a measured adjustment to the socio-economic, and cultural environment (Gonzalez-Perez and Wach, 2026).</w:t>
      </w:r>
    </w:p>
    <w:p w14:paraId="00000088">
      <w:pPr>
        <w:pStyle w:val="4"/>
        <w:keepNext w:val="0"/>
        <w:keepLines w:val="0"/>
        <w:spacing w:after="80" w:line="360" w:lineRule="auto"/>
        <w:jc w:val="both"/>
        <w:rPr>
          <w:rFonts w:ascii="Times New Roman" w:hAnsi="Times New Roman" w:eastAsia="Times New Roman" w:cs="Times New Roman"/>
          <w:b/>
          <w:bCs/>
          <w:color w:val="000000"/>
          <w:sz w:val="24"/>
          <w:szCs w:val="24"/>
        </w:rPr>
      </w:pPr>
      <w:bookmarkStart w:id="26" w:name="_8afgct6tr0qr" w:colFirst="0" w:colLast="0"/>
      <w:bookmarkEnd w:id="26"/>
      <w:r>
        <w:rPr>
          <w:rFonts w:ascii="Times New Roman" w:hAnsi="Times New Roman" w:eastAsia="Times New Roman" w:cs="Times New Roman"/>
          <w:b/>
          <w:bCs/>
          <w:color w:val="000000"/>
          <w:sz w:val="24"/>
          <w:szCs w:val="24"/>
        </w:rPr>
        <w:t>3.1 Segmentation</w:t>
      </w:r>
    </w:p>
    <w:p w14:paraId="00000089">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Segmentation in the UK depicts a blend of the demographic, psychographic and behavioural variables (Helmold, 2022). The segmentation is core which is composed of young professionals who form independent households, university students who are seeking low-cost furnishing solutions, first-time homeowners, and value-conscious families. Psychographically, the segments are defined by pragmatic values of consumption, the interest in minimalist design, and readiness to use self-service retailing forms. The UK consumers also exhibit relatively high DIY acceptance, and this is aligned with that of IKEA, which is a flat-pack model (Vara, 2025).</w:t>
      </w:r>
    </w:p>
    <w:p w14:paraId="0000008A">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segmentation in China is more tied to the socio-economic change and the aspirational consumption ways (Arshad Ahmad Khan et al., 2024). The main segments are urban middle-class families, young urban professionals, and aspirational consumers who want to be associated with the Western lifestyle. Chinese segmentation integrates the symbolic consumption motives unlike in the UK where functionality and affordability prevail (VITALI, 2025). Furniture can serve as a status symbol of social mobility, especially with new high-end customers. The behavioural segmentation is also different since the purchasing decision depends on the expectations on service provision and convenience (Sukanlaya Sawang et al., 2023). Therefore, IKEA needs to understand furniture not as a simple utilitarian item but lifestyle indicators within larger socio-cultural discourses.</w:t>
      </w:r>
    </w:p>
    <w:p w14:paraId="0000008B">
      <w:pPr>
        <w:pStyle w:val="4"/>
        <w:keepNext w:val="0"/>
        <w:keepLines w:val="0"/>
        <w:spacing w:after="80" w:line="360" w:lineRule="auto"/>
        <w:jc w:val="both"/>
        <w:rPr>
          <w:rFonts w:ascii="Times New Roman" w:hAnsi="Times New Roman" w:eastAsia="Times New Roman" w:cs="Times New Roman"/>
          <w:b/>
          <w:bCs/>
          <w:color w:val="000000"/>
          <w:sz w:val="24"/>
          <w:szCs w:val="24"/>
        </w:rPr>
      </w:pPr>
      <w:bookmarkStart w:id="27" w:name="_k0qcixs8d2pe" w:colFirst="0" w:colLast="0"/>
      <w:bookmarkEnd w:id="27"/>
      <w:r>
        <w:rPr>
          <w:rFonts w:ascii="Times New Roman" w:hAnsi="Times New Roman" w:eastAsia="Times New Roman" w:cs="Times New Roman"/>
          <w:b/>
          <w:bCs/>
          <w:color w:val="000000"/>
          <w:sz w:val="24"/>
          <w:szCs w:val="24"/>
        </w:rPr>
        <w:t>3.2 Targeting</w:t>
      </w:r>
    </w:p>
    <w:p w14:paraId="0000008C">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IKEA in the UK uses a broad differentiated targeting approach in line with its global cost-leadership targeting approach (Guven, 2026). The company aims at a broad consumer market that is constituted by price sensitivity and design appreciation, and further boosts the economies of scale by having relatively standardised products.</w:t>
      </w:r>
    </w:p>
    <w:p w14:paraId="0000008D">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Early targeting in China was on high income urban elites interested in western brands as a prestige. However, with the interest among domestic rivals and the increase in purchasing power of middle-class citizens, IKEA shifted to the value-conscious urban families. This shift is an adaptive targeting in response to the economic maturation process and competitive forces and exhibits strategic flexibility instead of strict standardisation (Κυρτσίδου, Αγάπη Χρυσή, 2020).</w:t>
      </w:r>
    </w:p>
    <w:p w14:paraId="0000008E">
      <w:pPr>
        <w:pStyle w:val="4"/>
        <w:keepNext w:val="0"/>
        <w:keepLines w:val="0"/>
        <w:spacing w:after="80" w:line="360" w:lineRule="auto"/>
        <w:jc w:val="both"/>
        <w:rPr>
          <w:rFonts w:ascii="Times New Roman" w:hAnsi="Times New Roman" w:eastAsia="Times New Roman" w:cs="Times New Roman"/>
          <w:b/>
          <w:bCs/>
          <w:color w:val="000000"/>
          <w:sz w:val="24"/>
          <w:szCs w:val="24"/>
        </w:rPr>
      </w:pPr>
      <w:bookmarkStart w:id="28" w:name="_57129dwuf6dx" w:colFirst="0" w:colLast="0"/>
      <w:bookmarkEnd w:id="28"/>
      <w:r>
        <w:rPr>
          <w:rFonts w:ascii="Times New Roman" w:hAnsi="Times New Roman" w:eastAsia="Times New Roman" w:cs="Times New Roman"/>
          <w:b/>
          <w:bCs/>
          <w:color w:val="000000"/>
          <w:sz w:val="24"/>
          <w:szCs w:val="24"/>
        </w:rPr>
        <w:t>3.3 Positioning</w:t>
      </w:r>
    </w:p>
    <w:p w14:paraId="0000008F">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UK IKEA is marketed as low-end, practical and Scandinavian design which empowers the consumers by making modernity readily available (Nygrén, 2023). The focus is made on practicality, sustainability and democratic design.</w:t>
      </w:r>
    </w:p>
    <w:p w14:paraId="00000090">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Positioning in China has taken a new dimension to the projection of accessible modern Western lifestyle, which is more about affordability. IKEA shops serve as experiences of retail space, social spaces that are family oriented, which support emotional and aspirational aspects of consumption (Bookman and Hall, 2022). Such repositioning depicts culturally informed adjustment without losing the primary brand meaning of modern design and value.</w:t>
      </w:r>
    </w:p>
    <w:p w14:paraId="00000091">
      <w:pPr>
        <w:spacing w:before="480" w:line="360" w:lineRule="auto"/>
        <w:jc w:val="both"/>
        <w:rPr>
          <w:rFonts w:ascii="Times New Roman" w:hAnsi="Times New Roman" w:eastAsia="Times New Roman" w:cs="Times New Roman"/>
          <w:b/>
          <w:bCs/>
          <w:sz w:val="28"/>
          <w:szCs w:val="28"/>
        </w:rPr>
      </w:pPr>
      <w:r>
        <w:rPr>
          <w:sz w:val="28"/>
          <w:szCs w:val="28"/>
        </w:rPr>
        <w:t xml:space="preserve">                       </w:t>
      </w:r>
      <w:r>
        <w:rPr>
          <w:sz w:val="28"/>
          <w:szCs w:val="28"/>
        </w:rPr>
        <w:drawing>
          <wp:inline distT="114300" distB="114300" distL="114300" distR="114300">
            <wp:extent cx="4229100" cy="335724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7"/>
                    <a:srcRect/>
                    <a:stretch>
                      <a:fillRect/>
                    </a:stretch>
                  </pic:blipFill>
                  <pic:spPr>
                    <a:xfrm>
                      <a:off x="0" y="0"/>
                      <a:ext cx="4229100" cy="3357563"/>
                    </a:xfrm>
                    <a:prstGeom prst="rect">
                      <a:avLst/>
                    </a:prstGeom>
                  </pic:spPr>
                </pic:pic>
              </a:graphicData>
            </a:graphic>
          </wp:inline>
        </w:drawing>
      </w:r>
      <w:r>
        <w:rPr>
          <w:sz w:val="28"/>
          <w:szCs w:val="28"/>
        </w:rPr>
        <w:br w:type="textWrapping"/>
      </w:r>
      <w:r>
        <w:rPr>
          <w:sz w:val="28"/>
          <w:szCs w:val="28"/>
        </w:rPr>
        <w:br w:type="textWrapping"/>
      </w:r>
      <w:r>
        <w:rPr>
          <w:sz w:val="28"/>
          <w:szCs w:val="28"/>
        </w:rPr>
        <w:t xml:space="preserve">      </w:t>
      </w:r>
      <w:r>
        <w:rPr>
          <w:rFonts w:ascii="Times New Roman" w:hAnsi="Times New Roman" w:eastAsia="Times New Roman" w:cs="Times New Roman"/>
          <w:sz w:val="24"/>
          <w:szCs w:val="24"/>
        </w:rPr>
        <w:t xml:space="preserve">  </w:t>
      </w:r>
      <w:r>
        <w:rPr>
          <w:rFonts w:ascii="Times New Roman" w:hAnsi="Times New Roman" w:eastAsia="Times New Roman" w:cs="Times New Roman"/>
          <w:b/>
          <w:bCs/>
          <w:sz w:val="24"/>
          <w:szCs w:val="24"/>
        </w:rPr>
        <w:t>Figure 2:  STP Analysis (Yashodhara Keerthisena and Creately, 2024)</w:t>
      </w:r>
      <w:r>
        <w:rPr>
          <w:rFonts w:ascii="Times New Roman" w:hAnsi="Times New Roman" w:eastAsia="Times New Roman" w:cs="Times New Roman"/>
          <w:sz w:val="24"/>
          <w:szCs w:val="24"/>
        </w:rPr>
        <w:br w:type="textWrapping"/>
      </w:r>
      <w:r>
        <w:rPr>
          <w:sz w:val="28"/>
          <w:szCs w:val="28"/>
        </w:rPr>
        <w:br w:type="textWrapping"/>
      </w:r>
      <w:r>
        <w:rPr>
          <w:sz w:val="28"/>
          <w:szCs w:val="28"/>
        </w:rPr>
        <w:br w:type="textWrapping"/>
      </w:r>
      <w:r>
        <w:rPr>
          <w:rFonts w:ascii="Times New Roman" w:hAnsi="Times New Roman" w:eastAsia="Times New Roman" w:cs="Times New Roman"/>
          <w:b/>
          <w:bCs/>
          <w:sz w:val="28"/>
          <w:szCs w:val="28"/>
        </w:rPr>
        <w:t>4. Comparative Analysis of the 7Ps Marketing Mix</w:t>
      </w:r>
    </w:p>
    <w:p w14:paraId="00000092">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 comparative assessment of the extended marketing mix shows how IKEA balances global standardisation and localisation in the United Kingdom and China. The 7Ps model not only allows assessing the actual elements of marketing but also the dimensions associated with service, which are more or less important in modern retail strategy (Altay, Okumuş and Adıgüzel Mercangöz, 2021).</w:t>
      </w:r>
    </w:p>
    <w:p w14:paraId="00000093">
      <w:pPr>
        <w:spacing w:line="360" w:lineRule="auto"/>
        <w:jc w:val="both"/>
        <w:rPr>
          <w:rFonts w:ascii="Times New Roman" w:hAnsi="Times New Roman" w:eastAsia="Times New Roman" w:cs="Times New Roman"/>
          <w:sz w:val="24"/>
          <w:szCs w:val="24"/>
        </w:rPr>
      </w:pPr>
      <w:r>
        <w:t xml:space="preserve">  </w:t>
      </w:r>
      <w:r>
        <w:rPr>
          <w:rFonts w:ascii="Times New Roman" w:hAnsi="Times New Roman" w:eastAsia="Times New Roman" w:cs="Times New Roman"/>
        </w:rPr>
        <w:t xml:space="preserve">    </w:t>
      </w:r>
      <w:r>
        <w:rPr>
          <w:rFonts w:ascii="Times New Roman" w:hAnsi="Times New Roman" w:eastAsia="Times New Roman" w:cs="Times New Roman"/>
        </w:rPr>
        <w:drawing>
          <wp:inline distT="114300" distB="114300" distL="114300" distR="114300">
            <wp:extent cx="5776595" cy="3345815"/>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referRelativeResize="0"/>
                  </pic:nvPicPr>
                  <pic:blipFill>
                    <a:blip r:embed="rId8"/>
                    <a:srcRect/>
                    <a:stretch>
                      <a:fillRect/>
                    </a:stretch>
                  </pic:blipFill>
                  <pic:spPr>
                    <a:xfrm>
                      <a:off x="0" y="0"/>
                      <a:ext cx="5777128" cy="3346159"/>
                    </a:xfrm>
                    <a:prstGeom prst="rect">
                      <a:avLst/>
                    </a:prstGeom>
                  </pic:spPr>
                </pic:pic>
              </a:graphicData>
            </a:graphic>
          </wp:inline>
        </w:drawing>
      </w:r>
      <w:r>
        <w:rPr>
          <w:rFonts w:ascii="Times New Roman" w:hAnsi="Times New Roman" w:eastAsia="Times New Roman" w:cs="Times New Roman"/>
        </w:rPr>
        <w:br w:type="textWrapping"/>
      </w:r>
      <w:r>
        <w:rPr>
          <w:rFonts w:ascii="Times New Roman" w:hAnsi="Times New Roman" w:eastAsia="Times New Roman" w:cs="Times New Roman"/>
        </w:rPr>
        <w:br w:type="textWrapping"/>
      </w:r>
      <w:r>
        <w:t xml:space="preserve"> </w:t>
      </w:r>
      <w:r>
        <w:br w:type="textWrapping"/>
      </w:r>
      <w:r>
        <w:t xml:space="preserve">    </w:t>
      </w:r>
      <w:r>
        <w:rPr>
          <w:rFonts w:ascii="Times New Roman" w:hAnsi="Times New Roman" w:eastAsia="Times New Roman" w:cs="Times New Roman"/>
          <w:sz w:val="24"/>
          <w:szCs w:val="24"/>
        </w:rPr>
        <w:t xml:space="preserve">   </w:t>
      </w:r>
      <w:r>
        <w:rPr>
          <w:rFonts w:ascii="Times New Roman" w:hAnsi="Times New Roman" w:eastAsia="Times New Roman" w:cs="Times New Roman"/>
          <w:b/>
          <w:bCs/>
          <w:sz w:val="24"/>
          <w:szCs w:val="24"/>
        </w:rPr>
        <w:t>Figure 3: Comparative Analysis of the 7Ps Marketing Mix (Collidu, 2024)</w:t>
      </w:r>
      <w:r>
        <w:rPr>
          <w:rFonts w:ascii="Times New Roman" w:hAnsi="Times New Roman" w:eastAsia="Times New Roman" w:cs="Times New Roman"/>
          <w:b/>
          <w:bCs/>
          <w:sz w:val="24"/>
          <w:szCs w:val="24"/>
        </w:rPr>
        <w:br w:type="textWrapping"/>
      </w:r>
      <w:r>
        <w:rPr>
          <w:rFonts w:ascii="Times New Roman" w:hAnsi="Times New Roman" w:eastAsia="Times New Roman" w:cs="Times New Roman"/>
        </w:rPr>
        <w:br w:type="textWrapping"/>
      </w:r>
      <w:r>
        <w:rPr>
          <w:rFonts w:ascii="Times New Roman" w:hAnsi="Times New Roman" w:eastAsia="Times New Roman" w:cs="Times New Roman"/>
        </w:rPr>
        <w:br w:type="textWrapping"/>
      </w:r>
      <w:r>
        <w:br w:type="textWrapping"/>
      </w:r>
      <w:r>
        <w:br w:type="textWrapping"/>
      </w:r>
      <w:r>
        <w:br w:type="textWrapping"/>
      </w:r>
      <w:r>
        <w:br w:type="textWrapping"/>
      </w:r>
      <w:r>
        <w:br w:type="textWrapping"/>
      </w:r>
      <w:r>
        <w:br w:type="textWrapping"/>
      </w:r>
      <w:r>
        <w:br w:type="textWrapping"/>
      </w:r>
      <w:r>
        <w:br w:type="textWrapping"/>
      </w:r>
      <w:r>
        <w:br w:type="textWrapping"/>
      </w:r>
      <w:r>
        <w:br w:type="textWrapping"/>
      </w:r>
      <w:r>
        <w:br w:type="textWrapping"/>
      </w:r>
      <w:r>
        <w:br w:type="textWrapping"/>
      </w:r>
      <w:r>
        <w:br w:type="textWrapping"/>
      </w:r>
      <w:r>
        <w:rPr>
          <w:rFonts w:ascii="Times New Roman" w:hAnsi="Times New Roman" w:eastAsia="Times New Roman" w:cs="Times New Roman"/>
          <w:b/>
          <w:bCs/>
          <w:color w:val="000000"/>
          <w:sz w:val="24"/>
          <w:szCs w:val="24"/>
        </w:rPr>
        <w:t>4.1 Product</w:t>
      </w:r>
      <w:r>
        <w:rPr>
          <w:rFonts w:ascii="Times New Roman" w:hAnsi="Times New Roman" w:eastAsia="Times New Roman" w:cs="Times New Roman"/>
          <w:b/>
          <w:bCs/>
          <w:color w:val="000000"/>
          <w:sz w:val="24"/>
          <w:szCs w:val="24"/>
        </w:rPr>
        <w:br w:type="textWrapping"/>
      </w:r>
      <w:r>
        <w:rPr>
          <w:rFonts w:ascii="Times New Roman" w:hAnsi="Times New Roman" w:eastAsia="Times New Roman" w:cs="Times New Roman"/>
          <w:sz w:val="24"/>
          <w:szCs w:val="24"/>
        </w:rPr>
        <w:br w:type="textWrapping"/>
      </w:r>
      <w:r>
        <w:rPr>
          <w:rFonts w:ascii="Times New Roman" w:hAnsi="Times New Roman" w:eastAsia="Times New Roman" w:cs="Times New Roman"/>
          <w:sz w:val="24"/>
          <w:szCs w:val="24"/>
        </w:rPr>
        <w:t>The product strategy in the UK is to a large extent standardised and in line with the global IKEA catalogue. Basic products indicate Scandinavian minimalist, flat-packs functionality, and modular storage. Product design means spatial settings of the Western households and knowledge of assembling (HU and RUBANKA, 2025). Standardisation in this case strengthens economies of scale and brand consistency across the globe.</w:t>
      </w:r>
    </w:p>
    <w:p w14:paraId="00000094">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Selective product adaptation has been required in China, however. The housing in cities is also characterized by smaller apartments, which dictates the need to change the size of furniture and to design a multifunctional design. Mattresses are customized to conform to local tastes of softness and kitchens made to suit Chinese cooking. Moreover, the growth of adorning accessories indicates the demand of consumers in the presentation of aspirational lifestyles. These adaptations are a model of transnational strategy by Bartlett and Ghoshal as they consist of operational efficiency and responsiveness to the context (Andersen, 2025). </w:t>
      </w:r>
    </w:p>
    <w:p w14:paraId="00000095">
      <w:pPr>
        <w:pStyle w:val="4"/>
        <w:keepNext w:val="0"/>
        <w:keepLines w:val="0"/>
        <w:spacing w:after="80" w:line="360" w:lineRule="auto"/>
        <w:jc w:val="both"/>
        <w:rPr>
          <w:rFonts w:ascii="Times New Roman" w:hAnsi="Times New Roman" w:eastAsia="Times New Roman" w:cs="Times New Roman"/>
          <w:b/>
          <w:bCs/>
          <w:color w:val="000000"/>
          <w:sz w:val="24"/>
          <w:szCs w:val="24"/>
        </w:rPr>
      </w:pPr>
      <w:bookmarkStart w:id="29" w:name="_uxoomtaayyeo" w:colFirst="0" w:colLast="0"/>
      <w:bookmarkEnd w:id="29"/>
      <w:r>
        <w:rPr>
          <w:rFonts w:ascii="Times New Roman" w:hAnsi="Times New Roman" w:eastAsia="Times New Roman" w:cs="Times New Roman"/>
          <w:b/>
          <w:bCs/>
          <w:color w:val="000000"/>
          <w:sz w:val="24"/>
          <w:szCs w:val="24"/>
        </w:rPr>
        <w:t>4.2 Price</w:t>
      </w:r>
    </w:p>
    <w:p w14:paraId="00000096">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IKEA in the UK uses penetration pricing that is in line with its cost-leadership model (Abubakar, Jahwari and Bakheet, 2024). There is a general perception that the brand is affordable especially when there is inflation and limited ability by consumers to spend money. Value perception is highlighted through pricing transparency and promotion discounts.</w:t>
      </w:r>
    </w:p>
    <w:p w14:paraId="0000009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First-mover pricing in China created an image of high price because of the importation cost and brand name prestige with the western retailers. On understanding the mismatch with middle class buying power, IKEA made strategic price cuts, expanded the sourcing locally and made logistics lean. The volatility of the exchange rates and the cost of transportation required the repricing of the price frameworks. The change explains the adaptive pricing policy that is informed by purchasing power parity and competition levels as opposed to homogenous global pricing (Schill and Nixon, 2024).</w:t>
      </w:r>
    </w:p>
    <w:p w14:paraId="00000098">
      <w:pPr>
        <w:pStyle w:val="4"/>
        <w:keepNext w:val="0"/>
        <w:keepLines w:val="0"/>
        <w:spacing w:after="80" w:line="360" w:lineRule="auto"/>
        <w:jc w:val="both"/>
        <w:rPr>
          <w:rFonts w:ascii="Times New Roman" w:hAnsi="Times New Roman" w:eastAsia="Times New Roman" w:cs="Times New Roman"/>
          <w:b/>
          <w:bCs/>
          <w:color w:val="000000"/>
          <w:sz w:val="24"/>
          <w:szCs w:val="24"/>
        </w:rPr>
      </w:pPr>
      <w:bookmarkStart w:id="30" w:name="_2lv4nbiz4bgv" w:colFirst="0" w:colLast="0"/>
      <w:bookmarkEnd w:id="30"/>
      <w:r>
        <w:rPr>
          <w:rFonts w:ascii="Times New Roman" w:hAnsi="Times New Roman" w:eastAsia="Times New Roman" w:cs="Times New Roman"/>
          <w:b/>
          <w:bCs/>
          <w:color w:val="000000"/>
          <w:sz w:val="24"/>
          <w:szCs w:val="24"/>
        </w:rPr>
        <w:t>4.3 Place</w:t>
      </w:r>
    </w:p>
    <w:p w14:paraId="00000099">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the UK, IKEA traditionally operates large out-of-town warehouse-style stores supported by accessible parking infrastructure. However, evolving urban consumption patterns have encouraged development of smaller city-centre formats and enhanced click-and-collect integration.</w:t>
      </w:r>
    </w:p>
    <w:p w14:paraId="0000009A">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China, flagship stores function not merely as retail outlets but as experiential lifestyle destinations (Gravari‐Barbas et al., 2026). Expansion into Tier 2 cities reflects geographic market development, while rapid growth in e-commerce channels responds to digitally embedded consumption habits. Distribution strategy therefore integrates physical scale with digital accessibility (Akula, 2025).</w:t>
      </w:r>
    </w:p>
    <w:p w14:paraId="0000009B">
      <w:pPr>
        <w:pStyle w:val="4"/>
        <w:keepNext w:val="0"/>
        <w:keepLines w:val="0"/>
        <w:spacing w:after="80" w:line="360" w:lineRule="auto"/>
        <w:jc w:val="both"/>
        <w:rPr>
          <w:rFonts w:ascii="Times New Roman" w:hAnsi="Times New Roman" w:eastAsia="Times New Roman" w:cs="Times New Roman"/>
          <w:b/>
          <w:bCs/>
          <w:color w:val="000000"/>
          <w:sz w:val="24"/>
          <w:szCs w:val="24"/>
        </w:rPr>
      </w:pPr>
      <w:bookmarkStart w:id="31" w:name="_ui6r9znbuwnm" w:colFirst="0" w:colLast="0"/>
      <w:bookmarkEnd w:id="31"/>
      <w:r>
        <w:rPr>
          <w:rFonts w:ascii="Times New Roman" w:hAnsi="Times New Roman" w:eastAsia="Times New Roman" w:cs="Times New Roman"/>
          <w:b/>
          <w:bCs/>
          <w:color w:val="000000"/>
          <w:sz w:val="24"/>
          <w:szCs w:val="24"/>
        </w:rPr>
        <w:t>4.4 Promotion</w:t>
      </w:r>
    </w:p>
    <w:p w14:paraId="0000009C">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UK promotional strategy focuses on sustainability, affordability and functionality. Online promotion and catalogue legacy enhance brand recognition and setting (Chaffey and Smith, 2022).</w:t>
      </w:r>
    </w:p>
    <w:p w14:paraId="0000009D">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Promotions in China are more experiential and digitally incorporated. Social media interactions, influencer cooperation, and storytelling of a lifestyle portray modern Western life as something inspirational but reachable. The localised campaigns deal with the cultural narratives and this is much more adaptive to the communication strategy.</w:t>
      </w:r>
    </w:p>
    <w:p w14:paraId="0000009E">
      <w:pPr>
        <w:pStyle w:val="4"/>
        <w:keepNext w:val="0"/>
        <w:keepLines w:val="0"/>
        <w:spacing w:after="80" w:line="360" w:lineRule="auto"/>
        <w:jc w:val="both"/>
        <w:rPr>
          <w:rFonts w:ascii="Times New Roman" w:hAnsi="Times New Roman" w:eastAsia="Times New Roman" w:cs="Times New Roman"/>
          <w:b/>
          <w:bCs/>
          <w:color w:val="000000"/>
          <w:sz w:val="24"/>
          <w:szCs w:val="24"/>
        </w:rPr>
      </w:pPr>
      <w:bookmarkStart w:id="32" w:name="_w3xwfb3mggz5" w:colFirst="0" w:colLast="0"/>
      <w:bookmarkEnd w:id="32"/>
      <w:r>
        <w:rPr>
          <w:rFonts w:ascii="Times New Roman" w:hAnsi="Times New Roman" w:eastAsia="Times New Roman" w:cs="Times New Roman"/>
          <w:b/>
          <w:bCs/>
          <w:color w:val="000000"/>
          <w:sz w:val="24"/>
          <w:szCs w:val="24"/>
        </w:rPr>
        <w:t>4.5 People</w:t>
      </w:r>
    </w:p>
    <w:p w14:paraId="0000009F">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There is a considerable difference in service expectations. Service culture in the UK agrees with the egalitarian, customer autonomy, with the staff members acting more as facilitators of navigation, as opposed to being intensive in their assistance (Sun, Ma and Li, 2025).</w:t>
      </w:r>
    </w:p>
    <w:p w14:paraId="000000A0">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China is a country where staff instructions and service delivery are given more focus especially in assembling products and layout consultations. Training improves service credibility and solves reduced familiarity with DIY (Hall and Hyodo, 2022).</w:t>
      </w:r>
    </w:p>
    <w:p w14:paraId="000000A1">
      <w:pPr>
        <w:pStyle w:val="4"/>
        <w:keepNext w:val="0"/>
        <w:keepLines w:val="0"/>
        <w:spacing w:after="80" w:line="360" w:lineRule="auto"/>
        <w:jc w:val="both"/>
        <w:rPr>
          <w:rFonts w:ascii="Times New Roman" w:hAnsi="Times New Roman" w:eastAsia="Times New Roman" w:cs="Times New Roman"/>
          <w:b/>
          <w:bCs/>
          <w:color w:val="000000"/>
          <w:sz w:val="24"/>
          <w:szCs w:val="24"/>
        </w:rPr>
      </w:pPr>
      <w:bookmarkStart w:id="33" w:name="_qf72b28ok22a" w:colFirst="0" w:colLast="0"/>
      <w:bookmarkEnd w:id="33"/>
      <w:r>
        <w:rPr>
          <w:rFonts w:ascii="Times New Roman" w:hAnsi="Times New Roman" w:eastAsia="Times New Roman" w:cs="Times New Roman"/>
          <w:b/>
          <w:bCs/>
          <w:color w:val="000000"/>
          <w:sz w:val="24"/>
          <w:szCs w:val="24"/>
        </w:rPr>
        <w:t>4.6 Process</w:t>
      </w:r>
    </w:p>
    <w:p w14:paraId="000000A2">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UK operational processes put a premium on efficiency and customer self-navigation. Conversely, China integrates optional assembly features and more organized in-store support, which proves to be responsive to the service expectations of its culture.</w:t>
      </w:r>
    </w:p>
    <w:p w14:paraId="000000A3">
      <w:pPr>
        <w:pStyle w:val="4"/>
        <w:keepNext w:val="0"/>
        <w:keepLines w:val="0"/>
        <w:spacing w:after="80" w:line="360" w:lineRule="auto"/>
        <w:jc w:val="both"/>
        <w:rPr>
          <w:rFonts w:ascii="Times New Roman" w:hAnsi="Times New Roman" w:eastAsia="Times New Roman" w:cs="Times New Roman"/>
          <w:b/>
          <w:bCs/>
          <w:color w:val="000000"/>
          <w:sz w:val="24"/>
          <w:szCs w:val="24"/>
        </w:rPr>
      </w:pPr>
      <w:bookmarkStart w:id="34" w:name="_asns4zfo4cx" w:colFirst="0" w:colLast="0"/>
      <w:bookmarkEnd w:id="34"/>
      <w:r>
        <w:rPr>
          <w:rFonts w:ascii="Times New Roman" w:hAnsi="Times New Roman" w:eastAsia="Times New Roman" w:cs="Times New Roman"/>
          <w:b/>
          <w:bCs/>
          <w:color w:val="000000"/>
          <w:sz w:val="24"/>
          <w:szCs w:val="24"/>
        </w:rPr>
        <w:t>4.7 Physical Evidence</w:t>
      </w:r>
    </w:p>
    <w:p w14:paraId="000000A4">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Though the two markets still have Scandinavian architectural designs and showroom structures, Chinese stores tend to operate as social and recreation spaces. The experiential structure and the physical size promote the lifestyle positioning as opposed to the transactional retail.</w:t>
      </w:r>
    </w:p>
    <w:p w14:paraId="000000A5">
      <w:pPr>
        <w:spacing w:before="240" w:after="24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sz w:val="24"/>
          <w:szCs w:val="24"/>
        </w:rPr>
        <w:t>All in all, the 7Ps comparison shows that the global brand coherence of IKEA is maintained by the selective adaptation, being a locally managed balance between standardisation and localisation.</w:t>
      </w:r>
      <w:r>
        <w:rPr>
          <w:rFonts w:ascii="Times New Roman" w:hAnsi="Times New Roman" w:eastAsia="Times New Roman" w:cs="Times New Roman"/>
          <w:sz w:val="24"/>
          <w:szCs w:val="24"/>
        </w:rPr>
        <w:br w:type="textWrapping"/>
      </w:r>
      <w:r>
        <w:rPr>
          <w:rFonts w:ascii="Times New Roman" w:hAnsi="Times New Roman" w:eastAsia="Times New Roman" w:cs="Times New Roman"/>
          <w:sz w:val="24"/>
          <w:szCs w:val="24"/>
        </w:rPr>
        <w:br w:type="textWrapping"/>
      </w:r>
      <w:r>
        <w:rPr>
          <w:rFonts w:ascii="Times New Roman" w:hAnsi="Times New Roman" w:eastAsia="Times New Roman" w:cs="Times New Roman"/>
          <w:b/>
          <w:bCs/>
          <w:sz w:val="24"/>
          <w:szCs w:val="24"/>
        </w:rPr>
        <w:t xml:space="preserve"> 7Ps Marketing Mix Table</w:t>
      </w:r>
    </w:p>
    <w:p w14:paraId="000000A6">
      <w:pPr>
        <w:spacing w:before="240" w:after="24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 xml:space="preserve">       </w:t>
      </w:r>
    </w:p>
    <w:tbl>
      <w:tblPr>
        <w:tblStyle w:val="15"/>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3120"/>
        <w:gridCol w:w="3120"/>
        <w:gridCol w:w="3120"/>
      </w:tblGrid>
      <w:tr w14:paraId="2F91777E">
        <w:tblPrEx>
          <w:tblLayout w:type="fixed"/>
        </w:tblPrEx>
        <w:tc>
          <w:tcPr>
            <w:tcW w:w="3120" w:type="dxa"/>
            <w:shd w:val="clear" w:color="auto" w:fill="auto"/>
            <w:tcMar>
              <w:top w:w="100" w:type="dxa"/>
              <w:left w:w="100" w:type="dxa"/>
              <w:bottom w:w="100" w:type="dxa"/>
              <w:right w:w="100" w:type="dxa"/>
            </w:tcMar>
            <w:vAlign w:val="top"/>
          </w:tcPr>
          <w:p w14:paraId="000000A7">
            <w:pPr>
              <w:spacing w:before="240" w:after="240"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7Ps</w:t>
            </w:r>
          </w:p>
        </w:tc>
        <w:tc>
          <w:tcPr>
            <w:tcW w:w="3120" w:type="dxa"/>
            <w:shd w:val="clear" w:color="auto" w:fill="auto"/>
            <w:tcMar>
              <w:top w:w="100" w:type="dxa"/>
              <w:left w:w="100" w:type="dxa"/>
              <w:bottom w:w="100" w:type="dxa"/>
              <w:right w:w="100" w:type="dxa"/>
            </w:tcMar>
            <w:vAlign w:val="top"/>
          </w:tcPr>
          <w:p w14:paraId="000000A8">
            <w:pPr>
              <w:spacing w:before="240" w:after="240" w:line="36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UK</w:t>
            </w:r>
          </w:p>
        </w:tc>
        <w:tc>
          <w:tcPr>
            <w:tcW w:w="3120" w:type="dxa"/>
            <w:shd w:val="clear" w:color="auto" w:fill="auto"/>
            <w:tcMar>
              <w:top w:w="100" w:type="dxa"/>
              <w:left w:w="100" w:type="dxa"/>
              <w:bottom w:w="100" w:type="dxa"/>
              <w:right w:w="100" w:type="dxa"/>
            </w:tcMar>
            <w:vAlign w:val="top"/>
          </w:tcPr>
          <w:p w14:paraId="000000A9">
            <w:pPr>
              <w:spacing w:before="240" w:after="240" w:line="360" w:lineRule="auto"/>
              <w:jc w:val="center"/>
              <w:rPr>
                <w:rFonts w:ascii="Times New Roman" w:hAnsi="Times New Roman" w:eastAsia="Times New Roman" w:cs="Times New Roman"/>
                <w:sz w:val="24"/>
                <w:szCs w:val="24"/>
              </w:rPr>
            </w:pPr>
            <w:r>
              <w:rPr>
                <w:rFonts w:ascii="Times New Roman" w:hAnsi="Times New Roman" w:eastAsia="Times New Roman" w:cs="Times New Roman"/>
                <w:b/>
                <w:bCs/>
                <w:sz w:val="24"/>
                <w:szCs w:val="24"/>
              </w:rPr>
              <w:t>China</w:t>
            </w:r>
          </w:p>
          <w:p w14:paraId="000000AA">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rFonts w:ascii="Times New Roman" w:hAnsi="Times New Roman" w:eastAsia="Times New Roman" w:cs="Times New Roman"/>
                <w:b/>
                <w:bCs/>
                <w:sz w:val="24"/>
                <w:szCs w:val="24"/>
              </w:rPr>
            </w:pPr>
          </w:p>
        </w:tc>
      </w:tr>
      <w:tr w14:paraId="37280EA2">
        <w:tblPrEx>
          <w:tblLayout w:type="fixed"/>
        </w:tblPrEx>
        <w:tc>
          <w:tcPr>
            <w:tcW w:w="3120" w:type="dxa"/>
            <w:shd w:val="clear" w:color="auto" w:fill="auto"/>
            <w:tcMar>
              <w:top w:w="100" w:type="dxa"/>
              <w:left w:w="100" w:type="dxa"/>
              <w:bottom w:w="100" w:type="dxa"/>
              <w:right w:w="100" w:type="dxa"/>
            </w:tcMar>
            <w:vAlign w:val="top"/>
          </w:tcPr>
          <w:p w14:paraId="000000AB">
            <w:pPr>
              <w:spacing w:before="240" w:after="240" w:line="360" w:lineRule="auto"/>
              <w:jc w:val="both"/>
              <w:rPr>
                <w:rFonts w:ascii="Times New Roman" w:hAnsi="Times New Roman" w:eastAsia="Times New Roman" w:cs="Times New Roman"/>
                <w:sz w:val="24"/>
                <w:szCs w:val="24"/>
              </w:rPr>
            </w:pPr>
          </w:p>
          <w:p w14:paraId="000000AC">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 </w:t>
            </w:r>
          </w:p>
          <w:p w14:paraId="000000AD">
            <w:pPr>
              <w:spacing w:before="240" w:after="24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sz w:val="24"/>
                <w:szCs w:val="24"/>
              </w:rPr>
              <w:t xml:space="preserve">             </w:t>
            </w:r>
            <w:r>
              <w:rPr>
                <w:rFonts w:ascii="Times New Roman" w:hAnsi="Times New Roman" w:eastAsia="Times New Roman" w:cs="Times New Roman"/>
                <w:b/>
                <w:bCs/>
                <w:sz w:val="24"/>
                <w:szCs w:val="24"/>
              </w:rPr>
              <w:t>Product</w:t>
            </w:r>
          </w:p>
        </w:tc>
        <w:tc>
          <w:tcPr>
            <w:tcW w:w="3120" w:type="dxa"/>
            <w:shd w:val="clear" w:color="auto" w:fill="auto"/>
            <w:tcMar>
              <w:top w:w="100" w:type="dxa"/>
              <w:left w:w="100" w:type="dxa"/>
              <w:bottom w:w="100" w:type="dxa"/>
              <w:right w:w="100" w:type="dxa"/>
            </w:tcMar>
            <w:vAlign w:val="top"/>
          </w:tcPr>
          <w:p w14:paraId="000000AE">
            <w:pPr>
              <w:spacing w:before="240" w:after="240" w:line="360" w:lineRule="auto"/>
              <w:jc w:val="both"/>
              <w:rPr>
                <w:rFonts w:ascii="Times New Roman" w:hAnsi="Times New Roman" w:eastAsia="Times New Roman" w:cs="Times New Roman"/>
                <w:sz w:val="24"/>
                <w:szCs w:val="24"/>
              </w:rPr>
            </w:pPr>
          </w:p>
          <w:p w14:paraId="000000AF">
            <w:pPr>
              <w:spacing w:before="240" w:after="24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sz w:val="24"/>
                <w:szCs w:val="24"/>
              </w:rPr>
              <w:t>Standardised, flat-pack, modular, DIY</w:t>
            </w:r>
          </w:p>
        </w:tc>
        <w:tc>
          <w:tcPr>
            <w:tcW w:w="3120" w:type="dxa"/>
            <w:shd w:val="clear" w:color="auto" w:fill="auto"/>
            <w:tcMar>
              <w:top w:w="100" w:type="dxa"/>
              <w:left w:w="100" w:type="dxa"/>
              <w:bottom w:w="100" w:type="dxa"/>
              <w:right w:w="100" w:type="dxa"/>
            </w:tcMar>
            <w:vAlign w:val="top"/>
          </w:tcPr>
          <w:p w14:paraId="000000B0">
            <w:pPr>
              <w:spacing w:before="240" w:after="24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sz w:val="24"/>
                <w:szCs w:val="24"/>
              </w:rPr>
              <w:t>Adapted for smaller apartments, softer mattresses, culturally aligned kitchenware, expanded accessories</w:t>
            </w:r>
          </w:p>
        </w:tc>
      </w:tr>
      <w:tr w14:paraId="28B622A6">
        <w:tblPrEx>
          <w:tblLayout w:type="fixed"/>
        </w:tblPrEx>
        <w:tc>
          <w:tcPr>
            <w:tcW w:w="3120" w:type="dxa"/>
            <w:shd w:val="clear" w:color="auto" w:fill="auto"/>
            <w:tcMar>
              <w:top w:w="100" w:type="dxa"/>
              <w:left w:w="100" w:type="dxa"/>
              <w:bottom w:w="100" w:type="dxa"/>
              <w:right w:w="100" w:type="dxa"/>
            </w:tcMar>
            <w:vAlign w:val="top"/>
          </w:tcPr>
          <w:p w14:paraId="000000B1">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          </w:t>
            </w:r>
          </w:p>
          <w:p w14:paraId="000000B2">
            <w:pPr>
              <w:spacing w:before="240" w:after="24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sz w:val="24"/>
                <w:szCs w:val="24"/>
              </w:rPr>
              <w:t xml:space="preserve">         </w:t>
            </w:r>
            <w:r>
              <w:rPr>
                <w:rFonts w:ascii="Times New Roman" w:hAnsi="Times New Roman" w:eastAsia="Times New Roman" w:cs="Times New Roman"/>
                <w:b/>
                <w:bCs/>
                <w:sz w:val="24"/>
                <w:szCs w:val="24"/>
              </w:rPr>
              <w:t xml:space="preserve"> Price</w:t>
            </w:r>
          </w:p>
        </w:tc>
        <w:tc>
          <w:tcPr>
            <w:tcW w:w="3120" w:type="dxa"/>
            <w:shd w:val="clear" w:color="auto" w:fill="auto"/>
            <w:tcMar>
              <w:top w:w="100" w:type="dxa"/>
              <w:left w:w="100" w:type="dxa"/>
              <w:bottom w:w="100" w:type="dxa"/>
              <w:right w:w="100" w:type="dxa"/>
            </w:tcMar>
            <w:vAlign w:val="top"/>
          </w:tcPr>
          <w:p w14:paraId="000000B3">
            <w:pPr>
              <w:spacing w:before="240" w:after="24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sz w:val="24"/>
                <w:szCs w:val="24"/>
              </w:rPr>
              <w:t>Penetration pricing, cost-leadership</w:t>
            </w:r>
          </w:p>
        </w:tc>
        <w:tc>
          <w:tcPr>
            <w:tcW w:w="3120" w:type="dxa"/>
            <w:shd w:val="clear" w:color="auto" w:fill="auto"/>
            <w:tcMar>
              <w:top w:w="100" w:type="dxa"/>
              <w:left w:w="100" w:type="dxa"/>
              <w:bottom w:w="100" w:type="dxa"/>
              <w:right w:w="100" w:type="dxa"/>
            </w:tcMar>
            <w:vAlign w:val="top"/>
          </w:tcPr>
          <w:p w14:paraId="000000B4">
            <w:pPr>
              <w:spacing w:before="240" w:after="240" w:line="360" w:lineRule="auto"/>
              <w:jc w:val="both"/>
              <w:rPr>
                <w:rFonts w:ascii="Times New Roman" w:hAnsi="Times New Roman" w:eastAsia="Times New Roman" w:cs="Times New Roman"/>
                <w:b/>
                <w:bCs/>
                <w:sz w:val="24"/>
                <w:szCs w:val="24"/>
              </w:rPr>
            </w:pPr>
            <w:r>
              <w:rPr>
                <w:rFonts w:ascii="Cardo" w:hAnsi="Cardo" w:eastAsia="Cardo" w:cs="Cardo"/>
                <w:sz w:val="24"/>
                <w:szCs w:val="24"/>
              </w:rPr>
              <w:t>Initially premium → adjusted for middle-class affordability, local sourcing</w:t>
            </w:r>
          </w:p>
        </w:tc>
      </w:tr>
      <w:tr w14:paraId="1F6E5837">
        <w:tblPrEx>
          <w:tblLayout w:type="fixed"/>
        </w:tblPrEx>
        <w:tc>
          <w:tcPr>
            <w:tcW w:w="3120" w:type="dxa"/>
            <w:shd w:val="clear" w:color="auto" w:fill="auto"/>
            <w:tcMar>
              <w:top w:w="100" w:type="dxa"/>
              <w:left w:w="100" w:type="dxa"/>
              <w:bottom w:w="100" w:type="dxa"/>
              <w:right w:w="100" w:type="dxa"/>
            </w:tcMar>
            <w:vAlign w:val="top"/>
          </w:tcPr>
          <w:p w14:paraId="000000B5">
            <w:pPr>
              <w:spacing w:before="240" w:after="240" w:line="360" w:lineRule="auto"/>
              <w:jc w:val="both"/>
              <w:rPr>
                <w:rFonts w:ascii="Times New Roman" w:hAnsi="Times New Roman" w:eastAsia="Times New Roman" w:cs="Times New Roman"/>
                <w:sz w:val="24"/>
                <w:szCs w:val="24"/>
              </w:rPr>
            </w:pPr>
          </w:p>
          <w:p w14:paraId="000000B6">
            <w:pPr>
              <w:spacing w:before="240" w:after="24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sz w:val="24"/>
                <w:szCs w:val="24"/>
              </w:rPr>
              <w:t xml:space="preserve">         </w:t>
            </w:r>
            <w:r>
              <w:rPr>
                <w:rFonts w:ascii="Times New Roman" w:hAnsi="Times New Roman" w:eastAsia="Times New Roman" w:cs="Times New Roman"/>
                <w:b/>
                <w:bCs/>
                <w:sz w:val="24"/>
                <w:szCs w:val="24"/>
              </w:rPr>
              <w:t xml:space="preserve"> Place</w:t>
            </w:r>
          </w:p>
          <w:p w14:paraId="000000B7">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rFonts w:ascii="Times New Roman" w:hAnsi="Times New Roman" w:eastAsia="Times New Roman" w:cs="Times New Roman"/>
                <w:b/>
                <w:bCs/>
                <w:sz w:val="24"/>
                <w:szCs w:val="24"/>
              </w:rPr>
            </w:pPr>
          </w:p>
        </w:tc>
        <w:tc>
          <w:tcPr>
            <w:tcW w:w="3120" w:type="dxa"/>
            <w:shd w:val="clear" w:color="auto" w:fill="auto"/>
            <w:tcMar>
              <w:top w:w="100" w:type="dxa"/>
              <w:left w:w="100" w:type="dxa"/>
              <w:bottom w:w="100" w:type="dxa"/>
              <w:right w:w="100" w:type="dxa"/>
            </w:tcMar>
            <w:vAlign w:val="top"/>
          </w:tcPr>
          <w:p w14:paraId="000000B8">
            <w:pPr>
              <w:spacing w:before="240" w:after="24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sz w:val="24"/>
                <w:szCs w:val="24"/>
              </w:rPr>
              <w:t>Large out-of-town stores, city-center formats</w:t>
            </w:r>
          </w:p>
        </w:tc>
        <w:tc>
          <w:tcPr>
            <w:tcW w:w="3120" w:type="dxa"/>
            <w:shd w:val="clear" w:color="auto" w:fill="auto"/>
            <w:tcMar>
              <w:top w:w="100" w:type="dxa"/>
              <w:left w:w="100" w:type="dxa"/>
              <w:bottom w:w="100" w:type="dxa"/>
              <w:right w:w="100" w:type="dxa"/>
            </w:tcMar>
            <w:vAlign w:val="top"/>
          </w:tcPr>
          <w:p w14:paraId="000000B9">
            <w:pPr>
              <w:spacing w:before="240" w:after="24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sz w:val="24"/>
                <w:szCs w:val="24"/>
              </w:rPr>
              <w:t>Large flagship experiential stores, Tier 2 expansion, strong online distribution</w:t>
            </w:r>
          </w:p>
        </w:tc>
      </w:tr>
      <w:tr w14:paraId="0679A07D">
        <w:tblPrEx>
          <w:tblLayout w:type="fixed"/>
        </w:tblPrEx>
        <w:tc>
          <w:tcPr>
            <w:tcW w:w="3120" w:type="dxa"/>
            <w:shd w:val="clear" w:color="auto" w:fill="auto"/>
            <w:tcMar>
              <w:top w:w="100" w:type="dxa"/>
              <w:left w:w="100" w:type="dxa"/>
              <w:bottom w:w="100" w:type="dxa"/>
              <w:right w:w="100" w:type="dxa"/>
            </w:tcMar>
            <w:vAlign w:val="top"/>
          </w:tcPr>
          <w:p w14:paraId="000000BA">
            <w:pPr>
              <w:spacing w:before="240" w:after="240" w:line="360" w:lineRule="auto"/>
              <w:jc w:val="both"/>
              <w:rPr>
                <w:rFonts w:ascii="Times New Roman" w:hAnsi="Times New Roman" w:eastAsia="Times New Roman" w:cs="Times New Roman"/>
                <w:sz w:val="24"/>
                <w:szCs w:val="24"/>
              </w:rPr>
            </w:pPr>
          </w:p>
          <w:p w14:paraId="000000BB">
            <w:pPr>
              <w:spacing w:before="240" w:after="24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sz w:val="24"/>
                <w:szCs w:val="24"/>
              </w:rPr>
              <w:t xml:space="preserve">       </w:t>
            </w:r>
            <w:r>
              <w:rPr>
                <w:rFonts w:ascii="Times New Roman" w:hAnsi="Times New Roman" w:eastAsia="Times New Roman" w:cs="Times New Roman"/>
                <w:b/>
                <w:bCs/>
                <w:sz w:val="24"/>
                <w:szCs w:val="24"/>
              </w:rPr>
              <w:t xml:space="preserve"> Promotion</w:t>
            </w:r>
          </w:p>
        </w:tc>
        <w:tc>
          <w:tcPr>
            <w:tcW w:w="3120" w:type="dxa"/>
            <w:shd w:val="clear" w:color="auto" w:fill="auto"/>
            <w:tcMar>
              <w:top w:w="100" w:type="dxa"/>
              <w:left w:w="100" w:type="dxa"/>
              <w:bottom w:w="100" w:type="dxa"/>
              <w:right w:w="100" w:type="dxa"/>
            </w:tcMar>
            <w:vAlign w:val="top"/>
          </w:tcPr>
          <w:p w14:paraId="000000BC">
            <w:pPr>
              <w:spacing w:before="240" w:after="24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sz w:val="24"/>
                <w:szCs w:val="24"/>
              </w:rPr>
              <w:t>Sustainability messaging, catalogues, digital ads</w:t>
            </w:r>
          </w:p>
        </w:tc>
        <w:tc>
          <w:tcPr>
            <w:tcW w:w="3120" w:type="dxa"/>
            <w:shd w:val="clear" w:color="auto" w:fill="auto"/>
            <w:tcMar>
              <w:top w:w="100" w:type="dxa"/>
              <w:left w:w="100" w:type="dxa"/>
              <w:bottom w:w="100" w:type="dxa"/>
              <w:right w:w="100" w:type="dxa"/>
            </w:tcMar>
            <w:vAlign w:val="top"/>
          </w:tcPr>
          <w:p w14:paraId="000000BD">
            <w:pPr>
              <w:spacing w:before="240" w:after="24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sz w:val="24"/>
                <w:szCs w:val="24"/>
              </w:rPr>
              <w:t>Social media, experiential marketing, aspirational Western lifestyle focus</w:t>
            </w:r>
          </w:p>
        </w:tc>
      </w:tr>
      <w:tr w14:paraId="3207F214">
        <w:tblPrEx>
          <w:tblLayout w:type="fixed"/>
        </w:tblPrEx>
        <w:tc>
          <w:tcPr>
            <w:tcW w:w="3120" w:type="dxa"/>
            <w:shd w:val="clear" w:color="auto" w:fill="auto"/>
            <w:tcMar>
              <w:top w:w="100" w:type="dxa"/>
              <w:left w:w="100" w:type="dxa"/>
              <w:bottom w:w="100" w:type="dxa"/>
              <w:right w:w="100" w:type="dxa"/>
            </w:tcMar>
            <w:vAlign w:val="top"/>
          </w:tcPr>
          <w:p w14:paraId="000000BE">
            <w:pPr>
              <w:spacing w:before="240" w:after="240" w:line="360" w:lineRule="auto"/>
              <w:jc w:val="both"/>
              <w:rPr>
                <w:rFonts w:ascii="Times New Roman" w:hAnsi="Times New Roman" w:eastAsia="Times New Roman" w:cs="Times New Roman"/>
                <w:sz w:val="24"/>
                <w:szCs w:val="24"/>
              </w:rPr>
            </w:pPr>
          </w:p>
          <w:p w14:paraId="000000BF">
            <w:pPr>
              <w:spacing w:before="240" w:after="24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sz w:val="24"/>
                <w:szCs w:val="24"/>
              </w:rPr>
              <w:t xml:space="preserve">        </w:t>
            </w:r>
            <w:r>
              <w:rPr>
                <w:rFonts w:ascii="Times New Roman" w:hAnsi="Times New Roman" w:eastAsia="Times New Roman" w:cs="Times New Roman"/>
                <w:b/>
                <w:bCs/>
                <w:sz w:val="24"/>
                <w:szCs w:val="24"/>
              </w:rPr>
              <w:t xml:space="preserve"> People</w:t>
            </w:r>
          </w:p>
        </w:tc>
        <w:tc>
          <w:tcPr>
            <w:tcW w:w="3120" w:type="dxa"/>
            <w:shd w:val="clear" w:color="auto" w:fill="auto"/>
            <w:tcMar>
              <w:top w:w="100" w:type="dxa"/>
              <w:left w:w="100" w:type="dxa"/>
              <w:bottom w:w="100" w:type="dxa"/>
              <w:right w:w="100" w:type="dxa"/>
            </w:tcMar>
            <w:vAlign w:val="top"/>
          </w:tcPr>
          <w:p w14:paraId="000000C0">
            <w:pPr>
              <w:spacing w:before="240" w:after="24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sz w:val="24"/>
                <w:szCs w:val="24"/>
              </w:rPr>
              <w:t>Egalitarian service, self-navigation</w:t>
            </w:r>
          </w:p>
        </w:tc>
        <w:tc>
          <w:tcPr>
            <w:tcW w:w="3120" w:type="dxa"/>
            <w:shd w:val="clear" w:color="auto" w:fill="auto"/>
            <w:tcMar>
              <w:top w:w="100" w:type="dxa"/>
              <w:left w:w="100" w:type="dxa"/>
              <w:bottom w:w="100" w:type="dxa"/>
              <w:right w:w="100" w:type="dxa"/>
            </w:tcMar>
            <w:vAlign w:val="top"/>
          </w:tcPr>
          <w:p w14:paraId="000000C1">
            <w:pPr>
              <w:spacing w:before="240" w:after="24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sz w:val="24"/>
                <w:szCs w:val="24"/>
              </w:rPr>
              <w:t>Staff guidance, assembly support, trained for cultural expectations</w:t>
            </w:r>
          </w:p>
        </w:tc>
      </w:tr>
      <w:tr w14:paraId="6452265D">
        <w:tblPrEx>
          <w:tblLayout w:type="fixed"/>
        </w:tblPrEx>
        <w:tc>
          <w:tcPr>
            <w:tcW w:w="3120" w:type="dxa"/>
            <w:shd w:val="clear" w:color="auto" w:fill="auto"/>
            <w:tcMar>
              <w:top w:w="100" w:type="dxa"/>
              <w:left w:w="100" w:type="dxa"/>
              <w:bottom w:w="100" w:type="dxa"/>
              <w:right w:w="100" w:type="dxa"/>
            </w:tcMar>
            <w:vAlign w:val="top"/>
          </w:tcPr>
          <w:p w14:paraId="000000C2">
            <w:pPr>
              <w:spacing w:before="240" w:after="24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sz w:val="24"/>
                <w:szCs w:val="24"/>
              </w:rPr>
              <w:t xml:space="preserve">         </w:t>
            </w:r>
            <w:r>
              <w:rPr>
                <w:rFonts w:ascii="Times New Roman" w:hAnsi="Times New Roman" w:eastAsia="Times New Roman" w:cs="Times New Roman"/>
                <w:b/>
                <w:bCs/>
                <w:sz w:val="24"/>
                <w:szCs w:val="24"/>
              </w:rPr>
              <w:t>Process</w:t>
            </w:r>
          </w:p>
        </w:tc>
        <w:tc>
          <w:tcPr>
            <w:tcW w:w="3120" w:type="dxa"/>
            <w:shd w:val="clear" w:color="auto" w:fill="auto"/>
            <w:tcMar>
              <w:top w:w="100" w:type="dxa"/>
              <w:left w:w="100" w:type="dxa"/>
              <w:bottom w:w="100" w:type="dxa"/>
              <w:right w:w="100" w:type="dxa"/>
            </w:tcMar>
            <w:vAlign w:val="top"/>
          </w:tcPr>
          <w:p w14:paraId="000000C3">
            <w:pPr>
              <w:spacing w:before="240" w:after="24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sz w:val="24"/>
                <w:szCs w:val="24"/>
              </w:rPr>
              <w:t>Customer self-service, efficient navigation</w:t>
            </w:r>
          </w:p>
        </w:tc>
        <w:tc>
          <w:tcPr>
            <w:tcW w:w="3120" w:type="dxa"/>
            <w:shd w:val="clear" w:color="auto" w:fill="auto"/>
            <w:tcMar>
              <w:top w:w="100" w:type="dxa"/>
              <w:left w:w="100" w:type="dxa"/>
              <w:bottom w:w="100" w:type="dxa"/>
              <w:right w:w="100" w:type="dxa"/>
            </w:tcMar>
            <w:vAlign w:val="top"/>
          </w:tcPr>
          <w:p w14:paraId="000000C4">
            <w:pPr>
              <w:spacing w:before="240" w:after="24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sz w:val="24"/>
                <w:szCs w:val="24"/>
              </w:rPr>
              <w:t>Optional assembly, enhanced in-store assistance</w:t>
            </w:r>
          </w:p>
        </w:tc>
      </w:tr>
      <w:tr w14:paraId="157529A5">
        <w:tblPrEx>
          <w:tblLayout w:type="fixed"/>
        </w:tblPrEx>
        <w:tc>
          <w:tcPr>
            <w:tcW w:w="3120" w:type="dxa"/>
            <w:shd w:val="clear" w:color="auto" w:fill="auto"/>
            <w:tcMar>
              <w:top w:w="100" w:type="dxa"/>
              <w:left w:w="100" w:type="dxa"/>
              <w:bottom w:w="100" w:type="dxa"/>
              <w:right w:w="100" w:type="dxa"/>
            </w:tcMar>
            <w:vAlign w:val="top"/>
          </w:tcPr>
          <w:p w14:paraId="000000C5">
            <w:pPr>
              <w:spacing w:before="240" w:after="24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sz w:val="24"/>
                <w:szCs w:val="24"/>
              </w:rPr>
              <w:t xml:space="preserve">  </w:t>
            </w:r>
            <w:r>
              <w:rPr>
                <w:rFonts w:ascii="Times New Roman" w:hAnsi="Times New Roman" w:eastAsia="Times New Roman" w:cs="Times New Roman"/>
                <w:b/>
                <w:bCs/>
                <w:sz w:val="24"/>
                <w:szCs w:val="24"/>
              </w:rPr>
              <w:t>Physical Evidence</w:t>
            </w:r>
          </w:p>
        </w:tc>
        <w:tc>
          <w:tcPr>
            <w:tcW w:w="3120" w:type="dxa"/>
            <w:shd w:val="clear" w:color="auto" w:fill="auto"/>
            <w:tcMar>
              <w:top w:w="100" w:type="dxa"/>
              <w:left w:w="100" w:type="dxa"/>
              <w:bottom w:w="100" w:type="dxa"/>
              <w:right w:w="100" w:type="dxa"/>
            </w:tcMar>
            <w:vAlign w:val="top"/>
          </w:tcPr>
          <w:p w14:paraId="000000C6">
            <w:pPr>
              <w:spacing w:before="240" w:after="24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sz w:val="24"/>
                <w:szCs w:val="24"/>
              </w:rPr>
              <w:t>Scandinavian layout, functional</w:t>
            </w:r>
          </w:p>
        </w:tc>
        <w:tc>
          <w:tcPr>
            <w:tcW w:w="3120" w:type="dxa"/>
            <w:shd w:val="clear" w:color="auto" w:fill="auto"/>
            <w:tcMar>
              <w:top w:w="100" w:type="dxa"/>
              <w:left w:w="100" w:type="dxa"/>
              <w:bottom w:w="100" w:type="dxa"/>
              <w:right w:w="100" w:type="dxa"/>
            </w:tcMar>
            <w:vAlign w:val="top"/>
          </w:tcPr>
          <w:p w14:paraId="000000C7">
            <w:pPr>
              <w:spacing w:before="240" w:after="24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sz w:val="24"/>
                <w:szCs w:val="24"/>
              </w:rPr>
              <w:t>Larger stores, lifestyle &amp; social spaces, experiential retail</w:t>
            </w:r>
          </w:p>
        </w:tc>
      </w:tr>
    </w:tbl>
    <w:p w14:paraId="000000C8">
      <w:pPr>
        <w:pStyle w:val="3"/>
        <w:keepNext w:val="0"/>
        <w:keepLines w:val="0"/>
        <w:spacing w:before="480" w:line="360" w:lineRule="auto"/>
        <w:jc w:val="both"/>
        <w:rPr>
          <w:rFonts w:ascii="Times New Roman" w:hAnsi="Times New Roman" w:eastAsia="Times New Roman" w:cs="Times New Roman"/>
          <w:b/>
          <w:bCs/>
          <w:sz w:val="28"/>
          <w:szCs w:val="28"/>
        </w:rPr>
      </w:pPr>
      <w:bookmarkStart w:id="35" w:name="_70lvbvdq8odg" w:colFirst="0" w:colLast="0"/>
      <w:bookmarkEnd w:id="35"/>
      <w:r>
        <w:rPr>
          <w:rFonts w:ascii="Times New Roman" w:hAnsi="Times New Roman" w:eastAsia="Times New Roman" w:cs="Times New Roman"/>
          <w:b/>
          <w:bCs/>
          <w:sz w:val="28"/>
          <w:szCs w:val="28"/>
          <w:highlight w:val="white"/>
        </w:rPr>
        <w:t>5. Di</w:t>
      </w:r>
      <w:r>
        <w:rPr>
          <w:rFonts w:ascii="Times New Roman" w:hAnsi="Times New Roman" w:eastAsia="Times New Roman" w:cs="Times New Roman"/>
          <w:b/>
          <w:bCs/>
          <w:sz w:val="28"/>
          <w:szCs w:val="28"/>
        </w:rPr>
        <w:t>rectional Development Strategy: IKEA in China</w:t>
      </w:r>
    </w:p>
    <w:p w14:paraId="000000C9">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IKEA expansion into China could be critically analyzed in terms of the Product-Market Matrix developed by Ansoff which determines the strategies of market penetration, market development, product development, as well as diversification (Mogaji, 2025a). The path of IKEA in China is more of a multi-layered strategic development as opposed to one growth path.</w:t>
      </w:r>
    </w:p>
    <w:p w14:paraId="000000CA">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First, the entry of IKEA into China was a typical market development strategy, which is to introduce current product lines in a new geographical market. The strategic focus was on exploiting its globally standardised retail concept in a fast growing emerging market. The move is in line with the logic of emerging market expansion in which multinational firms are pursuing growth opportunities in large population and urbanising economies that are characterised by increasing disposable incomes and growing middle classes.</w:t>
      </w:r>
    </w:p>
    <w:p w14:paraId="000000CB">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However, the unadulterated development of the market was not enough because of the cultural and economical imbalance. In turn, this situation led IKEA to include the aspects of the product development where furniture has been adjusted to the smaller urban apartments, the specifications of the mattresses have been changed, and the range of accessories has been enlarged to fit the local aesthetic liking. These adaptations are more of an incremental innovation than a radical redesign as global efficiency is maintained, but local fit is improved.</w:t>
      </w:r>
    </w:p>
    <w:p w14:paraId="000000CC">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Digital transformation is also another aspect of strategic development (Rêgo et al., 2021). When the Chinese retail landscape started to be influenced more by mobile commerce and platform ecosystems, IKEA started investing in the development of digital channels, including the implementation of e-commerce solutions and improving online purchasing opportunities. Although this can be classified as market penetration in the current segments, it is also an aspect of structural adjustment to new technologies and competition.</w:t>
      </w:r>
    </w:p>
    <w:p w14:paraId="000000CD">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Also, IKEA came up with service extensions, like low-cost assembly, delivery services and improved in-store consultation. These programs are related diversifications, in that they go beyond manufacturing related products into value added services that enhance competitive locations and convenience to the customer. Expansion of service will address cultural resistance to DIY models as well as boost differentiation over the local competitors (Herry Mulyono and Rolando, 2024).</w:t>
      </w:r>
    </w:p>
    <w:p w14:paraId="000000CE">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IKEA's approach to China developed strategically to be more ethnocentric, imitating the European formula of retail to a more polycentric approach that considers the host-country distinctiveness. Such a change indicates organisational learning and strategic flexibility. However, the competitive environment in China, especially the emergence of fast-moving local e-commerce furniture, is a threat to the old-fashioned large-format retail approach of IKEA. Constant evolution thus relies on the further adjustment, digitalization and experience differentiation to maintain the relevance in the marketplace that is becoming more and more platform-oriented.</w:t>
      </w:r>
    </w:p>
    <w:p w14:paraId="000000CF">
      <w:pPr>
        <w:pStyle w:val="3"/>
        <w:keepNext w:val="0"/>
        <w:keepLines w:val="0"/>
        <w:spacing w:before="480" w:line="360" w:lineRule="auto"/>
        <w:jc w:val="both"/>
        <w:rPr>
          <w:rFonts w:ascii="Times New Roman" w:hAnsi="Times New Roman" w:eastAsia="Times New Roman" w:cs="Times New Roman"/>
          <w:b/>
          <w:bCs/>
          <w:sz w:val="28"/>
          <w:szCs w:val="28"/>
        </w:rPr>
      </w:pPr>
      <w:bookmarkStart w:id="36" w:name="_hoe3oww5kym0" w:colFirst="0" w:colLast="0"/>
      <w:bookmarkEnd w:id="36"/>
      <w:r>
        <w:rPr>
          <w:rFonts w:ascii="Times New Roman" w:hAnsi="Times New Roman" w:eastAsia="Times New Roman" w:cs="Times New Roman"/>
          <w:b/>
          <w:bCs/>
          <w:sz w:val="28"/>
          <w:szCs w:val="28"/>
        </w:rPr>
        <w:t>6. Ethical Issues in the Marketing Mix</w:t>
      </w:r>
    </w:p>
    <w:p w14:paraId="000000D0">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ethical aspects are at the centre of the assessment of the international marketing of IKEA as the brand has a global presence, and sustainability positioning.</w:t>
      </w:r>
    </w:p>
    <w:p w14:paraId="000000D1">
      <w:pPr>
        <w:pStyle w:val="4"/>
        <w:keepNext w:val="0"/>
        <w:keepLines w:val="0"/>
        <w:spacing w:after="80" w:line="360" w:lineRule="auto"/>
        <w:jc w:val="both"/>
        <w:rPr>
          <w:rFonts w:ascii="Times New Roman" w:hAnsi="Times New Roman" w:eastAsia="Times New Roman" w:cs="Times New Roman"/>
          <w:b/>
          <w:bCs/>
          <w:color w:val="000000"/>
          <w:sz w:val="24"/>
          <w:szCs w:val="24"/>
        </w:rPr>
      </w:pPr>
      <w:bookmarkStart w:id="37" w:name="_rutg3o7q70uv" w:colFirst="0" w:colLast="0"/>
      <w:bookmarkEnd w:id="37"/>
      <w:r>
        <w:rPr>
          <w:rFonts w:ascii="Times New Roman" w:hAnsi="Times New Roman" w:eastAsia="Times New Roman" w:cs="Times New Roman"/>
          <w:b/>
          <w:bCs/>
          <w:color w:val="000000"/>
          <w:sz w:val="24"/>
          <w:szCs w:val="24"/>
        </w:rPr>
        <w:t>6.1 Labour and Supply Chain Ethics</w:t>
      </w:r>
    </w:p>
    <w:p w14:paraId="000000D2">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IKEA has had its share of criticism regarding labour practices in its world supply chain, especially in allegations regarding sub contractor practices in the emerging markets (Hana and Kasbaoui Tarik, 2025). These scandals underscore the moral hazards of cost-leadership models that are based on large-scale sourcing around the globe. In its turn, IKEA reinforced its supplier code of conduct, audit systems and transparency measures to enhance the adherence to the international labour standards. However, there is still a conflict between cost-effectiveness and social responsibility, especially in the markets where the regulatory bodies are inconsistent. The problem is that the low prices must not indirectly encourage exploitative practices.</w:t>
      </w:r>
    </w:p>
    <w:p w14:paraId="000000D3">
      <w:pPr>
        <w:pStyle w:val="4"/>
        <w:keepNext w:val="0"/>
        <w:keepLines w:val="0"/>
        <w:spacing w:after="80" w:line="360" w:lineRule="auto"/>
        <w:jc w:val="both"/>
        <w:rPr>
          <w:rFonts w:ascii="Times New Roman" w:hAnsi="Times New Roman" w:eastAsia="Times New Roman" w:cs="Times New Roman"/>
          <w:b/>
          <w:bCs/>
          <w:color w:val="000000"/>
          <w:sz w:val="24"/>
          <w:szCs w:val="24"/>
        </w:rPr>
      </w:pPr>
      <w:bookmarkStart w:id="38" w:name="_l2psp68bfbws" w:colFirst="0" w:colLast="0"/>
      <w:bookmarkEnd w:id="38"/>
      <w:r>
        <w:rPr>
          <w:rFonts w:ascii="Times New Roman" w:hAnsi="Times New Roman" w:eastAsia="Times New Roman" w:cs="Times New Roman"/>
          <w:b/>
          <w:bCs/>
          <w:color w:val="000000"/>
          <w:sz w:val="24"/>
          <w:szCs w:val="24"/>
        </w:rPr>
        <w:t>6.2 Cultural Sensitivity in Promotion</w:t>
      </w:r>
    </w:p>
    <w:p w14:paraId="000000D4">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Marketing communications should show the understanding of culture. In China, IKEA has been criticized with its advertising materials which are seen as culturally insensitive or having a mismatch with the local social expectations. On the contrary, the UK has a more stringent advertising control context that focuses on gender representation, diversity, and inclusion. Such variations would mean that the promotional messages need to be localised closely to prevent a loss of reputation.</w:t>
      </w:r>
    </w:p>
    <w:p w14:paraId="000000D5">
      <w:pPr>
        <w:pStyle w:val="4"/>
        <w:keepNext w:val="0"/>
        <w:keepLines w:val="0"/>
        <w:spacing w:after="80" w:line="360" w:lineRule="auto"/>
        <w:jc w:val="both"/>
        <w:rPr>
          <w:rFonts w:ascii="Times New Roman" w:hAnsi="Times New Roman" w:eastAsia="Times New Roman" w:cs="Times New Roman"/>
          <w:b/>
          <w:bCs/>
          <w:color w:val="000000"/>
          <w:sz w:val="24"/>
          <w:szCs w:val="24"/>
        </w:rPr>
      </w:pPr>
      <w:bookmarkStart w:id="39" w:name="_k1qwcwr93xko" w:colFirst="0" w:colLast="0"/>
      <w:bookmarkEnd w:id="39"/>
      <w:r>
        <w:rPr>
          <w:rFonts w:ascii="Times New Roman" w:hAnsi="Times New Roman" w:eastAsia="Times New Roman" w:cs="Times New Roman"/>
          <w:b/>
          <w:bCs/>
          <w:color w:val="000000"/>
          <w:sz w:val="24"/>
          <w:szCs w:val="24"/>
        </w:rPr>
        <w:t>6.3 Sustainability Claims</w:t>
      </w:r>
    </w:p>
    <w:p w14:paraId="000000D6">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high-sustainability brand of IKEA creates possible doubts about greenwashing. Although the company advocates the idea of renewable sourcing and circular, critical analysis needs to be conducted by means of transparency and reporting of measurable impact to maintain the trust of stakeholders.</w:t>
      </w:r>
    </w:p>
    <w:p w14:paraId="000000D7">
      <w:pPr>
        <w:pStyle w:val="3"/>
        <w:keepNext w:val="0"/>
        <w:keepLines w:val="0"/>
        <w:spacing w:after="80" w:line="360" w:lineRule="auto"/>
        <w:ind w:left="0" w:firstLine="0"/>
        <w:jc w:val="both"/>
        <w:rPr>
          <w:rFonts w:ascii="Times New Roman" w:hAnsi="Times New Roman" w:eastAsia="Times New Roman" w:cs="Times New Roman"/>
          <w:b/>
          <w:bCs/>
          <w:sz w:val="28"/>
          <w:szCs w:val="28"/>
        </w:rPr>
      </w:pPr>
      <w:bookmarkStart w:id="40" w:name="_ca3ampmgw4ws" w:colFirst="0" w:colLast="0"/>
      <w:bookmarkEnd w:id="40"/>
      <w:r>
        <w:rPr>
          <w:rFonts w:ascii="Times New Roman" w:hAnsi="Times New Roman" w:eastAsia="Times New Roman" w:cs="Times New Roman"/>
          <w:b/>
          <w:bCs/>
          <w:sz w:val="28"/>
          <w:szCs w:val="28"/>
        </w:rPr>
        <w:t>7. Recommendations</w:t>
      </w:r>
    </w:p>
    <w:p w14:paraId="000000D8">
      <w:pPr>
        <w:pStyle w:val="4"/>
        <w:keepNext w:val="0"/>
        <w:keepLines w:val="0"/>
        <w:spacing w:before="280" w:line="360" w:lineRule="auto"/>
        <w:ind w:left="0" w:firstLine="0"/>
        <w:jc w:val="both"/>
        <w:rPr>
          <w:rFonts w:ascii="Times New Roman" w:hAnsi="Times New Roman" w:eastAsia="Times New Roman" w:cs="Times New Roman"/>
          <w:b/>
          <w:bCs/>
          <w:color w:val="000000"/>
          <w:sz w:val="24"/>
          <w:szCs w:val="24"/>
        </w:rPr>
      </w:pPr>
      <w:bookmarkStart w:id="41" w:name="_uxtxc3esvibx" w:colFirst="0" w:colLast="0"/>
      <w:bookmarkEnd w:id="41"/>
      <w:r>
        <w:rPr>
          <w:rFonts w:ascii="Times New Roman" w:hAnsi="Times New Roman" w:eastAsia="Times New Roman" w:cs="Times New Roman"/>
          <w:b/>
          <w:bCs/>
          <w:color w:val="000000"/>
          <w:sz w:val="24"/>
          <w:szCs w:val="24"/>
        </w:rPr>
        <w:t>7.1 Digital Integration in China</w:t>
      </w:r>
    </w:p>
    <w:p w14:paraId="000000D9">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Businesses that want to retain their competitive advantage in a fast-changing Chinese retail market ought to consolidate omnichannel logistics by smoothly combining online and offline delivery systems (Detchuev, 2024). The partnerships with major digital platforms such as e-commerce marketplaces and social commerce applications can help promote visibility and allow managing the inventory in real-time. Using analytics on individual promotions and targeted marketing will enhance customer interaction and purchase turnovers.</w:t>
      </w:r>
    </w:p>
    <w:p w14:paraId="000000DA">
      <w:pPr>
        <w:pStyle w:val="4"/>
        <w:keepNext w:val="0"/>
        <w:keepLines w:val="0"/>
        <w:spacing w:before="280" w:line="360" w:lineRule="auto"/>
        <w:ind w:left="0" w:firstLine="0"/>
        <w:jc w:val="both"/>
        <w:rPr>
          <w:rFonts w:ascii="Times New Roman" w:hAnsi="Times New Roman" w:eastAsia="Times New Roman" w:cs="Times New Roman"/>
          <w:b/>
          <w:bCs/>
          <w:color w:val="000000"/>
          <w:sz w:val="24"/>
          <w:szCs w:val="24"/>
        </w:rPr>
      </w:pPr>
      <w:bookmarkStart w:id="42" w:name="_8mb5u3xxw57i" w:colFirst="0" w:colLast="0"/>
      <w:bookmarkEnd w:id="42"/>
      <w:r>
        <w:rPr>
          <w:rFonts w:ascii="Times New Roman" w:hAnsi="Times New Roman" w:eastAsia="Times New Roman" w:cs="Times New Roman"/>
          <w:b/>
          <w:bCs/>
          <w:color w:val="000000"/>
          <w:sz w:val="24"/>
          <w:szCs w:val="24"/>
        </w:rPr>
        <w:t>7.2 Urban Micro-Formats in the UK</w:t>
      </w:r>
    </w:p>
    <w:p w14:paraId="000000DB">
      <w:pPr>
        <w:spacing w:before="240" w:after="240" w:line="360" w:lineRule="auto"/>
        <w:ind w:left="0" w:firstLine="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Retailers must increase the number of smaller formats of stores in the city-centre in response to changing consumer mobility patterns in the UK (Bahar, 2025). These mini-stores are also convenient and serve busy urban residents who have little time and this is in line with the growing demand for fast frequent shopping visits. Efficient use of stores by ensuring that they are arranged in an efficient manner enabling customers to retrieve their products efficiently and the provision of a click-and-collect service can also increase customer experience.</w:t>
      </w:r>
    </w:p>
    <w:p w14:paraId="000000DC">
      <w:pPr>
        <w:pStyle w:val="4"/>
        <w:keepNext w:val="0"/>
        <w:keepLines w:val="0"/>
        <w:spacing w:before="280" w:line="360" w:lineRule="auto"/>
        <w:ind w:left="0" w:firstLine="0"/>
        <w:jc w:val="both"/>
        <w:rPr>
          <w:rFonts w:ascii="Times New Roman" w:hAnsi="Times New Roman" w:eastAsia="Times New Roman" w:cs="Times New Roman"/>
          <w:b/>
          <w:bCs/>
          <w:color w:val="000000"/>
          <w:sz w:val="24"/>
          <w:szCs w:val="24"/>
        </w:rPr>
      </w:pPr>
      <w:bookmarkStart w:id="43" w:name="_2wdc8lia52n" w:colFirst="0" w:colLast="0"/>
      <w:bookmarkEnd w:id="43"/>
      <w:r>
        <w:rPr>
          <w:rFonts w:ascii="Times New Roman" w:hAnsi="Times New Roman" w:eastAsia="Times New Roman" w:cs="Times New Roman"/>
          <w:b/>
          <w:bCs/>
          <w:color w:val="000000"/>
          <w:sz w:val="24"/>
          <w:szCs w:val="24"/>
        </w:rPr>
        <w:t>7.3 Hyper-Localisation Strategy</w:t>
      </w:r>
    </w:p>
    <w:p w14:paraId="000000DD">
      <w:pPr>
        <w:spacing w:before="240" w:after="240" w:line="360" w:lineRule="auto"/>
        <w:ind w:left="0" w:firstLine="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Embracing a culture of data-driven micro-segmentation enables a brand to create culturally sensitive products that appeal to the local preferences of consumers. Regionalizing assortments, promotions and marketing campaigns within the saturated markets increases brand loyalty and brand differentiation (Mäkineste, 2024).</w:t>
      </w:r>
    </w:p>
    <w:p w14:paraId="000000DE">
      <w:pPr>
        <w:pStyle w:val="4"/>
        <w:keepNext w:val="0"/>
        <w:keepLines w:val="0"/>
        <w:spacing w:before="280" w:line="360" w:lineRule="auto"/>
        <w:ind w:left="0" w:firstLine="0"/>
        <w:jc w:val="both"/>
        <w:rPr>
          <w:rFonts w:ascii="Times New Roman" w:hAnsi="Times New Roman" w:eastAsia="Times New Roman" w:cs="Times New Roman"/>
          <w:b/>
          <w:bCs/>
          <w:color w:val="000000"/>
          <w:sz w:val="24"/>
          <w:szCs w:val="24"/>
        </w:rPr>
      </w:pPr>
      <w:bookmarkStart w:id="44" w:name="_3nqvypdxa4s8" w:colFirst="0" w:colLast="0"/>
      <w:bookmarkEnd w:id="44"/>
      <w:r>
        <w:rPr>
          <w:rFonts w:ascii="Times New Roman" w:hAnsi="Times New Roman" w:eastAsia="Times New Roman" w:cs="Times New Roman"/>
          <w:b/>
          <w:bCs/>
          <w:color w:val="000000"/>
          <w:sz w:val="24"/>
          <w:szCs w:val="24"/>
        </w:rPr>
        <w:t>7.4 Service Innovation in China</w:t>
      </w:r>
    </w:p>
    <w:p w14:paraId="000000DF">
      <w:pPr>
        <w:spacing w:before="240" w:after="240" w:line="360" w:lineRule="auto"/>
        <w:ind w:left="0" w:firstLine="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retailers should increase the volume of assembly subscriptions and renting furniture patterns, which will provide easy and comfortable options to urban consumers. Such service innovations are able to provide greater engagement, decrease friction in purchases and establish long-term customer relationships.</w:t>
      </w:r>
    </w:p>
    <w:p w14:paraId="000000E0">
      <w:pPr>
        <w:pStyle w:val="4"/>
        <w:keepNext w:val="0"/>
        <w:keepLines w:val="0"/>
        <w:spacing w:before="280" w:line="360" w:lineRule="auto"/>
        <w:ind w:left="0" w:firstLine="0"/>
        <w:jc w:val="both"/>
        <w:rPr>
          <w:rFonts w:ascii="Times New Roman" w:hAnsi="Times New Roman" w:eastAsia="Times New Roman" w:cs="Times New Roman"/>
          <w:b/>
          <w:bCs/>
          <w:color w:val="000000"/>
          <w:sz w:val="24"/>
          <w:szCs w:val="24"/>
        </w:rPr>
      </w:pPr>
      <w:bookmarkStart w:id="45" w:name="_susbl9fqasl0" w:colFirst="0" w:colLast="0"/>
      <w:bookmarkEnd w:id="45"/>
      <w:r>
        <w:rPr>
          <w:rFonts w:ascii="Times New Roman" w:hAnsi="Times New Roman" w:eastAsia="Times New Roman" w:cs="Times New Roman"/>
          <w:b/>
          <w:bCs/>
          <w:color w:val="000000"/>
          <w:sz w:val="24"/>
          <w:szCs w:val="24"/>
        </w:rPr>
        <w:t>7.5 Sustainability Leadership</w:t>
      </w:r>
    </w:p>
    <w:p w14:paraId="000000E1">
      <w:pPr>
        <w:spacing w:before="240" w:after="240" w:line="360" w:lineRule="auto"/>
        <w:ind w:left="0" w:firstLine="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Other than regulatory compliance, companies ought to seek regenerative retail formats, which incorporate the concept of the circular economy and pro-environmental practices. This will improve the international brand image and attract a growing consumer base of sustainability-sensitive people.</w:t>
      </w:r>
    </w:p>
    <w:p w14:paraId="000000E2">
      <w:pPr>
        <w:pStyle w:val="3"/>
        <w:keepNext w:val="0"/>
        <w:keepLines w:val="0"/>
        <w:spacing w:after="80" w:line="360" w:lineRule="auto"/>
        <w:jc w:val="both"/>
        <w:rPr>
          <w:rFonts w:ascii="Times New Roman" w:hAnsi="Times New Roman" w:eastAsia="Times New Roman" w:cs="Times New Roman"/>
          <w:b/>
          <w:bCs/>
          <w:sz w:val="28"/>
          <w:szCs w:val="28"/>
        </w:rPr>
      </w:pPr>
      <w:bookmarkStart w:id="46" w:name="_j0d88tnsza4j" w:colFirst="0" w:colLast="0"/>
      <w:bookmarkEnd w:id="46"/>
      <w:r>
        <w:rPr>
          <w:rFonts w:ascii="Times New Roman" w:hAnsi="Times New Roman" w:eastAsia="Times New Roman" w:cs="Times New Roman"/>
          <w:b/>
          <w:bCs/>
          <w:sz w:val="28"/>
          <w:szCs w:val="28"/>
        </w:rPr>
        <w:t>8. Conclusion</w:t>
      </w:r>
    </w:p>
    <w:p w14:paraId="000000E3">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comparative study of IKEA in China and the United Kingdom shows that successful international marketing should be based on a wise combination of global brand uniformity and local adjustment. The UK being a mature, highly individualistic country with stable institutional structures gives IKEA the opportunity to standardise store formats, products, pricing and operation processes. This standardisation helps in efficiency, cost leadership, and brand coherence, which is in line with the transnational strategy framework introduced by Bartlett and Ghoshal, (1989), which stresses on global integration where market conditions allow.</w:t>
      </w:r>
    </w:p>
    <w:p w14:paraId="000000E4">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On the contrary, the Chinese market presents the need to be culturally and structurally responsive. IKEA has made some adjustments to the preferences of local consumers by creating tailored product assortments, developing better delivery and assembly options, creating experiential store layouts, and integrating a digital ecosystem. Such changes attest to the attentiveness to collectivist cultural values, high power distance, and the quick transformation of urban middle-income consumption, which attests to the utility of the Integration–Responsiveness (I–R) paradigm in informing international marketing decisions.</w:t>
      </w:r>
    </w:p>
    <w:p w14:paraId="000000E5">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Tactically, IKEA is transforming into a transnational company that runs along with global cost-effectiveness over a powerful local responsiveness. The drivers of future competitiveness are digital transformation, service innovation, sustainability leadership and culturally informed marketing practices. The creation of local knowledge and cultural intelligence will help IKEA to create a deeper engagement with the consumers and loyalty, and sustainable growth in various markets. Finally, the comparative analysis shows that standardisation/adaptation interaction supported by strategic agility and ethical concerns is the key to staying competitive and relevant over a long period of time in both developed markets and new markets in emerging economies.</w:t>
      </w:r>
    </w:p>
    <w:p w14:paraId="000000E6">
      <w:pPr>
        <w:spacing w:before="240" w:after="240" w:line="360" w:lineRule="auto"/>
        <w:jc w:val="both"/>
        <w:rPr>
          <w:rFonts w:ascii="Times New Roman" w:hAnsi="Times New Roman" w:eastAsia="Times New Roman" w:cs="Times New Roman"/>
          <w:sz w:val="24"/>
          <w:szCs w:val="24"/>
        </w:rPr>
      </w:pPr>
    </w:p>
    <w:p w14:paraId="000000E7">
      <w:pPr>
        <w:spacing w:before="240" w:after="240" w:line="360" w:lineRule="auto"/>
        <w:jc w:val="both"/>
        <w:rPr>
          <w:rFonts w:ascii="Times New Roman" w:hAnsi="Times New Roman" w:eastAsia="Times New Roman" w:cs="Times New Roman"/>
          <w:sz w:val="24"/>
          <w:szCs w:val="24"/>
        </w:rPr>
      </w:pPr>
    </w:p>
    <w:p w14:paraId="000000E8">
      <w:pPr>
        <w:pStyle w:val="2"/>
        <w:keepNext w:val="0"/>
        <w:keepLines w:val="0"/>
        <w:spacing w:before="480" w:line="360" w:lineRule="auto"/>
        <w:jc w:val="both"/>
        <w:rPr>
          <w:rFonts w:ascii="Times New Roman" w:hAnsi="Times New Roman" w:eastAsia="Times New Roman" w:cs="Times New Roman"/>
          <w:b/>
          <w:bCs/>
          <w:sz w:val="32"/>
          <w:szCs w:val="32"/>
        </w:rPr>
      </w:pPr>
      <w:bookmarkStart w:id="47" w:name="_w5ta84l4kvkl" w:colFirst="0" w:colLast="0"/>
      <w:bookmarkEnd w:id="47"/>
    </w:p>
    <w:p w14:paraId="000000E9">
      <w:pPr>
        <w:pStyle w:val="2"/>
        <w:keepNext w:val="0"/>
        <w:keepLines w:val="0"/>
        <w:spacing w:before="480" w:line="360" w:lineRule="auto"/>
        <w:jc w:val="both"/>
        <w:rPr>
          <w:rFonts w:ascii="Times New Roman" w:hAnsi="Times New Roman" w:eastAsia="Times New Roman" w:cs="Times New Roman"/>
          <w:b/>
          <w:bCs/>
          <w:sz w:val="32"/>
          <w:szCs w:val="32"/>
        </w:rPr>
      </w:pPr>
      <w:bookmarkStart w:id="48" w:name="_7xexl6v82g4n" w:colFirst="0" w:colLast="0"/>
      <w:bookmarkEnd w:id="48"/>
    </w:p>
    <w:p w14:paraId="000000EA">
      <w:pPr>
        <w:pStyle w:val="2"/>
        <w:keepNext w:val="0"/>
        <w:keepLines w:val="0"/>
        <w:spacing w:before="480" w:line="360" w:lineRule="auto"/>
        <w:jc w:val="both"/>
        <w:rPr>
          <w:rFonts w:ascii="Times New Roman" w:hAnsi="Times New Roman" w:eastAsia="Times New Roman" w:cs="Times New Roman"/>
          <w:b/>
          <w:bCs/>
          <w:sz w:val="32"/>
          <w:szCs w:val="32"/>
        </w:rPr>
      </w:pPr>
      <w:bookmarkStart w:id="49" w:name="_uzz8xbm86k38" w:colFirst="0" w:colLast="0"/>
      <w:bookmarkEnd w:id="49"/>
    </w:p>
    <w:p w14:paraId="000000EB">
      <w:pPr>
        <w:pStyle w:val="2"/>
        <w:keepNext w:val="0"/>
        <w:keepLines w:val="0"/>
        <w:spacing w:before="480" w:line="360" w:lineRule="auto"/>
        <w:jc w:val="both"/>
        <w:rPr>
          <w:rFonts w:ascii="Times New Roman" w:hAnsi="Times New Roman" w:eastAsia="Times New Roman" w:cs="Times New Roman"/>
          <w:b/>
          <w:bCs/>
          <w:sz w:val="32"/>
          <w:szCs w:val="32"/>
        </w:rPr>
      </w:pPr>
      <w:bookmarkStart w:id="50" w:name="_hivdw4c2w36" w:colFirst="0" w:colLast="0"/>
      <w:bookmarkEnd w:id="50"/>
    </w:p>
    <w:p w14:paraId="000000EC">
      <w:pPr>
        <w:pStyle w:val="2"/>
        <w:keepNext w:val="0"/>
        <w:keepLines w:val="0"/>
        <w:spacing w:before="480" w:line="360" w:lineRule="auto"/>
        <w:jc w:val="both"/>
        <w:rPr>
          <w:rFonts w:ascii="Times New Roman" w:hAnsi="Times New Roman" w:eastAsia="Times New Roman" w:cs="Times New Roman"/>
          <w:b/>
          <w:bCs/>
          <w:sz w:val="32"/>
          <w:szCs w:val="32"/>
        </w:rPr>
      </w:pPr>
      <w:bookmarkStart w:id="51" w:name="_t14p3tn69tbi" w:colFirst="0" w:colLast="0"/>
      <w:bookmarkEnd w:id="51"/>
    </w:p>
    <w:p w14:paraId="000000ED">
      <w:pPr>
        <w:pStyle w:val="2"/>
        <w:keepNext w:val="0"/>
        <w:keepLines w:val="0"/>
        <w:spacing w:before="480" w:line="360" w:lineRule="auto"/>
        <w:jc w:val="both"/>
        <w:rPr>
          <w:rFonts w:ascii="Times New Roman" w:hAnsi="Times New Roman" w:eastAsia="Times New Roman" w:cs="Times New Roman"/>
          <w:b/>
          <w:bCs/>
          <w:sz w:val="32"/>
          <w:szCs w:val="32"/>
        </w:rPr>
      </w:pPr>
      <w:bookmarkStart w:id="52" w:name="_bqaotj67kcjy" w:colFirst="0" w:colLast="0"/>
      <w:bookmarkEnd w:id="52"/>
    </w:p>
    <w:p w14:paraId="000000EE">
      <w:pPr>
        <w:pStyle w:val="2"/>
        <w:keepNext w:val="0"/>
        <w:keepLines w:val="0"/>
        <w:spacing w:before="480" w:line="360" w:lineRule="auto"/>
        <w:jc w:val="both"/>
        <w:rPr>
          <w:rFonts w:ascii="Times New Roman" w:hAnsi="Times New Roman" w:eastAsia="Times New Roman" w:cs="Times New Roman"/>
          <w:b/>
          <w:bCs/>
          <w:sz w:val="32"/>
          <w:szCs w:val="32"/>
        </w:rPr>
      </w:pPr>
      <w:bookmarkStart w:id="53" w:name="_d52avho719dk" w:colFirst="0" w:colLast="0"/>
      <w:bookmarkEnd w:id="53"/>
    </w:p>
    <w:p w14:paraId="000000EF">
      <w:pPr>
        <w:pStyle w:val="2"/>
        <w:keepNext w:val="0"/>
        <w:keepLines w:val="0"/>
        <w:spacing w:before="480" w:line="360" w:lineRule="auto"/>
        <w:jc w:val="both"/>
        <w:rPr>
          <w:rFonts w:ascii="Times New Roman" w:hAnsi="Times New Roman" w:eastAsia="Times New Roman" w:cs="Times New Roman"/>
          <w:b/>
          <w:bCs/>
          <w:sz w:val="32"/>
          <w:szCs w:val="32"/>
        </w:rPr>
      </w:pPr>
      <w:bookmarkStart w:id="54" w:name="_hk8oczrffynp" w:colFirst="0" w:colLast="0"/>
      <w:bookmarkEnd w:id="54"/>
    </w:p>
    <w:p w14:paraId="000000F0">
      <w:pPr>
        <w:pStyle w:val="2"/>
        <w:keepNext w:val="0"/>
        <w:keepLines w:val="0"/>
        <w:spacing w:before="480" w:line="360" w:lineRule="auto"/>
        <w:jc w:val="both"/>
        <w:rPr>
          <w:rFonts w:ascii="Times New Roman" w:hAnsi="Times New Roman" w:eastAsia="Times New Roman" w:cs="Times New Roman"/>
          <w:b/>
          <w:bCs/>
          <w:sz w:val="32"/>
          <w:szCs w:val="32"/>
        </w:rPr>
      </w:pPr>
      <w:bookmarkStart w:id="55" w:name="_ihfcupsk4tio" w:colFirst="0" w:colLast="0"/>
      <w:bookmarkEnd w:id="55"/>
    </w:p>
    <w:p w14:paraId="000000F1">
      <w:pPr>
        <w:pStyle w:val="2"/>
        <w:keepNext w:val="0"/>
        <w:keepLines w:val="0"/>
        <w:spacing w:before="480" w:line="360" w:lineRule="auto"/>
        <w:jc w:val="both"/>
        <w:rPr>
          <w:rFonts w:ascii="Times New Roman" w:hAnsi="Times New Roman" w:eastAsia="Times New Roman" w:cs="Times New Roman"/>
          <w:b/>
          <w:bCs/>
          <w:sz w:val="32"/>
          <w:szCs w:val="32"/>
        </w:rPr>
      </w:pPr>
      <w:bookmarkStart w:id="56" w:name="_lue6t1ov1gsy" w:colFirst="0" w:colLast="0"/>
      <w:bookmarkEnd w:id="56"/>
      <w:r>
        <w:rPr>
          <w:rFonts w:ascii="Times New Roman" w:hAnsi="Times New Roman" w:eastAsia="Times New Roman" w:cs="Times New Roman"/>
          <w:b/>
          <w:bCs/>
          <w:sz w:val="32"/>
          <w:szCs w:val="32"/>
        </w:rPr>
        <w:t>Section 2: Reflective Account on Research and Analysis Process – Using Gibbs’ Reflective Cycle</w:t>
      </w:r>
    </w:p>
    <w:p w14:paraId="000000F2">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processes of preparing, analysing and researching the international marketing report about IKEA in China and the United Kingdom require reflective practice. This part applies the reflective cycle developed by Gibbs (1988) which has six steps, namely description, feelings, evaluation, analysis, conclusion, and action plan. </w:t>
      </w:r>
    </w:p>
    <w:p w14:paraId="000000F3">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                     </w:t>
      </w:r>
      <w:r>
        <w:rPr>
          <w:rFonts w:ascii="Times New Roman" w:hAnsi="Times New Roman" w:eastAsia="Times New Roman" w:cs="Times New Roman"/>
          <w:sz w:val="24"/>
          <w:szCs w:val="24"/>
        </w:rPr>
        <w:drawing>
          <wp:inline distT="114300" distB="114300" distL="114300" distR="114300">
            <wp:extent cx="5943600" cy="445770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referRelativeResize="0"/>
                  </pic:nvPicPr>
                  <pic:blipFill>
                    <a:blip r:embed="rId9"/>
                    <a:srcRect/>
                    <a:stretch>
                      <a:fillRect/>
                    </a:stretch>
                  </pic:blipFill>
                  <pic:spPr>
                    <a:xfrm>
                      <a:off x="0" y="0"/>
                      <a:ext cx="5943600" cy="4457700"/>
                    </a:xfrm>
                    <a:prstGeom prst="rect">
                      <a:avLst/>
                    </a:prstGeom>
                  </pic:spPr>
                </pic:pic>
              </a:graphicData>
            </a:graphic>
          </wp:inline>
        </w:drawing>
      </w:r>
    </w:p>
    <w:p w14:paraId="000000F4">
      <w:pPr>
        <w:spacing w:before="240" w:after="240" w:line="360" w:lineRule="auto"/>
        <w:jc w:val="both"/>
        <w:rPr>
          <w:rFonts w:ascii="Times New Roman" w:hAnsi="Times New Roman" w:eastAsia="Times New Roman" w:cs="Times New Roman"/>
          <w:b/>
          <w:bCs/>
          <w:sz w:val="24"/>
          <w:szCs w:val="24"/>
        </w:rPr>
      </w:pPr>
      <w:r>
        <w:rPr>
          <w:rFonts w:ascii="Times New Roman" w:hAnsi="Times New Roman" w:eastAsia="Times New Roman" w:cs="Times New Roman"/>
          <w:sz w:val="24"/>
          <w:szCs w:val="24"/>
        </w:rPr>
        <w:t xml:space="preserve">         </w:t>
      </w:r>
      <w:r>
        <w:rPr>
          <w:rFonts w:ascii="Times New Roman" w:hAnsi="Times New Roman" w:eastAsia="Times New Roman" w:cs="Times New Roman"/>
          <w:b/>
          <w:bCs/>
          <w:sz w:val="24"/>
          <w:szCs w:val="24"/>
          <w:highlight w:val="white"/>
        </w:rPr>
        <w:t xml:space="preserve">Figure 4 : </w:t>
      </w:r>
      <w:r>
        <w:rPr>
          <w:rFonts w:ascii="Times New Roman" w:hAnsi="Times New Roman" w:eastAsia="Times New Roman" w:cs="Times New Roman"/>
          <w:b/>
          <w:bCs/>
          <w:sz w:val="24"/>
          <w:szCs w:val="24"/>
        </w:rPr>
        <w:t xml:space="preserve">Gibbs’ Reflective Cycle </w:t>
      </w:r>
      <w:r>
        <w:rPr>
          <w:rFonts w:ascii="Times New Roman" w:hAnsi="Times New Roman" w:eastAsia="Times New Roman" w:cs="Times New Roman"/>
          <w:b/>
          <w:bCs/>
          <w:sz w:val="24"/>
          <w:szCs w:val="24"/>
          <w:highlight w:val="white"/>
        </w:rPr>
        <w:t>(McLeod, 2025)</w:t>
      </w:r>
    </w:p>
    <w:p w14:paraId="000000F5">
      <w:pPr>
        <w:spacing w:before="240" w:after="240" w:line="360" w:lineRule="auto"/>
        <w:jc w:val="both"/>
        <w:rPr>
          <w:rFonts w:ascii="Times New Roman" w:hAnsi="Times New Roman" w:eastAsia="Times New Roman" w:cs="Times New Roman"/>
          <w:sz w:val="24"/>
          <w:szCs w:val="24"/>
        </w:rPr>
      </w:pPr>
    </w:p>
    <w:p w14:paraId="000000F6">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Using this framework would help to make the reflection process structured and allow critical evaluation of the cognitive and practical aspects of the assignment and improve professional and academic growth.</w:t>
      </w:r>
    </w:p>
    <w:p w14:paraId="000000F7">
      <w:pPr>
        <w:pStyle w:val="3"/>
        <w:keepNext w:val="0"/>
        <w:keepLines w:val="0"/>
        <w:spacing w:after="80" w:line="360" w:lineRule="auto"/>
        <w:jc w:val="both"/>
        <w:rPr>
          <w:rFonts w:ascii="Times New Roman" w:hAnsi="Times New Roman" w:eastAsia="Times New Roman" w:cs="Times New Roman"/>
          <w:b/>
          <w:bCs/>
          <w:sz w:val="28"/>
          <w:szCs w:val="28"/>
        </w:rPr>
      </w:pPr>
      <w:bookmarkStart w:id="57" w:name="_xlkzp1ywpzv5" w:colFirst="0" w:colLast="0"/>
      <w:bookmarkEnd w:id="57"/>
      <w:r>
        <w:rPr>
          <w:rFonts w:ascii="Times New Roman" w:hAnsi="Times New Roman" w:eastAsia="Times New Roman" w:cs="Times New Roman"/>
          <w:b/>
          <w:bCs/>
          <w:sz w:val="28"/>
          <w:szCs w:val="28"/>
        </w:rPr>
        <w:t>2.1 Description</w:t>
      </w:r>
    </w:p>
    <w:p w14:paraId="000000F8">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task required an in-depth, evidence-based assessment of the international market entry strategy of IKEA and marketing mix in two distinct markets with Chinese and United Kingdom being culturally and economically different. It involved the selection of a brand and comparative markets, a macro-environmental analysis of the business using PESTEL, a critical evaluation of STP and the 7Ps marketing mix, directional development strategies through the Ansoff matrix, ethical considerations, and development of theoretically based recommendations. It was not possible to conduct primary research; hence the secondary data was triangulated using the peer-reviewed journals, industry transactions, company reports, and government statistics. Emerald Insight, Scopus, and MarketLine reports on databases offered information on digital retail, consumer behaviour and international strategy. The combination of theory and empirical evidence guaranteed the coherent and critically informed analysis.</w:t>
      </w:r>
    </w:p>
    <w:p w14:paraId="000000F9">
      <w:pPr>
        <w:pStyle w:val="3"/>
        <w:keepNext w:val="0"/>
        <w:keepLines w:val="0"/>
        <w:spacing w:after="80" w:line="360" w:lineRule="auto"/>
        <w:jc w:val="both"/>
        <w:rPr>
          <w:rFonts w:ascii="Times New Roman" w:hAnsi="Times New Roman" w:eastAsia="Times New Roman" w:cs="Times New Roman"/>
          <w:b/>
          <w:bCs/>
          <w:sz w:val="28"/>
          <w:szCs w:val="28"/>
        </w:rPr>
      </w:pPr>
      <w:bookmarkStart w:id="58" w:name="_n34403uov4ox" w:colFirst="0" w:colLast="0"/>
      <w:bookmarkEnd w:id="58"/>
      <w:r>
        <w:rPr>
          <w:rFonts w:ascii="Times New Roman" w:hAnsi="Times New Roman" w:eastAsia="Times New Roman" w:cs="Times New Roman"/>
          <w:b/>
          <w:bCs/>
          <w:sz w:val="28"/>
          <w:szCs w:val="28"/>
        </w:rPr>
        <w:t>2.2 Feelings</w:t>
      </w:r>
    </w:p>
    <w:p w14:paraId="000000FA">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At the outset, I experienced a combination of enthusiasm and apprehension. Excitement arose from applying advanced international marketing frameworks, such as Bartlett &amp; Ghoshal’s transnational strategy, Hofstede’s cultural dimensions, and the Integration–Responsiveness framework, to real-world scenarios. Apprehension stemmed from the complexity of synthesising diverse macro-environmental, cultural, and economic data into a coherent comparative analysis, particularly given the size and heterogeneity of the Chinese market.</w:t>
      </w:r>
    </w:p>
    <w:p w14:paraId="000000FB">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As the research progressed, initial uncertainty diminished. Structured planning, including a detailed outline, word allocation, and a phased literature review, enhanced confidence. Reflecting critically on these emotions highlighted the importance of proactive planning and iterative refinement in managing complex assignments, reinforcing self-directed learning and professional resilience.</w:t>
      </w:r>
    </w:p>
    <w:p w14:paraId="000000FC">
      <w:pPr>
        <w:pStyle w:val="3"/>
        <w:keepNext w:val="0"/>
        <w:keepLines w:val="0"/>
        <w:spacing w:after="80" w:line="360" w:lineRule="auto"/>
        <w:jc w:val="both"/>
        <w:rPr>
          <w:rFonts w:ascii="Times New Roman" w:hAnsi="Times New Roman" w:eastAsia="Times New Roman" w:cs="Times New Roman"/>
          <w:b/>
          <w:bCs/>
          <w:sz w:val="28"/>
          <w:szCs w:val="28"/>
        </w:rPr>
      </w:pPr>
      <w:bookmarkStart w:id="59" w:name="_kvbu3i5wyz5r" w:colFirst="0" w:colLast="0"/>
      <w:bookmarkEnd w:id="59"/>
      <w:r>
        <w:rPr>
          <w:rFonts w:ascii="Times New Roman" w:hAnsi="Times New Roman" w:eastAsia="Times New Roman" w:cs="Times New Roman"/>
          <w:b/>
          <w:bCs/>
          <w:sz w:val="28"/>
          <w:szCs w:val="28"/>
        </w:rPr>
        <w:t>2.3 Evaluation</w:t>
      </w:r>
    </w:p>
    <w:p w14:paraId="000000FD">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process was very effective in a number of aspects. The choice of IKEA enabled a comparative analysis of the organisation since it is a globally renowned brand and has been flexible in China. The PESTEL framework offered a systemic prism through which to assess macro-environmental differences, and the cultural dimensions offered by Hofstede allowed the ability to interpret socio-cultural factors impacting on strategy in a more nuanced way. The 7Ps marketing mix applied helped draw attention to both tangible and service-based strategic adjustment, and the ethical analysis helped provide a critical approach to the issue of corporate responsibility.</w:t>
      </w:r>
    </w:p>
    <w:p w14:paraId="000000FE">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There were challenges with synthesising massively large amounts of data without descending into description. Some of the sections have initially posed the danger of over generalisation, especially on consumer behaviour in Chinese Tier Two cities. The other issue was maintaining the accuracy of referencing throughout the time of incorporating various sources of data. These necessitated refinement and review of one-self, which was key to the need to maintain a focus on academic rigour.</w:t>
      </w:r>
    </w:p>
    <w:p w14:paraId="000000FF">
      <w:pPr>
        <w:pStyle w:val="3"/>
        <w:keepNext w:val="0"/>
        <w:keepLines w:val="0"/>
        <w:spacing w:after="80" w:line="360" w:lineRule="auto"/>
        <w:jc w:val="both"/>
        <w:rPr>
          <w:rFonts w:ascii="Times New Roman" w:hAnsi="Times New Roman" w:eastAsia="Times New Roman" w:cs="Times New Roman"/>
          <w:b/>
          <w:bCs/>
          <w:sz w:val="28"/>
          <w:szCs w:val="28"/>
        </w:rPr>
      </w:pPr>
      <w:bookmarkStart w:id="60" w:name="_2e11xyj3trzg" w:colFirst="0" w:colLast="0"/>
      <w:bookmarkEnd w:id="60"/>
      <w:r>
        <w:rPr>
          <w:rFonts w:ascii="Times New Roman" w:hAnsi="Times New Roman" w:eastAsia="Times New Roman" w:cs="Times New Roman"/>
          <w:b/>
          <w:bCs/>
          <w:sz w:val="28"/>
          <w:szCs w:val="28"/>
        </w:rPr>
        <w:t>2.4 Analysis</w:t>
      </w:r>
    </w:p>
    <w:p w14:paraId="00000100">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Critical reflection proved that the combination of theory and evidence is valuable. To illustrate, the transnational framework developed by Bartlett and Ghoshal (1989) was able to explicate the reason why IKEA was able to pursue global efficiency and local responsiveness at the same time (Benabed, n.d.). The I-R model made the conflict of standardisation and adaptation clear, and the Ansoff matrix demonstrated the strategy expansion in China by the development of the market, product readjustment, and services diversification. Connection of these frameworks to empirical elements enhanced the analysis levels.</w:t>
      </w:r>
    </w:p>
    <w:p w14:paraId="00000101">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reflective practice has emphasized cultural intelligence. Identifying variation in DIY acceptance, experience-based retail preferences, and aspirational consumption in China enhanced appreciation of situation specific marketing adaptation. The ethical reflection also showed that strategic decisions regarding pricing, sourcing of labour and promotional information cannot be separated by corporate responsibility and this is what makes international marketing decision-making multi-dimensional.</w:t>
      </w:r>
    </w:p>
    <w:p w14:paraId="00000102">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Besides, the application of structured research instruments, such as Scopus, which contains peer-reviewed literature, Euromonitor, which comprises market data, and annual sustainability reports of IKEA, increased the trustworthiness and validity of results. These tools helped in triangulating both quantitative and qualitative knowledge to help in making wise judgements.</w:t>
      </w:r>
    </w:p>
    <w:p w14:paraId="00000103">
      <w:pPr>
        <w:pStyle w:val="3"/>
        <w:keepNext w:val="0"/>
        <w:keepLines w:val="0"/>
        <w:spacing w:after="80" w:line="360" w:lineRule="auto"/>
        <w:jc w:val="both"/>
        <w:rPr>
          <w:rFonts w:ascii="Times New Roman" w:hAnsi="Times New Roman" w:eastAsia="Times New Roman" w:cs="Times New Roman"/>
          <w:b/>
          <w:bCs/>
          <w:sz w:val="28"/>
          <w:szCs w:val="28"/>
        </w:rPr>
      </w:pPr>
      <w:bookmarkStart w:id="61" w:name="_oxxhwlvudbjh" w:colFirst="0" w:colLast="0"/>
      <w:bookmarkEnd w:id="61"/>
      <w:r>
        <w:rPr>
          <w:rFonts w:ascii="Times New Roman" w:hAnsi="Times New Roman" w:eastAsia="Times New Roman" w:cs="Times New Roman"/>
          <w:b/>
          <w:bCs/>
          <w:sz w:val="28"/>
          <w:szCs w:val="28"/>
        </w:rPr>
        <w:t>2.5 Conclusion</w:t>
      </w:r>
    </w:p>
    <w:p w14:paraId="00000104">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general, this reflective practice has highlighted how theory, empirical studies and critical thinking interact in the analysis of international marketing. Effective research does not only end at data collection, but also involves the systematic interpretation and synthesis of data, with the help of theoretical formulations. The exercise has increased my skills in assessing multi-layered and complex strategic problems, using sophisticated analytical models, and critically reflecting on methodology decisions as well as the ethical consequences. It consolidated the strengths in analytical reasoning, structured planning and professional communication, and pointed out the areas of further development, especially, synthesising regional consumer data and assimilating advanced digital market knowledge.</w:t>
      </w:r>
    </w:p>
    <w:p w14:paraId="00000105">
      <w:pPr>
        <w:pStyle w:val="3"/>
        <w:keepNext w:val="0"/>
        <w:keepLines w:val="0"/>
        <w:spacing w:after="80" w:line="360" w:lineRule="auto"/>
        <w:jc w:val="both"/>
        <w:rPr>
          <w:rFonts w:ascii="Times New Roman" w:hAnsi="Times New Roman" w:eastAsia="Times New Roman" w:cs="Times New Roman"/>
          <w:b/>
          <w:bCs/>
          <w:sz w:val="28"/>
          <w:szCs w:val="28"/>
        </w:rPr>
      </w:pPr>
      <w:bookmarkStart w:id="62" w:name="_4cs3tfgbqani" w:colFirst="0" w:colLast="0"/>
      <w:bookmarkEnd w:id="62"/>
      <w:r>
        <w:rPr>
          <w:rFonts w:ascii="Times New Roman" w:hAnsi="Times New Roman" w:eastAsia="Times New Roman" w:cs="Times New Roman"/>
          <w:b/>
          <w:bCs/>
          <w:sz w:val="28"/>
          <w:szCs w:val="28"/>
        </w:rPr>
        <w:t>2.6 Action Plan</w:t>
      </w:r>
    </w:p>
    <w:p w14:paraId="00000106">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order to improve future tasks and professional practice, I will:</w:t>
      </w:r>
    </w:p>
    <w:p w14:paraId="00000107">
      <w:pPr>
        <w:numPr>
          <w:ilvl w:val="0"/>
          <w:numId w:val="1"/>
        </w:numPr>
        <w:spacing w:before="240" w:after="0" w:afterAutospacing="0" w:line="360" w:lineRule="auto"/>
        <w:ind w:left="720" w:hanging="360"/>
        <w:jc w:val="both"/>
        <w:rPr>
          <w:sz w:val="24"/>
          <w:szCs w:val="24"/>
        </w:rPr>
      </w:pPr>
      <w:r>
        <w:rPr>
          <w:rFonts w:ascii="Times New Roman" w:hAnsi="Times New Roman" w:eastAsia="Times New Roman" w:cs="Times New Roman"/>
          <w:b/>
          <w:bCs/>
          <w:sz w:val="24"/>
          <w:szCs w:val="24"/>
        </w:rPr>
        <w:t>Early structured planning</w:t>
      </w:r>
      <w:r>
        <w:rPr>
          <w:rFonts w:ascii="Times New Roman" w:hAnsi="Times New Roman" w:eastAsia="Times New Roman" w:cs="Times New Roman"/>
          <w:sz w:val="24"/>
          <w:szCs w:val="24"/>
        </w:rPr>
        <w:t xml:space="preserve"> – Prepare specific research plans and schedules of complicated comparative studies.</w:t>
      </w:r>
    </w:p>
    <w:p w14:paraId="00000108">
      <w:pPr>
        <w:numPr>
          <w:ilvl w:val="0"/>
          <w:numId w:val="1"/>
        </w:numPr>
        <w:spacing w:before="0" w:beforeAutospacing="0" w:after="0" w:afterAutospacing="0" w:line="360" w:lineRule="auto"/>
        <w:ind w:left="720" w:hanging="360"/>
        <w:jc w:val="both"/>
        <w:rPr>
          <w:sz w:val="24"/>
          <w:szCs w:val="24"/>
        </w:rPr>
      </w:pPr>
      <w:r>
        <w:rPr>
          <w:rFonts w:ascii="Times New Roman" w:hAnsi="Times New Roman" w:eastAsia="Times New Roman" w:cs="Times New Roman"/>
          <w:b/>
          <w:bCs/>
          <w:sz w:val="24"/>
          <w:szCs w:val="24"/>
        </w:rPr>
        <w:t>Enhanced data triangulation</w:t>
      </w:r>
      <w:r>
        <w:rPr>
          <w:rFonts w:ascii="Times New Roman" w:hAnsi="Times New Roman" w:eastAsia="Times New Roman" w:cs="Times New Roman"/>
          <w:sz w:val="24"/>
          <w:szCs w:val="24"/>
        </w:rPr>
        <w:t xml:space="preserve"> – Combine various sources of information, such as governmental statistics, market intelligence and research conducted by other scholars, to enhance validity.</w:t>
      </w:r>
    </w:p>
    <w:p w14:paraId="00000109">
      <w:pPr>
        <w:numPr>
          <w:ilvl w:val="0"/>
          <w:numId w:val="1"/>
        </w:numPr>
        <w:spacing w:before="0" w:beforeAutospacing="0" w:after="0" w:afterAutospacing="0" w:line="360" w:lineRule="auto"/>
        <w:ind w:left="720" w:hanging="360"/>
        <w:jc w:val="both"/>
        <w:rPr>
          <w:sz w:val="24"/>
          <w:szCs w:val="24"/>
        </w:rPr>
      </w:pPr>
      <w:r>
        <w:rPr>
          <w:rFonts w:ascii="Times New Roman" w:hAnsi="Times New Roman" w:eastAsia="Times New Roman" w:cs="Times New Roman"/>
          <w:b/>
          <w:bCs/>
          <w:sz w:val="24"/>
          <w:szCs w:val="24"/>
        </w:rPr>
        <w:t>Advanced digital analytics integration</w:t>
      </w:r>
      <w:r>
        <w:rPr>
          <w:rFonts w:ascii="Times New Roman" w:hAnsi="Times New Roman" w:eastAsia="Times New Roman" w:cs="Times New Roman"/>
          <w:sz w:val="24"/>
          <w:szCs w:val="24"/>
        </w:rPr>
        <w:t xml:space="preserve"> – Implement systematically applied digital consumption measures and social commerce expertise in new markets.</w:t>
      </w:r>
    </w:p>
    <w:p w14:paraId="0000010A">
      <w:pPr>
        <w:numPr>
          <w:ilvl w:val="0"/>
          <w:numId w:val="1"/>
        </w:numPr>
        <w:spacing w:before="0" w:beforeAutospacing="0" w:after="0" w:afterAutospacing="0" w:line="360" w:lineRule="auto"/>
        <w:ind w:left="720" w:hanging="360"/>
        <w:jc w:val="both"/>
        <w:rPr>
          <w:sz w:val="24"/>
          <w:szCs w:val="24"/>
        </w:rPr>
      </w:pPr>
      <w:r>
        <w:rPr>
          <w:rFonts w:ascii="Times New Roman" w:hAnsi="Times New Roman" w:eastAsia="Times New Roman" w:cs="Times New Roman"/>
          <w:b/>
          <w:bCs/>
          <w:sz w:val="24"/>
          <w:szCs w:val="24"/>
        </w:rPr>
        <w:t>Explicit ethical evaluation</w:t>
      </w:r>
      <w:r>
        <w:rPr>
          <w:rFonts w:ascii="Times New Roman" w:hAnsi="Times New Roman" w:eastAsia="Times New Roman" w:cs="Times New Roman"/>
          <w:sz w:val="24"/>
          <w:szCs w:val="24"/>
        </w:rPr>
        <w:t xml:space="preserve"> – Incorporate ethical elements in all the strategic analyses, associated with the corporate responsibility, between the financial and reputational results.</w:t>
      </w:r>
    </w:p>
    <w:p w14:paraId="0000010B">
      <w:pPr>
        <w:numPr>
          <w:ilvl w:val="0"/>
          <w:numId w:val="1"/>
        </w:numPr>
        <w:spacing w:before="0" w:beforeAutospacing="0" w:after="240" w:line="360" w:lineRule="auto"/>
        <w:ind w:left="720" w:hanging="360"/>
        <w:jc w:val="both"/>
        <w:rPr>
          <w:sz w:val="24"/>
          <w:szCs w:val="24"/>
        </w:rPr>
      </w:pPr>
      <w:r>
        <w:rPr>
          <w:rFonts w:ascii="Times New Roman" w:hAnsi="Times New Roman" w:eastAsia="Times New Roman" w:cs="Times New Roman"/>
          <w:b/>
          <w:bCs/>
          <w:sz w:val="24"/>
          <w:szCs w:val="24"/>
        </w:rPr>
        <w:t>Iterative critical review</w:t>
      </w:r>
      <w:r>
        <w:rPr>
          <w:rFonts w:ascii="Times New Roman" w:hAnsi="Times New Roman" w:eastAsia="Times New Roman" w:cs="Times New Roman"/>
          <w:sz w:val="24"/>
          <w:szCs w:val="24"/>
        </w:rPr>
        <w:t xml:space="preserve"> – Focusing on peer and tutor feedback can be used to help refine arguments, minimize descriptive, and provide more theoretical connection.</w:t>
      </w:r>
    </w:p>
    <w:p w14:paraId="0000010C">
      <w:pPr>
        <w:spacing w:before="240" w:after="240" w:line="360" w:lineRule="auto"/>
        <w:ind w:left="0" w:firstLine="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These measures would help me to deliver high-quality and evidence-based analyses consistently that would indicate both professional competence and academic excellence in international marketing.</w:t>
      </w:r>
    </w:p>
    <w:p w14:paraId="0000010D">
      <w:pPr>
        <w:spacing w:before="240" w:after="240" w:line="360" w:lineRule="auto"/>
        <w:jc w:val="both"/>
        <w:rPr>
          <w:rFonts w:ascii="Times New Roman" w:hAnsi="Times New Roman" w:eastAsia="Times New Roman" w:cs="Times New Roman"/>
          <w:sz w:val="24"/>
          <w:szCs w:val="24"/>
        </w:rPr>
      </w:pPr>
    </w:p>
    <w:p w14:paraId="0000010E">
      <w:pPr>
        <w:pStyle w:val="3"/>
        <w:keepNext w:val="0"/>
        <w:keepLines w:val="0"/>
        <w:spacing w:after="360" w:line="360" w:lineRule="auto"/>
        <w:jc w:val="both"/>
        <w:rPr>
          <w:rFonts w:ascii="Times New Roman" w:hAnsi="Times New Roman" w:eastAsia="Times New Roman" w:cs="Times New Roman"/>
          <w:b/>
          <w:bCs/>
          <w:sz w:val="28"/>
          <w:szCs w:val="28"/>
        </w:rPr>
      </w:pPr>
      <w:bookmarkStart w:id="63" w:name="_6ow884cswbas" w:colFirst="0" w:colLast="0"/>
      <w:bookmarkEnd w:id="63"/>
    </w:p>
    <w:p w14:paraId="0000010F">
      <w:pPr>
        <w:pStyle w:val="3"/>
        <w:keepNext w:val="0"/>
        <w:keepLines w:val="0"/>
        <w:spacing w:after="360" w:line="360" w:lineRule="auto"/>
        <w:jc w:val="both"/>
        <w:rPr>
          <w:rFonts w:ascii="Times New Roman" w:hAnsi="Times New Roman" w:eastAsia="Times New Roman" w:cs="Times New Roman"/>
          <w:b/>
          <w:bCs/>
          <w:sz w:val="28"/>
          <w:szCs w:val="28"/>
        </w:rPr>
      </w:pPr>
      <w:bookmarkStart w:id="64" w:name="_3lkpdcfo0c84" w:colFirst="0" w:colLast="0"/>
      <w:bookmarkEnd w:id="64"/>
    </w:p>
    <w:p w14:paraId="00000110">
      <w:pPr>
        <w:pStyle w:val="3"/>
        <w:keepNext w:val="0"/>
        <w:keepLines w:val="0"/>
        <w:spacing w:after="360" w:line="360" w:lineRule="auto"/>
        <w:jc w:val="both"/>
        <w:rPr>
          <w:rFonts w:ascii="Times New Roman" w:hAnsi="Times New Roman" w:eastAsia="Times New Roman" w:cs="Times New Roman"/>
          <w:b/>
          <w:bCs/>
          <w:sz w:val="28"/>
          <w:szCs w:val="28"/>
        </w:rPr>
      </w:pPr>
      <w:bookmarkStart w:id="65" w:name="_xasdebm6wpyd" w:colFirst="0" w:colLast="0"/>
      <w:bookmarkEnd w:id="65"/>
    </w:p>
    <w:p w14:paraId="00000111">
      <w:pPr>
        <w:pStyle w:val="3"/>
        <w:keepNext w:val="0"/>
        <w:keepLines w:val="0"/>
        <w:spacing w:after="360" w:line="360" w:lineRule="auto"/>
        <w:jc w:val="both"/>
        <w:rPr>
          <w:rFonts w:ascii="Times New Roman" w:hAnsi="Times New Roman" w:eastAsia="Times New Roman" w:cs="Times New Roman"/>
          <w:b/>
          <w:bCs/>
          <w:sz w:val="28"/>
          <w:szCs w:val="28"/>
        </w:rPr>
      </w:pPr>
      <w:bookmarkStart w:id="66" w:name="_qnung6ets4rq" w:colFirst="0" w:colLast="0"/>
      <w:bookmarkEnd w:id="66"/>
    </w:p>
    <w:p w14:paraId="00000112">
      <w:pPr>
        <w:pStyle w:val="3"/>
        <w:keepNext w:val="0"/>
        <w:keepLines w:val="0"/>
        <w:spacing w:after="360" w:line="360" w:lineRule="auto"/>
        <w:jc w:val="both"/>
        <w:rPr>
          <w:rFonts w:ascii="Times New Roman" w:hAnsi="Times New Roman" w:eastAsia="Times New Roman" w:cs="Times New Roman"/>
          <w:b/>
          <w:bCs/>
          <w:sz w:val="28"/>
          <w:szCs w:val="28"/>
        </w:rPr>
      </w:pPr>
      <w:bookmarkStart w:id="67" w:name="_14dlbgsj50hj" w:colFirst="0" w:colLast="0"/>
      <w:bookmarkEnd w:id="67"/>
    </w:p>
    <w:p w14:paraId="00000113">
      <w:pPr>
        <w:pStyle w:val="3"/>
        <w:keepNext w:val="0"/>
        <w:keepLines w:val="0"/>
        <w:spacing w:after="360" w:line="360" w:lineRule="auto"/>
        <w:jc w:val="both"/>
        <w:rPr>
          <w:rFonts w:ascii="Times New Roman" w:hAnsi="Times New Roman" w:eastAsia="Times New Roman" w:cs="Times New Roman"/>
          <w:b/>
          <w:bCs/>
          <w:sz w:val="28"/>
          <w:szCs w:val="28"/>
        </w:rPr>
      </w:pPr>
      <w:bookmarkStart w:id="68" w:name="_365s7vgrafbj" w:colFirst="0" w:colLast="0"/>
      <w:bookmarkEnd w:id="68"/>
    </w:p>
    <w:p w14:paraId="00000114">
      <w:pPr>
        <w:pStyle w:val="3"/>
        <w:keepNext w:val="0"/>
        <w:keepLines w:val="0"/>
        <w:spacing w:after="360" w:line="360" w:lineRule="auto"/>
        <w:jc w:val="both"/>
        <w:rPr>
          <w:rFonts w:ascii="Times New Roman" w:hAnsi="Times New Roman" w:eastAsia="Times New Roman" w:cs="Times New Roman"/>
          <w:b/>
          <w:bCs/>
          <w:sz w:val="28"/>
          <w:szCs w:val="28"/>
        </w:rPr>
      </w:pPr>
      <w:bookmarkStart w:id="69" w:name="_cq752bbkwy3k" w:colFirst="0" w:colLast="0"/>
      <w:bookmarkEnd w:id="69"/>
    </w:p>
    <w:p w14:paraId="00000115">
      <w:pPr>
        <w:pStyle w:val="3"/>
        <w:keepNext w:val="0"/>
        <w:keepLines w:val="0"/>
        <w:spacing w:after="360" w:line="360" w:lineRule="auto"/>
        <w:jc w:val="both"/>
        <w:rPr>
          <w:rFonts w:ascii="Times New Roman" w:hAnsi="Times New Roman" w:eastAsia="Times New Roman" w:cs="Times New Roman"/>
          <w:b/>
          <w:bCs/>
          <w:sz w:val="28"/>
          <w:szCs w:val="28"/>
        </w:rPr>
      </w:pPr>
      <w:bookmarkStart w:id="70" w:name="_vjg615yltc3w" w:colFirst="0" w:colLast="0"/>
      <w:bookmarkEnd w:id="70"/>
    </w:p>
    <w:p w14:paraId="00000116">
      <w:pPr>
        <w:pStyle w:val="3"/>
        <w:keepNext w:val="0"/>
        <w:keepLines w:val="0"/>
        <w:spacing w:after="360" w:line="360" w:lineRule="auto"/>
        <w:jc w:val="both"/>
        <w:rPr>
          <w:rFonts w:ascii="Times New Roman" w:hAnsi="Times New Roman" w:eastAsia="Times New Roman" w:cs="Times New Roman"/>
          <w:b/>
          <w:bCs/>
          <w:sz w:val="28"/>
          <w:szCs w:val="28"/>
        </w:rPr>
      </w:pPr>
      <w:bookmarkStart w:id="71" w:name="_3822n855jso" w:colFirst="0" w:colLast="0"/>
      <w:bookmarkEnd w:id="71"/>
    </w:p>
    <w:p w14:paraId="00000117">
      <w:pPr>
        <w:pStyle w:val="3"/>
        <w:keepNext w:val="0"/>
        <w:keepLines w:val="0"/>
        <w:spacing w:after="360" w:line="360" w:lineRule="auto"/>
        <w:jc w:val="both"/>
        <w:rPr>
          <w:rFonts w:ascii="Times New Roman" w:hAnsi="Times New Roman" w:eastAsia="Times New Roman" w:cs="Times New Roman"/>
          <w:b/>
          <w:bCs/>
          <w:sz w:val="28"/>
          <w:szCs w:val="28"/>
        </w:rPr>
      </w:pPr>
      <w:bookmarkStart w:id="72" w:name="_kwh0ehv1efud" w:colFirst="0" w:colLast="0"/>
      <w:bookmarkEnd w:id="72"/>
    </w:p>
    <w:p w14:paraId="00000118">
      <w:pPr>
        <w:pStyle w:val="3"/>
        <w:keepNext w:val="0"/>
        <w:keepLines w:val="0"/>
        <w:spacing w:after="360" w:line="360" w:lineRule="auto"/>
        <w:jc w:val="both"/>
        <w:rPr>
          <w:rFonts w:ascii="Times New Roman" w:hAnsi="Times New Roman" w:eastAsia="Times New Roman" w:cs="Times New Roman"/>
          <w:b/>
          <w:bCs/>
          <w:sz w:val="28"/>
          <w:szCs w:val="28"/>
        </w:rPr>
      </w:pPr>
      <w:bookmarkStart w:id="73" w:name="_wwcb12ua77f5" w:colFirst="0" w:colLast="0"/>
      <w:bookmarkEnd w:id="73"/>
      <w:r>
        <w:rPr>
          <w:rFonts w:ascii="Times New Roman" w:hAnsi="Times New Roman" w:eastAsia="Times New Roman" w:cs="Times New Roman"/>
          <w:b/>
          <w:bCs/>
          <w:sz w:val="28"/>
          <w:szCs w:val="28"/>
        </w:rPr>
        <w:t>References</w:t>
      </w:r>
    </w:p>
    <w:p w14:paraId="00000119">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Abubakar, A., Jahwari, Al. and Bakheet, A.H. (2024). The Role of Environmental and Social Innovations in the Cost Leadership Strategy, Value Creation, and Business Performance: a Comparative Analysis of SMEs and Large Manufacturing Companies. </w:t>
      </w:r>
      <w:r>
        <w:rPr>
          <w:rFonts w:ascii="Times New Roman" w:hAnsi="Times New Roman" w:eastAsia="Times New Roman" w:cs="Times New Roman"/>
          <w:i/>
          <w:iCs/>
          <w:sz w:val="24"/>
          <w:szCs w:val="24"/>
        </w:rPr>
        <w:t>Human Behavior and Emerging Technologies</w:t>
      </w:r>
      <w:r>
        <w:rPr>
          <w:rFonts w:ascii="Times New Roman" w:hAnsi="Times New Roman" w:eastAsia="Times New Roman" w:cs="Times New Roman"/>
          <w:sz w:val="24"/>
          <w:szCs w:val="24"/>
        </w:rPr>
        <w:t>, 2024(1). doi:</w:t>
      </w:r>
      <w:r>
        <w:rPr>
          <w:rFonts w:ascii="Times New Roman" w:hAnsi="Times New Roman" w:eastAsia="Times New Roman" w:cs="Times New Roman"/>
          <w:color w:val="1155CC"/>
          <w:sz w:val="24"/>
          <w:szCs w:val="24"/>
        </w:rPr>
        <w:t>https://doi.org/10.1155/2024/7078016.</w:t>
      </w:r>
    </w:p>
    <w:p w14:paraId="0000011A">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Akula, D.R. (2025). E-Commerce Adoption in Tier-II Cities: Challenges and Strategic Opportunities for Local Enterprises. </w:t>
      </w:r>
      <w:r>
        <w:rPr>
          <w:rFonts w:ascii="Times New Roman" w:hAnsi="Times New Roman" w:eastAsia="Times New Roman" w:cs="Times New Roman"/>
          <w:i/>
          <w:iCs/>
          <w:sz w:val="24"/>
          <w:szCs w:val="24"/>
        </w:rPr>
        <w:t>GRWS International National Journal of Applied Commerce and Strategic Management p-ISSN 3051-262X e-ISSN 3051-2638</w:t>
      </w:r>
      <w:r>
        <w:rPr>
          <w:rFonts w:ascii="Times New Roman" w:hAnsi="Times New Roman" w:eastAsia="Times New Roman" w:cs="Times New Roman"/>
          <w:sz w:val="24"/>
          <w:szCs w:val="24"/>
        </w:rPr>
        <w:t xml:space="preserve">, [online] 1(01), pp.32–42. Available at: </w:t>
      </w:r>
      <w:r>
        <w:rPr>
          <w:rFonts w:ascii="Times New Roman" w:hAnsi="Times New Roman" w:eastAsia="Times New Roman" w:cs="Times New Roman"/>
          <w:color w:val="1155CC"/>
          <w:sz w:val="24"/>
          <w:szCs w:val="24"/>
        </w:rPr>
        <w:t>https://grwsijacsm.com/journal/index.php/grws/article/view/5 [Accessed 18 Feb. 2026].</w:t>
      </w:r>
    </w:p>
    <w:p w14:paraId="0000011B">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Al Darwish, L. (2023). </w:t>
      </w:r>
      <w:r>
        <w:rPr>
          <w:rFonts w:ascii="Times New Roman" w:hAnsi="Times New Roman" w:eastAsia="Times New Roman" w:cs="Times New Roman"/>
          <w:i/>
          <w:iCs/>
          <w:sz w:val="24"/>
          <w:szCs w:val="24"/>
        </w:rPr>
        <w:t>Green Furniture: Sustainability, Consumer Choice, and Market Analysis in an Evolving Landscape</w:t>
      </w:r>
      <w:r>
        <w:rPr>
          <w:rFonts w:ascii="Times New Roman" w:hAnsi="Times New Roman" w:eastAsia="Times New Roman" w:cs="Times New Roman"/>
          <w:sz w:val="24"/>
          <w:szCs w:val="24"/>
        </w:rPr>
        <w:t xml:space="preserve">. [online] openresearch.ocadu.ca. Available at: </w:t>
      </w:r>
      <w:r>
        <w:rPr>
          <w:rFonts w:ascii="Times New Roman" w:hAnsi="Times New Roman" w:eastAsia="Times New Roman" w:cs="Times New Roman"/>
          <w:color w:val="1155CC"/>
          <w:sz w:val="24"/>
          <w:szCs w:val="24"/>
        </w:rPr>
        <w:t>https://openresearch.ocadu.ca/id/eprint/4071/.</w:t>
      </w:r>
    </w:p>
    <w:p w14:paraId="0000011C">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Altay, B.C., Okumuş, A. and Adıgüzel Mercangöz, B. (2021). An intelligent approach for analyzing the impacts of the COVID-19 pandemic on marketing mix elements (7Ps) of the on-demand grocery delivery service. </w:t>
      </w:r>
      <w:r>
        <w:rPr>
          <w:rFonts w:ascii="Times New Roman" w:hAnsi="Times New Roman" w:eastAsia="Times New Roman" w:cs="Times New Roman"/>
          <w:i/>
          <w:iCs/>
          <w:sz w:val="24"/>
          <w:szCs w:val="24"/>
        </w:rPr>
        <w:t>Complex &amp; Intelligent Systems</w:t>
      </w:r>
      <w:r>
        <w:rPr>
          <w:rFonts w:ascii="Times New Roman" w:hAnsi="Times New Roman" w:eastAsia="Times New Roman" w:cs="Times New Roman"/>
          <w:sz w:val="24"/>
          <w:szCs w:val="24"/>
        </w:rPr>
        <w:t>, 8(1), pp.129–140. doi:</w:t>
      </w:r>
      <w:r>
        <w:rPr>
          <w:rFonts w:ascii="Times New Roman" w:hAnsi="Times New Roman" w:eastAsia="Times New Roman" w:cs="Times New Roman"/>
          <w:color w:val="1155CC"/>
          <w:sz w:val="24"/>
          <w:szCs w:val="24"/>
        </w:rPr>
        <w:t>https://doi.org/10.1007/s40747-021-00358-1.</w:t>
      </w:r>
    </w:p>
    <w:p w14:paraId="0000011D">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Alzoubi, A., Al-Talib, M., Khalid, W. and Saad, A. (2023). </w:t>
      </w:r>
      <w:r>
        <w:rPr>
          <w:rFonts w:ascii="Times New Roman" w:hAnsi="Times New Roman" w:eastAsia="Times New Roman" w:cs="Times New Roman"/>
          <w:i/>
          <w:iCs/>
          <w:sz w:val="24"/>
          <w:szCs w:val="24"/>
        </w:rPr>
        <w:t>Sustainability as a competitive advantage: IKEA as a case study</w:t>
      </w:r>
      <w:r>
        <w:rPr>
          <w:rFonts w:ascii="Times New Roman" w:hAnsi="Times New Roman" w:eastAsia="Times New Roman" w:cs="Times New Roman"/>
          <w:sz w:val="24"/>
          <w:szCs w:val="24"/>
        </w:rPr>
        <w:t xml:space="preserve">. [online] Available at: </w:t>
      </w:r>
      <w:r>
        <w:rPr>
          <w:rFonts w:ascii="Times New Roman" w:hAnsi="Times New Roman" w:eastAsia="Times New Roman" w:cs="Times New Roman"/>
          <w:color w:val="1155CC"/>
          <w:sz w:val="24"/>
          <w:szCs w:val="24"/>
        </w:rPr>
        <w:t>https://ieomsociety.org/proceedings/2023manila/593.pdf.</w:t>
      </w:r>
    </w:p>
    <w:p w14:paraId="0000011E">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Andersen, T.J. (2025). Transnational Management in a Disruptive World: Exploiting Business Opportunities Through Planning and Interactive Controls. </w:t>
      </w:r>
      <w:r>
        <w:rPr>
          <w:rFonts w:ascii="Times New Roman" w:hAnsi="Times New Roman" w:eastAsia="Times New Roman" w:cs="Times New Roman"/>
          <w:i/>
          <w:iCs/>
          <w:sz w:val="24"/>
          <w:szCs w:val="24"/>
        </w:rPr>
        <w:t>Business and Policy Challenges of Global Uncertainty</w:t>
      </w:r>
      <w:r>
        <w:rPr>
          <w:rFonts w:ascii="Times New Roman" w:hAnsi="Times New Roman" w:eastAsia="Times New Roman" w:cs="Times New Roman"/>
          <w:sz w:val="24"/>
          <w:szCs w:val="24"/>
        </w:rPr>
        <w:t>, pp.409–434. doi:</w:t>
      </w:r>
      <w:r>
        <w:rPr>
          <w:rFonts w:ascii="Times New Roman" w:hAnsi="Times New Roman" w:eastAsia="Times New Roman" w:cs="Times New Roman"/>
          <w:color w:val="1155CC"/>
          <w:sz w:val="24"/>
          <w:szCs w:val="24"/>
        </w:rPr>
        <w:t>https://doi.org/10.1142/9781800616226_0017.</w:t>
      </w:r>
    </w:p>
    <w:p w14:paraId="0000011F">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Arshad Ahmad Khan, Mei, B., Sufyan Ullah Khan, Ali and Luo, J. (2024). Agri-food evolution and carbon emissions in Chinese residential consumption: A life cycle analysis of urban-rural disparities and socioeconomic influences. </w:t>
      </w:r>
      <w:r>
        <w:rPr>
          <w:rFonts w:ascii="Times New Roman" w:hAnsi="Times New Roman" w:eastAsia="Times New Roman" w:cs="Times New Roman"/>
          <w:i/>
          <w:iCs/>
          <w:sz w:val="24"/>
          <w:szCs w:val="24"/>
        </w:rPr>
        <w:t>Environmental Impact Assessment Review</w:t>
      </w:r>
      <w:r>
        <w:rPr>
          <w:rFonts w:ascii="Times New Roman" w:hAnsi="Times New Roman" w:eastAsia="Times New Roman" w:cs="Times New Roman"/>
          <w:sz w:val="24"/>
          <w:szCs w:val="24"/>
        </w:rPr>
        <w:t>, 105, pp.107387–107387. doi:</w:t>
      </w:r>
      <w:r>
        <w:rPr>
          <w:rFonts w:ascii="Times New Roman" w:hAnsi="Times New Roman" w:eastAsia="Times New Roman" w:cs="Times New Roman"/>
          <w:color w:val="1155CC"/>
          <w:sz w:val="24"/>
          <w:szCs w:val="24"/>
        </w:rPr>
        <w:t>https://doi.org/10.1016/j.eiar.2023.107387.</w:t>
      </w:r>
    </w:p>
    <w:p w14:paraId="00000120">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Bahar, U. (2025). Transforming urban retail environments: A strategic framework for digital-age regeneration. </w:t>
      </w:r>
      <w:r>
        <w:rPr>
          <w:rFonts w:ascii="Times New Roman" w:hAnsi="Times New Roman" w:eastAsia="Times New Roman" w:cs="Times New Roman"/>
          <w:i/>
          <w:iCs/>
          <w:sz w:val="24"/>
          <w:szCs w:val="24"/>
        </w:rPr>
        <w:t>Journal of urban regeneration and renewal</w:t>
      </w:r>
      <w:r>
        <w:rPr>
          <w:rFonts w:ascii="Times New Roman" w:hAnsi="Times New Roman" w:eastAsia="Times New Roman" w:cs="Times New Roman"/>
          <w:sz w:val="24"/>
          <w:szCs w:val="24"/>
        </w:rPr>
        <w:t>, [online] 18(3), pp.239–239. doi:</w:t>
      </w:r>
      <w:r>
        <w:rPr>
          <w:rFonts w:ascii="Times New Roman" w:hAnsi="Times New Roman" w:eastAsia="Times New Roman" w:cs="Times New Roman"/>
          <w:color w:val="1155CC"/>
          <w:sz w:val="24"/>
          <w:szCs w:val="24"/>
        </w:rPr>
        <w:t>https://doi.org/10.69554/aubn3799.</w:t>
      </w:r>
    </w:p>
    <w:p w14:paraId="00000121">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Bahorka, M., Kvasova, L. and Yurchenko, N. (2023). DEVELOPMENT OF WAYS TO ADAPT AGRICULTURAL ENTERPRISES TO CHANGES IN THE MARKETING COMPETITIVE ENVIRONMENT. </w:t>
      </w:r>
      <w:r>
        <w:rPr>
          <w:rFonts w:ascii="Times New Roman" w:hAnsi="Times New Roman" w:eastAsia="Times New Roman" w:cs="Times New Roman"/>
          <w:i/>
          <w:iCs/>
          <w:sz w:val="24"/>
          <w:szCs w:val="24"/>
        </w:rPr>
        <w:t>Economics &amp; Education</w:t>
      </w:r>
      <w:r>
        <w:rPr>
          <w:rFonts w:ascii="Times New Roman" w:hAnsi="Times New Roman" w:eastAsia="Times New Roman" w:cs="Times New Roman"/>
          <w:sz w:val="24"/>
          <w:szCs w:val="24"/>
        </w:rPr>
        <w:t>, 8(2), pp.6–11. doi:</w:t>
      </w:r>
      <w:r>
        <w:rPr>
          <w:rFonts w:ascii="Times New Roman" w:hAnsi="Times New Roman" w:eastAsia="Times New Roman" w:cs="Times New Roman"/>
          <w:color w:val="1155CC"/>
          <w:sz w:val="24"/>
          <w:szCs w:val="24"/>
        </w:rPr>
        <w:t>https://doi.org/10.30525/2500-946x/2023-2-1.</w:t>
      </w:r>
    </w:p>
    <w:p w14:paraId="00000122">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Benabed, A. (n.d.). </w:t>
      </w:r>
      <w:r>
        <w:rPr>
          <w:rFonts w:ascii="Times New Roman" w:hAnsi="Times New Roman" w:eastAsia="Times New Roman" w:cs="Times New Roman"/>
          <w:i/>
          <w:iCs/>
          <w:sz w:val="24"/>
          <w:szCs w:val="24"/>
        </w:rPr>
        <w:t>Multinational Companies as a Business Internationalization Driving Strategy: Implications for Competitive Advantage and Business Values</w:t>
      </w:r>
      <w:r>
        <w:rPr>
          <w:rFonts w:ascii="Times New Roman" w:hAnsi="Times New Roman" w:eastAsia="Times New Roman" w:cs="Times New Roman"/>
          <w:sz w:val="24"/>
          <w:szCs w:val="24"/>
        </w:rPr>
        <w:t xml:space="preserve">. [online] Available at: </w:t>
      </w:r>
      <w:r>
        <w:rPr>
          <w:rFonts w:ascii="Times New Roman" w:hAnsi="Times New Roman" w:eastAsia="Times New Roman" w:cs="Times New Roman"/>
          <w:color w:val="1155CC"/>
          <w:sz w:val="24"/>
          <w:szCs w:val="24"/>
        </w:rPr>
        <w:t>https://stec.univ-ovidius.ro/html/anale/ENG/wp-content/uploads/2024/02/2.pdf.</w:t>
      </w:r>
    </w:p>
    <w:p w14:paraId="00000123">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Bookman, S. and Hall, T. (2022). Global Brands, Cosmopolitan Socialization, and Consumption: the Case of ikea and the ‘Stuff’ of Ordinary Cosmopolitanism. </w:t>
      </w:r>
      <w:r>
        <w:rPr>
          <w:rFonts w:ascii="Times New Roman" w:hAnsi="Times New Roman" w:eastAsia="Times New Roman" w:cs="Times New Roman"/>
          <w:i/>
          <w:iCs/>
          <w:sz w:val="24"/>
          <w:szCs w:val="24"/>
        </w:rPr>
        <w:t>Youth and Globalization</w:t>
      </w:r>
      <w:r>
        <w:rPr>
          <w:rFonts w:ascii="Times New Roman" w:hAnsi="Times New Roman" w:eastAsia="Times New Roman" w:cs="Times New Roman"/>
          <w:sz w:val="24"/>
          <w:szCs w:val="24"/>
        </w:rPr>
        <w:t>, [online] 4(1), pp.140–165. doi</w:t>
      </w:r>
      <w:r>
        <w:rPr>
          <w:rFonts w:ascii="Times New Roman" w:hAnsi="Times New Roman" w:eastAsia="Times New Roman" w:cs="Times New Roman"/>
          <w:color w:val="1155CC"/>
          <w:sz w:val="24"/>
          <w:szCs w:val="24"/>
        </w:rPr>
        <w:t>:https://doi.org/10.1163/25895745-04010002.</w:t>
      </w:r>
    </w:p>
    <w:p w14:paraId="00000124">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BusinessBalls (n.d.). </w:t>
      </w:r>
      <w:r>
        <w:rPr>
          <w:rFonts w:ascii="Times New Roman" w:hAnsi="Times New Roman" w:eastAsia="Times New Roman" w:cs="Times New Roman"/>
          <w:i/>
          <w:iCs/>
          <w:sz w:val="24"/>
          <w:szCs w:val="24"/>
        </w:rPr>
        <w:t>Reflective practice</w:t>
      </w:r>
      <w:r>
        <w:rPr>
          <w:rFonts w:ascii="Times New Roman" w:hAnsi="Times New Roman" w:eastAsia="Times New Roman" w:cs="Times New Roman"/>
          <w:sz w:val="24"/>
          <w:szCs w:val="24"/>
        </w:rPr>
        <w:t xml:space="preserve">. [online] Businessballs.com. Available at: </w:t>
      </w:r>
      <w:r>
        <w:rPr>
          <w:rFonts w:ascii="Times New Roman" w:hAnsi="Times New Roman" w:eastAsia="Times New Roman" w:cs="Times New Roman"/>
          <w:color w:val="1155CC"/>
          <w:sz w:val="24"/>
          <w:szCs w:val="24"/>
        </w:rPr>
        <w:t>https://www.businessballs.com/self-awareness/reflective-practice/.</w:t>
      </w:r>
    </w:p>
    <w:p w14:paraId="00000125">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Chaffey, D. and Smith, P. (2022). Digital Marketing Excellence: Planning, Optimizing and Integrating Online Marketing. </w:t>
      </w:r>
      <w:r>
        <w:rPr>
          <w:rFonts w:ascii="Times New Roman" w:hAnsi="Times New Roman" w:eastAsia="Times New Roman" w:cs="Times New Roman"/>
          <w:i/>
          <w:iCs/>
          <w:sz w:val="24"/>
          <w:szCs w:val="24"/>
        </w:rPr>
        <w:t>Digital Marketing Excellence Planning, Optimizing and Integrating Online Marketing</w:t>
      </w:r>
      <w:r>
        <w:rPr>
          <w:rFonts w:ascii="Times New Roman" w:hAnsi="Times New Roman" w:eastAsia="Times New Roman" w:cs="Times New Roman"/>
          <w:sz w:val="24"/>
          <w:szCs w:val="24"/>
        </w:rPr>
        <w:t xml:space="preserve">, [online] 6(6). Available at: </w:t>
      </w:r>
      <w:r>
        <w:rPr>
          <w:rFonts w:ascii="Times New Roman" w:hAnsi="Times New Roman" w:eastAsia="Times New Roman" w:cs="Times New Roman"/>
          <w:color w:val="1155CC"/>
          <w:sz w:val="24"/>
          <w:szCs w:val="24"/>
        </w:rPr>
        <w:t>https://www.taylorfrancis.com/books/mono/10.4324/9781003009498/digital-marketing-excellence-dave-chaffey-pr-smith.</w:t>
      </w:r>
    </w:p>
    <w:p w14:paraId="00000126">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Collidu (2024). </w:t>
      </w:r>
      <w:r>
        <w:rPr>
          <w:rFonts w:ascii="Times New Roman" w:hAnsi="Times New Roman" w:eastAsia="Times New Roman" w:cs="Times New Roman"/>
          <w:i/>
          <w:iCs/>
          <w:sz w:val="24"/>
          <w:szCs w:val="24"/>
        </w:rPr>
        <w:t>7 P’s of Marketing Mix</w:t>
      </w:r>
      <w:r>
        <w:rPr>
          <w:rFonts w:ascii="Times New Roman" w:hAnsi="Times New Roman" w:eastAsia="Times New Roman" w:cs="Times New Roman"/>
          <w:sz w:val="24"/>
          <w:szCs w:val="24"/>
        </w:rPr>
        <w:t xml:space="preserve">. [online] Collidu.com. Available at: </w:t>
      </w:r>
      <w:r>
        <w:fldChar w:fldCharType="begin"/>
      </w:r>
      <w:r>
        <w:instrText xml:space="preserve"> HYPERLINK "https://www.collidu.com/presentation-7-p-of-marketing-mix" \h </w:instrText>
      </w:r>
      <w:r>
        <w:fldChar w:fldCharType="separate"/>
      </w:r>
      <w:r>
        <w:rPr>
          <w:rFonts w:ascii="Times New Roman" w:hAnsi="Times New Roman" w:eastAsia="Times New Roman" w:cs="Times New Roman"/>
          <w:color w:val="1155CC"/>
          <w:sz w:val="24"/>
          <w:szCs w:val="24"/>
          <w:u w:val="single"/>
        </w:rPr>
        <w:t>https://www.collidu.com/presentation-7-p-of-marketing-mix</w:t>
      </w:r>
      <w:r>
        <w:rPr>
          <w:rFonts w:ascii="Times New Roman" w:hAnsi="Times New Roman" w:eastAsia="Times New Roman" w:cs="Times New Roman"/>
          <w:color w:val="1155CC"/>
          <w:sz w:val="24"/>
          <w:szCs w:val="24"/>
          <w:u w:val="single"/>
        </w:rPr>
        <w:fldChar w:fldCharType="end"/>
      </w:r>
    </w:p>
    <w:p w14:paraId="00000127">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Chinedu, J. and Ujam (2025). </w:t>
      </w:r>
      <w:r>
        <w:rPr>
          <w:rFonts w:ascii="Times New Roman" w:hAnsi="Times New Roman" w:eastAsia="Times New Roman" w:cs="Times New Roman"/>
          <w:i/>
          <w:iCs/>
          <w:sz w:val="24"/>
          <w:szCs w:val="24"/>
        </w:rPr>
        <w:t>Adopting Manufacturing Flexibility to Achieve Competitive Advantage in a Global Economy</w:t>
      </w:r>
      <w:r>
        <w:rPr>
          <w:rFonts w:ascii="Times New Roman" w:hAnsi="Times New Roman" w:eastAsia="Times New Roman" w:cs="Times New Roman"/>
          <w:sz w:val="24"/>
          <w:szCs w:val="24"/>
        </w:rPr>
        <w:t xml:space="preserve">. [online] Available at: </w:t>
      </w:r>
      <w:r>
        <w:rPr>
          <w:rFonts w:ascii="Times New Roman" w:hAnsi="Times New Roman" w:eastAsia="Times New Roman" w:cs="Times New Roman"/>
          <w:color w:val="1155CC"/>
          <w:sz w:val="24"/>
          <w:szCs w:val="24"/>
        </w:rPr>
        <w:t>https://www.allmultidisciplinaryjournal.com/uploads/archives/20250401190244_MGE-2025-1-227.1.pdf.</w:t>
      </w:r>
    </w:p>
    <w:p w14:paraId="00000128">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Dang, Y. (2022). </w:t>
      </w:r>
      <w:r>
        <w:rPr>
          <w:rFonts w:ascii="Times New Roman" w:hAnsi="Times New Roman" w:eastAsia="Times New Roman" w:cs="Times New Roman"/>
          <w:i/>
          <w:iCs/>
          <w:sz w:val="24"/>
          <w:szCs w:val="24"/>
        </w:rPr>
        <w:t>Key factors in designing successful retail omnichannel</w:t>
      </w:r>
      <w:r>
        <w:rPr>
          <w:rFonts w:ascii="Times New Roman" w:hAnsi="Times New Roman" w:eastAsia="Times New Roman" w:cs="Times New Roman"/>
          <w:sz w:val="24"/>
          <w:szCs w:val="24"/>
        </w:rPr>
        <w:t xml:space="preserve">. [online] www.theseus.fi. Available at: </w:t>
      </w:r>
      <w:r>
        <w:rPr>
          <w:rFonts w:ascii="Times New Roman" w:hAnsi="Times New Roman" w:eastAsia="Times New Roman" w:cs="Times New Roman"/>
          <w:color w:val="1155CC"/>
          <w:sz w:val="24"/>
          <w:szCs w:val="24"/>
        </w:rPr>
        <w:t>https://www.theseus.fi/handle/10024/753277.</w:t>
      </w:r>
    </w:p>
    <w:p w14:paraId="00000129">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Detchuev, D. (2024). </w:t>
      </w:r>
      <w:r>
        <w:rPr>
          <w:rFonts w:ascii="Times New Roman" w:hAnsi="Times New Roman" w:eastAsia="Times New Roman" w:cs="Times New Roman"/>
          <w:i/>
          <w:iCs/>
          <w:sz w:val="24"/>
          <w:szCs w:val="24"/>
        </w:rPr>
        <w:t>Agile e-commerce and supply chains in a changing phase of retail and distribution : impacts of agility and omnichannel on the global retail environment</w:t>
      </w:r>
      <w:r>
        <w:rPr>
          <w:rFonts w:ascii="Times New Roman" w:hAnsi="Times New Roman" w:eastAsia="Times New Roman" w:cs="Times New Roman"/>
          <w:sz w:val="24"/>
          <w:szCs w:val="24"/>
        </w:rPr>
        <w:t>. [online] www.theseus.fi. Available at:</w:t>
      </w:r>
      <w:r>
        <w:rPr>
          <w:rFonts w:ascii="Times New Roman" w:hAnsi="Times New Roman" w:eastAsia="Times New Roman" w:cs="Times New Roman"/>
          <w:color w:val="1155CC"/>
          <w:sz w:val="24"/>
          <w:szCs w:val="24"/>
        </w:rPr>
        <w:t xml:space="preserve"> https://www.theseus.fi/handle/10024/857811.</w:t>
      </w:r>
    </w:p>
    <w:p w14:paraId="0000012A">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Fabrizi, A., Gentile, M., Guarini, G. and Meliciani, V. (2024). The impact of environmental regulation on innovation and international competitiveness. </w:t>
      </w:r>
      <w:r>
        <w:rPr>
          <w:rFonts w:ascii="Times New Roman" w:hAnsi="Times New Roman" w:eastAsia="Times New Roman" w:cs="Times New Roman"/>
          <w:i/>
          <w:iCs/>
          <w:sz w:val="24"/>
          <w:szCs w:val="24"/>
        </w:rPr>
        <w:t>Journal of evolutionary economics</w:t>
      </w:r>
      <w:r>
        <w:rPr>
          <w:rFonts w:ascii="Times New Roman" w:hAnsi="Times New Roman" w:eastAsia="Times New Roman" w:cs="Times New Roman"/>
          <w:sz w:val="24"/>
          <w:szCs w:val="24"/>
        </w:rPr>
        <w:t>. doi:</w:t>
      </w:r>
      <w:r>
        <w:rPr>
          <w:rFonts w:ascii="Times New Roman" w:hAnsi="Times New Roman" w:eastAsia="Times New Roman" w:cs="Times New Roman"/>
          <w:color w:val="1155CC"/>
          <w:sz w:val="24"/>
          <w:szCs w:val="24"/>
        </w:rPr>
        <w:t>https://doi.org/10.1007/s00191-024-00852-y.</w:t>
      </w:r>
    </w:p>
    <w:p w14:paraId="0000012B">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Feurer, M., Markovic, J., Starke, M., Wilkes-Allemann, J. and Wolf, O. (2025). Drivers of deforestation and forest degradation between 1990 and 2023 - A global meta-analysis. </w:t>
      </w:r>
      <w:r>
        <w:rPr>
          <w:rFonts w:ascii="Times New Roman" w:hAnsi="Times New Roman" w:eastAsia="Times New Roman" w:cs="Times New Roman"/>
          <w:i/>
          <w:iCs/>
          <w:sz w:val="24"/>
          <w:szCs w:val="24"/>
        </w:rPr>
        <w:t>Environmental Science &amp; Policy</w:t>
      </w:r>
      <w:r>
        <w:rPr>
          <w:rFonts w:ascii="Times New Roman" w:hAnsi="Times New Roman" w:eastAsia="Times New Roman" w:cs="Times New Roman"/>
          <w:sz w:val="24"/>
          <w:szCs w:val="24"/>
        </w:rPr>
        <w:t>, [online] 173, p.104242. doi:</w:t>
      </w:r>
      <w:r>
        <w:rPr>
          <w:rFonts w:ascii="Times New Roman" w:hAnsi="Times New Roman" w:eastAsia="Times New Roman" w:cs="Times New Roman"/>
          <w:color w:val="1155CC"/>
          <w:sz w:val="24"/>
          <w:szCs w:val="24"/>
        </w:rPr>
        <w:t>https://doi.org/10.1016/j.envsci.2025.104242.</w:t>
      </w:r>
    </w:p>
    <w:p w14:paraId="0000012C">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Gabellini, G. (2024). The choice of brand names for home furniture companies entering the Chinese market and its relation to marketing policy. </w:t>
      </w:r>
      <w:r>
        <w:rPr>
          <w:rFonts w:ascii="Times New Roman" w:hAnsi="Times New Roman" w:eastAsia="Times New Roman" w:cs="Times New Roman"/>
          <w:i/>
          <w:iCs/>
          <w:sz w:val="24"/>
          <w:szCs w:val="24"/>
        </w:rPr>
        <w:t>Unive.it</w:t>
      </w:r>
      <w:r>
        <w:rPr>
          <w:rFonts w:ascii="Times New Roman" w:hAnsi="Times New Roman" w:eastAsia="Times New Roman" w:cs="Times New Roman"/>
          <w:sz w:val="24"/>
          <w:szCs w:val="24"/>
        </w:rPr>
        <w:t>. [online] doi:</w:t>
      </w:r>
      <w:r>
        <w:rPr>
          <w:rFonts w:ascii="Times New Roman" w:hAnsi="Times New Roman" w:eastAsia="Times New Roman" w:cs="Times New Roman"/>
          <w:color w:val="1155CC"/>
          <w:sz w:val="24"/>
          <w:szCs w:val="24"/>
        </w:rPr>
        <w:t>https://hdl.handle.net/20.500.14247/14153.</w:t>
      </w:r>
    </w:p>
    <w:p w14:paraId="0000012D">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Gatta, V., Marcucci, E. and Pira, M.L. (2023). </w:t>
      </w:r>
      <w:r>
        <w:rPr>
          <w:rFonts w:ascii="Times New Roman" w:hAnsi="Times New Roman" w:eastAsia="Times New Roman" w:cs="Times New Roman"/>
          <w:i/>
          <w:iCs/>
          <w:sz w:val="24"/>
          <w:szCs w:val="24"/>
        </w:rPr>
        <w:t>E-commerce and urban logistics: trends, challenges, and opportunities</w:t>
      </w:r>
      <w:r>
        <w:rPr>
          <w:rFonts w:ascii="Times New Roman" w:hAnsi="Times New Roman" w:eastAsia="Times New Roman" w:cs="Times New Roman"/>
          <w:sz w:val="24"/>
          <w:szCs w:val="24"/>
        </w:rPr>
        <w:t xml:space="preserve">. [online] www.elgaronline.com. Available at: </w:t>
      </w:r>
      <w:r>
        <w:rPr>
          <w:rFonts w:ascii="Times New Roman" w:hAnsi="Times New Roman" w:eastAsia="Times New Roman" w:cs="Times New Roman"/>
          <w:color w:val="1155CC"/>
          <w:sz w:val="24"/>
          <w:szCs w:val="24"/>
        </w:rPr>
        <w:t>https://www.elgaronline.com/edcollchap/book/9781800370173/book-part-9781800370173-33.xml.</w:t>
      </w:r>
    </w:p>
    <w:p w14:paraId="0000012E">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Gershon, R.A. (2024). Digital Media and Innovation. doi</w:t>
      </w:r>
      <w:r>
        <w:rPr>
          <w:rFonts w:ascii="Times New Roman" w:hAnsi="Times New Roman" w:eastAsia="Times New Roman" w:cs="Times New Roman"/>
          <w:color w:val="1155CC"/>
          <w:sz w:val="24"/>
          <w:szCs w:val="24"/>
        </w:rPr>
        <w:t>:https://doi.org/10.4324/9781003294375.</w:t>
      </w:r>
    </w:p>
    <w:p w14:paraId="0000012F">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Gonzalez-Perez, M.A. and Wach, K. (2026). </w:t>
      </w:r>
      <w:r>
        <w:rPr>
          <w:rFonts w:ascii="Times New Roman" w:hAnsi="Times New Roman" w:eastAsia="Times New Roman" w:cs="Times New Roman"/>
          <w:i/>
          <w:iCs/>
          <w:sz w:val="24"/>
          <w:szCs w:val="24"/>
        </w:rPr>
        <w:t>The Elgar Companion to International Business and the Sustainable Development Goals</w:t>
      </w:r>
      <w:r>
        <w:rPr>
          <w:rFonts w:ascii="Times New Roman" w:hAnsi="Times New Roman" w:eastAsia="Times New Roman" w:cs="Times New Roman"/>
          <w:sz w:val="24"/>
          <w:szCs w:val="24"/>
        </w:rPr>
        <w:t>. Edward Elgar Publishing.</w:t>
      </w:r>
    </w:p>
    <w:p w14:paraId="00000130">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Gravari‐Barbas, M., Shen, C., Lu, Y. and Guinand, S. (2026). ‘Consuming Heritage’ in Tianjin’s Former International Concessions. </w:t>
      </w:r>
      <w:r>
        <w:rPr>
          <w:rFonts w:ascii="Times New Roman" w:hAnsi="Times New Roman" w:eastAsia="Times New Roman" w:cs="Times New Roman"/>
          <w:i/>
          <w:iCs/>
          <w:sz w:val="24"/>
          <w:szCs w:val="24"/>
        </w:rPr>
        <w:t>The Wiley Blackwell Companion to the City, Retail, and Consumption</w:t>
      </w:r>
      <w:r>
        <w:rPr>
          <w:rFonts w:ascii="Times New Roman" w:hAnsi="Times New Roman" w:eastAsia="Times New Roman" w:cs="Times New Roman"/>
          <w:sz w:val="24"/>
          <w:szCs w:val="24"/>
        </w:rPr>
        <w:t>, pp.92–113. doi:</w:t>
      </w:r>
      <w:r>
        <w:rPr>
          <w:rFonts w:ascii="Times New Roman" w:hAnsi="Times New Roman" w:eastAsia="Times New Roman" w:cs="Times New Roman"/>
          <w:color w:val="1155CC"/>
          <w:sz w:val="24"/>
          <w:szCs w:val="24"/>
        </w:rPr>
        <w:t>https://doi.org/10.1002/9781394278657.ch6.</w:t>
      </w:r>
    </w:p>
    <w:p w14:paraId="00000131">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Guven, A.A. (2026). Global Marketing Strategy. </w:t>
      </w:r>
      <w:r>
        <w:rPr>
          <w:rFonts w:ascii="Times New Roman" w:hAnsi="Times New Roman" w:eastAsia="Times New Roman" w:cs="Times New Roman"/>
          <w:i/>
          <w:iCs/>
          <w:sz w:val="24"/>
          <w:szCs w:val="24"/>
        </w:rPr>
        <w:t>Bridging Traditional Theory and Emerging Corporate Strategies</w:t>
      </w:r>
      <w:r>
        <w:rPr>
          <w:rFonts w:ascii="Times New Roman" w:hAnsi="Times New Roman" w:eastAsia="Times New Roman" w:cs="Times New Roman"/>
          <w:sz w:val="24"/>
          <w:szCs w:val="24"/>
        </w:rPr>
        <w:t>, [online] pp.67–110. doi:</w:t>
      </w:r>
      <w:r>
        <w:rPr>
          <w:rFonts w:ascii="Times New Roman" w:hAnsi="Times New Roman" w:eastAsia="Times New Roman" w:cs="Times New Roman"/>
          <w:color w:val="1155CC"/>
          <w:sz w:val="24"/>
          <w:szCs w:val="24"/>
        </w:rPr>
        <w:t>https://doi.org/10.4018/979-8-3373-6466-7.ch003.</w:t>
      </w:r>
    </w:p>
    <w:p w14:paraId="00000132">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Hall, M.J. and Hyodo, J.D. (2022). Service Provider to the Rescue: How Firm Recovery of Do-It-Yourself Service Failure Turns Consumers from Competitors to Satisfied Customers. </w:t>
      </w:r>
      <w:r>
        <w:rPr>
          <w:rFonts w:ascii="Times New Roman" w:hAnsi="Times New Roman" w:eastAsia="Times New Roman" w:cs="Times New Roman"/>
          <w:i/>
          <w:iCs/>
          <w:sz w:val="24"/>
          <w:szCs w:val="24"/>
        </w:rPr>
        <w:t>Journal of Service Research</w:t>
      </w:r>
      <w:r>
        <w:rPr>
          <w:rFonts w:ascii="Times New Roman" w:hAnsi="Times New Roman" w:eastAsia="Times New Roman" w:cs="Times New Roman"/>
          <w:sz w:val="24"/>
          <w:szCs w:val="24"/>
        </w:rPr>
        <w:t>, p.109467052211113. doi:</w:t>
      </w:r>
      <w:r>
        <w:rPr>
          <w:rFonts w:ascii="Times New Roman" w:hAnsi="Times New Roman" w:eastAsia="Times New Roman" w:cs="Times New Roman"/>
          <w:color w:val="1155CC"/>
          <w:sz w:val="24"/>
          <w:szCs w:val="24"/>
        </w:rPr>
        <w:t>https://doi.org/10.1177/10946705221111347.</w:t>
      </w:r>
    </w:p>
    <w:p w14:paraId="00000133">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Hana, A. and Kasbaoui Tarik (2025). Global Supply Chains and Corporate Social Responsibility: Navigating Ethical and Sustainable Business Practices. </w:t>
      </w:r>
      <w:r>
        <w:rPr>
          <w:rFonts w:ascii="Times New Roman" w:hAnsi="Times New Roman" w:eastAsia="Times New Roman" w:cs="Times New Roman"/>
          <w:i/>
          <w:iCs/>
          <w:sz w:val="24"/>
          <w:szCs w:val="24"/>
        </w:rPr>
        <w:t>African Scientific Journal</w:t>
      </w:r>
      <w:r>
        <w:rPr>
          <w:rFonts w:ascii="Times New Roman" w:hAnsi="Times New Roman" w:eastAsia="Times New Roman" w:cs="Times New Roman"/>
          <w:sz w:val="24"/>
          <w:szCs w:val="24"/>
        </w:rPr>
        <w:t>, [online] 3(30), pp.230–230. doi:</w:t>
      </w:r>
      <w:r>
        <w:rPr>
          <w:rFonts w:ascii="Times New Roman" w:hAnsi="Times New Roman" w:eastAsia="Times New Roman" w:cs="Times New Roman"/>
          <w:color w:val="1155CC"/>
          <w:sz w:val="24"/>
          <w:szCs w:val="24"/>
        </w:rPr>
        <w:t>https://doi.org/10.5281/zenodo.15607411.</w:t>
      </w:r>
    </w:p>
    <w:p w14:paraId="00000134">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Hartmann, J. (2025). STRATEGIC LITIGATION FOR WOMAN’S RIGHTS AT THE WORKPLACE: A LAW AND ECONOMICS PERSPECTIVE. </w:t>
      </w:r>
      <w:r>
        <w:rPr>
          <w:rFonts w:ascii="Times New Roman" w:hAnsi="Times New Roman" w:eastAsia="Times New Roman" w:cs="Times New Roman"/>
          <w:i/>
          <w:iCs/>
          <w:sz w:val="24"/>
          <w:szCs w:val="24"/>
        </w:rPr>
        <w:t>Depositolegale.it</w:t>
      </w:r>
      <w:r>
        <w:rPr>
          <w:rFonts w:ascii="Times New Roman" w:hAnsi="Times New Roman" w:eastAsia="Times New Roman" w:cs="Times New Roman"/>
          <w:sz w:val="24"/>
          <w:szCs w:val="24"/>
        </w:rPr>
        <w:t>. [online] doi:</w:t>
      </w:r>
      <w:r>
        <w:rPr>
          <w:rFonts w:ascii="Times New Roman" w:hAnsi="Times New Roman" w:eastAsia="Times New Roman" w:cs="Times New Roman"/>
          <w:color w:val="1155CC"/>
          <w:sz w:val="24"/>
          <w:szCs w:val="24"/>
        </w:rPr>
        <w:t>https://hdl.handle.net/20.500.14242/352822.</w:t>
      </w:r>
    </w:p>
    <w:p w14:paraId="00000135">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Hassan, M.N. and Rukiman, Z. (2025). International Marketing Strategy. </w:t>
      </w:r>
      <w:r>
        <w:rPr>
          <w:rFonts w:ascii="Times New Roman" w:hAnsi="Times New Roman" w:eastAsia="Times New Roman" w:cs="Times New Roman"/>
          <w:i/>
          <w:iCs/>
          <w:sz w:val="24"/>
          <w:szCs w:val="24"/>
        </w:rPr>
        <w:t>Mypolycc.edu.my</w:t>
      </w:r>
      <w:r>
        <w:rPr>
          <w:rFonts w:ascii="Times New Roman" w:hAnsi="Times New Roman" w:eastAsia="Times New Roman" w:cs="Times New Roman"/>
          <w:sz w:val="24"/>
          <w:szCs w:val="24"/>
        </w:rPr>
        <w:t>. [online] doi:</w:t>
      </w:r>
      <w:r>
        <w:rPr>
          <w:rFonts w:ascii="Times New Roman" w:hAnsi="Times New Roman" w:eastAsia="Times New Roman" w:cs="Times New Roman"/>
          <w:color w:val="1155CC"/>
          <w:sz w:val="24"/>
          <w:szCs w:val="24"/>
        </w:rPr>
        <w:t>https://doi.org/9786297678146.</w:t>
      </w:r>
    </w:p>
    <w:p w14:paraId="00000136">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Heinemann, G. (2023). </w:t>
      </w:r>
      <w:r>
        <w:rPr>
          <w:rFonts w:ascii="Times New Roman" w:hAnsi="Times New Roman" w:eastAsia="Times New Roman" w:cs="Times New Roman"/>
          <w:i/>
          <w:iCs/>
          <w:sz w:val="24"/>
          <w:szCs w:val="24"/>
        </w:rPr>
        <w:t>The new online trade</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Springer eBooks</w:t>
      </w:r>
      <w:r>
        <w:rPr>
          <w:rFonts w:ascii="Times New Roman" w:hAnsi="Times New Roman" w:eastAsia="Times New Roman" w:cs="Times New Roman"/>
          <w:sz w:val="24"/>
          <w:szCs w:val="24"/>
        </w:rPr>
        <w:t>. Springer. doi:</w:t>
      </w:r>
      <w:r>
        <w:rPr>
          <w:rFonts w:ascii="Times New Roman" w:hAnsi="Times New Roman" w:eastAsia="Times New Roman" w:cs="Times New Roman"/>
          <w:color w:val="1155CC"/>
          <w:sz w:val="24"/>
          <w:szCs w:val="24"/>
        </w:rPr>
        <w:t>https://doi.org/10.1007/978-3-658-40757-5.</w:t>
      </w:r>
    </w:p>
    <w:p w14:paraId="00000137">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Helmold, M. (2022). Market Segmentation, Targeting, Differentiation and Positioning. </w:t>
      </w:r>
      <w:r>
        <w:rPr>
          <w:rFonts w:ascii="Times New Roman" w:hAnsi="Times New Roman" w:eastAsia="Times New Roman" w:cs="Times New Roman"/>
          <w:i/>
          <w:iCs/>
          <w:sz w:val="24"/>
          <w:szCs w:val="24"/>
        </w:rPr>
        <w:t>Management for Professionals</w:t>
      </w:r>
      <w:r>
        <w:rPr>
          <w:rFonts w:ascii="Times New Roman" w:hAnsi="Times New Roman" w:eastAsia="Times New Roman" w:cs="Times New Roman"/>
          <w:sz w:val="24"/>
          <w:szCs w:val="24"/>
        </w:rPr>
        <w:t>, 1(1), pp.105–116. doi:</w:t>
      </w:r>
      <w:r>
        <w:rPr>
          <w:rFonts w:ascii="Times New Roman" w:hAnsi="Times New Roman" w:eastAsia="Times New Roman" w:cs="Times New Roman"/>
          <w:color w:val="1155CC"/>
          <w:sz w:val="24"/>
          <w:szCs w:val="24"/>
        </w:rPr>
        <w:t>https://doi.org/10.1007/978-3-031-10097-0_10.</w:t>
      </w:r>
    </w:p>
    <w:p w14:paraId="00000138">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Herry Mulyono and Rolando, B. (2024). Savoring The Success: Cultivating Innovation And Creativity For Indonesian Culinary MSMEs Growth. </w:t>
      </w:r>
      <w:r>
        <w:rPr>
          <w:rFonts w:ascii="Times New Roman" w:hAnsi="Times New Roman" w:eastAsia="Times New Roman" w:cs="Times New Roman"/>
          <w:i/>
          <w:iCs/>
          <w:sz w:val="24"/>
          <w:szCs w:val="24"/>
        </w:rPr>
        <w:t>Economics and Business Journal (ECBIS)</w:t>
      </w:r>
      <w:r>
        <w:rPr>
          <w:rFonts w:ascii="Times New Roman" w:hAnsi="Times New Roman" w:eastAsia="Times New Roman" w:cs="Times New Roman"/>
          <w:sz w:val="24"/>
          <w:szCs w:val="24"/>
        </w:rPr>
        <w:t>, [online] 2(4), pp.413–428. doi:</w:t>
      </w:r>
      <w:r>
        <w:rPr>
          <w:rFonts w:ascii="Times New Roman" w:hAnsi="Times New Roman" w:eastAsia="Times New Roman" w:cs="Times New Roman"/>
          <w:color w:val="1155CC"/>
          <w:sz w:val="24"/>
          <w:szCs w:val="24"/>
        </w:rPr>
        <w:t>https://doi.org/10.47353/ecbis.v2i4.142.</w:t>
      </w:r>
    </w:p>
    <w:p w14:paraId="00000139">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HU, S. and RUBANKA, A. (2025). RESEARCH ON THE DESIGN OF EVERYDAY OBJECTS BASED ON REGIONAL DIFFERENCES – THE TRANSFORMATION OF CHINESE TRADITIONAL AGRICULTURAL TOOLS. </w:t>
      </w:r>
      <w:r>
        <w:rPr>
          <w:rFonts w:ascii="Times New Roman" w:hAnsi="Times New Roman" w:eastAsia="Times New Roman" w:cs="Times New Roman"/>
          <w:i/>
          <w:iCs/>
          <w:sz w:val="24"/>
          <w:szCs w:val="24"/>
        </w:rPr>
        <w:t>Humanities science current issues</w:t>
      </w:r>
      <w:r>
        <w:rPr>
          <w:rFonts w:ascii="Times New Roman" w:hAnsi="Times New Roman" w:eastAsia="Times New Roman" w:cs="Times New Roman"/>
          <w:sz w:val="24"/>
          <w:szCs w:val="24"/>
        </w:rPr>
        <w:t>, [online] 2(90), pp.146–154. doi:</w:t>
      </w:r>
      <w:r>
        <w:rPr>
          <w:rFonts w:ascii="Times New Roman" w:hAnsi="Times New Roman" w:eastAsia="Times New Roman" w:cs="Times New Roman"/>
          <w:color w:val="1155CC"/>
          <w:sz w:val="24"/>
          <w:szCs w:val="24"/>
        </w:rPr>
        <w:t>https://doi.org/10.24919/2308-4863/90-2-21.</w:t>
      </w:r>
    </w:p>
    <w:p w14:paraId="0000013A">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Huang, Y., Cox, A.M. and Cox, J. (2023). Artificial Intelligence in academic library strategy in the United Kingdom and the Mainland of China. </w:t>
      </w:r>
      <w:r>
        <w:rPr>
          <w:rFonts w:ascii="Times New Roman" w:hAnsi="Times New Roman" w:eastAsia="Times New Roman" w:cs="Times New Roman"/>
          <w:i/>
          <w:iCs/>
          <w:sz w:val="24"/>
          <w:szCs w:val="24"/>
        </w:rPr>
        <w:t>The Journal of Academic Librarianship</w:t>
      </w:r>
      <w:r>
        <w:rPr>
          <w:rFonts w:ascii="Times New Roman" w:hAnsi="Times New Roman" w:eastAsia="Times New Roman" w:cs="Times New Roman"/>
          <w:sz w:val="24"/>
          <w:szCs w:val="24"/>
        </w:rPr>
        <w:t>, [online] 49(6), p.102772. doi:</w:t>
      </w:r>
      <w:r>
        <w:rPr>
          <w:rFonts w:ascii="Times New Roman" w:hAnsi="Times New Roman" w:eastAsia="Times New Roman" w:cs="Times New Roman"/>
          <w:color w:val="1155CC"/>
          <w:sz w:val="24"/>
          <w:szCs w:val="24"/>
        </w:rPr>
        <w:t>https://doi.org/10.1016/j.acalib.2023.102772.</w:t>
      </w:r>
    </w:p>
    <w:p w14:paraId="0000013B">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Imtiaz, A. and Muzaffar, M. (2025). Trade Barriers and Broken Supply Chains: Economic Fallout of Brexit. </w:t>
      </w:r>
      <w:r>
        <w:rPr>
          <w:rFonts w:ascii="Times New Roman" w:hAnsi="Times New Roman" w:eastAsia="Times New Roman" w:cs="Times New Roman"/>
          <w:i/>
          <w:iCs/>
          <w:sz w:val="24"/>
          <w:szCs w:val="24"/>
        </w:rPr>
        <w:t>Journal of Development and Social Sciences</w:t>
      </w:r>
      <w:r>
        <w:rPr>
          <w:rFonts w:ascii="Times New Roman" w:hAnsi="Times New Roman" w:eastAsia="Times New Roman" w:cs="Times New Roman"/>
          <w:sz w:val="24"/>
          <w:szCs w:val="24"/>
        </w:rPr>
        <w:t>, [online] 6(2), pp.80–90. doi:</w:t>
      </w:r>
      <w:r>
        <w:rPr>
          <w:rFonts w:ascii="Times New Roman" w:hAnsi="Times New Roman" w:eastAsia="Times New Roman" w:cs="Times New Roman"/>
          <w:color w:val="1155CC"/>
          <w:sz w:val="24"/>
          <w:szCs w:val="24"/>
        </w:rPr>
        <w:t>https://doi.org/10.47205/jdss.2025(6-II)08.</w:t>
      </w:r>
    </w:p>
    <w:p w14:paraId="0000013C">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Islam, A., Islam, M.A., Hossain, M.I., Nimfa, D.T. and Tehseen, S. (2024). Paradox of Sustainable Growth: The Interplay Between Small and Medium Enterprises and Non‐governmental Organizations and Government Helix. </w:t>
      </w:r>
      <w:r>
        <w:rPr>
          <w:rFonts w:ascii="Times New Roman" w:hAnsi="Times New Roman" w:eastAsia="Times New Roman" w:cs="Times New Roman"/>
          <w:i/>
          <w:iCs/>
          <w:sz w:val="24"/>
          <w:szCs w:val="24"/>
        </w:rPr>
        <w:t>Business Strategy &amp; Development</w:t>
      </w:r>
      <w:r>
        <w:rPr>
          <w:rFonts w:ascii="Times New Roman" w:hAnsi="Times New Roman" w:eastAsia="Times New Roman" w:cs="Times New Roman"/>
          <w:sz w:val="24"/>
          <w:szCs w:val="24"/>
        </w:rPr>
        <w:t>, 8(1). doi:</w:t>
      </w:r>
      <w:r>
        <w:rPr>
          <w:rFonts w:ascii="Times New Roman" w:hAnsi="Times New Roman" w:eastAsia="Times New Roman" w:cs="Times New Roman"/>
          <w:color w:val="1155CC"/>
          <w:sz w:val="24"/>
          <w:szCs w:val="24"/>
        </w:rPr>
        <w:t>https://doi.org/10.1002/bsd2.70054.</w:t>
      </w:r>
    </w:p>
    <w:p w14:paraId="0000013D">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Jain, N.P.K. (2024). Global Integration vs. Local Responsiveness: Managing Strategic Dilemmas in Multinational Corporations. </w:t>
      </w:r>
      <w:r>
        <w:rPr>
          <w:rFonts w:ascii="Times New Roman" w:hAnsi="Times New Roman" w:eastAsia="Times New Roman" w:cs="Times New Roman"/>
          <w:i/>
          <w:iCs/>
          <w:sz w:val="24"/>
          <w:szCs w:val="24"/>
        </w:rPr>
        <w:t>Journal of Advanced Management Studies</w:t>
      </w:r>
      <w:r>
        <w:rPr>
          <w:rFonts w:ascii="Times New Roman" w:hAnsi="Times New Roman" w:eastAsia="Times New Roman" w:cs="Times New Roman"/>
          <w:sz w:val="24"/>
          <w:szCs w:val="24"/>
        </w:rPr>
        <w:t>, [online] 1(3), pp.27–31. doi:</w:t>
      </w:r>
      <w:r>
        <w:rPr>
          <w:rFonts w:ascii="Times New Roman" w:hAnsi="Times New Roman" w:eastAsia="Times New Roman" w:cs="Times New Roman"/>
          <w:color w:val="1155CC"/>
          <w:sz w:val="24"/>
          <w:szCs w:val="24"/>
        </w:rPr>
        <w:t>https://doi.org/10.36676/jams.v1.i3.16.</w:t>
      </w:r>
    </w:p>
    <w:p w14:paraId="0000013E">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Kabir, M.M. and Simon, M.R. (2025). Assessing the impact of product customization on improving customers' experience of IKEA in Finland. </w:t>
      </w:r>
      <w:r>
        <w:rPr>
          <w:rFonts w:ascii="Times New Roman" w:hAnsi="Times New Roman" w:eastAsia="Times New Roman" w:cs="Times New Roman"/>
          <w:i/>
          <w:iCs/>
          <w:sz w:val="24"/>
          <w:szCs w:val="24"/>
        </w:rPr>
        <w:t>Theseus.fi</w:t>
      </w:r>
      <w:r>
        <w:rPr>
          <w:rFonts w:ascii="Times New Roman" w:hAnsi="Times New Roman" w:eastAsia="Times New Roman" w:cs="Times New Roman"/>
          <w:sz w:val="24"/>
          <w:szCs w:val="24"/>
        </w:rPr>
        <w:t>. [online] doi:</w:t>
      </w:r>
      <w:r>
        <w:rPr>
          <w:rFonts w:ascii="Times New Roman" w:hAnsi="Times New Roman" w:eastAsia="Times New Roman" w:cs="Times New Roman"/>
          <w:color w:val="1155CC"/>
          <w:sz w:val="24"/>
          <w:szCs w:val="24"/>
        </w:rPr>
        <w:t>http://www.theseus.fi/handle/10024/895171.</w:t>
      </w:r>
    </w:p>
    <w:p w14:paraId="0000013F">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Khanam, B. (2025). Exploring the Opportunities and Challenges of Social Media Marketing in the Bangladeshi Fashion Industry. </w:t>
      </w:r>
      <w:r>
        <w:rPr>
          <w:rFonts w:ascii="Times New Roman" w:hAnsi="Times New Roman" w:eastAsia="Times New Roman" w:cs="Times New Roman"/>
          <w:i/>
          <w:iCs/>
          <w:sz w:val="24"/>
          <w:szCs w:val="24"/>
        </w:rPr>
        <w:t>Theseus.fi</w:t>
      </w:r>
      <w:r>
        <w:rPr>
          <w:rFonts w:ascii="Times New Roman" w:hAnsi="Times New Roman" w:eastAsia="Times New Roman" w:cs="Times New Roman"/>
          <w:sz w:val="24"/>
          <w:szCs w:val="24"/>
        </w:rPr>
        <w:t>. [online] doi:</w:t>
      </w:r>
      <w:r>
        <w:rPr>
          <w:rFonts w:ascii="Times New Roman" w:hAnsi="Times New Roman" w:eastAsia="Times New Roman" w:cs="Times New Roman"/>
          <w:color w:val="1155CC"/>
          <w:sz w:val="24"/>
          <w:szCs w:val="24"/>
        </w:rPr>
        <w:t>http://www.theseus.fi/handle/10024/906706.</w:t>
      </w:r>
    </w:p>
    <w:p w14:paraId="00000140">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Kirchmer, K. (2023). Assemble‐It‐Yourself: The Perceived Value of Residential Furniture. pp.171–185. doi:</w:t>
      </w:r>
      <w:r>
        <w:rPr>
          <w:rFonts w:ascii="Times New Roman" w:hAnsi="Times New Roman" w:eastAsia="Times New Roman" w:cs="Times New Roman"/>
          <w:color w:val="1155CC"/>
          <w:sz w:val="24"/>
          <w:szCs w:val="24"/>
        </w:rPr>
        <w:t>https://doi.org/10.1002/9781119857198.ch13.</w:t>
      </w:r>
    </w:p>
    <w:p w14:paraId="00000141">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Κυρτσίδου, Αγάπη Χρυσή (2020). Navigating the digital disruption: agile strategies for regulated global industries in the era of rapid technological changes in international business. </w:t>
      </w:r>
      <w:r>
        <w:rPr>
          <w:rFonts w:ascii="Times New Roman" w:hAnsi="Times New Roman" w:eastAsia="Times New Roman" w:cs="Times New Roman"/>
          <w:i/>
          <w:iCs/>
          <w:sz w:val="24"/>
          <w:szCs w:val="24"/>
        </w:rPr>
        <w:t>Lib.uom.gr</w:t>
      </w:r>
      <w:r>
        <w:rPr>
          <w:rFonts w:ascii="Times New Roman" w:hAnsi="Times New Roman" w:eastAsia="Times New Roman" w:cs="Times New Roman"/>
          <w:sz w:val="24"/>
          <w:szCs w:val="24"/>
        </w:rPr>
        <w:t>. [online] doi:</w:t>
      </w:r>
      <w:r>
        <w:rPr>
          <w:rFonts w:ascii="Times New Roman" w:hAnsi="Times New Roman" w:eastAsia="Times New Roman" w:cs="Times New Roman"/>
          <w:color w:val="1155CC"/>
          <w:sz w:val="24"/>
          <w:szCs w:val="24"/>
        </w:rPr>
        <w:t>http://dspace.lib.uom.gr/handle/2159/31421.</w:t>
      </w:r>
    </w:p>
    <w:p w14:paraId="00000142">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Madouri, H. (2025). DIGITAL MARKETING IN THE SERVICE SECTOR: OPPORTUNITIES, CHALLENGES AND TRANSFORMATION STRATEGIES. </w:t>
      </w:r>
      <w:r>
        <w:rPr>
          <w:rFonts w:ascii="Times New Roman" w:hAnsi="Times New Roman" w:eastAsia="Times New Roman" w:cs="Times New Roman"/>
          <w:i/>
          <w:iCs/>
          <w:sz w:val="24"/>
          <w:szCs w:val="24"/>
        </w:rPr>
        <w:t>Acta Economica</w:t>
      </w:r>
      <w:r>
        <w:rPr>
          <w:rFonts w:ascii="Times New Roman" w:hAnsi="Times New Roman" w:eastAsia="Times New Roman" w:cs="Times New Roman"/>
          <w:sz w:val="24"/>
          <w:szCs w:val="24"/>
        </w:rPr>
        <w:t>, 23(43), pp.141–159. doi:</w:t>
      </w:r>
      <w:r>
        <w:rPr>
          <w:rFonts w:ascii="Times New Roman" w:hAnsi="Times New Roman" w:eastAsia="Times New Roman" w:cs="Times New Roman"/>
          <w:color w:val="1155CC"/>
          <w:sz w:val="24"/>
          <w:szCs w:val="24"/>
        </w:rPr>
        <w:t>https://doi.org/10.63356/ace.2025.016.</w:t>
      </w:r>
    </w:p>
    <w:p w14:paraId="00000143">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Mäkineste, P. (2024). Creating a Profitable Assortment Plan for a Fashion Brand : navigating brand identity and market needs in international expansion. </w:t>
      </w:r>
      <w:r>
        <w:rPr>
          <w:rFonts w:ascii="Times New Roman" w:hAnsi="Times New Roman" w:eastAsia="Times New Roman" w:cs="Times New Roman"/>
          <w:i/>
          <w:iCs/>
          <w:sz w:val="24"/>
          <w:szCs w:val="24"/>
        </w:rPr>
        <w:t>Theseus.fi</w:t>
      </w:r>
      <w:r>
        <w:rPr>
          <w:rFonts w:ascii="Times New Roman" w:hAnsi="Times New Roman" w:eastAsia="Times New Roman" w:cs="Times New Roman"/>
          <w:sz w:val="24"/>
          <w:szCs w:val="24"/>
        </w:rPr>
        <w:t>. [online] doi:</w:t>
      </w:r>
      <w:r>
        <w:rPr>
          <w:rFonts w:ascii="Times New Roman" w:hAnsi="Times New Roman" w:eastAsia="Times New Roman" w:cs="Times New Roman"/>
          <w:color w:val="1155CC"/>
          <w:sz w:val="24"/>
          <w:szCs w:val="24"/>
        </w:rPr>
        <w:t>http://www.theseus.fi/handle/10024/870775.</w:t>
      </w:r>
    </w:p>
    <w:p w14:paraId="00000144">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Mandal, S. (2025). </w:t>
      </w:r>
      <w:r>
        <w:rPr>
          <w:rFonts w:ascii="Times New Roman" w:hAnsi="Times New Roman" w:eastAsia="Times New Roman" w:cs="Times New Roman"/>
          <w:i/>
          <w:iCs/>
          <w:sz w:val="24"/>
          <w:szCs w:val="24"/>
        </w:rPr>
        <w:t>Strategic Business Responses to Shifts in Promoting Sustainable Supply Chain Management (SSCM) in Business Practices</w:t>
      </w:r>
      <w:r>
        <w:rPr>
          <w:rFonts w:ascii="Times New Roman" w:hAnsi="Times New Roman" w:eastAsia="Times New Roman" w:cs="Times New Roman"/>
          <w:sz w:val="24"/>
          <w:szCs w:val="24"/>
        </w:rPr>
        <w:t xml:space="preserve">. [online] Uwasa.fi. Available at: </w:t>
      </w:r>
      <w:r>
        <w:rPr>
          <w:rFonts w:ascii="Times New Roman" w:hAnsi="Times New Roman" w:eastAsia="Times New Roman" w:cs="Times New Roman"/>
          <w:color w:val="1155CC"/>
          <w:sz w:val="24"/>
          <w:szCs w:val="24"/>
        </w:rPr>
        <w:t>https://osuva.uwasa.fi/items/22499073-270c-4493-916c-d74c530c9a54.</w:t>
      </w:r>
    </w:p>
    <w:p w14:paraId="00000145">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Mascarenhas, T.T. (2024). Are United Kingdom online fashion retailers sufficiently implementing green or sustainable practices to ensure environmental protection and increase customer engagement? - NORMA@NCI Library. </w:t>
      </w:r>
      <w:r>
        <w:rPr>
          <w:rFonts w:ascii="Times New Roman" w:hAnsi="Times New Roman" w:eastAsia="Times New Roman" w:cs="Times New Roman"/>
          <w:i/>
          <w:iCs/>
          <w:sz w:val="24"/>
          <w:szCs w:val="24"/>
        </w:rPr>
        <w:t>Ncirl.ie</w:t>
      </w:r>
      <w:r>
        <w:rPr>
          <w:rFonts w:ascii="Times New Roman" w:hAnsi="Times New Roman" w:eastAsia="Times New Roman" w:cs="Times New Roman"/>
          <w:sz w:val="24"/>
          <w:szCs w:val="24"/>
        </w:rPr>
        <w:t>. [online] doi:</w:t>
      </w:r>
      <w:r>
        <w:rPr>
          <w:rFonts w:ascii="Times New Roman" w:hAnsi="Times New Roman" w:eastAsia="Times New Roman" w:cs="Times New Roman"/>
          <w:color w:val="1155CC"/>
          <w:sz w:val="24"/>
          <w:szCs w:val="24"/>
        </w:rPr>
        <w:t>https://norma.ncirl.ie/8482/1/trevorthimothymascarenhas.pdf.</w:t>
      </w:r>
    </w:p>
    <w:p w14:paraId="00000146">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Mogaji, E. (2025a). </w:t>
      </w:r>
      <w:r>
        <w:rPr>
          <w:rFonts w:ascii="Times New Roman" w:hAnsi="Times New Roman" w:eastAsia="Times New Roman" w:cs="Times New Roman"/>
          <w:i/>
          <w:iCs/>
          <w:sz w:val="24"/>
          <w:szCs w:val="24"/>
        </w:rPr>
        <w:t>Global Strategic Marketing</w:t>
      </w:r>
      <w:r>
        <w:rPr>
          <w:rFonts w:ascii="Times New Roman" w:hAnsi="Times New Roman" w:eastAsia="Times New Roman" w:cs="Times New Roman"/>
          <w:sz w:val="24"/>
          <w:szCs w:val="24"/>
        </w:rPr>
        <w:t>. [online] doi:</w:t>
      </w:r>
      <w:r>
        <w:rPr>
          <w:rFonts w:ascii="Times New Roman" w:hAnsi="Times New Roman" w:eastAsia="Times New Roman" w:cs="Times New Roman"/>
          <w:color w:val="1155CC"/>
          <w:sz w:val="24"/>
          <w:szCs w:val="24"/>
        </w:rPr>
        <w:t>https://doi.org/10.1007/978-3-031-99367-1_8.</w:t>
      </w:r>
    </w:p>
    <w:p w14:paraId="00000147">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Mogaji, E. (2025b). Market Segmentation, Targeting, and Positioning. </w:t>
      </w:r>
      <w:r>
        <w:rPr>
          <w:rFonts w:ascii="Times New Roman" w:hAnsi="Times New Roman" w:eastAsia="Times New Roman" w:cs="Times New Roman"/>
          <w:i/>
          <w:iCs/>
          <w:sz w:val="24"/>
          <w:szCs w:val="24"/>
        </w:rPr>
        <w:t>Strategic Marketing Management</w:t>
      </w:r>
      <w:r>
        <w:rPr>
          <w:rFonts w:ascii="Times New Roman" w:hAnsi="Times New Roman" w:eastAsia="Times New Roman" w:cs="Times New Roman"/>
          <w:sz w:val="24"/>
          <w:szCs w:val="24"/>
        </w:rPr>
        <w:t>, pp.103–133. doi:</w:t>
      </w:r>
      <w:r>
        <w:rPr>
          <w:rFonts w:ascii="Times New Roman" w:hAnsi="Times New Roman" w:eastAsia="Times New Roman" w:cs="Times New Roman"/>
          <w:color w:val="1155CC"/>
          <w:sz w:val="24"/>
          <w:szCs w:val="24"/>
        </w:rPr>
        <w:t>https://doi.org/10.1007/978-3-031-99367-1_5.</w:t>
      </w:r>
    </w:p>
    <w:p w14:paraId="00000148">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McLeod, S. (2025). </w:t>
      </w:r>
      <w:r>
        <w:rPr>
          <w:rFonts w:ascii="Times New Roman" w:hAnsi="Times New Roman" w:eastAsia="Times New Roman" w:cs="Times New Roman"/>
          <w:i/>
          <w:iCs/>
          <w:sz w:val="24"/>
          <w:szCs w:val="24"/>
        </w:rPr>
        <w:t>Gibbs Reflective Cycle</w:t>
      </w:r>
      <w:r>
        <w:rPr>
          <w:rFonts w:ascii="Times New Roman" w:hAnsi="Times New Roman" w:eastAsia="Times New Roman" w:cs="Times New Roman"/>
          <w:sz w:val="24"/>
          <w:szCs w:val="24"/>
        </w:rPr>
        <w:t xml:space="preserve">. [online] Simply Psychology. Available at: </w:t>
      </w:r>
      <w:r>
        <w:fldChar w:fldCharType="begin"/>
      </w:r>
      <w:r>
        <w:instrText xml:space="preserve"> HYPERLINK "https://www.simplypsychology.org/gibbs-reflective-cycle.html" \h </w:instrText>
      </w:r>
      <w:r>
        <w:fldChar w:fldCharType="separate"/>
      </w:r>
      <w:r>
        <w:rPr>
          <w:rFonts w:ascii="Times New Roman" w:hAnsi="Times New Roman" w:eastAsia="Times New Roman" w:cs="Times New Roman"/>
          <w:color w:val="1155CC"/>
          <w:sz w:val="24"/>
          <w:szCs w:val="24"/>
          <w:u w:val="single"/>
        </w:rPr>
        <w:t>https://www.simplypsychology.org/gibbs-reflective-cycle.html</w:t>
      </w:r>
      <w:r>
        <w:rPr>
          <w:rFonts w:ascii="Times New Roman" w:hAnsi="Times New Roman" w:eastAsia="Times New Roman" w:cs="Times New Roman"/>
          <w:color w:val="1155CC"/>
          <w:sz w:val="24"/>
          <w:szCs w:val="24"/>
          <w:u w:val="single"/>
        </w:rPr>
        <w:fldChar w:fldCharType="end"/>
      </w:r>
    </w:p>
    <w:p w14:paraId="00000149">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Nishadha (2025). </w:t>
      </w:r>
      <w:r>
        <w:rPr>
          <w:rFonts w:ascii="Times New Roman" w:hAnsi="Times New Roman" w:eastAsia="Times New Roman" w:cs="Times New Roman"/>
          <w:i/>
          <w:iCs/>
          <w:sz w:val="24"/>
          <w:szCs w:val="24"/>
        </w:rPr>
        <w:t>PEST and SWOT Analysis – A Guide on How to Use Them | Creately</w:t>
      </w:r>
      <w:r>
        <w:rPr>
          <w:rFonts w:ascii="Times New Roman" w:hAnsi="Times New Roman" w:eastAsia="Times New Roman" w:cs="Times New Roman"/>
          <w:sz w:val="24"/>
          <w:szCs w:val="24"/>
        </w:rPr>
        <w:t xml:space="preserve">. [online] Creately. Available at: </w:t>
      </w:r>
      <w:r>
        <w:fldChar w:fldCharType="begin"/>
      </w:r>
      <w:r>
        <w:instrText xml:space="preserve"> HYPERLINK "https://creately.com/guides/pest-and-swot-analysis/" \h </w:instrText>
      </w:r>
      <w:r>
        <w:fldChar w:fldCharType="separate"/>
      </w:r>
      <w:r>
        <w:rPr>
          <w:rFonts w:ascii="Times New Roman" w:hAnsi="Times New Roman" w:eastAsia="Times New Roman" w:cs="Times New Roman"/>
          <w:color w:val="1155CC"/>
          <w:sz w:val="24"/>
          <w:szCs w:val="24"/>
          <w:u w:val="single"/>
        </w:rPr>
        <w:t>https://creately.com/guides/pest-and-swot-analysis/</w:t>
      </w:r>
      <w:r>
        <w:rPr>
          <w:rFonts w:ascii="Times New Roman" w:hAnsi="Times New Roman" w:eastAsia="Times New Roman" w:cs="Times New Roman"/>
          <w:color w:val="1155CC"/>
          <w:sz w:val="24"/>
          <w:szCs w:val="24"/>
          <w:u w:val="single"/>
        </w:rPr>
        <w:fldChar w:fldCharType="end"/>
      </w:r>
    </w:p>
    <w:p w14:paraId="0000014A">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Nygrén, A. (2023). </w:t>
      </w:r>
      <w:r>
        <w:rPr>
          <w:rFonts w:ascii="Times New Roman" w:hAnsi="Times New Roman" w:eastAsia="Times New Roman" w:cs="Times New Roman"/>
          <w:i/>
          <w:iCs/>
          <w:sz w:val="24"/>
          <w:szCs w:val="24"/>
        </w:rPr>
        <w:t>The Finnish home, houseplants and humidity: Sustainable Humidifier Design Exploration</w:t>
      </w:r>
      <w:r>
        <w:rPr>
          <w:rFonts w:ascii="Times New Roman" w:hAnsi="Times New Roman" w:eastAsia="Times New Roman" w:cs="Times New Roman"/>
          <w:sz w:val="24"/>
          <w:szCs w:val="24"/>
        </w:rPr>
        <w:t xml:space="preserve">. [online] Aalto.fi. Available at: </w:t>
      </w:r>
      <w:r>
        <w:rPr>
          <w:rFonts w:ascii="Times New Roman" w:hAnsi="Times New Roman" w:eastAsia="Times New Roman" w:cs="Times New Roman"/>
          <w:color w:val="1155CC"/>
          <w:sz w:val="24"/>
          <w:szCs w:val="24"/>
        </w:rPr>
        <w:t>https://aaltodoc.aalto.fi/items/8b3d594f-ca5a-46c7-8264-ff6f9c01ea5d [Accessed 18 Feb. 2026]</w:t>
      </w:r>
      <w:r>
        <w:rPr>
          <w:rFonts w:ascii="Times New Roman" w:hAnsi="Times New Roman" w:eastAsia="Times New Roman" w:cs="Times New Roman"/>
          <w:color w:val="1155CC"/>
          <w:sz w:val="24"/>
          <w:szCs w:val="24"/>
        </w:rPr>
        <w:t>.</w:t>
      </w:r>
    </w:p>
    <w:p w14:paraId="0000014B">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O’Donovan, N. (2021). Demand, dysfunction and distribution: The UK growth model from neoliberalism to the knowledge economy. </w:t>
      </w:r>
      <w:r>
        <w:rPr>
          <w:rFonts w:ascii="Times New Roman" w:hAnsi="Times New Roman" w:eastAsia="Times New Roman" w:cs="Times New Roman"/>
          <w:i/>
          <w:iCs/>
          <w:sz w:val="24"/>
          <w:szCs w:val="24"/>
        </w:rPr>
        <w:t>The British Journal of Politics and International Relations</w:t>
      </w:r>
      <w:r>
        <w:rPr>
          <w:rFonts w:ascii="Times New Roman" w:hAnsi="Times New Roman" w:eastAsia="Times New Roman" w:cs="Times New Roman"/>
          <w:sz w:val="24"/>
          <w:szCs w:val="24"/>
        </w:rPr>
        <w:t>, 25(1), p.136914812110580. doi:</w:t>
      </w:r>
      <w:r>
        <w:rPr>
          <w:rFonts w:ascii="Times New Roman" w:hAnsi="Times New Roman" w:eastAsia="Times New Roman" w:cs="Times New Roman"/>
          <w:color w:val="1155CC"/>
          <w:sz w:val="24"/>
          <w:szCs w:val="24"/>
        </w:rPr>
        <w:t>https://doi.org/10.1177/13691481211058018.</w:t>
      </w:r>
    </w:p>
    <w:p w14:paraId="0000014C">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Popova, A. and Lysa, S. (2023). OMNICHANNEL MARKETING IN CHINA: EVALUATING THE SUCCESS FACTORS FOR CHINESE CORPORATIONS. </w:t>
      </w:r>
      <w:r>
        <w:rPr>
          <w:rFonts w:ascii="Times New Roman" w:hAnsi="Times New Roman" w:eastAsia="Times New Roman" w:cs="Times New Roman"/>
          <w:i/>
          <w:iCs/>
          <w:sz w:val="24"/>
          <w:szCs w:val="24"/>
        </w:rPr>
        <w:t>Grail of Science</w:t>
      </w:r>
      <w:r>
        <w:rPr>
          <w:rFonts w:ascii="Times New Roman" w:hAnsi="Times New Roman" w:eastAsia="Times New Roman" w:cs="Times New Roman"/>
          <w:sz w:val="24"/>
          <w:szCs w:val="24"/>
        </w:rPr>
        <w:t>, [online] (33), pp.75–81. doi:</w:t>
      </w:r>
      <w:r>
        <w:rPr>
          <w:rFonts w:ascii="Times New Roman" w:hAnsi="Times New Roman" w:eastAsia="Times New Roman" w:cs="Times New Roman"/>
          <w:color w:val="1155CC"/>
          <w:sz w:val="24"/>
          <w:szCs w:val="24"/>
        </w:rPr>
        <w:t>https://doi.org/10.36074/grail-of-science.10.11.2023.11.</w:t>
      </w:r>
    </w:p>
    <w:p w14:paraId="0000014D">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Pudelko, M. (2023). Global Integration versus Local Responsiveness. </w:t>
      </w:r>
      <w:r>
        <w:rPr>
          <w:rFonts w:ascii="Times New Roman" w:hAnsi="Times New Roman" w:eastAsia="Times New Roman" w:cs="Times New Roman"/>
          <w:i/>
          <w:iCs/>
          <w:sz w:val="24"/>
          <w:szCs w:val="24"/>
        </w:rPr>
        <w:t>Routledge eBooks</w:t>
      </w:r>
      <w:r>
        <w:rPr>
          <w:rFonts w:ascii="Times New Roman" w:hAnsi="Times New Roman" w:eastAsia="Times New Roman" w:cs="Times New Roman"/>
          <w:sz w:val="24"/>
          <w:szCs w:val="24"/>
        </w:rPr>
        <w:t>, pp.49–71. doi:</w:t>
      </w:r>
      <w:r>
        <w:rPr>
          <w:rFonts w:ascii="Times New Roman" w:hAnsi="Times New Roman" w:eastAsia="Times New Roman" w:cs="Times New Roman"/>
          <w:color w:val="1155CC"/>
          <w:sz w:val="24"/>
          <w:szCs w:val="24"/>
        </w:rPr>
        <w:t>https://doi.org/10.4324/9781003247272-4.</w:t>
      </w:r>
    </w:p>
    <w:p w14:paraId="0000014E">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Rêgo, B.S., Jayantilal, S., Ferreira, J.J. and Carayannis, E.G. (2021). Digital Transformation and Strategic Management: a Systematic Review of Literature. </w:t>
      </w:r>
      <w:r>
        <w:rPr>
          <w:rFonts w:ascii="Times New Roman" w:hAnsi="Times New Roman" w:eastAsia="Times New Roman" w:cs="Times New Roman"/>
          <w:i/>
          <w:iCs/>
          <w:sz w:val="24"/>
          <w:szCs w:val="24"/>
        </w:rPr>
        <w:t>Journal of the Knowledge Economy</w:t>
      </w:r>
      <w:r>
        <w:rPr>
          <w:rFonts w:ascii="Times New Roman" w:hAnsi="Times New Roman" w:eastAsia="Times New Roman" w:cs="Times New Roman"/>
          <w:sz w:val="24"/>
          <w:szCs w:val="24"/>
        </w:rPr>
        <w:t>, 13(4).</w:t>
      </w:r>
    </w:p>
    <w:p w14:paraId="0000014F">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Schill, R. and Nixon, M. (2024). </w:t>
      </w:r>
      <w:r>
        <w:rPr>
          <w:rFonts w:ascii="Times New Roman" w:hAnsi="Times New Roman" w:eastAsia="Times New Roman" w:cs="Times New Roman"/>
          <w:i/>
          <w:iCs/>
          <w:sz w:val="24"/>
          <w:szCs w:val="24"/>
        </w:rPr>
        <w:t>The seven ‘C’s of strategic pricing in international ...: Ingenta Connect</w:t>
      </w:r>
      <w:r>
        <w:rPr>
          <w:rFonts w:ascii="Times New Roman" w:hAnsi="Times New Roman" w:eastAsia="Times New Roman" w:cs="Times New Roman"/>
          <w:sz w:val="24"/>
          <w:szCs w:val="24"/>
        </w:rPr>
        <w:t xml:space="preserve">. [online] Ingentaconnect.com. Available at: </w:t>
      </w:r>
      <w:r>
        <w:rPr>
          <w:rFonts w:ascii="Times New Roman" w:hAnsi="Times New Roman" w:eastAsia="Times New Roman" w:cs="Times New Roman"/>
          <w:color w:val="1155CC"/>
          <w:sz w:val="24"/>
          <w:szCs w:val="24"/>
        </w:rPr>
        <w:t>https://www.ingentaconnect.com/content/hsp/jcms/2024/00000008/00000002/art00005.</w:t>
      </w:r>
    </w:p>
    <w:p w14:paraId="00000150">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Shao, X., Liu, S., Ran, R. and Liu, Y. (2022). Environmental regulation, market demand, and green innovation: spatial perspective evidence from China. </w:t>
      </w:r>
      <w:r>
        <w:rPr>
          <w:rFonts w:ascii="Times New Roman" w:hAnsi="Times New Roman" w:eastAsia="Times New Roman" w:cs="Times New Roman"/>
          <w:i/>
          <w:iCs/>
          <w:sz w:val="24"/>
          <w:szCs w:val="24"/>
        </w:rPr>
        <w:t>Environmental Science and Pollution Research</w:t>
      </w:r>
      <w:r>
        <w:rPr>
          <w:rFonts w:ascii="Times New Roman" w:hAnsi="Times New Roman" w:eastAsia="Times New Roman" w:cs="Times New Roman"/>
          <w:sz w:val="24"/>
          <w:szCs w:val="24"/>
        </w:rPr>
        <w:t>. doi:</w:t>
      </w:r>
      <w:r>
        <w:rPr>
          <w:rFonts w:ascii="Times New Roman" w:hAnsi="Times New Roman" w:eastAsia="Times New Roman" w:cs="Times New Roman"/>
          <w:color w:val="1155CC"/>
          <w:sz w:val="24"/>
          <w:szCs w:val="24"/>
        </w:rPr>
        <w:t>https://doi.org/10.1007/s11356-022-20313-y.</w:t>
      </w:r>
    </w:p>
    <w:p w14:paraId="00000151">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Sicular, T., Yang, X. and Gustafsson, B. (2022). The Rise of China’s Global Middle Class in an International Context. </w:t>
      </w:r>
      <w:r>
        <w:rPr>
          <w:rFonts w:ascii="Times New Roman" w:hAnsi="Times New Roman" w:eastAsia="Times New Roman" w:cs="Times New Roman"/>
          <w:i/>
          <w:iCs/>
          <w:sz w:val="24"/>
          <w:szCs w:val="24"/>
        </w:rPr>
        <w:t>China &amp; World Economy</w:t>
      </w:r>
      <w:r>
        <w:rPr>
          <w:rFonts w:ascii="Times New Roman" w:hAnsi="Times New Roman" w:eastAsia="Times New Roman" w:cs="Times New Roman"/>
          <w:sz w:val="24"/>
          <w:szCs w:val="24"/>
        </w:rPr>
        <w:t>, 30(1), pp.5–27. doi:</w:t>
      </w:r>
      <w:r>
        <w:rPr>
          <w:rFonts w:ascii="Times New Roman" w:hAnsi="Times New Roman" w:eastAsia="Times New Roman" w:cs="Times New Roman"/>
          <w:color w:val="1155CC"/>
          <w:sz w:val="24"/>
          <w:szCs w:val="24"/>
        </w:rPr>
        <w:t>https://doi.org/10.1111/cwe.12400.</w:t>
      </w:r>
    </w:p>
    <w:p w14:paraId="00000152">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Sukanlaya Sawang, Lee, C.-C., Cindy Yunhsin Chou, Nanjangud Vishwanath Vighnesh and Chandrashekar, D. (2023). Understanding post-pandemic market segmentation through perceived risk, behavioural intention, and emotional wellbeing of consumers. </w:t>
      </w:r>
      <w:r>
        <w:rPr>
          <w:rFonts w:ascii="Times New Roman" w:hAnsi="Times New Roman" w:eastAsia="Times New Roman" w:cs="Times New Roman"/>
          <w:i/>
          <w:iCs/>
          <w:sz w:val="24"/>
          <w:szCs w:val="24"/>
        </w:rPr>
        <w:t>Journal of Retailing and Consumer Services</w:t>
      </w:r>
      <w:r>
        <w:rPr>
          <w:rFonts w:ascii="Times New Roman" w:hAnsi="Times New Roman" w:eastAsia="Times New Roman" w:cs="Times New Roman"/>
          <w:sz w:val="24"/>
          <w:szCs w:val="24"/>
        </w:rPr>
        <w:t>, 75, pp.103482–103482. doi</w:t>
      </w:r>
      <w:r>
        <w:rPr>
          <w:rFonts w:ascii="Times New Roman" w:hAnsi="Times New Roman" w:eastAsia="Times New Roman" w:cs="Times New Roman"/>
          <w:color w:val="1155CC"/>
          <w:sz w:val="24"/>
          <w:szCs w:val="24"/>
        </w:rPr>
        <w:t>:https://doi.org/10.1016/j.jretconser.2023.103482.</w:t>
      </w:r>
    </w:p>
    <w:p w14:paraId="00000153">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Sun, J., Ma, B. and Li, X. (2025). Inclusive yet unconvincing: when robot-delivered inclusive service undermines customer citizenship behavior. </w:t>
      </w:r>
      <w:r>
        <w:rPr>
          <w:rFonts w:ascii="Times New Roman" w:hAnsi="Times New Roman" w:eastAsia="Times New Roman" w:cs="Times New Roman"/>
          <w:i/>
          <w:iCs/>
          <w:sz w:val="24"/>
          <w:szCs w:val="24"/>
        </w:rPr>
        <w:t>Journal of Hospitality Marketing &amp; Management</w:t>
      </w:r>
      <w:r>
        <w:rPr>
          <w:rFonts w:ascii="Times New Roman" w:hAnsi="Times New Roman" w:eastAsia="Times New Roman" w:cs="Times New Roman"/>
          <w:sz w:val="24"/>
          <w:szCs w:val="24"/>
        </w:rPr>
        <w:t>, 35(2), pp.166–202. doi:</w:t>
      </w:r>
      <w:r>
        <w:rPr>
          <w:rFonts w:ascii="Times New Roman" w:hAnsi="Times New Roman" w:eastAsia="Times New Roman" w:cs="Times New Roman"/>
          <w:color w:val="1155CC"/>
          <w:sz w:val="24"/>
          <w:szCs w:val="24"/>
        </w:rPr>
        <w:t>https://doi.org/10.1080/19368623.2025.2569062.</w:t>
      </w:r>
    </w:p>
    <w:p w14:paraId="00000154">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Sung, E., Chung, W.Y. and Lee, D. (2023). Factors that affect consumer trust in product quality: a focus on online reviews and shopping platforms. </w:t>
      </w:r>
      <w:r>
        <w:rPr>
          <w:rFonts w:ascii="Times New Roman" w:hAnsi="Times New Roman" w:eastAsia="Times New Roman" w:cs="Times New Roman"/>
          <w:i/>
          <w:iCs/>
          <w:sz w:val="24"/>
          <w:szCs w:val="24"/>
        </w:rPr>
        <w:t>Humanities and Social Sciences Communications</w:t>
      </w:r>
      <w:r>
        <w:rPr>
          <w:rFonts w:ascii="Times New Roman" w:hAnsi="Times New Roman" w:eastAsia="Times New Roman" w:cs="Times New Roman"/>
          <w:sz w:val="24"/>
          <w:szCs w:val="24"/>
        </w:rPr>
        <w:t>, 10(1), pp.1–10.</w:t>
      </w:r>
    </w:p>
    <w:p w14:paraId="00000155">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Vara, N. (2025). Intrinsic value of industrial packaging design in brand image : case studies in the furniture industry. </w:t>
      </w:r>
      <w:r>
        <w:rPr>
          <w:rFonts w:ascii="Times New Roman" w:hAnsi="Times New Roman" w:eastAsia="Times New Roman" w:cs="Times New Roman"/>
          <w:i/>
          <w:iCs/>
          <w:sz w:val="24"/>
          <w:szCs w:val="24"/>
        </w:rPr>
        <w:t>Lutpub.lut.fi</w:t>
      </w:r>
      <w:r>
        <w:rPr>
          <w:rFonts w:ascii="Times New Roman" w:hAnsi="Times New Roman" w:eastAsia="Times New Roman" w:cs="Times New Roman"/>
          <w:sz w:val="24"/>
          <w:szCs w:val="24"/>
        </w:rPr>
        <w:t>. [online] doi:</w:t>
      </w:r>
      <w:r>
        <w:rPr>
          <w:rFonts w:ascii="Times New Roman" w:hAnsi="Times New Roman" w:eastAsia="Times New Roman" w:cs="Times New Roman"/>
          <w:color w:val="1155CC"/>
          <w:sz w:val="24"/>
          <w:szCs w:val="24"/>
        </w:rPr>
        <w:t>https://lutpub.lut.fi/handle/10024/170682.</w:t>
      </w:r>
    </w:p>
    <w:p w14:paraId="00000156">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VITALI, G. (2025). Western food and beverage companies in the Chinese market: challenges and strategies. </w:t>
      </w:r>
      <w:r>
        <w:rPr>
          <w:rFonts w:ascii="Times New Roman" w:hAnsi="Times New Roman" w:eastAsia="Times New Roman" w:cs="Times New Roman"/>
          <w:i/>
          <w:iCs/>
          <w:sz w:val="24"/>
          <w:szCs w:val="24"/>
        </w:rPr>
        <w:t>Unive.it</w:t>
      </w:r>
      <w:r>
        <w:rPr>
          <w:rFonts w:ascii="Times New Roman" w:hAnsi="Times New Roman" w:eastAsia="Times New Roman" w:cs="Times New Roman"/>
          <w:sz w:val="24"/>
          <w:szCs w:val="24"/>
        </w:rPr>
        <w:t>. [online] doi:</w:t>
      </w:r>
      <w:r>
        <w:rPr>
          <w:rFonts w:ascii="Times New Roman" w:hAnsi="Times New Roman" w:eastAsia="Times New Roman" w:cs="Times New Roman"/>
          <w:color w:val="1155CC"/>
          <w:sz w:val="24"/>
          <w:szCs w:val="24"/>
        </w:rPr>
        <w:t>https://hdl.handle.net/20.500.14247/24534.</w:t>
      </w:r>
    </w:p>
    <w:p w14:paraId="00000157">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Walter, Y. (2024). Managing the race to the moon: Global policy and governance in Artificial Intelligence regulation—A contemporary overview and an analysis of socioeconomic consequences. </w:t>
      </w:r>
      <w:r>
        <w:rPr>
          <w:rFonts w:ascii="Times New Roman" w:hAnsi="Times New Roman" w:eastAsia="Times New Roman" w:cs="Times New Roman"/>
          <w:i/>
          <w:iCs/>
          <w:sz w:val="24"/>
          <w:szCs w:val="24"/>
        </w:rPr>
        <w:t>Discover Artificial Intelligence</w:t>
      </w:r>
      <w:r>
        <w:rPr>
          <w:rFonts w:ascii="Times New Roman" w:hAnsi="Times New Roman" w:eastAsia="Times New Roman" w:cs="Times New Roman"/>
          <w:sz w:val="24"/>
          <w:szCs w:val="24"/>
        </w:rPr>
        <w:t>, [online] 4(1). doi</w:t>
      </w:r>
      <w:r>
        <w:rPr>
          <w:rFonts w:ascii="Times New Roman" w:hAnsi="Times New Roman" w:eastAsia="Times New Roman" w:cs="Times New Roman"/>
          <w:color w:val="1155CC"/>
          <w:sz w:val="24"/>
          <w:szCs w:val="24"/>
        </w:rPr>
        <w:t>:https://doi.org/10.1007/s44163-024-00109-4.</w:t>
      </w:r>
    </w:p>
    <w:p w14:paraId="00000158">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Wang, M. (2024). The role of interactive technologies in the physical retail fashion store - White Rose eTheses Online. </w:t>
      </w:r>
      <w:r>
        <w:rPr>
          <w:rFonts w:ascii="Times New Roman" w:hAnsi="Times New Roman" w:eastAsia="Times New Roman" w:cs="Times New Roman"/>
          <w:i/>
          <w:iCs/>
          <w:sz w:val="24"/>
          <w:szCs w:val="24"/>
        </w:rPr>
        <w:t>Whiterose.ac.uk</w:t>
      </w:r>
      <w:r>
        <w:rPr>
          <w:rFonts w:ascii="Times New Roman" w:hAnsi="Times New Roman" w:eastAsia="Times New Roman" w:cs="Times New Roman"/>
          <w:sz w:val="24"/>
          <w:szCs w:val="24"/>
        </w:rPr>
        <w:t>. [online] doi:</w:t>
      </w:r>
      <w:r>
        <w:rPr>
          <w:rFonts w:ascii="Times New Roman" w:hAnsi="Times New Roman" w:eastAsia="Times New Roman" w:cs="Times New Roman"/>
          <w:color w:val="1155CC"/>
          <w:sz w:val="24"/>
          <w:szCs w:val="24"/>
        </w:rPr>
        <w:t>https://etheses.whiterose.ac.uk/id/eprint/35947/1/Wang_M_Design_PhD_2024.pdf.</w:t>
      </w:r>
    </w:p>
    <w:p w14:paraId="00000159">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Yashodhara Keerthisena and Creately (2024). </w:t>
      </w:r>
      <w:r>
        <w:rPr>
          <w:rFonts w:ascii="Times New Roman" w:hAnsi="Times New Roman" w:eastAsia="Times New Roman" w:cs="Times New Roman"/>
          <w:i/>
          <w:iCs/>
          <w:sz w:val="24"/>
          <w:szCs w:val="24"/>
        </w:rPr>
        <w:t>STP Marketing: Transform Your Business Strategy for Growth</w:t>
      </w:r>
      <w:r>
        <w:rPr>
          <w:rFonts w:ascii="Times New Roman" w:hAnsi="Times New Roman" w:eastAsia="Times New Roman" w:cs="Times New Roman"/>
          <w:sz w:val="24"/>
          <w:szCs w:val="24"/>
        </w:rPr>
        <w:t xml:space="preserve">. [online] Creately. Available at: </w:t>
      </w:r>
      <w:r>
        <w:fldChar w:fldCharType="begin"/>
      </w:r>
      <w:r>
        <w:instrText xml:space="preserve"> HYPERLINK "https://creately.com/guides/stp-marketing/" \h </w:instrText>
      </w:r>
      <w:r>
        <w:fldChar w:fldCharType="separate"/>
      </w:r>
      <w:r>
        <w:rPr>
          <w:rFonts w:ascii="Times New Roman" w:hAnsi="Times New Roman" w:eastAsia="Times New Roman" w:cs="Times New Roman"/>
          <w:color w:val="1155CC"/>
          <w:sz w:val="24"/>
          <w:szCs w:val="24"/>
          <w:u w:val="single"/>
        </w:rPr>
        <w:t>https://creately.com/guides/stp-marketing/</w:t>
      </w:r>
      <w:r>
        <w:rPr>
          <w:rFonts w:ascii="Times New Roman" w:hAnsi="Times New Roman" w:eastAsia="Times New Roman" w:cs="Times New Roman"/>
          <w:color w:val="1155CC"/>
          <w:sz w:val="24"/>
          <w:szCs w:val="24"/>
          <w:u w:val="single"/>
        </w:rPr>
        <w:fldChar w:fldCharType="end"/>
      </w:r>
    </w:p>
    <w:p w14:paraId="0000015A">
      <w:pPr>
        <w:spacing w:after="240" w:line="360" w:lineRule="auto"/>
        <w:jc w:val="both"/>
        <w:rPr>
          <w:rFonts w:ascii="Times New Roman" w:hAnsi="Times New Roman" w:eastAsia="Times New Roman" w:cs="Times New Roman"/>
          <w:color w:val="1155CC"/>
          <w:sz w:val="24"/>
          <w:szCs w:val="24"/>
        </w:rPr>
      </w:pPr>
      <w:r>
        <w:rPr>
          <w:rFonts w:ascii="Times New Roman" w:hAnsi="Times New Roman" w:eastAsia="Times New Roman" w:cs="Times New Roman"/>
          <w:sz w:val="24"/>
          <w:szCs w:val="24"/>
        </w:rPr>
        <w:t xml:space="preserve">Zhao, G., Mar Vazquez‐Noguerol, Liu, S. and Prado, C. (2023). Agri‐food supply chain resilience strategies for preparing, responding, recovering, and adapting in relation to unexpected crises: A cross‐country comparative analysis from the COVID‐19 pandemic. </w:t>
      </w:r>
      <w:r>
        <w:rPr>
          <w:rFonts w:ascii="Times New Roman" w:hAnsi="Times New Roman" w:eastAsia="Times New Roman" w:cs="Times New Roman"/>
          <w:i/>
          <w:iCs/>
          <w:sz w:val="24"/>
          <w:szCs w:val="24"/>
        </w:rPr>
        <w:t>Journal of Business Logistics</w:t>
      </w:r>
      <w:r>
        <w:rPr>
          <w:rFonts w:ascii="Times New Roman" w:hAnsi="Times New Roman" w:eastAsia="Times New Roman" w:cs="Times New Roman"/>
          <w:sz w:val="24"/>
          <w:szCs w:val="24"/>
        </w:rPr>
        <w:t>, 45(1). doi:</w:t>
      </w:r>
      <w:r>
        <w:rPr>
          <w:rFonts w:ascii="Times New Roman" w:hAnsi="Times New Roman" w:eastAsia="Times New Roman" w:cs="Times New Roman"/>
          <w:color w:val="1155CC"/>
          <w:sz w:val="24"/>
          <w:szCs w:val="24"/>
        </w:rPr>
        <w:t>https://doi.org/10.1111/jbl.12361.</w:t>
      </w:r>
    </w:p>
    <w:p w14:paraId="0000015B">
      <w:pPr>
        <w:spacing w:before="240" w:after="240" w:line="360" w:lineRule="auto"/>
        <w:jc w:val="both"/>
        <w:rPr>
          <w:rFonts w:ascii="Times New Roman" w:hAnsi="Times New Roman" w:eastAsia="Times New Roman" w:cs="Times New Roman"/>
          <w:sz w:val="24"/>
          <w:szCs w:val="24"/>
        </w:rPr>
      </w:pPr>
    </w:p>
    <w:sectPr>
      <w:headerReference r:id="rId3" w:type="default"/>
      <w:pgSz w:w="12240" w:h="15840"/>
      <w:pgMar w:top="1440" w:right="1440" w:bottom="1440" w:left="1440" w:header="720" w:footer="720" w:gutter="0"/>
      <w:pgNumType w:start="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86"/>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Cardo">
    <w:panose1 w:val="00000000000000000000"/>
    <w:charset w:val="00"/>
    <w:family w:val="auto"/>
    <w:pitch w:val="default"/>
    <w:sig w:usb0="00000000" w:usb1="00000000" w:usb2="00000000" w:usb3="00000000" w:csb0="00000000" w:csb1="00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000015C">
    <w:pPr>
      <w:jc w:val="right"/>
    </w:pPr>
    <w:r>
      <w:fldChar w:fldCharType="begin"/>
    </w:r>
    <w:r>
      <w:instrText xml:space="preserve">PAGE</w:instrText>
    </w:r>
    <w:r>
      <w:fldChar w:fldCharType="separate"/>
    </w:r>
    <w:r>
      <w:fldChar w:fldCharType="end"/>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9C55226"/>
    <w:multiLevelType w:val="multilevel"/>
    <w:tmpl w:val="69C55226"/>
    <w:lvl w:ilvl="0" w:tentative="0">
      <w:start w:val="1"/>
      <w:numFmt w:val="decimal"/>
      <w:lvlText w:val="%1."/>
      <w:lvlJc w:val="left"/>
      <w:pPr>
        <w:ind w:left="720" w:hanging="360"/>
      </w:pPr>
      <w:rPr>
        <w:u w:val="none"/>
      </w:rPr>
    </w:lvl>
    <w:lvl w:ilvl="1" w:tentative="0">
      <w:start w:val="1"/>
      <w:numFmt w:val="lowerLetter"/>
      <w:lvlText w:val="%2."/>
      <w:lvlJc w:val="left"/>
      <w:pPr>
        <w:ind w:left="1440" w:hanging="360"/>
      </w:pPr>
      <w:rPr>
        <w:u w:val="none"/>
      </w:rPr>
    </w:lvl>
    <w:lvl w:ilvl="2" w:tentative="0">
      <w:start w:val="1"/>
      <w:numFmt w:val="lowerRoman"/>
      <w:lvlText w:val="%3."/>
      <w:lvlJc w:val="left"/>
      <w:pPr>
        <w:ind w:left="2160" w:hanging="360"/>
      </w:pPr>
      <w:rPr>
        <w:u w:val="none"/>
      </w:rPr>
    </w:lvl>
    <w:lvl w:ilvl="3" w:tentative="0">
      <w:start w:val="1"/>
      <w:numFmt w:val="decimal"/>
      <w:lvlText w:val="%4."/>
      <w:lvlJc w:val="left"/>
      <w:pPr>
        <w:ind w:left="2880" w:hanging="360"/>
      </w:pPr>
      <w:rPr>
        <w:u w:val="none"/>
      </w:rPr>
    </w:lvl>
    <w:lvl w:ilvl="4" w:tentative="0">
      <w:start w:val="1"/>
      <w:numFmt w:val="lowerLetter"/>
      <w:lvlText w:val="%5."/>
      <w:lvlJc w:val="left"/>
      <w:pPr>
        <w:ind w:left="3600" w:hanging="360"/>
      </w:pPr>
      <w:rPr>
        <w:u w:val="none"/>
      </w:rPr>
    </w:lvl>
    <w:lvl w:ilvl="5" w:tentative="0">
      <w:start w:val="1"/>
      <w:numFmt w:val="lowerRoman"/>
      <w:lvlText w:val="%6."/>
      <w:lvlJc w:val="left"/>
      <w:pPr>
        <w:ind w:left="4320" w:hanging="360"/>
      </w:pPr>
      <w:rPr>
        <w:u w:val="none"/>
      </w:rPr>
    </w:lvl>
    <w:lvl w:ilvl="6" w:tentative="0">
      <w:start w:val="1"/>
      <w:numFmt w:val="decimal"/>
      <w:lvlText w:val="%7."/>
      <w:lvlJc w:val="left"/>
      <w:pPr>
        <w:ind w:left="5040" w:hanging="360"/>
      </w:pPr>
      <w:rPr>
        <w:u w:val="none"/>
      </w:rPr>
    </w:lvl>
    <w:lvl w:ilvl="7" w:tentative="0">
      <w:start w:val="1"/>
      <w:numFmt w:val="lowerLetter"/>
      <w:lvlText w:val="%8."/>
      <w:lvlJc w:val="left"/>
      <w:pPr>
        <w:ind w:left="5760" w:hanging="360"/>
      </w:pPr>
      <w:rPr>
        <w:u w:val="none"/>
      </w:rPr>
    </w:lvl>
    <w:lvl w:ilvl="8" w:tentative="0">
      <w:start w:val="1"/>
      <w:numFmt w:val="lowerRoman"/>
      <w:lvlText w:val="%9."/>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TrueTypeFonts/>
  <w:documentProtection w:enforcement="0"/>
  <w:defaultTabStop w:val="720"/>
  <w:compat>
    <w:compatSetting w:name="compatibilityMode" w:uri="http://schemas.microsoft.com/office/word" w:val="15"/>
  </w:compat>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Arial" w:hAnsi="Arial" w:eastAsia="Arial" w:cs="Arial"/>
      </w:rPr>
    </w:rPrDefault>
  </w:docDefaults>
  <w:latentStyles w:count="260" w:defQFormat="0" w:defUnhideWhenUsed="1" w:defSemiHidden="1" w:defUIPriority="99" w:defLockedState="0">
    <w:lsdException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spacing w:line="276" w:lineRule="auto"/>
    </w:pPr>
    <w:rPr>
      <w:rFonts w:ascii="Arial" w:hAnsi="Arial" w:eastAsia="Arial" w:cs="Arial"/>
      <w:sz w:val="22"/>
      <w:szCs w:val="22"/>
      <w:lang w:val="en"/>
    </w:rPr>
  </w:style>
  <w:style w:type="paragraph" w:styleId="2">
    <w:name w:val="heading 1"/>
    <w:basedOn w:val="1"/>
    <w:next w:val="1"/>
    <w:uiPriority w:val="0"/>
    <w:pPr>
      <w:keepNext/>
      <w:keepLines/>
      <w:pageBreakBefore w:val="0"/>
      <w:spacing w:before="400" w:after="120"/>
    </w:pPr>
    <w:rPr>
      <w:sz w:val="40"/>
      <w:szCs w:val="40"/>
    </w:rPr>
  </w:style>
  <w:style w:type="paragraph" w:styleId="3">
    <w:name w:val="heading 2"/>
    <w:basedOn w:val="1"/>
    <w:next w:val="1"/>
    <w:uiPriority w:val="0"/>
    <w:pPr>
      <w:keepNext/>
      <w:keepLines/>
      <w:pageBreakBefore w:val="0"/>
      <w:spacing w:before="360" w:after="120"/>
    </w:pPr>
    <w:rPr>
      <w:sz w:val="32"/>
      <w:szCs w:val="32"/>
    </w:rPr>
  </w:style>
  <w:style w:type="paragraph" w:styleId="4">
    <w:name w:val="heading 3"/>
    <w:basedOn w:val="1"/>
    <w:next w:val="1"/>
    <w:uiPriority w:val="0"/>
    <w:pPr>
      <w:keepNext/>
      <w:keepLines/>
      <w:pageBreakBefore w:val="0"/>
      <w:spacing w:before="320" w:after="80"/>
    </w:pPr>
    <w:rPr>
      <w:color w:val="434343"/>
      <w:sz w:val="28"/>
      <w:szCs w:val="28"/>
    </w:rPr>
  </w:style>
  <w:style w:type="paragraph" w:styleId="5">
    <w:name w:val="heading 4"/>
    <w:basedOn w:val="1"/>
    <w:next w:val="1"/>
    <w:uiPriority w:val="0"/>
    <w:pPr>
      <w:keepNext/>
      <w:keepLines/>
      <w:pageBreakBefore w:val="0"/>
      <w:spacing w:before="280" w:after="80"/>
    </w:pPr>
    <w:rPr>
      <w:color w:val="666666"/>
      <w:sz w:val="24"/>
      <w:szCs w:val="24"/>
    </w:rPr>
  </w:style>
  <w:style w:type="paragraph" w:styleId="6">
    <w:name w:val="heading 5"/>
    <w:basedOn w:val="1"/>
    <w:next w:val="1"/>
    <w:uiPriority w:val="0"/>
    <w:pPr>
      <w:keepNext/>
      <w:keepLines/>
      <w:pageBreakBefore w:val="0"/>
      <w:spacing w:before="240" w:after="80"/>
    </w:pPr>
    <w:rPr>
      <w:color w:val="666666"/>
      <w:sz w:val="22"/>
      <w:szCs w:val="22"/>
    </w:rPr>
  </w:style>
  <w:style w:type="paragraph" w:styleId="7">
    <w:name w:val="heading 6"/>
    <w:basedOn w:val="1"/>
    <w:next w:val="1"/>
    <w:uiPriority w:val="0"/>
    <w:pPr>
      <w:keepNext/>
      <w:keepLines/>
      <w:pageBreakBefore w:val="0"/>
      <w:spacing w:before="240" w:after="80"/>
    </w:pPr>
    <w:rPr>
      <w:i/>
      <w:iCs/>
      <w:color w:val="666666"/>
      <w:sz w:val="22"/>
      <w:szCs w:val="22"/>
    </w:rPr>
  </w:style>
  <w:style w:type="character" w:default="1" w:styleId="10">
    <w:name w:val="Default Paragraph Font"/>
    <w:semiHidden/>
    <w:uiPriority w:val="0"/>
  </w:style>
  <w:style w:type="table" w:default="1" w:styleId="11">
    <w:name w:val="Normal Table"/>
    <w:semiHidden/>
    <w:uiPriority w:val="0"/>
    <w:tblPr>
      <w:tblLayout w:type="fixed"/>
      <w:tblCellMar>
        <w:top w:w="0" w:type="dxa"/>
        <w:left w:w="108" w:type="dxa"/>
        <w:bottom w:w="0" w:type="dxa"/>
        <w:right w:w="108" w:type="dxa"/>
      </w:tblCellMar>
    </w:tblPr>
  </w:style>
  <w:style w:type="paragraph" w:styleId="8">
    <w:name w:val="Subtitle"/>
    <w:basedOn w:val="1"/>
    <w:next w:val="1"/>
    <w:uiPriority w:val="0"/>
    <w:pPr>
      <w:keepNext/>
      <w:keepLines/>
      <w:pageBreakBefore w:val="0"/>
      <w:spacing w:before="0" w:after="320"/>
    </w:pPr>
    <w:rPr>
      <w:rFonts w:ascii="Arial" w:hAnsi="Arial" w:eastAsia="Arial" w:cs="Arial"/>
      <w:color w:val="666666"/>
      <w:sz w:val="30"/>
      <w:szCs w:val="30"/>
    </w:rPr>
  </w:style>
  <w:style w:type="paragraph" w:styleId="9">
    <w:name w:val="Title"/>
    <w:basedOn w:val="1"/>
    <w:next w:val="1"/>
    <w:uiPriority w:val="0"/>
    <w:pPr>
      <w:keepNext/>
      <w:keepLines/>
      <w:pageBreakBefore w:val="0"/>
      <w:spacing w:before="0" w:after="60"/>
    </w:pPr>
    <w:rPr>
      <w:sz w:val="52"/>
      <w:szCs w:val="52"/>
    </w:rPr>
  </w:style>
  <w:style w:type="table" w:customStyle="1" w:styleId="12">
    <w:name w:val="TableNormal"/>
    <w:uiPriority w:val="0"/>
    <w:tblPr>
      <w:tblLayout w:type="fixed"/>
      <w:tblCellMar>
        <w:top w:w="100" w:type="dxa"/>
        <w:left w:w="100" w:type="dxa"/>
        <w:bottom w:w="100" w:type="dxa"/>
        <w:right w:w="100" w:type="dxa"/>
      </w:tblCellMar>
    </w:tblPr>
  </w:style>
  <w:style w:type="table" w:customStyle="1" w:styleId="13">
    <w:name w:val="_Style 10"/>
    <w:basedOn w:val="12"/>
    <w:uiPriority w:val="0"/>
    <w:tblPr>
      <w:tblLayout w:type="fixed"/>
    </w:tblPr>
  </w:style>
  <w:style w:type="table" w:customStyle="1" w:styleId="14">
    <w:name w:val="_Style 11"/>
    <w:basedOn w:val="12"/>
    <w:uiPriority w:val="0"/>
    <w:tblPr>
      <w:tblLayout w:type="fixed"/>
    </w:tblPr>
  </w:style>
  <w:style w:type="table" w:customStyle="1" w:styleId="15">
    <w:name w:val="_Style 12"/>
    <w:basedOn w:val="12"/>
    <w:uiPriority w:val="0"/>
    <w:tblPr>
      <w:tblLayout w:type="fixed"/>
    </w:tbl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header" Target="head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Pages>0</Pages>
  <Words>0</Words>
  <Characters>0</Characters>
  <Lines>0</Lines>
  <Paragraphs>0</Paragraphs>
  <ScaleCrop>false</ScaleCrop>
  <LinksUpToDate>false</LinksUpToDate>
  <CharactersWithSpaces>0</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2026-03-26T15:34:50Z</dcterms:created>
  <cp:lastModifiedBy>iPhone</cp:lastModifiedBy>
  <dcterms:modified xsi:type="dcterms:W3CDTF">2026-03-26T15:35:31Z</dcterms:modified>
  <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21F28D4D6AFEF7581A52C5694F1C282A_31</vt:lpwstr>
  </property>
  <property fmtid="{D5CDD505-2E9C-101B-9397-08002B2CF9AE}" pid="3" name="KSOProductBuildVer">
    <vt:lpwstr>3081-11.37.40</vt:lpwstr>
  </property>
</Properties>
</file>