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rPr>
        <w:id w:val="-1239094113"/>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74928F1A" w14:textId="3EE46565" w:rsidR="00A17CAB" w:rsidRPr="0060103D" w:rsidRDefault="00A17CAB" w:rsidP="0060103D">
          <w:pPr>
            <w:pStyle w:val="NoSpacing"/>
            <w:spacing w:before="1540" w:after="240" w:line="360" w:lineRule="auto"/>
            <w:jc w:val="center"/>
            <w:rPr>
              <w:rFonts w:ascii="Arial" w:hAnsi="Arial" w:cs="Arial"/>
              <w:color w:val="156082" w:themeColor="accent1"/>
            </w:rPr>
          </w:pPr>
          <w:r w:rsidRPr="0060103D">
            <w:rPr>
              <w:rFonts w:ascii="Arial" w:hAnsi="Arial" w:cs="Arial"/>
              <w:noProof/>
              <w:color w:val="156082" w:themeColor="accent1"/>
            </w:rPr>
            <w:drawing>
              <wp:inline distT="0" distB="0" distL="0" distR="0" wp14:anchorId="0B96859C" wp14:editId="289075DC">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kern w:val="2"/>
              <w:sz w:val="72"/>
              <w:szCs w:val="72"/>
              <w:lang w:val="en-GB" w:eastAsia="en-US"/>
              <w14:ligatures w14:val="standardContextual"/>
            </w:rPr>
            <w:alias w:val="Title"/>
            <w:tag w:val=""/>
            <w:id w:val="1735040861"/>
            <w:placeholder>
              <w:docPart w:val="670CC281DE2E404097316A032753FCCD"/>
            </w:placeholder>
            <w:dataBinding w:prefixMappings="xmlns:ns0='http://purl.org/dc/elements/1.1/' xmlns:ns1='http://schemas.openxmlformats.org/package/2006/metadata/core-properties' " w:xpath="/ns1:coreProperties[1]/ns0:title[1]" w:storeItemID="{6C3C8BC8-F283-45AE-878A-BAB7291924A1}"/>
            <w:text/>
          </w:sdtPr>
          <w:sdtContent>
            <w:p w14:paraId="3588D248" w14:textId="158AFF0A" w:rsidR="00A17CAB" w:rsidRPr="0060103D" w:rsidRDefault="00A17CAB" w:rsidP="0060103D">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80"/>
                  <w:szCs w:val="80"/>
                </w:rPr>
              </w:pPr>
              <w:r w:rsidRPr="0060103D">
                <w:rPr>
                  <w:rFonts w:ascii="Arial" w:eastAsiaTheme="majorEastAsia" w:hAnsi="Arial" w:cs="Arial"/>
                  <w:caps/>
                  <w:color w:val="156082" w:themeColor="accent1"/>
                  <w:kern w:val="2"/>
                  <w:sz w:val="72"/>
                  <w:szCs w:val="72"/>
                  <w:lang w:val="en-GB" w:eastAsia="en-US"/>
                  <w14:ligatures w14:val="standardContextual"/>
                </w:rPr>
                <w:t xml:space="preserve">Component 2: </w:t>
              </w:r>
              <w:proofErr w:type="gramStart"/>
              <w:r w:rsidRPr="0060103D">
                <w:rPr>
                  <w:rFonts w:ascii="Arial" w:eastAsiaTheme="majorEastAsia" w:hAnsi="Arial" w:cs="Arial"/>
                  <w:caps/>
                  <w:color w:val="156082" w:themeColor="accent1"/>
                  <w:kern w:val="2"/>
                  <w:sz w:val="72"/>
                  <w:szCs w:val="72"/>
                  <w:lang w:val="en-GB" w:eastAsia="en-US"/>
                  <w14:ligatures w14:val="standardContextual"/>
                </w:rPr>
                <w:t>Coursework:Essay</w:t>
              </w:r>
              <w:proofErr w:type="gramEnd"/>
            </w:p>
          </w:sdtContent>
        </w:sdt>
        <w:sdt>
          <w:sdtPr>
            <w:rPr>
              <w:rFonts w:ascii="Arial" w:eastAsiaTheme="minorHAnsi" w:hAnsi="Arial" w:cs="Arial"/>
              <w:color w:val="156082" w:themeColor="accent1"/>
              <w:kern w:val="2"/>
              <w:sz w:val="28"/>
              <w:szCs w:val="28"/>
              <w:lang w:val="en-GB" w:eastAsia="en-US"/>
              <w14:ligatures w14:val="standardContextual"/>
            </w:rPr>
            <w:alias w:val="Subtitle"/>
            <w:tag w:val=""/>
            <w:id w:val="328029620"/>
            <w:placeholder>
              <w:docPart w:val="27F709CFDE019B40B88012FF6E8268B5"/>
            </w:placeholder>
            <w:dataBinding w:prefixMappings="xmlns:ns0='http://purl.org/dc/elements/1.1/' xmlns:ns1='http://schemas.openxmlformats.org/package/2006/metadata/core-properties' " w:xpath="/ns1:coreProperties[1]/ns0:subject[1]" w:storeItemID="{6C3C8BC8-F283-45AE-878A-BAB7291924A1}"/>
            <w:text/>
          </w:sdtPr>
          <w:sdtContent>
            <w:p w14:paraId="5CF7D4F8" w14:textId="7EAF243C" w:rsidR="00A17CAB" w:rsidRPr="0060103D" w:rsidRDefault="00A17CAB" w:rsidP="0060103D">
              <w:pPr>
                <w:pStyle w:val="NoSpacing"/>
                <w:spacing w:line="360" w:lineRule="auto"/>
                <w:jc w:val="center"/>
                <w:rPr>
                  <w:rFonts w:ascii="Arial" w:hAnsi="Arial" w:cs="Arial"/>
                  <w:color w:val="156082" w:themeColor="accent1"/>
                  <w:sz w:val="28"/>
                  <w:szCs w:val="28"/>
                </w:rPr>
              </w:pPr>
              <w:r w:rsidRPr="0060103D">
                <w:rPr>
                  <w:rFonts w:ascii="Arial" w:eastAsiaTheme="minorHAnsi" w:hAnsi="Arial" w:cs="Arial"/>
                  <w:color w:val="156082" w:themeColor="accent1"/>
                  <w:kern w:val="2"/>
                  <w:sz w:val="28"/>
                  <w:szCs w:val="28"/>
                  <w:lang w:val="en-GB" w:eastAsia="en-US"/>
                  <w14:ligatures w14:val="standardContextual"/>
                </w:rPr>
                <w:t>International Business Communications</w:t>
              </w:r>
              <w:r w:rsidRPr="0060103D">
                <w:rPr>
                  <w:rFonts w:ascii="Arial" w:eastAsiaTheme="minorHAnsi" w:hAnsi="Arial" w:cs="Arial"/>
                  <w:color w:val="156082" w:themeColor="accent1"/>
                  <w:kern w:val="2"/>
                  <w:sz w:val="28"/>
                  <w:szCs w:val="28"/>
                  <w:lang w:val="en-GB" w:eastAsia="en-US"/>
                  <w14:ligatures w14:val="standardContextual"/>
                </w:rPr>
                <w:t xml:space="preserve"> (</w:t>
              </w:r>
              <w:r w:rsidRPr="0060103D">
                <w:rPr>
                  <w:rFonts w:ascii="Arial" w:eastAsiaTheme="minorHAnsi" w:hAnsi="Arial" w:cs="Arial"/>
                  <w:color w:val="156082" w:themeColor="accent1"/>
                  <w:kern w:val="2"/>
                  <w:sz w:val="28"/>
                  <w:szCs w:val="28"/>
                  <w:lang w:val="en-GB" w:eastAsia="en-US"/>
                  <w14:ligatures w14:val="standardContextual"/>
                </w:rPr>
                <w:t>LCBB6023</w:t>
              </w:r>
              <w:r w:rsidRPr="0060103D">
                <w:rPr>
                  <w:rFonts w:ascii="Arial" w:eastAsiaTheme="minorHAnsi" w:hAnsi="Arial" w:cs="Arial"/>
                  <w:color w:val="156082" w:themeColor="accent1"/>
                  <w:kern w:val="2"/>
                  <w:sz w:val="28"/>
                  <w:szCs w:val="28"/>
                  <w:lang w:val="en-GB" w:eastAsia="en-US"/>
                  <w14:ligatures w14:val="standardContextual"/>
                </w:rPr>
                <w:t>)</w:t>
              </w:r>
            </w:p>
          </w:sdtContent>
        </w:sdt>
        <w:p w14:paraId="2AB20C81" w14:textId="69E8A2C6" w:rsidR="00A17CAB" w:rsidRPr="0060103D" w:rsidRDefault="00A17CAB" w:rsidP="0060103D">
          <w:pPr>
            <w:pStyle w:val="NoSpacing"/>
            <w:spacing w:before="480" w:line="360" w:lineRule="auto"/>
            <w:jc w:val="center"/>
            <w:rPr>
              <w:rFonts w:ascii="Arial" w:hAnsi="Arial" w:cs="Arial"/>
              <w:color w:val="156082" w:themeColor="accent1"/>
            </w:rPr>
          </w:pPr>
          <w:r w:rsidRPr="0060103D">
            <w:rPr>
              <w:rFonts w:ascii="Arial" w:hAnsi="Arial" w:cs="Arial"/>
              <w:noProof/>
              <w:color w:val="156082" w:themeColor="accent1"/>
            </w:rPr>
            <w:drawing>
              <wp:inline distT="0" distB="0" distL="0" distR="0" wp14:anchorId="75D0C28E" wp14:editId="7DC8932D">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3E2E0C" w14:textId="1CB977D3" w:rsidR="00A17CAB" w:rsidRPr="0060103D" w:rsidRDefault="00A17CAB" w:rsidP="0060103D">
          <w:pPr>
            <w:spacing w:line="360" w:lineRule="auto"/>
            <w:jc w:val="center"/>
            <w:rPr>
              <w:rFonts w:ascii="Arial" w:hAnsi="Arial" w:cs="Arial"/>
            </w:rPr>
          </w:pPr>
          <w:r w:rsidRPr="0060103D">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490637A3" wp14:editId="4B6EC4BD">
                    <wp:simplePos x="0" y="0"/>
                    <wp:positionH relativeFrom="margin">
                      <wp:posOffset>0</wp:posOffset>
                    </wp:positionH>
                    <wp:positionV relativeFrom="page">
                      <wp:posOffset>5451838</wp:posOffset>
                    </wp:positionV>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5E1C3" w14:textId="08BD8C02" w:rsidR="00A17CAB" w:rsidRDefault="00A17CAB" w:rsidP="00A17CAB">
                                <w:pPr>
                                  <w:pStyle w:val="NoSpacing"/>
                                  <w:spacing w:after="40"/>
                                  <w:rPr>
                                    <w:caps/>
                                    <w:color w:val="156082" w:themeColor="accent1"/>
                                    <w:sz w:val="28"/>
                                    <w:szCs w:val="28"/>
                                  </w:rPr>
                                </w:pPr>
                              </w:p>
                              <w:p w14:paraId="25A2DD65" w14:textId="655A28A5" w:rsidR="00A17CAB" w:rsidRDefault="00A17CAB">
                                <w:pPr>
                                  <w:pStyle w:val="NoSpacing"/>
                                  <w:jc w:val="center"/>
                                  <w:rPr>
                                    <w:color w:val="156082" w:themeColor="accent1"/>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A17CAB">
                                      <w:rPr>
                                        <w:caps/>
                                        <w:color w:val="156082" w:themeColor="accent1"/>
                                        <w:sz w:val="28"/>
                                        <w:szCs w:val="28"/>
                                      </w:rPr>
                                      <w:t>Ionut Agrigoroaei (2247225)</w:t>
                                    </w:r>
                                  </w:sdtContent>
                                </w:sdt>
                              </w:p>
                              <w:p w14:paraId="74142037" w14:textId="201BD01F" w:rsidR="00A17CAB" w:rsidRDefault="00A17CA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0637A3" id="_x0000_t202" coordsize="21600,21600" o:spt="202" path="m,l,21600r21600,l21600,xe">
                    <v:stroke joinstyle="miter"/>
                    <v:path gradientshapeok="t" o:connecttype="rect"/>
                  </v:shapetype>
                  <v:shape id="Text Box 108" o:spid="_x0000_s1026" type="#_x0000_t202" style="position:absolute;left:0;text-align:left;margin-left:0;margin-top:429.3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" filled="f" stroked="f" strokeweight=".5pt">
                    <v:textbox style="mso-fit-shape-to-text:t" inset="0,0,0,0">
                      <w:txbxContent>
                        <w:p w14:paraId="5DB5E1C3" w14:textId="08BD8C02" w:rsidR="00A17CAB" w:rsidRDefault="00A17CAB" w:rsidP="00A17CAB">
                          <w:pPr>
                            <w:pStyle w:val="NoSpacing"/>
                            <w:spacing w:after="40"/>
                            <w:rPr>
                              <w:caps/>
                              <w:color w:val="156082" w:themeColor="accent1"/>
                              <w:sz w:val="28"/>
                              <w:szCs w:val="28"/>
                            </w:rPr>
                          </w:pPr>
                        </w:p>
                        <w:p w14:paraId="25A2DD65" w14:textId="655A28A5" w:rsidR="00A17CAB" w:rsidRDefault="00A17CAB">
                          <w:pPr>
                            <w:pStyle w:val="NoSpacing"/>
                            <w:jc w:val="center"/>
                            <w:rPr>
                              <w:color w:val="156082" w:themeColor="accent1"/>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A17CAB">
                                <w:rPr>
                                  <w:caps/>
                                  <w:color w:val="156082" w:themeColor="accent1"/>
                                  <w:sz w:val="28"/>
                                  <w:szCs w:val="28"/>
                                </w:rPr>
                                <w:t>Ionut Agrigoroaei (2247225)</w:t>
                              </w:r>
                            </w:sdtContent>
                          </w:sdt>
                        </w:p>
                        <w:p w14:paraId="74142037" w14:textId="201BD01F" w:rsidR="00A17CAB" w:rsidRDefault="00A17CA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sidRPr="0060103D">
            <w:rPr>
              <w:rFonts w:ascii="Arial" w:hAnsi="Arial" w:cs="Arial"/>
            </w:rPr>
            <w:br w:type="page"/>
          </w:r>
        </w:p>
      </w:sdtContent>
    </w:sdt>
    <w:sdt>
      <w:sdtPr>
        <w:rPr>
          <w:rFonts w:ascii="Arial" w:hAnsi="Arial" w:cs="Arial"/>
        </w:rPr>
        <w:id w:val="-843940118"/>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313E4441" w14:textId="38426996" w:rsidR="00A17CAB" w:rsidRPr="0060103D" w:rsidRDefault="00A17CAB" w:rsidP="0060103D">
          <w:pPr>
            <w:pStyle w:val="TOCHeading"/>
            <w:spacing w:line="360" w:lineRule="auto"/>
            <w:jc w:val="both"/>
            <w:rPr>
              <w:rFonts w:ascii="Arial" w:hAnsi="Arial" w:cs="Arial"/>
            </w:rPr>
          </w:pPr>
          <w:r w:rsidRPr="0060103D">
            <w:rPr>
              <w:rFonts w:ascii="Arial" w:hAnsi="Arial" w:cs="Arial"/>
            </w:rPr>
            <w:t>Table of Contents</w:t>
          </w:r>
        </w:p>
        <w:p w14:paraId="40253C51" w14:textId="5E173315" w:rsidR="0060103D" w:rsidRDefault="00A17CAB">
          <w:pPr>
            <w:pStyle w:val="TOC1"/>
            <w:tabs>
              <w:tab w:val="right" w:leader="dot" w:pos="9016"/>
            </w:tabs>
            <w:rPr>
              <w:rFonts w:eastAsiaTheme="minorEastAsia"/>
              <w:b w:val="0"/>
              <w:bCs w:val="0"/>
              <w:i w:val="0"/>
              <w:iCs w:val="0"/>
              <w:noProof/>
              <w:lang w:eastAsia="en-GB"/>
            </w:rPr>
          </w:pPr>
          <w:r w:rsidRPr="0060103D">
            <w:rPr>
              <w:rFonts w:ascii="Arial" w:hAnsi="Arial" w:cs="Arial"/>
              <w:b w:val="0"/>
              <w:bCs w:val="0"/>
            </w:rPr>
            <w:fldChar w:fldCharType="begin"/>
          </w:r>
          <w:r w:rsidRPr="0060103D">
            <w:rPr>
              <w:rFonts w:ascii="Arial" w:hAnsi="Arial" w:cs="Arial"/>
            </w:rPr>
            <w:instrText xml:space="preserve"> TOC \o "1-3" \h \z \u </w:instrText>
          </w:r>
          <w:r w:rsidRPr="0060103D">
            <w:rPr>
              <w:rFonts w:ascii="Arial" w:hAnsi="Arial" w:cs="Arial"/>
              <w:b w:val="0"/>
              <w:bCs w:val="0"/>
            </w:rPr>
            <w:fldChar w:fldCharType="separate"/>
          </w:r>
          <w:hyperlink w:anchor="_Toc238472514" w:history="1">
            <w:r w:rsidR="0060103D" w:rsidRPr="005E671B">
              <w:rPr>
                <w:rStyle w:val="Hyperlink"/>
                <w:rFonts w:ascii="Arial" w:hAnsi="Arial" w:cs="Arial"/>
                <w:noProof/>
              </w:rPr>
              <w:t>Introduction</w:t>
            </w:r>
            <w:r w:rsidR="0060103D">
              <w:rPr>
                <w:noProof/>
                <w:webHidden/>
              </w:rPr>
              <w:tab/>
            </w:r>
            <w:r w:rsidR="0060103D">
              <w:rPr>
                <w:noProof/>
                <w:webHidden/>
              </w:rPr>
              <w:fldChar w:fldCharType="begin"/>
            </w:r>
            <w:r w:rsidR="0060103D">
              <w:rPr>
                <w:noProof/>
                <w:webHidden/>
              </w:rPr>
              <w:instrText xml:space="preserve"> PAGEREF _Toc238472514 \h </w:instrText>
            </w:r>
            <w:r w:rsidR="0060103D">
              <w:rPr>
                <w:noProof/>
                <w:webHidden/>
              </w:rPr>
            </w:r>
            <w:r w:rsidR="0060103D">
              <w:rPr>
                <w:noProof/>
                <w:webHidden/>
              </w:rPr>
              <w:fldChar w:fldCharType="separate"/>
            </w:r>
            <w:r w:rsidR="0060103D">
              <w:rPr>
                <w:noProof/>
                <w:webHidden/>
              </w:rPr>
              <w:t>2</w:t>
            </w:r>
            <w:r w:rsidR="0060103D">
              <w:rPr>
                <w:noProof/>
                <w:webHidden/>
              </w:rPr>
              <w:fldChar w:fldCharType="end"/>
            </w:r>
          </w:hyperlink>
        </w:p>
        <w:p w14:paraId="6F87C4FE" w14:textId="622FC704" w:rsidR="0060103D" w:rsidRDefault="0060103D">
          <w:pPr>
            <w:pStyle w:val="TOC1"/>
            <w:tabs>
              <w:tab w:val="right" w:leader="dot" w:pos="9016"/>
            </w:tabs>
            <w:rPr>
              <w:rFonts w:eastAsiaTheme="minorEastAsia"/>
              <w:b w:val="0"/>
              <w:bCs w:val="0"/>
              <w:i w:val="0"/>
              <w:iCs w:val="0"/>
              <w:noProof/>
              <w:lang w:eastAsia="en-GB"/>
            </w:rPr>
          </w:pPr>
          <w:hyperlink w:anchor="_Toc238472515" w:history="1">
            <w:r w:rsidRPr="005E671B">
              <w:rPr>
                <w:rStyle w:val="Hyperlink"/>
                <w:rFonts w:ascii="Arial" w:hAnsi="Arial" w:cs="Arial"/>
                <w:noProof/>
              </w:rPr>
              <w:t>Market Background</w:t>
            </w:r>
            <w:r>
              <w:rPr>
                <w:noProof/>
                <w:webHidden/>
              </w:rPr>
              <w:tab/>
            </w:r>
            <w:r>
              <w:rPr>
                <w:noProof/>
                <w:webHidden/>
              </w:rPr>
              <w:fldChar w:fldCharType="begin"/>
            </w:r>
            <w:r>
              <w:rPr>
                <w:noProof/>
                <w:webHidden/>
              </w:rPr>
              <w:instrText xml:space="preserve"> PAGEREF _Toc238472515 \h </w:instrText>
            </w:r>
            <w:r>
              <w:rPr>
                <w:noProof/>
                <w:webHidden/>
              </w:rPr>
            </w:r>
            <w:r>
              <w:rPr>
                <w:noProof/>
                <w:webHidden/>
              </w:rPr>
              <w:fldChar w:fldCharType="separate"/>
            </w:r>
            <w:r>
              <w:rPr>
                <w:noProof/>
                <w:webHidden/>
              </w:rPr>
              <w:t>2</w:t>
            </w:r>
            <w:r>
              <w:rPr>
                <w:noProof/>
                <w:webHidden/>
              </w:rPr>
              <w:fldChar w:fldCharType="end"/>
            </w:r>
          </w:hyperlink>
        </w:p>
        <w:p w14:paraId="469D2EBF" w14:textId="47DF2DDD" w:rsidR="0060103D" w:rsidRDefault="0060103D">
          <w:pPr>
            <w:pStyle w:val="TOC1"/>
            <w:tabs>
              <w:tab w:val="right" w:leader="dot" w:pos="9016"/>
            </w:tabs>
            <w:rPr>
              <w:rFonts w:eastAsiaTheme="minorEastAsia"/>
              <w:b w:val="0"/>
              <w:bCs w:val="0"/>
              <w:i w:val="0"/>
              <w:iCs w:val="0"/>
              <w:noProof/>
              <w:lang w:eastAsia="en-GB"/>
            </w:rPr>
          </w:pPr>
          <w:hyperlink w:anchor="_Toc238472516" w:history="1">
            <w:r w:rsidRPr="005E671B">
              <w:rPr>
                <w:rStyle w:val="Hyperlink"/>
                <w:rFonts w:ascii="Arial" w:hAnsi="Arial" w:cs="Arial"/>
                <w:noProof/>
              </w:rPr>
              <w:t>Trompenaars’ Seven Dimensions</w:t>
            </w:r>
            <w:r>
              <w:rPr>
                <w:noProof/>
                <w:webHidden/>
              </w:rPr>
              <w:tab/>
            </w:r>
            <w:r>
              <w:rPr>
                <w:noProof/>
                <w:webHidden/>
              </w:rPr>
              <w:fldChar w:fldCharType="begin"/>
            </w:r>
            <w:r>
              <w:rPr>
                <w:noProof/>
                <w:webHidden/>
              </w:rPr>
              <w:instrText xml:space="preserve"> PAGEREF _Toc238472516 \h </w:instrText>
            </w:r>
            <w:r>
              <w:rPr>
                <w:noProof/>
                <w:webHidden/>
              </w:rPr>
            </w:r>
            <w:r>
              <w:rPr>
                <w:noProof/>
                <w:webHidden/>
              </w:rPr>
              <w:fldChar w:fldCharType="separate"/>
            </w:r>
            <w:r>
              <w:rPr>
                <w:noProof/>
                <w:webHidden/>
              </w:rPr>
              <w:t>3</w:t>
            </w:r>
            <w:r>
              <w:rPr>
                <w:noProof/>
                <w:webHidden/>
              </w:rPr>
              <w:fldChar w:fldCharType="end"/>
            </w:r>
          </w:hyperlink>
        </w:p>
        <w:p w14:paraId="17173393" w14:textId="106D284E" w:rsidR="0060103D" w:rsidRDefault="0060103D">
          <w:pPr>
            <w:pStyle w:val="TOC1"/>
            <w:tabs>
              <w:tab w:val="right" w:leader="dot" w:pos="9016"/>
            </w:tabs>
            <w:rPr>
              <w:rFonts w:eastAsiaTheme="minorEastAsia"/>
              <w:b w:val="0"/>
              <w:bCs w:val="0"/>
              <w:i w:val="0"/>
              <w:iCs w:val="0"/>
              <w:noProof/>
              <w:lang w:eastAsia="en-GB"/>
            </w:rPr>
          </w:pPr>
          <w:hyperlink w:anchor="_Toc238472517" w:history="1">
            <w:r w:rsidRPr="005E671B">
              <w:rPr>
                <w:rStyle w:val="Hyperlink"/>
                <w:rFonts w:ascii="Arial" w:hAnsi="Arial" w:cs="Arial"/>
                <w:noProof/>
              </w:rPr>
              <w:t>Hall’s Context</w:t>
            </w:r>
            <w:r>
              <w:rPr>
                <w:noProof/>
                <w:webHidden/>
              </w:rPr>
              <w:tab/>
            </w:r>
            <w:r>
              <w:rPr>
                <w:noProof/>
                <w:webHidden/>
              </w:rPr>
              <w:fldChar w:fldCharType="begin"/>
            </w:r>
            <w:r>
              <w:rPr>
                <w:noProof/>
                <w:webHidden/>
              </w:rPr>
              <w:instrText xml:space="preserve"> PAGEREF _Toc238472517 \h </w:instrText>
            </w:r>
            <w:r>
              <w:rPr>
                <w:noProof/>
                <w:webHidden/>
              </w:rPr>
            </w:r>
            <w:r>
              <w:rPr>
                <w:noProof/>
                <w:webHidden/>
              </w:rPr>
              <w:fldChar w:fldCharType="separate"/>
            </w:r>
            <w:r>
              <w:rPr>
                <w:noProof/>
                <w:webHidden/>
              </w:rPr>
              <w:t>4</w:t>
            </w:r>
            <w:r>
              <w:rPr>
                <w:noProof/>
                <w:webHidden/>
              </w:rPr>
              <w:fldChar w:fldCharType="end"/>
            </w:r>
          </w:hyperlink>
        </w:p>
        <w:p w14:paraId="70224E3D" w14:textId="6572222E" w:rsidR="0060103D" w:rsidRDefault="0060103D">
          <w:pPr>
            <w:pStyle w:val="TOC1"/>
            <w:tabs>
              <w:tab w:val="right" w:leader="dot" w:pos="9016"/>
            </w:tabs>
            <w:rPr>
              <w:rFonts w:eastAsiaTheme="minorEastAsia"/>
              <w:b w:val="0"/>
              <w:bCs w:val="0"/>
              <w:i w:val="0"/>
              <w:iCs w:val="0"/>
              <w:noProof/>
              <w:lang w:eastAsia="en-GB"/>
            </w:rPr>
          </w:pPr>
          <w:hyperlink w:anchor="_Toc238472518" w:history="1">
            <w:r w:rsidRPr="005E671B">
              <w:rPr>
                <w:rStyle w:val="Hyperlink"/>
                <w:rFonts w:ascii="Arial" w:hAnsi="Arial" w:cs="Arial"/>
                <w:noProof/>
              </w:rPr>
              <w:t>Hofstede’s Dimensions</w:t>
            </w:r>
            <w:r>
              <w:rPr>
                <w:noProof/>
                <w:webHidden/>
              </w:rPr>
              <w:tab/>
            </w:r>
            <w:r>
              <w:rPr>
                <w:noProof/>
                <w:webHidden/>
              </w:rPr>
              <w:fldChar w:fldCharType="begin"/>
            </w:r>
            <w:r>
              <w:rPr>
                <w:noProof/>
                <w:webHidden/>
              </w:rPr>
              <w:instrText xml:space="preserve"> PAGEREF _Toc238472518 \h </w:instrText>
            </w:r>
            <w:r>
              <w:rPr>
                <w:noProof/>
                <w:webHidden/>
              </w:rPr>
            </w:r>
            <w:r>
              <w:rPr>
                <w:noProof/>
                <w:webHidden/>
              </w:rPr>
              <w:fldChar w:fldCharType="separate"/>
            </w:r>
            <w:r>
              <w:rPr>
                <w:noProof/>
                <w:webHidden/>
              </w:rPr>
              <w:t>4</w:t>
            </w:r>
            <w:r>
              <w:rPr>
                <w:noProof/>
                <w:webHidden/>
              </w:rPr>
              <w:fldChar w:fldCharType="end"/>
            </w:r>
          </w:hyperlink>
        </w:p>
        <w:p w14:paraId="6F207112" w14:textId="2C90ED56" w:rsidR="0060103D" w:rsidRDefault="0060103D">
          <w:pPr>
            <w:pStyle w:val="TOC1"/>
            <w:tabs>
              <w:tab w:val="right" w:leader="dot" w:pos="9016"/>
            </w:tabs>
            <w:rPr>
              <w:rFonts w:eastAsiaTheme="minorEastAsia"/>
              <w:b w:val="0"/>
              <w:bCs w:val="0"/>
              <w:i w:val="0"/>
              <w:iCs w:val="0"/>
              <w:noProof/>
              <w:lang w:eastAsia="en-GB"/>
            </w:rPr>
          </w:pPr>
          <w:hyperlink w:anchor="_Toc238472519" w:history="1">
            <w:r w:rsidRPr="005E671B">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_Toc238472519 \h </w:instrText>
            </w:r>
            <w:r>
              <w:rPr>
                <w:noProof/>
                <w:webHidden/>
              </w:rPr>
            </w:r>
            <w:r>
              <w:rPr>
                <w:noProof/>
                <w:webHidden/>
              </w:rPr>
              <w:fldChar w:fldCharType="separate"/>
            </w:r>
            <w:r>
              <w:rPr>
                <w:noProof/>
                <w:webHidden/>
              </w:rPr>
              <w:t>5</w:t>
            </w:r>
            <w:r>
              <w:rPr>
                <w:noProof/>
                <w:webHidden/>
              </w:rPr>
              <w:fldChar w:fldCharType="end"/>
            </w:r>
          </w:hyperlink>
        </w:p>
        <w:p w14:paraId="4A9EA391" w14:textId="1465FEE0" w:rsidR="0060103D" w:rsidRDefault="0060103D">
          <w:pPr>
            <w:pStyle w:val="TOC2"/>
            <w:tabs>
              <w:tab w:val="right" w:leader="dot" w:pos="9016"/>
            </w:tabs>
            <w:rPr>
              <w:rFonts w:eastAsiaTheme="minorEastAsia"/>
              <w:b w:val="0"/>
              <w:bCs w:val="0"/>
              <w:noProof/>
              <w:sz w:val="24"/>
              <w:szCs w:val="24"/>
              <w:lang w:eastAsia="en-GB"/>
            </w:rPr>
          </w:pPr>
          <w:hyperlink w:anchor="_Toc238472520" w:history="1">
            <w:r w:rsidRPr="005E671B">
              <w:rPr>
                <w:rStyle w:val="Hyperlink"/>
                <w:rFonts w:ascii="Arial" w:hAnsi="Arial" w:cs="Arial"/>
                <w:noProof/>
              </w:rPr>
              <w:t>Directness, Hedging and the Function of Silence</w:t>
            </w:r>
            <w:r>
              <w:rPr>
                <w:noProof/>
                <w:webHidden/>
              </w:rPr>
              <w:tab/>
            </w:r>
            <w:r>
              <w:rPr>
                <w:noProof/>
                <w:webHidden/>
              </w:rPr>
              <w:fldChar w:fldCharType="begin"/>
            </w:r>
            <w:r>
              <w:rPr>
                <w:noProof/>
                <w:webHidden/>
              </w:rPr>
              <w:instrText xml:space="preserve"> PAGEREF _Toc238472520 \h </w:instrText>
            </w:r>
            <w:r>
              <w:rPr>
                <w:noProof/>
                <w:webHidden/>
              </w:rPr>
            </w:r>
            <w:r>
              <w:rPr>
                <w:noProof/>
                <w:webHidden/>
              </w:rPr>
              <w:fldChar w:fldCharType="separate"/>
            </w:r>
            <w:r>
              <w:rPr>
                <w:noProof/>
                <w:webHidden/>
              </w:rPr>
              <w:t>5</w:t>
            </w:r>
            <w:r>
              <w:rPr>
                <w:noProof/>
                <w:webHidden/>
              </w:rPr>
              <w:fldChar w:fldCharType="end"/>
            </w:r>
          </w:hyperlink>
        </w:p>
        <w:p w14:paraId="42F5DE66" w14:textId="2B52A302" w:rsidR="0060103D" w:rsidRDefault="0060103D">
          <w:pPr>
            <w:pStyle w:val="TOC2"/>
            <w:tabs>
              <w:tab w:val="right" w:leader="dot" w:pos="9016"/>
            </w:tabs>
            <w:rPr>
              <w:rFonts w:eastAsiaTheme="minorEastAsia"/>
              <w:b w:val="0"/>
              <w:bCs w:val="0"/>
              <w:noProof/>
              <w:sz w:val="24"/>
              <w:szCs w:val="24"/>
              <w:lang w:eastAsia="en-GB"/>
            </w:rPr>
          </w:pPr>
          <w:hyperlink w:anchor="_Toc238472521" w:history="1">
            <w:r w:rsidRPr="005E671B">
              <w:rPr>
                <w:rStyle w:val="Hyperlink"/>
                <w:rFonts w:ascii="Arial" w:hAnsi="Arial" w:cs="Arial"/>
                <w:noProof/>
              </w:rPr>
              <w:t>Nemawashi and Ringi in a Joint Venture</w:t>
            </w:r>
            <w:r>
              <w:rPr>
                <w:noProof/>
                <w:webHidden/>
              </w:rPr>
              <w:tab/>
            </w:r>
            <w:r>
              <w:rPr>
                <w:noProof/>
                <w:webHidden/>
              </w:rPr>
              <w:fldChar w:fldCharType="begin"/>
            </w:r>
            <w:r>
              <w:rPr>
                <w:noProof/>
                <w:webHidden/>
              </w:rPr>
              <w:instrText xml:space="preserve"> PAGEREF _Toc238472521 \h </w:instrText>
            </w:r>
            <w:r>
              <w:rPr>
                <w:noProof/>
                <w:webHidden/>
              </w:rPr>
            </w:r>
            <w:r>
              <w:rPr>
                <w:noProof/>
                <w:webHidden/>
              </w:rPr>
              <w:fldChar w:fldCharType="separate"/>
            </w:r>
            <w:r>
              <w:rPr>
                <w:noProof/>
                <w:webHidden/>
              </w:rPr>
              <w:t>6</w:t>
            </w:r>
            <w:r>
              <w:rPr>
                <w:noProof/>
                <w:webHidden/>
              </w:rPr>
              <w:fldChar w:fldCharType="end"/>
            </w:r>
          </w:hyperlink>
        </w:p>
        <w:p w14:paraId="6D61B808" w14:textId="02793B60" w:rsidR="0060103D" w:rsidRDefault="0060103D">
          <w:pPr>
            <w:pStyle w:val="TOC2"/>
            <w:tabs>
              <w:tab w:val="right" w:leader="dot" w:pos="9016"/>
            </w:tabs>
            <w:rPr>
              <w:rFonts w:eastAsiaTheme="minorEastAsia"/>
              <w:b w:val="0"/>
              <w:bCs w:val="0"/>
              <w:noProof/>
              <w:sz w:val="24"/>
              <w:szCs w:val="24"/>
              <w:lang w:eastAsia="en-GB"/>
            </w:rPr>
          </w:pPr>
          <w:hyperlink w:anchor="_Toc238472522" w:history="1">
            <w:r w:rsidRPr="005E671B">
              <w:rPr>
                <w:rStyle w:val="Hyperlink"/>
                <w:rFonts w:ascii="Arial" w:hAnsi="Arial" w:cs="Arial"/>
                <w:noProof/>
              </w:rPr>
              <w:t>Honne, Tatemae and the Preservation of Face</w:t>
            </w:r>
            <w:r>
              <w:rPr>
                <w:noProof/>
                <w:webHidden/>
              </w:rPr>
              <w:tab/>
            </w:r>
            <w:r>
              <w:rPr>
                <w:noProof/>
                <w:webHidden/>
              </w:rPr>
              <w:fldChar w:fldCharType="begin"/>
            </w:r>
            <w:r>
              <w:rPr>
                <w:noProof/>
                <w:webHidden/>
              </w:rPr>
              <w:instrText xml:space="preserve"> PAGEREF _Toc238472522 \h </w:instrText>
            </w:r>
            <w:r>
              <w:rPr>
                <w:noProof/>
                <w:webHidden/>
              </w:rPr>
            </w:r>
            <w:r>
              <w:rPr>
                <w:noProof/>
                <w:webHidden/>
              </w:rPr>
              <w:fldChar w:fldCharType="separate"/>
            </w:r>
            <w:r>
              <w:rPr>
                <w:noProof/>
                <w:webHidden/>
              </w:rPr>
              <w:t>6</w:t>
            </w:r>
            <w:r>
              <w:rPr>
                <w:noProof/>
                <w:webHidden/>
              </w:rPr>
              <w:fldChar w:fldCharType="end"/>
            </w:r>
          </w:hyperlink>
        </w:p>
        <w:p w14:paraId="58DE07F6" w14:textId="6D7B3BD2" w:rsidR="0060103D" w:rsidRDefault="0060103D">
          <w:pPr>
            <w:pStyle w:val="TOC2"/>
            <w:tabs>
              <w:tab w:val="right" w:leader="dot" w:pos="9016"/>
            </w:tabs>
            <w:rPr>
              <w:rFonts w:eastAsiaTheme="minorEastAsia"/>
              <w:b w:val="0"/>
              <w:bCs w:val="0"/>
              <w:noProof/>
              <w:sz w:val="24"/>
              <w:szCs w:val="24"/>
              <w:lang w:eastAsia="en-GB"/>
            </w:rPr>
          </w:pPr>
          <w:hyperlink w:anchor="_Toc238472523" w:history="1">
            <w:r w:rsidRPr="005E671B">
              <w:rPr>
                <w:rStyle w:val="Hyperlink"/>
                <w:rFonts w:ascii="Arial" w:hAnsi="Arial" w:cs="Arial"/>
                <w:noProof/>
              </w:rPr>
              <w:t>Seniority, Meeting Order and the Handling of Disagreement</w:t>
            </w:r>
            <w:r>
              <w:rPr>
                <w:noProof/>
                <w:webHidden/>
              </w:rPr>
              <w:tab/>
            </w:r>
            <w:r>
              <w:rPr>
                <w:noProof/>
                <w:webHidden/>
              </w:rPr>
              <w:fldChar w:fldCharType="begin"/>
            </w:r>
            <w:r>
              <w:rPr>
                <w:noProof/>
                <w:webHidden/>
              </w:rPr>
              <w:instrText xml:space="preserve"> PAGEREF _Toc238472523 \h </w:instrText>
            </w:r>
            <w:r>
              <w:rPr>
                <w:noProof/>
                <w:webHidden/>
              </w:rPr>
            </w:r>
            <w:r>
              <w:rPr>
                <w:noProof/>
                <w:webHidden/>
              </w:rPr>
              <w:fldChar w:fldCharType="separate"/>
            </w:r>
            <w:r>
              <w:rPr>
                <w:noProof/>
                <w:webHidden/>
              </w:rPr>
              <w:t>6</w:t>
            </w:r>
            <w:r>
              <w:rPr>
                <w:noProof/>
                <w:webHidden/>
              </w:rPr>
              <w:fldChar w:fldCharType="end"/>
            </w:r>
          </w:hyperlink>
        </w:p>
        <w:p w14:paraId="58E44859" w14:textId="04E9D241" w:rsidR="0060103D" w:rsidRDefault="0060103D">
          <w:pPr>
            <w:pStyle w:val="TOC2"/>
            <w:tabs>
              <w:tab w:val="right" w:leader="dot" w:pos="9016"/>
            </w:tabs>
            <w:rPr>
              <w:rFonts w:eastAsiaTheme="minorEastAsia"/>
              <w:b w:val="0"/>
              <w:bCs w:val="0"/>
              <w:noProof/>
              <w:sz w:val="24"/>
              <w:szCs w:val="24"/>
              <w:lang w:eastAsia="en-GB"/>
            </w:rPr>
          </w:pPr>
          <w:hyperlink w:anchor="_Toc238472524" w:history="1">
            <w:r w:rsidRPr="005E671B">
              <w:rPr>
                <w:rStyle w:val="Hyperlink"/>
                <w:rFonts w:ascii="Arial" w:hAnsi="Arial" w:cs="Arial"/>
                <w:noProof/>
              </w:rPr>
              <w:t>Email, Videoconferencing and English as a Working Language</w:t>
            </w:r>
            <w:r>
              <w:rPr>
                <w:noProof/>
                <w:webHidden/>
              </w:rPr>
              <w:tab/>
            </w:r>
            <w:r>
              <w:rPr>
                <w:noProof/>
                <w:webHidden/>
              </w:rPr>
              <w:fldChar w:fldCharType="begin"/>
            </w:r>
            <w:r>
              <w:rPr>
                <w:noProof/>
                <w:webHidden/>
              </w:rPr>
              <w:instrText xml:space="preserve"> PAGEREF _Toc238472524 \h </w:instrText>
            </w:r>
            <w:r>
              <w:rPr>
                <w:noProof/>
                <w:webHidden/>
              </w:rPr>
            </w:r>
            <w:r>
              <w:rPr>
                <w:noProof/>
                <w:webHidden/>
              </w:rPr>
              <w:fldChar w:fldCharType="separate"/>
            </w:r>
            <w:r>
              <w:rPr>
                <w:noProof/>
                <w:webHidden/>
              </w:rPr>
              <w:t>7</w:t>
            </w:r>
            <w:r>
              <w:rPr>
                <w:noProof/>
                <w:webHidden/>
              </w:rPr>
              <w:fldChar w:fldCharType="end"/>
            </w:r>
          </w:hyperlink>
        </w:p>
        <w:p w14:paraId="48B87252" w14:textId="716949D8" w:rsidR="0060103D" w:rsidRDefault="0060103D">
          <w:pPr>
            <w:pStyle w:val="TOC1"/>
            <w:tabs>
              <w:tab w:val="right" w:leader="dot" w:pos="9016"/>
            </w:tabs>
            <w:rPr>
              <w:rFonts w:eastAsiaTheme="minorEastAsia"/>
              <w:b w:val="0"/>
              <w:bCs w:val="0"/>
              <w:i w:val="0"/>
              <w:iCs w:val="0"/>
              <w:noProof/>
              <w:lang w:eastAsia="en-GB"/>
            </w:rPr>
          </w:pPr>
          <w:hyperlink w:anchor="_Toc238472525" w:history="1">
            <w:r w:rsidRPr="005E671B">
              <w:rPr>
                <w:rStyle w:val="Hyperlink"/>
                <w:rFonts w:ascii="Arial" w:hAnsi="Arial" w:cs="Arial"/>
                <w:noProof/>
              </w:rPr>
              <w:t>GLOBE, Cultural Intelligence and Individual-Level Variation</w:t>
            </w:r>
            <w:r>
              <w:rPr>
                <w:noProof/>
                <w:webHidden/>
              </w:rPr>
              <w:tab/>
            </w:r>
            <w:r>
              <w:rPr>
                <w:noProof/>
                <w:webHidden/>
              </w:rPr>
              <w:fldChar w:fldCharType="begin"/>
            </w:r>
            <w:r>
              <w:rPr>
                <w:noProof/>
                <w:webHidden/>
              </w:rPr>
              <w:instrText xml:space="preserve"> PAGEREF _Toc238472525 \h </w:instrText>
            </w:r>
            <w:r>
              <w:rPr>
                <w:noProof/>
                <w:webHidden/>
              </w:rPr>
            </w:r>
            <w:r>
              <w:rPr>
                <w:noProof/>
                <w:webHidden/>
              </w:rPr>
              <w:fldChar w:fldCharType="separate"/>
            </w:r>
            <w:r>
              <w:rPr>
                <w:noProof/>
                <w:webHidden/>
              </w:rPr>
              <w:t>7</w:t>
            </w:r>
            <w:r>
              <w:rPr>
                <w:noProof/>
                <w:webHidden/>
              </w:rPr>
              <w:fldChar w:fldCharType="end"/>
            </w:r>
          </w:hyperlink>
        </w:p>
        <w:p w14:paraId="67069485" w14:textId="70791971" w:rsidR="0060103D" w:rsidRDefault="0060103D">
          <w:pPr>
            <w:pStyle w:val="TOC1"/>
            <w:tabs>
              <w:tab w:val="right" w:leader="dot" w:pos="9016"/>
            </w:tabs>
            <w:rPr>
              <w:rFonts w:eastAsiaTheme="minorEastAsia"/>
              <w:b w:val="0"/>
              <w:bCs w:val="0"/>
              <w:i w:val="0"/>
              <w:iCs w:val="0"/>
              <w:noProof/>
              <w:lang w:eastAsia="en-GB"/>
            </w:rPr>
          </w:pPr>
          <w:hyperlink w:anchor="_Toc238472526" w:history="1">
            <w:r w:rsidRPr="005E67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_Toc238472526 \h </w:instrText>
            </w:r>
            <w:r>
              <w:rPr>
                <w:noProof/>
                <w:webHidden/>
              </w:rPr>
            </w:r>
            <w:r>
              <w:rPr>
                <w:noProof/>
                <w:webHidden/>
              </w:rPr>
              <w:fldChar w:fldCharType="separate"/>
            </w:r>
            <w:r>
              <w:rPr>
                <w:noProof/>
                <w:webHidden/>
              </w:rPr>
              <w:t>8</w:t>
            </w:r>
            <w:r>
              <w:rPr>
                <w:noProof/>
                <w:webHidden/>
              </w:rPr>
              <w:fldChar w:fldCharType="end"/>
            </w:r>
          </w:hyperlink>
        </w:p>
        <w:p w14:paraId="027C9F44" w14:textId="44A67B9A" w:rsidR="0060103D" w:rsidRDefault="0060103D">
          <w:pPr>
            <w:pStyle w:val="TOC1"/>
            <w:tabs>
              <w:tab w:val="right" w:leader="dot" w:pos="9016"/>
            </w:tabs>
            <w:rPr>
              <w:rFonts w:eastAsiaTheme="minorEastAsia"/>
              <w:b w:val="0"/>
              <w:bCs w:val="0"/>
              <w:i w:val="0"/>
              <w:iCs w:val="0"/>
              <w:noProof/>
              <w:lang w:eastAsia="en-GB"/>
            </w:rPr>
          </w:pPr>
          <w:hyperlink w:anchor="_Toc238472527" w:history="1">
            <w:r w:rsidRPr="005E671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_Toc238472527 \h </w:instrText>
            </w:r>
            <w:r>
              <w:rPr>
                <w:noProof/>
                <w:webHidden/>
              </w:rPr>
            </w:r>
            <w:r>
              <w:rPr>
                <w:noProof/>
                <w:webHidden/>
              </w:rPr>
              <w:fldChar w:fldCharType="separate"/>
            </w:r>
            <w:r>
              <w:rPr>
                <w:noProof/>
                <w:webHidden/>
              </w:rPr>
              <w:t>9</w:t>
            </w:r>
            <w:r>
              <w:rPr>
                <w:noProof/>
                <w:webHidden/>
              </w:rPr>
              <w:fldChar w:fldCharType="end"/>
            </w:r>
          </w:hyperlink>
        </w:p>
        <w:p w14:paraId="3CCD4156" w14:textId="01F6AB3B" w:rsidR="00A17CAB" w:rsidRPr="0060103D" w:rsidRDefault="00A17CAB" w:rsidP="0060103D">
          <w:pPr>
            <w:spacing w:line="360" w:lineRule="auto"/>
            <w:jc w:val="both"/>
            <w:rPr>
              <w:rFonts w:ascii="Arial" w:hAnsi="Arial" w:cs="Arial"/>
            </w:rPr>
          </w:pPr>
          <w:r w:rsidRPr="0060103D">
            <w:rPr>
              <w:rFonts w:ascii="Arial" w:hAnsi="Arial" w:cs="Arial"/>
              <w:b/>
              <w:bCs/>
              <w:noProof/>
            </w:rPr>
            <w:fldChar w:fldCharType="end"/>
          </w:r>
        </w:p>
      </w:sdtContent>
    </w:sdt>
    <w:p w14:paraId="37302A93" w14:textId="5F07439E" w:rsidR="00A17CAB" w:rsidRPr="0060103D" w:rsidRDefault="00A17CAB" w:rsidP="0060103D">
      <w:pPr>
        <w:spacing w:line="360" w:lineRule="auto"/>
        <w:jc w:val="both"/>
        <w:rPr>
          <w:rFonts w:ascii="Arial" w:hAnsi="Arial" w:cs="Arial"/>
        </w:rPr>
      </w:pPr>
      <w:r w:rsidRPr="0060103D">
        <w:rPr>
          <w:rFonts w:ascii="Arial" w:hAnsi="Arial" w:cs="Arial"/>
        </w:rPr>
        <w:br w:type="page"/>
      </w:r>
    </w:p>
    <w:p w14:paraId="34B9E0DD" w14:textId="470DABCB" w:rsidR="00C825A6" w:rsidRPr="0060103D" w:rsidRDefault="00A17CAB" w:rsidP="0060103D">
      <w:pPr>
        <w:pStyle w:val="Heading1"/>
        <w:spacing w:line="360" w:lineRule="auto"/>
        <w:jc w:val="both"/>
        <w:rPr>
          <w:rFonts w:ascii="Arial" w:hAnsi="Arial" w:cs="Arial"/>
        </w:rPr>
      </w:pPr>
      <w:bookmarkStart w:id="0" w:name="_Toc238472514"/>
      <w:r w:rsidRPr="0060103D">
        <w:rPr>
          <w:rFonts w:ascii="Arial" w:hAnsi="Arial" w:cs="Arial"/>
        </w:rPr>
        <w:lastRenderedPageBreak/>
        <w:t>Introduction</w:t>
      </w:r>
      <w:bookmarkEnd w:id="0"/>
    </w:p>
    <w:p w14:paraId="1CECE6CC" w14:textId="77777777" w:rsidR="00282A80" w:rsidRPr="0060103D" w:rsidRDefault="00282A80" w:rsidP="0060103D">
      <w:pPr>
        <w:spacing w:line="360" w:lineRule="auto"/>
        <w:jc w:val="both"/>
        <w:rPr>
          <w:rFonts w:ascii="Arial" w:hAnsi="Arial" w:cs="Arial"/>
        </w:rPr>
      </w:pPr>
      <w:r w:rsidRPr="0060103D">
        <w:rPr>
          <w:rFonts w:ascii="Arial" w:hAnsi="Arial" w:cs="Arial"/>
        </w:rPr>
        <w:t>Managing a joint engineering programme across national boundaries involves more than solving technical challenges, since effective communication is equally essential. Written from the perspective of a Country Director leading a combined UK and Japanese product team within an established aerospace partnership, this essay considers the development and marketing of propulsion and combat air products in both countries. It argues that communication failures usually arise not from inaccurate translation but from different expectations about communication itself. British colleagues may prioritise direct and rapid information exchange, whereas Japanese colleagues may place greater importance on maintaining relationships, hierarchy and agreement during a slower process of discussion.</w:t>
      </w:r>
    </w:p>
    <w:p w14:paraId="60CDF506" w14:textId="475EE75E" w:rsidR="00282A80" w:rsidRPr="0060103D" w:rsidRDefault="00282A80" w:rsidP="0060103D">
      <w:pPr>
        <w:spacing w:line="360" w:lineRule="auto"/>
        <w:jc w:val="both"/>
        <w:rPr>
          <w:rFonts w:ascii="Arial" w:hAnsi="Arial" w:cs="Arial"/>
        </w:rPr>
      </w:pPr>
      <w:r w:rsidRPr="0060103D">
        <w:rPr>
          <w:rFonts w:ascii="Arial" w:hAnsi="Arial" w:cs="Arial"/>
        </w:rPr>
        <w:t xml:space="preserve">The analysis mainly uses the seven cultural dimensions proposed by Trompenaars and Hampden Turner (1997), supported by Hall’s (1976) high and low context framework and Hofstede’s (2001) cultural dimensions. As McSweeney (2002), Fang (2003), Kittler, </w:t>
      </w:r>
      <w:proofErr w:type="spellStart"/>
      <w:r w:rsidRPr="0060103D">
        <w:rPr>
          <w:rFonts w:ascii="Arial" w:hAnsi="Arial" w:cs="Arial"/>
        </w:rPr>
        <w:t>Rygl</w:t>
      </w:r>
      <w:proofErr w:type="spellEnd"/>
      <w:r w:rsidRPr="0060103D">
        <w:rPr>
          <w:rFonts w:ascii="Arial" w:hAnsi="Arial" w:cs="Arial"/>
        </w:rPr>
        <w:t xml:space="preserve"> and Mackinnon (2011), and </w:t>
      </w:r>
      <w:proofErr w:type="spellStart"/>
      <w:r w:rsidRPr="0060103D">
        <w:rPr>
          <w:rFonts w:ascii="Arial" w:hAnsi="Arial" w:cs="Arial"/>
        </w:rPr>
        <w:t>Venaik</w:t>
      </w:r>
      <w:proofErr w:type="spellEnd"/>
      <w:r w:rsidRPr="0060103D">
        <w:rPr>
          <w:rFonts w:ascii="Arial" w:hAnsi="Arial" w:cs="Arial"/>
        </w:rPr>
        <w:t xml:space="preserve"> and Brewer (2016) indicate, these models require careful and critical use. The essay therefore examines directness, silence, </w:t>
      </w:r>
      <w:proofErr w:type="spellStart"/>
      <w:r w:rsidRPr="0060103D">
        <w:rPr>
          <w:rFonts w:ascii="Arial" w:hAnsi="Arial" w:cs="Arial"/>
        </w:rPr>
        <w:t>nemawashi</w:t>
      </w:r>
      <w:proofErr w:type="spellEnd"/>
      <w:r w:rsidRPr="0060103D">
        <w:rPr>
          <w:rFonts w:ascii="Arial" w:hAnsi="Arial" w:cs="Arial"/>
        </w:rPr>
        <w:t xml:space="preserve"> and </w:t>
      </w:r>
      <w:proofErr w:type="spellStart"/>
      <w:r w:rsidRPr="0060103D">
        <w:rPr>
          <w:rFonts w:ascii="Arial" w:hAnsi="Arial" w:cs="Arial"/>
        </w:rPr>
        <w:t>ringi</w:t>
      </w:r>
      <w:proofErr w:type="spellEnd"/>
      <w:r w:rsidRPr="0060103D">
        <w:rPr>
          <w:rFonts w:ascii="Arial" w:hAnsi="Arial" w:cs="Arial"/>
        </w:rPr>
        <w:t xml:space="preserve">, </w:t>
      </w:r>
      <w:proofErr w:type="spellStart"/>
      <w:r w:rsidRPr="0060103D">
        <w:rPr>
          <w:rFonts w:ascii="Arial" w:hAnsi="Arial" w:cs="Arial"/>
        </w:rPr>
        <w:t>honne</w:t>
      </w:r>
      <w:proofErr w:type="spellEnd"/>
      <w:r w:rsidRPr="0060103D">
        <w:rPr>
          <w:rFonts w:ascii="Arial" w:hAnsi="Arial" w:cs="Arial"/>
        </w:rPr>
        <w:t xml:space="preserve"> and </w:t>
      </w:r>
      <w:proofErr w:type="spellStart"/>
      <w:r w:rsidRPr="0060103D">
        <w:rPr>
          <w:rFonts w:ascii="Arial" w:hAnsi="Arial" w:cs="Arial"/>
        </w:rPr>
        <w:t>tatemae</w:t>
      </w:r>
      <w:proofErr w:type="spellEnd"/>
      <w:r w:rsidRPr="0060103D">
        <w:rPr>
          <w:rFonts w:ascii="Arial" w:hAnsi="Arial" w:cs="Arial"/>
        </w:rPr>
        <w:t>, meeting hierarchy, virtual communication and English as a common workplace language. It also considers GLOBE, cultural intelligence and Meyer’s (2014) Culture Map as useful alternatives to fixed cultural profiles.</w:t>
      </w:r>
    </w:p>
    <w:p w14:paraId="4E861175" w14:textId="08589B2F" w:rsidR="00A17CAB" w:rsidRPr="0060103D" w:rsidRDefault="00A17CAB" w:rsidP="0060103D">
      <w:pPr>
        <w:pStyle w:val="Heading1"/>
        <w:spacing w:line="360" w:lineRule="auto"/>
        <w:jc w:val="both"/>
        <w:rPr>
          <w:rFonts w:ascii="Arial" w:hAnsi="Arial" w:cs="Arial"/>
        </w:rPr>
      </w:pPr>
      <w:bookmarkStart w:id="1" w:name="_Toc238472515"/>
      <w:r w:rsidRPr="0060103D">
        <w:rPr>
          <w:rFonts w:ascii="Arial" w:hAnsi="Arial" w:cs="Arial"/>
        </w:rPr>
        <w:t>Market Background</w:t>
      </w:r>
      <w:bookmarkEnd w:id="1"/>
    </w:p>
    <w:p w14:paraId="5E44BA47" w14:textId="2939F673" w:rsidR="00282A80" w:rsidRPr="0060103D" w:rsidRDefault="00282A80" w:rsidP="00D84092">
      <w:pPr>
        <w:spacing w:line="360" w:lineRule="auto"/>
        <w:jc w:val="both"/>
        <w:rPr>
          <w:rFonts w:ascii="Arial" w:hAnsi="Arial" w:cs="Arial"/>
        </w:rPr>
      </w:pPr>
      <w:r w:rsidRPr="0060103D">
        <w:rPr>
          <w:rFonts w:ascii="Arial" w:hAnsi="Arial" w:cs="Arial"/>
        </w:rPr>
        <w:t xml:space="preserve">Rolls Royce Holdings plc, based in Derby, is a major global producer of civil and defence aerospace engines. In </w:t>
      </w:r>
      <w:r w:rsidR="008F719D" w:rsidRPr="0060103D">
        <w:rPr>
          <w:rFonts w:ascii="Arial" w:hAnsi="Arial" w:cs="Arial"/>
        </w:rPr>
        <w:t>2024</w:t>
      </w:r>
      <w:r w:rsidRPr="0060103D">
        <w:rPr>
          <w:rFonts w:ascii="Arial" w:hAnsi="Arial" w:cs="Arial"/>
        </w:rPr>
        <w:t xml:space="preserve">, the company reported underlying group revenue of </w:t>
      </w:r>
      <w:r w:rsidR="008F719D" w:rsidRPr="0060103D">
        <w:rPr>
          <w:rFonts w:ascii="Arial" w:hAnsi="Arial" w:cs="Arial"/>
        </w:rPr>
        <w:t>£17.8</w:t>
      </w:r>
      <w:r w:rsidRPr="0060103D">
        <w:rPr>
          <w:rFonts w:ascii="Arial" w:hAnsi="Arial" w:cs="Arial"/>
        </w:rPr>
        <w:t xml:space="preserve"> billion, representing growth of </w:t>
      </w:r>
      <w:r w:rsidR="008F719D" w:rsidRPr="0060103D">
        <w:rPr>
          <w:rFonts w:ascii="Arial" w:hAnsi="Arial" w:cs="Arial"/>
        </w:rPr>
        <w:t>17</w:t>
      </w:r>
      <w:r w:rsidR="00D84092">
        <w:rPr>
          <w:rFonts w:ascii="Arial" w:hAnsi="Arial" w:cs="Arial"/>
        </w:rPr>
        <w:t>%</w:t>
      </w:r>
      <w:r w:rsidRPr="0060103D">
        <w:rPr>
          <w:rFonts w:ascii="Arial" w:hAnsi="Arial" w:cs="Arial"/>
        </w:rPr>
        <w:t>, while Civil Aerospace generated</w:t>
      </w:r>
      <w:r w:rsidR="008F719D" w:rsidRPr="0060103D">
        <w:rPr>
          <w:rFonts w:ascii="Arial" w:hAnsi="Arial" w:cs="Arial"/>
        </w:rPr>
        <w:t xml:space="preserve"> £9</w:t>
      </w:r>
      <w:r w:rsidRPr="0060103D">
        <w:rPr>
          <w:rFonts w:ascii="Arial" w:hAnsi="Arial" w:cs="Arial"/>
        </w:rPr>
        <w:t xml:space="preserve"> billion, an increase of </w:t>
      </w:r>
      <w:r w:rsidR="008F719D" w:rsidRPr="0060103D">
        <w:rPr>
          <w:rFonts w:ascii="Arial" w:hAnsi="Arial" w:cs="Arial"/>
        </w:rPr>
        <w:t>24</w:t>
      </w:r>
      <w:r w:rsidR="00D84092">
        <w:rPr>
          <w:rFonts w:ascii="Arial" w:hAnsi="Arial" w:cs="Arial"/>
        </w:rPr>
        <w:t>%</w:t>
      </w:r>
      <w:r w:rsidRPr="0060103D">
        <w:rPr>
          <w:rFonts w:ascii="Arial" w:hAnsi="Arial" w:cs="Arial"/>
        </w:rPr>
        <w:t xml:space="preserve"> (Rolls Royce, 2025). Its performance is strongly supported by a </w:t>
      </w:r>
      <w:r w:rsidR="008F719D" w:rsidRPr="0060103D">
        <w:rPr>
          <w:rFonts w:ascii="Arial" w:hAnsi="Arial" w:cs="Arial"/>
        </w:rPr>
        <w:t>long-established</w:t>
      </w:r>
      <w:r w:rsidRPr="0060103D">
        <w:rPr>
          <w:rFonts w:ascii="Arial" w:hAnsi="Arial" w:cs="Arial"/>
        </w:rPr>
        <w:t xml:space="preserve"> partnership with three Japanese heavy engineering firms, namely Mitsubishi Heavy Industries Aero Engines, Kawasaki Heavy Industries and IHI Corporation, which are collectively known as the Heavies. According to Mitsubishi Heavy Industries (2025), cooperation between Rolls Royce and MHIAEL began with the Trent </w:t>
      </w:r>
      <w:r w:rsidR="008F719D" w:rsidRPr="0060103D">
        <w:rPr>
          <w:rFonts w:ascii="Arial" w:hAnsi="Arial" w:cs="Arial"/>
        </w:rPr>
        <w:t>1000</w:t>
      </w:r>
      <w:r w:rsidRPr="0060103D">
        <w:rPr>
          <w:rFonts w:ascii="Arial" w:hAnsi="Arial" w:cs="Arial"/>
        </w:rPr>
        <w:t xml:space="preserve"> and later included the Trent XWB and Trent </w:t>
      </w:r>
      <w:r w:rsidR="008F719D" w:rsidRPr="0060103D">
        <w:rPr>
          <w:rFonts w:ascii="Arial" w:hAnsi="Arial" w:cs="Arial"/>
        </w:rPr>
        <w:t>7000</w:t>
      </w:r>
      <w:r w:rsidRPr="0060103D">
        <w:rPr>
          <w:rFonts w:ascii="Arial" w:hAnsi="Arial" w:cs="Arial"/>
        </w:rPr>
        <w:t xml:space="preserve">. Rolls Royce and KHI have worked together since </w:t>
      </w:r>
      <w:r w:rsidR="008F719D" w:rsidRPr="0060103D">
        <w:rPr>
          <w:rFonts w:ascii="Arial" w:hAnsi="Arial" w:cs="Arial"/>
        </w:rPr>
        <w:t>1962</w:t>
      </w:r>
      <w:r w:rsidRPr="0060103D">
        <w:rPr>
          <w:rFonts w:ascii="Arial" w:hAnsi="Arial" w:cs="Arial"/>
        </w:rPr>
        <w:t xml:space="preserve">, with risk and revenue sharing arrangements </w:t>
      </w:r>
      <w:r w:rsidRPr="0060103D">
        <w:rPr>
          <w:rFonts w:ascii="Arial" w:hAnsi="Arial" w:cs="Arial"/>
        </w:rPr>
        <w:lastRenderedPageBreak/>
        <w:t xml:space="preserve">established in </w:t>
      </w:r>
      <w:r w:rsidR="008F719D" w:rsidRPr="0060103D">
        <w:rPr>
          <w:rFonts w:ascii="Arial" w:hAnsi="Arial" w:cs="Arial"/>
        </w:rPr>
        <w:t>1988</w:t>
      </w:r>
      <w:r w:rsidRPr="0060103D">
        <w:rPr>
          <w:rFonts w:ascii="Arial" w:hAnsi="Arial" w:cs="Arial"/>
        </w:rPr>
        <w:t>. The Japanese partners commonly hold about one quarter of these arrangements and produce designated engine modules (Spectra/MHI, 2025).</w:t>
      </w:r>
    </w:p>
    <w:p w14:paraId="548749F6" w14:textId="48E8C43D" w:rsidR="00282A80" w:rsidRPr="0060103D" w:rsidRDefault="00282A80" w:rsidP="0060103D">
      <w:pPr>
        <w:spacing w:line="360" w:lineRule="auto"/>
        <w:jc w:val="both"/>
        <w:rPr>
          <w:rFonts w:ascii="Arial" w:hAnsi="Arial" w:cs="Arial"/>
        </w:rPr>
      </w:pPr>
      <w:r w:rsidRPr="0060103D">
        <w:rPr>
          <w:rFonts w:ascii="Arial" w:hAnsi="Arial" w:cs="Arial"/>
        </w:rPr>
        <w:t xml:space="preserve">Cooperation has also expanded into defence. In December </w:t>
      </w:r>
      <w:r w:rsidR="008F719D" w:rsidRPr="0060103D">
        <w:rPr>
          <w:rFonts w:ascii="Arial" w:hAnsi="Arial" w:cs="Arial"/>
        </w:rPr>
        <w:t>2021</w:t>
      </w:r>
      <w:r w:rsidRPr="0060103D">
        <w:rPr>
          <w:rFonts w:ascii="Arial" w:hAnsi="Arial" w:cs="Arial"/>
        </w:rPr>
        <w:t xml:space="preserve">, Rolls Royce and IHI agreed to jointly develop a fighter engine demonstrator that became part of the UK, Italian and Japanese Global Combat Air Programme (GOV.UK, 2022). The programme aims to produce a </w:t>
      </w:r>
      <w:r w:rsidR="008F719D" w:rsidRPr="0060103D">
        <w:rPr>
          <w:rFonts w:ascii="Arial" w:hAnsi="Arial" w:cs="Arial"/>
        </w:rPr>
        <w:t>sixth-generation</w:t>
      </w:r>
      <w:r w:rsidRPr="0060103D">
        <w:rPr>
          <w:rFonts w:ascii="Arial" w:hAnsi="Arial" w:cs="Arial"/>
        </w:rPr>
        <w:t xml:space="preserve"> combat aircraft by </w:t>
      </w:r>
      <w:r w:rsidR="008F719D" w:rsidRPr="0060103D">
        <w:rPr>
          <w:rFonts w:ascii="Arial" w:hAnsi="Arial" w:cs="Arial"/>
        </w:rPr>
        <w:t>2035</w:t>
      </w:r>
      <w:r w:rsidRPr="0060103D">
        <w:rPr>
          <w:rFonts w:ascii="Arial" w:hAnsi="Arial" w:cs="Arial"/>
        </w:rPr>
        <w:t xml:space="preserve">, requiring close collaboration among participating organisations. This partnership operates within significant UK Japan trade, valued at </w:t>
      </w:r>
      <w:r w:rsidR="008F719D" w:rsidRPr="0060103D">
        <w:rPr>
          <w:rFonts w:ascii="Arial" w:hAnsi="Arial" w:cs="Arial"/>
        </w:rPr>
        <w:t>£</w:t>
      </w:r>
      <w:r w:rsidR="006158FE" w:rsidRPr="0060103D">
        <w:rPr>
          <w:rFonts w:ascii="Arial" w:hAnsi="Arial" w:cs="Arial"/>
        </w:rPr>
        <w:t>33.4</w:t>
      </w:r>
      <w:r w:rsidRPr="0060103D">
        <w:rPr>
          <w:rFonts w:ascii="Arial" w:hAnsi="Arial" w:cs="Arial"/>
        </w:rPr>
        <w:t xml:space="preserve"> billion by the third quarter </w:t>
      </w:r>
      <w:proofErr w:type="gramStart"/>
      <w:r w:rsidRPr="0060103D">
        <w:rPr>
          <w:rFonts w:ascii="Arial" w:hAnsi="Arial" w:cs="Arial"/>
        </w:rPr>
        <w:t xml:space="preserve">of  </w:t>
      </w:r>
      <w:r w:rsidR="006158FE" w:rsidRPr="0060103D">
        <w:rPr>
          <w:rFonts w:ascii="Arial" w:hAnsi="Arial" w:cs="Arial"/>
        </w:rPr>
        <w:t>2025</w:t>
      </w:r>
      <w:proofErr w:type="gramEnd"/>
      <w:r w:rsidR="006158FE" w:rsidRPr="0060103D">
        <w:rPr>
          <w:rFonts w:ascii="Arial" w:hAnsi="Arial" w:cs="Arial"/>
        </w:rPr>
        <w:t xml:space="preserve"> </w:t>
      </w:r>
      <w:r w:rsidRPr="0060103D">
        <w:rPr>
          <w:rFonts w:ascii="Arial" w:hAnsi="Arial" w:cs="Arial"/>
        </w:rPr>
        <w:t>(Department for Business and Trade, 2026). The Country Director must therefore strengthen communication and cooperation across cultural boundaries.</w:t>
      </w:r>
    </w:p>
    <w:p w14:paraId="13592315" w14:textId="5DA3A4B5" w:rsidR="00A17CAB" w:rsidRPr="0060103D" w:rsidRDefault="00A17CAB" w:rsidP="0060103D">
      <w:pPr>
        <w:pStyle w:val="Heading1"/>
        <w:spacing w:line="360" w:lineRule="auto"/>
        <w:jc w:val="both"/>
        <w:rPr>
          <w:rFonts w:ascii="Arial" w:hAnsi="Arial" w:cs="Arial"/>
        </w:rPr>
      </w:pPr>
      <w:bookmarkStart w:id="2" w:name="_Toc238472516"/>
      <w:r w:rsidRPr="0060103D">
        <w:rPr>
          <w:rFonts w:ascii="Arial" w:hAnsi="Arial" w:cs="Arial"/>
        </w:rPr>
        <w:t>Trompenaars’ Seven Dimensions</w:t>
      </w:r>
      <w:bookmarkEnd w:id="2"/>
    </w:p>
    <w:p w14:paraId="61C7FAF1" w14:textId="77777777" w:rsidR="006158FE" w:rsidRPr="0060103D" w:rsidRDefault="006158FE" w:rsidP="0060103D">
      <w:pPr>
        <w:spacing w:line="360" w:lineRule="auto"/>
        <w:jc w:val="both"/>
        <w:rPr>
          <w:rFonts w:ascii="Arial" w:hAnsi="Arial" w:cs="Arial"/>
        </w:rPr>
      </w:pPr>
      <w:r w:rsidRPr="0060103D">
        <w:rPr>
          <w:rFonts w:ascii="Arial" w:hAnsi="Arial" w:cs="Arial"/>
        </w:rPr>
        <w:t>Trompenaars and Hampden Turner’s (1997) framework identifies seven paired cultural dimensions that explain how societies manage relationships with people, time and their environment. These include Universalism and Particularism, Individualism and Communitarianism, Specific and Diffuse relationships, and Achievement and Ascription. Three dimensions are particularly relevant to this case.</w:t>
      </w:r>
    </w:p>
    <w:p w14:paraId="4FF2E809" w14:textId="77777777" w:rsidR="006158FE" w:rsidRPr="0060103D" w:rsidRDefault="006158FE" w:rsidP="0060103D">
      <w:pPr>
        <w:spacing w:line="360" w:lineRule="auto"/>
        <w:jc w:val="both"/>
        <w:rPr>
          <w:rFonts w:ascii="Arial" w:hAnsi="Arial" w:cs="Arial"/>
        </w:rPr>
      </w:pPr>
      <w:r w:rsidRPr="0060103D">
        <w:rPr>
          <w:rFonts w:ascii="Arial" w:hAnsi="Arial" w:cs="Arial"/>
        </w:rPr>
        <w:t>First, Universalism and Particularism concern the application of rules. British engineering practice often supports Universalism, where standard procedures are applied consistently regardless of personal relationships. Japanese partners may be more particularist, since relationships and circumstances can influence how a rule is interpreted and applied (Trompenaars and Hampden Turner, 1997; THT Consulting, 2026). Therefore, a British engineer who follows a specification exactly may appear to overlook important contextual concerns valued by an established Japanese partner.</w:t>
      </w:r>
    </w:p>
    <w:p w14:paraId="34BC7E1B" w14:textId="77777777" w:rsidR="006158FE" w:rsidRPr="0060103D" w:rsidRDefault="006158FE" w:rsidP="0060103D">
      <w:pPr>
        <w:spacing w:line="360" w:lineRule="auto"/>
        <w:jc w:val="both"/>
        <w:rPr>
          <w:rFonts w:ascii="Arial" w:hAnsi="Arial" w:cs="Arial"/>
        </w:rPr>
      </w:pPr>
      <w:r w:rsidRPr="0060103D">
        <w:rPr>
          <w:rFonts w:ascii="Arial" w:hAnsi="Arial" w:cs="Arial"/>
        </w:rPr>
        <w:t xml:space="preserve">Second, Achievement and Ascription are relevant in teams with long standing organisational hierarchies. In the United Kingdom, authority is often linked to individual ability and demonstrated results. In Japanese heavy industry, authority may be more closely related to seniority, experience and length of service, reflected in the principle of </w:t>
      </w:r>
      <w:proofErr w:type="spellStart"/>
      <w:r w:rsidRPr="0060103D">
        <w:rPr>
          <w:rFonts w:ascii="Arial" w:hAnsi="Arial" w:cs="Arial"/>
        </w:rPr>
        <w:t>nenkōjoretsu</w:t>
      </w:r>
      <w:proofErr w:type="spellEnd"/>
      <w:r w:rsidRPr="0060103D">
        <w:rPr>
          <w:rFonts w:ascii="Arial" w:hAnsi="Arial" w:cs="Arial"/>
        </w:rPr>
        <w:t xml:space="preserve"> (Nihonium, 2025). A junior but highly skilled engineer who bypasses a senior manager could therefore create tension despite presenting a technically appropriate solution.</w:t>
      </w:r>
    </w:p>
    <w:p w14:paraId="14BBDFCC" w14:textId="3E3EADAC" w:rsidR="00282A80" w:rsidRPr="0060103D" w:rsidRDefault="006158FE" w:rsidP="0060103D">
      <w:pPr>
        <w:spacing w:line="360" w:lineRule="auto"/>
        <w:jc w:val="both"/>
        <w:rPr>
          <w:rFonts w:ascii="Arial" w:hAnsi="Arial" w:cs="Arial"/>
        </w:rPr>
      </w:pPr>
      <w:r w:rsidRPr="0060103D">
        <w:rPr>
          <w:rFonts w:ascii="Arial" w:hAnsi="Arial" w:cs="Arial"/>
        </w:rPr>
        <w:t xml:space="preserve">Third, Specific and Diffuse relationships describe the separation between professional and personal life. British colleagues may keep these areas separate, while Japanese </w:t>
      </w:r>
      <w:r w:rsidRPr="0060103D">
        <w:rPr>
          <w:rFonts w:ascii="Arial" w:hAnsi="Arial" w:cs="Arial"/>
        </w:rPr>
        <w:lastRenderedPageBreak/>
        <w:t xml:space="preserve">colleagues may regard social activities such as </w:t>
      </w:r>
      <w:proofErr w:type="spellStart"/>
      <w:r w:rsidRPr="0060103D">
        <w:rPr>
          <w:rFonts w:ascii="Arial" w:hAnsi="Arial" w:cs="Arial"/>
        </w:rPr>
        <w:t>nomikai</w:t>
      </w:r>
      <w:proofErr w:type="spellEnd"/>
      <w:r w:rsidRPr="0060103D">
        <w:rPr>
          <w:rFonts w:ascii="Arial" w:hAnsi="Arial" w:cs="Arial"/>
        </w:rPr>
        <w:t xml:space="preserve"> as important for building workplace trust (THT Consulting, 2026). Trompenaars and Hampden Turner’s model is therefore especially useful because it draws attention to relationship and status issues that can strongly affect meeting conduct, perhaps more directly than Hofstede’s broader national orientations.</w:t>
      </w:r>
    </w:p>
    <w:p w14:paraId="7FB3A399" w14:textId="58F03033" w:rsidR="00A17CAB" w:rsidRPr="0060103D" w:rsidRDefault="00A17CAB" w:rsidP="0060103D">
      <w:pPr>
        <w:pStyle w:val="Heading1"/>
        <w:spacing w:line="360" w:lineRule="auto"/>
        <w:jc w:val="both"/>
        <w:rPr>
          <w:rFonts w:ascii="Arial" w:hAnsi="Arial" w:cs="Arial"/>
        </w:rPr>
      </w:pPr>
      <w:bookmarkStart w:id="3" w:name="_Toc238472517"/>
      <w:r w:rsidRPr="0060103D">
        <w:rPr>
          <w:rFonts w:ascii="Arial" w:hAnsi="Arial" w:cs="Arial"/>
        </w:rPr>
        <w:t>Hall’s Context</w:t>
      </w:r>
      <w:bookmarkEnd w:id="3"/>
    </w:p>
    <w:p w14:paraId="4C2656DB" w14:textId="77777777" w:rsidR="006158FE" w:rsidRPr="0060103D" w:rsidRDefault="006158FE" w:rsidP="0060103D">
      <w:pPr>
        <w:spacing w:line="360" w:lineRule="auto"/>
        <w:jc w:val="both"/>
        <w:rPr>
          <w:rFonts w:ascii="Arial" w:hAnsi="Arial" w:cs="Arial"/>
        </w:rPr>
      </w:pPr>
      <w:r w:rsidRPr="0060103D">
        <w:rPr>
          <w:rFonts w:ascii="Arial" w:hAnsi="Arial" w:cs="Arial"/>
        </w:rPr>
        <w:t>Hall’s (1976) distinction between high context and low context communication explains whether meaning is conveyed mainly through direct language or through shared knowledge, relationships and nonverbal signals. Japan is commonly associated with high context communication, whereas the United Kingdom is generally placed closer to the low context end, although it is less direct than the United States (Hall and Hall, 1990). In a Rolls Royce and KHI or MHI team, British engineers may expect concerns to be clearly expressed during technical reviews, while Japanese engineers may communicate concerns through cautious wording, indirect comments or silence.</w:t>
      </w:r>
    </w:p>
    <w:p w14:paraId="44A8785C" w14:textId="127706D9" w:rsidR="00282A80" w:rsidRPr="0060103D" w:rsidRDefault="006158FE" w:rsidP="0060103D">
      <w:pPr>
        <w:spacing w:line="360" w:lineRule="auto"/>
        <w:jc w:val="both"/>
        <w:rPr>
          <w:rFonts w:ascii="Arial" w:hAnsi="Arial" w:cs="Arial"/>
        </w:rPr>
      </w:pPr>
      <w:r w:rsidRPr="0060103D">
        <w:rPr>
          <w:rFonts w:ascii="Arial" w:hAnsi="Arial" w:cs="Arial"/>
        </w:rPr>
        <w:t>However, the framework has received substantial empirical criticism. According to Cardon’s (2008) review of</w:t>
      </w:r>
      <w:r w:rsidRPr="0060103D">
        <w:rPr>
          <w:rFonts w:ascii="Arial" w:hAnsi="Arial" w:cs="Arial"/>
        </w:rPr>
        <w:t xml:space="preserve"> 224 studies</w:t>
      </w:r>
      <w:r w:rsidRPr="0060103D">
        <w:rPr>
          <w:rFonts w:ascii="Arial" w:hAnsi="Arial" w:cs="Arial"/>
        </w:rPr>
        <w:t xml:space="preserve"> on Hall’s model, claims widely repeated in textbooks, especially those concerning directness, have not been tested as frequently as expected and have produced inconsistent findings when examined. Kittler, </w:t>
      </w:r>
      <w:proofErr w:type="spellStart"/>
      <w:r w:rsidRPr="0060103D">
        <w:rPr>
          <w:rFonts w:ascii="Arial" w:hAnsi="Arial" w:cs="Arial"/>
        </w:rPr>
        <w:t>Rygl</w:t>
      </w:r>
      <w:proofErr w:type="spellEnd"/>
      <w:r w:rsidRPr="0060103D">
        <w:rPr>
          <w:rFonts w:ascii="Arial" w:hAnsi="Arial" w:cs="Arial"/>
        </w:rPr>
        <w:t xml:space="preserve"> and Mackinnon (2011</w:t>
      </w:r>
      <w:r w:rsidRPr="0060103D">
        <w:rPr>
          <w:rFonts w:ascii="Arial" w:hAnsi="Arial" w:cs="Arial"/>
        </w:rPr>
        <w:t>)</w:t>
      </w:r>
      <w:r w:rsidRPr="0060103D">
        <w:rPr>
          <w:rFonts w:ascii="Arial" w:hAnsi="Arial" w:cs="Arial"/>
        </w:rPr>
        <w:t xml:space="preserve"> similarly argue that common cultural classifications rely on inadequate evidence and remain limited in their usefulness. A Country Director should therefore avoid </w:t>
      </w:r>
      <w:r w:rsidRPr="0060103D">
        <w:rPr>
          <w:rFonts w:ascii="Arial" w:hAnsi="Arial" w:cs="Arial"/>
        </w:rPr>
        <w:t>if</w:t>
      </w:r>
      <w:r w:rsidRPr="0060103D">
        <w:rPr>
          <w:rFonts w:ascii="Arial" w:hAnsi="Arial" w:cs="Arial"/>
        </w:rPr>
        <w:t xml:space="preserve"> all Japanese engineers communicate indirectly or that all British engineers are consistently explicit. Hall’s framework is more useful as a language for recognising possible communication tensions than as a reliable tool for predicting individual behaviour.</w:t>
      </w:r>
    </w:p>
    <w:p w14:paraId="073F4374" w14:textId="210B7563" w:rsidR="00282A80" w:rsidRPr="0060103D" w:rsidRDefault="00282A80" w:rsidP="0060103D">
      <w:pPr>
        <w:pStyle w:val="Heading1"/>
        <w:spacing w:line="360" w:lineRule="auto"/>
        <w:jc w:val="both"/>
        <w:rPr>
          <w:rFonts w:ascii="Arial" w:hAnsi="Arial" w:cs="Arial"/>
        </w:rPr>
      </w:pPr>
      <w:bookmarkStart w:id="4" w:name="_Toc238472518"/>
      <w:r w:rsidRPr="0060103D">
        <w:rPr>
          <w:rFonts w:ascii="Arial" w:hAnsi="Arial" w:cs="Arial"/>
        </w:rPr>
        <w:t>Hofstede’s Dimensions</w:t>
      </w:r>
      <w:bookmarkEnd w:id="4"/>
    </w:p>
    <w:p w14:paraId="65CD3F12" w14:textId="000341E4" w:rsidR="006158FE" w:rsidRPr="0060103D" w:rsidRDefault="006158FE" w:rsidP="0060103D">
      <w:pPr>
        <w:spacing w:line="360" w:lineRule="auto"/>
        <w:jc w:val="both"/>
        <w:rPr>
          <w:rFonts w:ascii="Arial" w:hAnsi="Arial" w:cs="Arial"/>
        </w:rPr>
      </w:pPr>
      <w:r w:rsidRPr="0060103D">
        <w:rPr>
          <w:rFonts w:ascii="Arial" w:hAnsi="Arial" w:cs="Arial"/>
        </w:rPr>
        <w:t xml:space="preserve">Hofstede’s model, developed from IBM survey data collected across more than </w:t>
      </w:r>
      <w:r w:rsidRPr="0060103D">
        <w:rPr>
          <w:rFonts w:ascii="Arial" w:hAnsi="Arial" w:cs="Arial"/>
        </w:rPr>
        <w:t xml:space="preserve">40 </w:t>
      </w:r>
      <w:r w:rsidRPr="0060103D">
        <w:rPr>
          <w:rFonts w:ascii="Arial" w:hAnsi="Arial" w:cs="Arial"/>
        </w:rPr>
        <w:t>countries, provides useful background although it is not the main framework used here (Hofstede, 1980). Japan records relatively high scores for Uncertainty Avoidance at</w:t>
      </w:r>
      <w:r w:rsidRPr="0060103D">
        <w:rPr>
          <w:rFonts w:ascii="Arial" w:hAnsi="Arial" w:cs="Arial"/>
        </w:rPr>
        <w:t xml:space="preserve"> 92</w:t>
      </w:r>
      <w:r w:rsidRPr="0060103D">
        <w:rPr>
          <w:rFonts w:ascii="Arial" w:hAnsi="Arial" w:cs="Arial"/>
        </w:rPr>
        <w:t xml:space="preserve"> and Masculinity at </w:t>
      </w:r>
      <w:r w:rsidRPr="0060103D">
        <w:rPr>
          <w:rFonts w:ascii="Arial" w:hAnsi="Arial" w:cs="Arial"/>
        </w:rPr>
        <w:t>95</w:t>
      </w:r>
      <w:r w:rsidRPr="0060103D">
        <w:rPr>
          <w:rFonts w:ascii="Arial" w:hAnsi="Arial" w:cs="Arial"/>
        </w:rPr>
        <w:t xml:space="preserve">, while its Individualism score of </w:t>
      </w:r>
      <w:r w:rsidRPr="0060103D">
        <w:rPr>
          <w:rFonts w:ascii="Arial" w:hAnsi="Arial" w:cs="Arial"/>
        </w:rPr>
        <w:t>46</w:t>
      </w:r>
      <w:r w:rsidRPr="0060103D">
        <w:rPr>
          <w:rFonts w:ascii="Arial" w:hAnsi="Arial" w:cs="Arial"/>
        </w:rPr>
        <w:t xml:space="preserve"> is moderate. This challenges the simplified view that Japan is entirely collectivist when compared with </w:t>
      </w:r>
      <w:r w:rsidRPr="0060103D">
        <w:rPr>
          <w:rFonts w:ascii="Arial" w:hAnsi="Arial" w:cs="Arial"/>
        </w:rPr>
        <w:lastRenderedPageBreak/>
        <w:t>the United Kingdom, which has a much higher individualism score (Hofstede Insights, cited in Nagoya University research). Japan’s high Uncertainty Avoidance score is also consistent with preferences for detailed documentation and phased risk sharing arrangements developed through lengthy negotiation (</w:t>
      </w:r>
      <w:proofErr w:type="spellStart"/>
      <w:r w:rsidRPr="0060103D">
        <w:rPr>
          <w:rFonts w:ascii="Arial" w:hAnsi="Arial" w:cs="Arial"/>
        </w:rPr>
        <w:t>FlightGlobal</w:t>
      </w:r>
      <w:proofErr w:type="spellEnd"/>
      <w:r w:rsidRPr="0060103D">
        <w:rPr>
          <w:rFonts w:ascii="Arial" w:hAnsi="Arial" w:cs="Arial"/>
        </w:rPr>
        <w:t>, 1998).</w:t>
      </w:r>
    </w:p>
    <w:p w14:paraId="38363220" w14:textId="76B27543" w:rsidR="00282A80" w:rsidRPr="0060103D" w:rsidRDefault="006158FE" w:rsidP="0060103D">
      <w:pPr>
        <w:spacing w:line="360" w:lineRule="auto"/>
        <w:jc w:val="both"/>
        <w:rPr>
          <w:rFonts w:ascii="Arial" w:hAnsi="Arial" w:cs="Arial"/>
        </w:rPr>
      </w:pPr>
      <w:r w:rsidRPr="0060103D">
        <w:rPr>
          <w:rFonts w:ascii="Arial" w:hAnsi="Arial" w:cs="Arial"/>
        </w:rPr>
        <w:t>Nevertheless, Hofstede’s framework has received significant criticism. McSweeney’s (2002) article in Human Relations, entitled A Triumph of Faith, A Failure of Analysis, argues that it is methodologically weak to draw conclusions about stable national cultures from IBM employee surveys. He explains that national populations are diverse and that statistical relationships cannot prove causation. Fang (2003) also questions Hofstede’s fifth dimension, Long Term Orientation, because it relies on a limited interpretation of Chinese Yin Yang duality and gives excessive attention to Confucian ideas while neglecting Taoist and Buddhist influences</w:t>
      </w:r>
      <w:r w:rsidR="00ED7374" w:rsidRPr="0060103D">
        <w:rPr>
          <w:rFonts w:ascii="Arial" w:hAnsi="Arial" w:cs="Arial"/>
        </w:rPr>
        <w:t>.</w:t>
      </w:r>
      <w:r w:rsidRPr="0060103D">
        <w:rPr>
          <w:rFonts w:ascii="Arial" w:hAnsi="Arial" w:cs="Arial"/>
        </w:rPr>
        <w:t xml:space="preserve"> </w:t>
      </w:r>
      <w:proofErr w:type="spellStart"/>
      <w:r w:rsidRPr="0060103D">
        <w:rPr>
          <w:rFonts w:ascii="Arial" w:hAnsi="Arial" w:cs="Arial"/>
        </w:rPr>
        <w:t>Venaik</w:t>
      </w:r>
      <w:proofErr w:type="spellEnd"/>
      <w:r w:rsidRPr="0060103D">
        <w:rPr>
          <w:rFonts w:ascii="Arial" w:hAnsi="Arial" w:cs="Arial"/>
        </w:rPr>
        <w:t xml:space="preserve"> and Brewer (2016) warn that using Hofstede and GLOBE scores without criticism can encourage cultural misunderstanding by treating national averages as descriptions of all individuals. Therefore, Japan’s scores may indicate broad patterns but cannot reliably predict the actions of a particular engineer.</w:t>
      </w:r>
    </w:p>
    <w:p w14:paraId="3162AEF0" w14:textId="31DE0887" w:rsidR="00282A80" w:rsidRPr="0060103D" w:rsidRDefault="00282A80" w:rsidP="0060103D">
      <w:pPr>
        <w:pStyle w:val="Heading1"/>
        <w:spacing w:line="360" w:lineRule="auto"/>
        <w:jc w:val="both"/>
        <w:rPr>
          <w:rFonts w:ascii="Arial" w:hAnsi="Arial" w:cs="Arial"/>
        </w:rPr>
      </w:pPr>
      <w:bookmarkStart w:id="5" w:name="_Toc238472519"/>
      <w:r w:rsidRPr="0060103D">
        <w:rPr>
          <w:rFonts w:ascii="Arial" w:hAnsi="Arial" w:cs="Arial"/>
        </w:rPr>
        <w:t>Communication</w:t>
      </w:r>
      <w:bookmarkEnd w:id="5"/>
    </w:p>
    <w:p w14:paraId="52B56307" w14:textId="13A4E5DA" w:rsidR="00282A80" w:rsidRPr="0060103D" w:rsidRDefault="00282A80" w:rsidP="0060103D">
      <w:pPr>
        <w:pStyle w:val="Heading2"/>
        <w:spacing w:line="360" w:lineRule="auto"/>
        <w:ind w:firstLine="567"/>
        <w:jc w:val="both"/>
        <w:rPr>
          <w:rFonts w:ascii="Arial" w:hAnsi="Arial" w:cs="Arial"/>
        </w:rPr>
      </w:pPr>
      <w:bookmarkStart w:id="6" w:name="_Toc238472520"/>
      <w:r w:rsidRPr="0060103D">
        <w:rPr>
          <w:rFonts w:ascii="Arial" w:hAnsi="Arial" w:cs="Arial"/>
        </w:rPr>
        <w:t>Directness, Hedging and the Function of Silence</w:t>
      </w:r>
      <w:bookmarkEnd w:id="6"/>
    </w:p>
    <w:p w14:paraId="6446F7E2" w14:textId="66F943C1" w:rsidR="00282A80" w:rsidRPr="0060103D" w:rsidRDefault="00ED7374" w:rsidP="0060103D">
      <w:pPr>
        <w:spacing w:line="360" w:lineRule="auto"/>
        <w:jc w:val="both"/>
        <w:rPr>
          <w:rFonts w:ascii="Arial" w:hAnsi="Arial" w:cs="Arial"/>
        </w:rPr>
      </w:pPr>
      <w:r w:rsidRPr="0060103D">
        <w:rPr>
          <w:rFonts w:ascii="Arial" w:hAnsi="Arial" w:cs="Arial"/>
        </w:rPr>
        <w:t xml:space="preserve">British engineers who are used to direct feedback may interpret the Japanese expression </w:t>
      </w:r>
      <w:proofErr w:type="spellStart"/>
      <w:r w:rsidRPr="0060103D">
        <w:rPr>
          <w:rFonts w:ascii="Arial" w:hAnsi="Arial" w:cs="Arial"/>
        </w:rPr>
        <w:t>chotto</w:t>
      </w:r>
      <w:proofErr w:type="spellEnd"/>
      <w:r w:rsidRPr="0060103D">
        <w:rPr>
          <w:rFonts w:ascii="Arial" w:hAnsi="Arial" w:cs="Arial"/>
        </w:rPr>
        <w:t xml:space="preserve"> </w:t>
      </w:r>
      <w:proofErr w:type="spellStart"/>
      <w:r w:rsidRPr="0060103D">
        <w:rPr>
          <w:rFonts w:ascii="Arial" w:hAnsi="Arial" w:cs="Arial"/>
        </w:rPr>
        <w:t>muzukashii</w:t>
      </w:r>
      <w:proofErr w:type="spellEnd"/>
      <w:r w:rsidRPr="0060103D">
        <w:rPr>
          <w:rFonts w:ascii="Arial" w:hAnsi="Arial" w:cs="Arial"/>
        </w:rPr>
        <w:t>, meaning that something may be slightly difficult, as an opportunity for further discussion. However, it can communicate a polite refusal (AQ Partners, 2026). Silence may also be understood differently. British colleagues may feel pressure to respond quickly, while Japanese colleagues can use silence to show reflection and careful consideration. According to Glo Explore (2026), interrupting this pause may prevent a fully considered reply. Treating silence as agreement may therefore lead teams to approve plans that Japanese colleagues have not accepted.</w:t>
      </w:r>
    </w:p>
    <w:p w14:paraId="67E1680C" w14:textId="165C6F6E" w:rsidR="00282A80" w:rsidRPr="0060103D" w:rsidRDefault="00282A80" w:rsidP="0060103D">
      <w:pPr>
        <w:pStyle w:val="Heading2"/>
        <w:spacing w:line="360" w:lineRule="auto"/>
        <w:ind w:firstLine="567"/>
        <w:jc w:val="both"/>
        <w:rPr>
          <w:rFonts w:ascii="Arial" w:hAnsi="Arial" w:cs="Arial"/>
        </w:rPr>
      </w:pPr>
      <w:bookmarkStart w:id="7" w:name="_Toc238472521"/>
      <w:proofErr w:type="spellStart"/>
      <w:r w:rsidRPr="0060103D">
        <w:rPr>
          <w:rFonts w:ascii="Arial" w:hAnsi="Arial" w:cs="Arial"/>
        </w:rPr>
        <w:t>Nemawashi</w:t>
      </w:r>
      <w:proofErr w:type="spellEnd"/>
      <w:r w:rsidRPr="0060103D">
        <w:rPr>
          <w:rFonts w:ascii="Arial" w:hAnsi="Arial" w:cs="Arial"/>
        </w:rPr>
        <w:t xml:space="preserve"> and </w:t>
      </w:r>
      <w:proofErr w:type="spellStart"/>
      <w:r w:rsidRPr="0060103D">
        <w:rPr>
          <w:rFonts w:ascii="Arial" w:hAnsi="Arial" w:cs="Arial"/>
        </w:rPr>
        <w:t>Ringi</w:t>
      </w:r>
      <w:proofErr w:type="spellEnd"/>
      <w:r w:rsidRPr="0060103D">
        <w:rPr>
          <w:rFonts w:ascii="Arial" w:hAnsi="Arial" w:cs="Arial"/>
        </w:rPr>
        <w:t xml:space="preserve"> in a Joint Venture</w:t>
      </w:r>
      <w:bookmarkEnd w:id="7"/>
    </w:p>
    <w:p w14:paraId="53523A21" w14:textId="0D5BA2AB" w:rsidR="00282A80" w:rsidRPr="0060103D" w:rsidRDefault="00ED7374" w:rsidP="0060103D">
      <w:pPr>
        <w:spacing w:line="360" w:lineRule="auto"/>
        <w:jc w:val="both"/>
        <w:rPr>
          <w:rFonts w:ascii="Arial" w:hAnsi="Arial" w:cs="Arial"/>
        </w:rPr>
      </w:pPr>
      <w:r w:rsidRPr="0060103D">
        <w:rPr>
          <w:rFonts w:ascii="Arial" w:hAnsi="Arial" w:cs="Arial"/>
        </w:rPr>
        <w:t xml:space="preserve">Japanese decision making often involves </w:t>
      </w:r>
      <w:proofErr w:type="spellStart"/>
      <w:r w:rsidRPr="0060103D">
        <w:rPr>
          <w:rFonts w:ascii="Arial" w:hAnsi="Arial" w:cs="Arial"/>
        </w:rPr>
        <w:t>nemawashi</w:t>
      </w:r>
      <w:proofErr w:type="spellEnd"/>
      <w:r w:rsidRPr="0060103D">
        <w:rPr>
          <w:rFonts w:ascii="Arial" w:hAnsi="Arial" w:cs="Arial"/>
        </w:rPr>
        <w:t xml:space="preserve">, which refers to informal consultation before a proposal is formally presented, and </w:t>
      </w:r>
      <w:proofErr w:type="spellStart"/>
      <w:r w:rsidRPr="0060103D">
        <w:rPr>
          <w:rFonts w:ascii="Arial" w:hAnsi="Arial" w:cs="Arial"/>
        </w:rPr>
        <w:t>ringi</w:t>
      </w:r>
      <w:proofErr w:type="spellEnd"/>
      <w:r w:rsidRPr="0060103D">
        <w:rPr>
          <w:rFonts w:ascii="Arial" w:hAnsi="Arial" w:cs="Arial"/>
        </w:rPr>
        <w:t xml:space="preserve">, where a written proposal known as a </w:t>
      </w:r>
      <w:proofErr w:type="spellStart"/>
      <w:r w:rsidRPr="0060103D">
        <w:rPr>
          <w:rFonts w:ascii="Arial" w:hAnsi="Arial" w:cs="Arial"/>
        </w:rPr>
        <w:t>ringi</w:t>
      </w:r>
      <w:proofErr w:type="spellEnd"/>
      <w:r w:rsidRPr="0060103D">
        <w:rPr>
          <w:rFonts w:ascii="Arial" w:hAnsi="Arial" w:cs="Arial"/>
        </w:rPr>
        <w:t xml:space="preserve"> </w:t>
      </w:r>
      <w:proofErr w:type="spellStart"/>
      <w:r w:rsidRPr="0060103D">
        <w:rPr>
          <w:rFonts w:ascii="Arial" w:hAnsi="Arial" w:cs="Arial"/>
        </w:rPr>
        <w:t>sho</w:t>
      </w:r>
      <w:proofErr w:type="spellEnd"/>
      <w:r w:rsidRPr="0060103D">
        <w:rPr>
          <w:rFonts w:ascii="Arial" w:hAnsi="Arial" w:cs="Arial"/>
        </w:rPr>
        <w:t xml:space="preserve"> is circulated through the hierarchy for approval (AQ </w:t>
      </w:r>
      <w:r w:rsidRPr="0060103D">
        <w:rPr>
          <w:rFonts w:ascii="Arial" w:hAnsi="Arial" w:cs="Arial"/>
        </w:rPr>
        <w:lastRenderedPageBreak/>
        <w:t xml:space="preserve">Partners, 2026). As per </w:t>
      </w:r>
      <w:proofErr w:type="spellStart"/>
      <w:r w:rsidRPr="0060103D">
        <w:rPr>
          <w:rFonts w:ascii="Arial" w:hAnsi="Arial" w:cs="Arial"/>
        </w:rPr>
        <w:t>Silkdrive</w:t>
      </w:r>
      <w:proofErr w:type="spellEnd"/>
      <w:r w:rsidRPr="0060103D">
        <w:rPr>
          <w:rFonts w:ascii="Arial" w:hAnsi="Arial" w:cs="Arial"/>
        </w:rPr>
        <w:t xml:space="preserve"> (2026), internal agreement is usually achieved before the formal meeting, which mainly confirms the decision rather than allowing detailed debate. A UK manager who presents a specification without prior discussion may encounter silence because consultation has not occurred. The Country Director should therefore introduce a comparable early consultation process within the UK team.</w:t>
      </w:r>
    </w:p>
    <w:p w14:paraId="156DF46B" w14:textId="36465AF4" w:rsidR="00282A80" w:rsidRPr="0060103D" w:rsidRDefault="00282A80" w:rsidP="0060103D">
      <w:pPr>
        <w:pStyle w:val="Heading2"/>
        <w:spacing w:line="360" w:lineRule="auto"/>
        <w:ind w:firstLine="567"/>
        <w:jc w:val="both"/>
        <w:rPr>
          <w:rFonts w:ascii="Arial" w:hAnsi="Arial" w:cs="Arial"/>
        </w:rPr>
      </w:pPr>
      <w:bookmarkStart w:id="8" w:name="_Toc238472522"/>
      <w:r w:rsidRPr="0060103D">
        <w:rPr>
          <w:rFonts w:ascii="Arial" w:hAnsi="Arial" w:cs="Arial"/>
        </w:rPr>
        <w:t xml:space="preserve">Honne, </w:t>
      </w:r>
      <w:proofErr w:type="spellStart"/>
      <w:r w:rsidRPr="0060103D">
        <w:rPr>
          <w:rFonts w:ascii="Arial" w:hAnsi="Arial" w:cs="Arial"/>
        </w:rPr>
        <w:t>Tatemae</w:t>
      </w:r>
      <w:proofErr w:type="spellEnd"/>
      <w:r w:rsidRPr="0060103D">
        <w:rPr>
          <w:rFonts w:ascii="Arial" w:hAnsi="Arial" w:cs="Arial"/>
        </w:rPr>
        <w:t xml:space="preserve"> and the Preservation of Face</w:t>
      </w:r>
      <w:bookmarkEnd w:id="8"/>
    </w:p>
    <w:p w14:paraId="79A890E2" w14:textId="27DB4817" w:rsidR="00282A80" w:rsidRPr="0060103D" w:rsidRDefault="00ED7374" w:rsidP="0060103D">
      <w:pPr>
        <w:spacing w:line="360" w:lineRule="auto"/>
        <w:jc w:val="both"/>
        <w:rPr>
          <w:rFonts w:ascii="Arial" w:hAnsi="Arial" w:cs="Arial"/>
        </w:rPr>
      </w:pPr>
      <w:r w:rsidRPr="0060103D">
        <w:rPr>
          <w:rFonts w:ascii="Arial" w:hAnsi="Arial" w:cs="Arial"/>
        </w:rPr>
        <w:t xml:space="preserve">The distinction between </w:t>
      </w:r>
      <w:proofErr w:type="spellStart"/>
      <w:r w:rsidRPr="0060103D">
        <w:rPr>
          <w:rFonts w:ascii="Arial" w:hAnsi="Arial" w:cs="Arial"/>
        </w:rPr>
        <w:t>honne</w:t>
      </w:r>
      <w:proofErr w:type="spellEnd"/>
      <w:r w:rsidRPr="0060103D">
        <w:rPr>
          <w:rFonts w:ascii="Arial" w:hAnsi="Arial" w:cs="Arial"/>
        </w:rPr>
        <w:t xml:space="preserve">, meaning genuine opinion, and </w:t>
      </w:r>
      <w:proofErr w:type="spellStart"/>
      <w:r w:rsidRPr="0060103D">
        <w:rPr>
          <w:rFonts w:ascii="Arial" w:hAnsi="Arial" w:cs="Arial"/>
        </w:rPr>
        <w:t>tatemae</w:t>
      </w:r>
      <w:proofErr w:type="spellEnd"/>
      <w:r w:rsidRPr="0060103D">
        <w:rPr>
          <w:rFonts w:ascii="Arial" w:hAnsi="Arial" w:cs="Arial"/>
        </w:rPr>
        <w:t>, meaning a position expressed to protect harmony, strongly influences how disagreement may be communicated (</w:t>
      </w:r>
      <w:proofErr w:type="spellStart"/>
      <w:r w:rsidRPr="0060103D">
        <w:rPr>
          <w:rFonts w:ascii="Arial" w:hAnsi="Arial" w:cs="Arial"/>
        </w:rPr>
        <w:t>Silkdrive</w:t>
      </w:r>
      <w:proofErr w:type="spellEnd"/>
      <w:r w:rsidRPr="0060103D">
        <w:rPr>
          <w:rFonts w:ascii="Arial" w:hAnsi="Arial" w:cs="Arial"/>
        </w:rPr>
        <w:t xml:space="preserve">, 2026). Apparent agreement during a review may therefore reflect </w:t>
      </w:r>
      <w:proofErr w:type="spellStart"/>
      <w:r w:rsidRPr="0060103D">
        <w:rPr>
          <w:rFonts w:ascii="Arial" w:hAnsi="Arial" w:cs="Arial"/>
        </w:rPr>
        <w:t>tatemae</w:t>
      </w:r>
      <w:proofErr w:type="spellEnd"/>
      <w:r w:rsidRPr="0060103D">
        <w:rPr>
          <w:rFonts w:ascii="Arial" w:hAnsi="Arial" w:cs="Arial"/>
        </w:rPr>
        <w:t xml:space="preserve"> rather than full commitment, while concerns may be raised later through a trusted colleague. This also relates to face, or </w:t>
      </w:r>
      <w:proofErr w:type="spellStart"/>
      <w:r w:rsidRPr="0060103D">
        <w:rPr>
          <w:rFonts w:ascii="Arial" w:hAnsi="Arial" w:cs="Arial"/>
        </w:rPr>
        <w:t>mentsu</w:t>
      </w:r>
      <w:proofErr w:type="spellEnd"/>
      <w:r w:rsidRPr="0060103D">
        <w:rPr>
          <w:rFonts w:ascii="Arial" w:hAnsi="Arial" w:cs="Arial"/>
        </w:rPr>
        <w:t>, because criticising a proposal publicly in front of an engineer’s senior managers may cause embarrassment. Informal communication channels can help genuine concerns emerge early, preventing later and more costly problems.</w:t>
      </w:r>
    </w:p>
    <w:p w14:paraId="3A5C41E6" w14:textId="0058EC60" w:rsidR="00282A80" w:rsidRPr="0060103D" w:rsidRDefault="00282A80" w:rsidP="0060103D">
      <w:pPr>
        <w:pStyle w:val="Heading2"/>
        <w:spacing w:line="360" w:lineRule="auto"/>
        <w:ind w:firstLine="567"/>
        <w:jc w:val="both"/>
        <w:rPr>
          <w:rFonts w:ascii="Arial" w:hAnsi="Arial" w:cs="Arial"/>
        </w:rPr>
      </w:pPr>
      <w:bookmarkStart w:id="9" w:name="_Toc238472523"/>
      <w:r w:rsidRPr="0060103D">
        <w:rPr>
          <w:rFonts w:ascii="Arial" w:hAnsi="Arial" w:cs="Arial"/>
        </w:rPr>
        <w:t>Seniority, Meeting Order and the Handling of Disagreement</w:t>
      </w:r>
      <w:bookmarkEnd w:id="9"/>
    </w:p>
    <w:p w14:paraId="595185C6" w14:textId="70610218" w:rsidR="00282A80" w:rsidRPr="0060103D" w:rsidRDefault="00ED7374" w:rsidP="0060103D">
      <w:pPr>
        <w:spacing w:line="360" w:lineRule="auto"/>
        <w:jc w:val="both"/>
        <w:rPr>
          <w:rFonts w:ascii="Arial" w:hAnsi="Arial" w:cs="Arial"/>
        </w:rPr>
      </w:pPr>
      <w:r w:rsidRPr="0060103D">
        <w:rPr>
          <w:rFonts w:ascii="Arial" w:hAnsi="Arial" w:cs="Arial"/>
        </w:rPr>
        <w:t xml:space="preserve">As </w:t>
      </w:r>
      <w:proofErr w:type="spellStart"/>
      <w:r w:rsidRPr="0060103D">
        <w:rPr>
          <w:rFonts w:ascii="Arial" w:hAnsi="Arial" w:cs="Arial"/>
        </w:rPr>
        <w:t>Silkdrive</w:t>
      </w:r>
      <w:proofErr w:type="spellEnd"/>
      <w:r w:rsidRPr="0060103D">
        <w:rPr>
          <w:rFonts w:ascii="Arial" w:hAnsi="Arial" w:cs="Arial"/>
        </w:rPr>
        <w:t xml:space="preserve"> (2026) explains, </w:t>
      </w:r>
      <w:proofErr w:type="spellStart"/>
      <w:r w:rsidRPr="0060103D">
        <w:rPr>
          <w:rFonts w:ascii="Arial" w:hAnsi="Arial" w:cs="Arial"/>
        </w:rPr>
        <w:t>honne</w:t>
      </w:r>
      <w:proofErr w:type="spellEnd"/>
      <w:r w:rsidRPr="0060103D">
        <w:rPr>
          <w:rFonts w:ascii="Arial" w:hAnsi="Arial" w:cs="Arial"/>
        </w:rPr>
        <w:t xml:space="preserve"> refers to a person’s genuine view, whereas </w:t>
      </w:r>
      <w:proofErr w:type="spellStart"/>
      <w:r w:rsidRPr="0060103D">
        <w:rPr>
          <w:rFonts w:ascii="Arial" w:hAnsi="Arial" w:cs="Arial"/>
        </w:rPr>
        <w:t>tatemae</w:t>
      </w:r>
      <w:proofErr w:type="spellEnd"/>
      <w:r w:rsidRPr="0060103D">
        <w:rPr>
          <w:rFonts w:ascii="Arial" w:hAnsi="Arial" w:cs="Arial"/>
        </w:rPr>
        <w:t xml:space="preserve"> describes an outward position intended to maintain group harmony. Consequently, agreement expressed during a formal review may not indicate complete support, since concerns could be communicated later through a trusted intermediary. This distinction is linked to </w:t>
      </w:r>
      <w:proofErr w:type="spellStart"/>
      <w:r w:rsidRPr="0060103D">
        <w:rPr>
          <w:rFonts w:ascii="Arial" w:hAnsi="Arial" w:cs="Arial"/>
        </w:rPr>
        <w:t>mentsu</w:t>
      </w:r>
      <w:proofErr w:type="spellEnd"/>
      <w:r w:rsidRPr="0060103D">
        <w:rPr>
          <w:rFonts w:ascii="Arial" w:hAnsi="Arial" w:cs="Arial"/>
        </w:rPr>
        <w:t>, or face, because challenging an engineer’s proposal publicly in front of senior colleagues may create embarrassment and damage status. Informal channels are therefore valuable because they enable genuine reservations to be identified early and reduce the likelihood of expensive difficulties later.</w:t>
      </w:r>
    </w:p>
    <w:p w14:paraId="53A43FB6" w14:textId="16FD3E38" w:rsidR="00282A80" w:rsidRPr="0060103D" w:rsidRDefault="00282A80" w:rsidP="0060103D">
      <w:pPr>
        <w:pStyle w:val="Heading2"/>
        <w:spacing w:line="360" w:lineRule="auto"/>
        <w:ind w:firstLine="567"/>
        <w:jc w:val="both"/>
        <w:rPr>
          <w:rFonts w:ascii="Arial" w:hAnsi="Arial" w:cs="Arial"/>
        </w:rPr>
      </w:pPr>
      <w:bookmarkStart w:id="10" w:name="_Toc238472524"/>
      <w:r w:rsidRPr="0060103D">
        <w:rPr>
          <w:rFonts w:ascii="Arial" w:hAnsi="Arial" w:cs="Arial"/>
        </w:rPr>
        <w:t>Email, Videoconferencing and English as a Working Language</w:t>
      </w:r>
      <w:bookmarkEnd w:id="10"/>
    </w:p>
    <w:p w14:paraId="69DE35D6" w14:textId="2BA1816B" w:rsidR="00282A80" w:rsidRPr="0060103D" w:rsidRDefault="0060103D" w:rsidP="0060103D">
      <w:pPr>
        <w:spacing w:line="360" w:lineRule="auto"/>
        <w:jc w:val="both"/>
        <w:rPr>
          <w:rFonts w:ascii="Arial" w:hAnsi="Arial" w:cs="Arial"/>
        </w:rPr>
      </w:pPr>
      <w:r w:rsidRPr="0060103D">
        <w:rPr>
          <w:rFonts w:ascii="Arial" w:hAnsi="Arial" w:cs="Arial"/>
        </w:rPr>
        <w:t xml:space="preserve">Although English is the shared working language, Japanese engineers may face a greater communication burden because they contribute through a second language. This can limit spontaneous participation and lead them to express concerns in indirect wording that British colleagues may interpret literally. British emails often state the </w:t>
      </w:r>
      <w:r w:rsidRPr="0060103D">
        <w:rPr>
          <w:rFonts w:ascii="Arial" w:hAnsi="Arial" w:cs="Arial"/>
        </w:rPr>
        <w:lastRenderedPageBreak/>
        <w:t xml:space="preserve">request immediately, whereas Japanese messages may begin with relationship building courtesies, reflecting the Diffuse orientation discussed </w:t>
      </w:r>
      <w:r w:rsidRPr="0060103D">
        <w:rPr>
          <w:rFonts w:ascii="Arial" w:hAnsi="Arial" w:cs="Arial"/>
        </w:rPr>
        <w:t>previously</w:t>
      </w:r>
      <w:r w:rsidRPr="0060103D">
        <w:rPr>
          <w:rFonts w:ascii="Arial" w:hAnsi="Arial" w:cs="Arial"/>
        </w:rPr>
        <w:t xml:space="preserve">. Videoconferencing across an </w:t>
      </w:r>
      <w:r w:rsidRPr="0060103D">
        <w:rPr>
          <w:rFonts w:ascii="Arial" w:hAnsi="Arial" w:cs="Arial"/>
        </w:rPr>
        <w:t>eight-hour</w:t>
      </w:r>
      <w:r w:rsidRPr="0060103D">
        <w:rPr>
          <w:rFonts w:ascii="Arial" w:hAnsi="Arial" w:cs="Arial"/>
        </w:rPr>
        <w:t xml:space="preserve"> time difference can also restrict informal consultation and remove nonverbal cues. Sharing meeting agendas in advance can reduce these difficulties.</w:t>
      </w:r>
    </w:p>
    <w:p w14:paraId="2B1AB09A" w14:textId="77777777" w:rsidR="00282A80" w:rsidRPr="0060103D" w:rsidRDefault="00282A80" w:rsidP="0060103D">
      <w:pPr>
        <w:pStyle w:val="Heading1"/>
        <w:spacing w:line="360" w:lineRule="auto"/>
        <w:jc w:val="both"/>
        <w:rPr>
          <w:rFonts w:ascii="Arial" w:hAnsi="Arial" w:cs="Arial"/>
        </w:rPr>
      </w:pPr>
      <w:bookmarkStart w:id="11" w:name="_Toc238472525"/>
      <w:r w:rsidRPr="0060103D">
        <w:rPr>
          <w:rFonts w:ascii="Arial" w:hAnsi="Arial" w:cs="Arial"/>
        </w:rPr>
        <w:t>GLOBE, Cultural Intelligence and Individual-Level Variation</w:t>
      </w:r>
      <w:bookmarkEnd w:id="11"/>
    </w:p>
    <w:p w14:paraId="3F65C9C6" w14:textId="24950C67" w:rsidR="0060103D" w:rsidRPr="0060103D" w:rsidRDefault="0060103D" w:rsidP="0060103D">
      <w:pPr>
        <w:spacing w:after="200" w:line="360" w:lineRule="auto"/>
        <w:jc w:val="both"/>
        <w:rPr>
          <w:rFonts w:ascii="Arial" w:hAnsi="Arial" w:cs="Arial"/>
        </w:rPr>
      </w:pPr>
      <w:r w:rsidRPr="0060103D">
        <w:rPr>
          <w:rFonts w:ascii="Arial" w:hAnsi="Arial" w:cs="Arial"/>
        </w:rPr>
        <w:t xml:space="preserve">The GLOBE project distinguishes between cultural practices and values, addressing a limitation of Hofstede’s model (House </w:t>
      </w:r>
      <w:r w:rsidRPr="00D84092">
        <w:rPr>
          <w:rFonts w:ascii="Arial" w:hAnsi="Arial" w:cs="Arial"/>
          <w:i/>
          <w:iCs/>
        </w:rPr>
        <w:t>et al</w:t>
      </w:r>
      <w:r w:rsidRPr="0060103D">
        <w:rPr>
          <w:rFonts w:ascii="Arial" w:hAnsi="Arial" w:cs="Arial"/>
        </w:rPr>
        <w:t>., 2004). Japanese engineers may show strong respect for hierarchy in practice while personally supporting more participative decisions, which a single national score cannot explain. Cultural intelligence shifts attention from national culture to individual capability. According to Earley and Ang (2003), it includes metacognitive, cognitive, motivational and behavioural abilities, allowing individuals to work effectively across cultural differences (Ang and Van Dyne, 2008). Managers should therefore identify team members with high cultural intelligence who can support consultation across the partnership.</w:t>
      </w:r>
    </w:p>
    <w:p w14:paraId="01E480C3" w14:textId="050982CB" w:rsidR="00282A80" w:rsidRPr="0060103D" w:rsidRDefault="0060103D" w:rsidP="0060103D">
      <w:pPr>
        <w:spacing w:after="200" w:line="360" w:lineRule="auto"/>
        <w:jc w:val="both"/>
        <w:rPr>
          <w:rFonts w:ascii="Arial" w:hAnsi="Arial" w:cs="Arial"/>
        </w:rPr>
      </w:pPr>
      <w:r w:rsidRPr="0060103D">
        <w:rPr>
          <w:rFonts w:ascii="Arial" w:hAnsi="Arial" w:cs="Arial"/>
        </w:rPr>
        <w:t>Meyer’s (2014) Culture Map compares countries in relation to each other through scales such as communicating and disagreeing. It suggests that communication differences between Japan and the United Kingdom can be substantial, even though Britain is only moderately low context globally. However, Nehrbass (2021) and Global IQ (2026) argue that the model relies heavily on seminar observations rather than peer reviewed research. Used carefully, GLOBE, cultural intelligence and the Culture Map provide a more balanced approach than fixed national scores.</w:t>
      </w:r>
    </w:p>
    <w:p w14:paraId="2988E8EE" w14:textId="045CB06E" w:rsidR="00282A80" w:rsidRPr="0060103D" w:rsidRDefault="00282A80" w:rsidP="0060103D">
      <w:pPr>
        <w:pStyle w:val="Heading1"/>
        <w:spacing w:line="360" w:lineRule="auto"/>
        <w:jc w:val="both"/>
        <w:rPr>
          <w:rFonts w:ascii="Arial" w:hAnsi="Arial" w:cs="Arial"/>
        </w:rPr>
      </w:pPr>
      <w:bookmarkStart w:id="12" w:name="_Toc238472526"/>
      <w:r w:rsidRPr="0060103D">
        <w:rPr>
          <w:rFonts w:ascii="Arial" w:hAnsi="Arial" w:cs="Arial"/>
        </w:rPr>
        <w:t>Conclusion</w:t>
      </w:r>
      <w:bookmarkEnd w:id="12"/>
    </w:p>
    <w:p w14:paraId="1FD8C5B5" w14:textId="77777777" w:rsidR="0060103D" w:rsidRPr="0060103D" w:rsidRDefault="0060103D" w:rsidP="0060103D">
      <w:pPr>
        <w:spacing w:line="360" w:lineRule="auto"/>
        <w:jc w:val="both"/>
        <w:rPr>
          <w:rFonts w:ascii="Arial" w:hAnsi="Arial" w:cs="Arial"/>
        </w:rPr>
      </w:pPr>
      <w:r w:rsidRPr="0060103D">
        <w:rPr>
          <w:rFonts w:ascii="Arial" w:hAnsi="Arial" w:cs="Arial"/>
        </w:rPr>
        <w:t xml:space="preserve">Communication challenges within the Rolls Royce and Japanese aerospace partnership, from the Trent programmes to GCAP, do not necessarily indicate a weak relationship. Instead, they may result from different communication priorities, with British colleagues often emphasising explicit information and individual responsibility, while Japanese colleagues may place greater value on relationships and group </w:t>
      </w:r>
      <w:r w:rsidRPr="0060103D">
        <w:rPr>
          <w:rFonts w:ascii="Arial" w:hAnsi="Arial" w:cs="Arial"/>
        </w:rPr>
        <w:lastRenderedPageBreak/>
        <w:t>harmony. Trompenaars’ Universalism and Particularism, together with Achievement and Ascription, help explain status related difficulties in joint meetings. Hall’s context continuum and Hofstede’s dimensions also provide insight into directness and attitudes towards risk.</w:t>
      </w:r>
    </w:p>
    <w:p w14:paraId="7261CA14" w14:textId="28BA8618" w:rsidR="0060103D" w:rsidRPr="0060103D" w:rsidRDefault="0060103D" w:rsidP="0060103D">
      <w:pPr>
        <w:spacing w:line="360" w:lineRule="auto"/>
        <w:jc w:val="both"/>
        <w:rPr>
          <w:rFonts w:ascii="Arial" w:hAnsi="Arial" w:cs="Arial"/>
        </w:rPr>
      </w:pPr>
      <w:r w:rsidRPr="0060103D">
        <w:rPr>
          <w:rFonts w:ascii="Arial" w:hAnsi="Arial" w:cs="Arial"/>
        </w:rPr>
        <w:t xml:space="preserve">However, McSweeney (2002), Fang (2003), Cardon (2008), Kittler, </w:t>
      </w:r>
      <w:proofErr w:type="spellStart"/>
      <w:r w:rsidRPr="0060103D">
        <w:rPr>
          <w:rFonts w:ascii="Arial" w:hAnsi="Arial" w:cs="Arial"/>
        </w:rPr>
        <w:t>Rygl</w:t>
      </w:r>
      <w:proofErr w:type="spellEnd"/>
      <w:r w:rsidRPr="0060103D">
        <w:rPr>
          <w:rFonts w:ascii="Arial" w:hAnsi="Arial" w:cs="Arial"/>
        </w:rPr>
        <w:t xml:space="preserve"> and Mackinnon (2011), and </w:t>
      </w:r>
      <w:proofErr w:type="spellStart"/>
      <w:r w:rsidRPr="0060103D">
        <w:rPr>
          <w:rFonts w:ascii="Arial" w:hAnsi="Arial" w:cs="Arial"/>
        </w:rPr>
        <w:t>Venaik</w:t>
      </w:r>
      <w:proofErr w:type="spellEnd"/>
      <w:r w:rsidRPr="0060103D">
        <w:rPr>
          <w:rFonts w:ascii="Arial" w:hAnsi="Arial" w:cs="Arial"/>
        </w:rPr>
        <w:t xml:space="preserve"> and Brewer (2016) show that these frameworks have limited empirical support and may encourage stereotypes. Practices including </w:t>
      </w:r>
      <w:proofErr w:type="spellStart"/>
      <w:r w:rsidRPr="0060103D">
        <w:rPr>
          <w:rFonts w:ascii="Arial" w:hAnsi="Arial" w:cs="Arial"/>
        </w:rPr>
        <w:t>nemawashi</w:t>
      </w:r>
      <w:proofErr w:type="spellEnd"/>
      <w:r w:rsidRPr="0060103D">
        <w:rPr>
          <w:rFonts w:ascii="Arial" w:hAnsi="Arial" w:cs="Arial"/>
        </w:rPr>
        <w:t xml:space="preserve">, </w:t>
      </w:r>
      <w:proofErr w:type="spellStart"/>
      <w:r w:rsidRPr="0060103D">
        <w:rPr>
          <w:rFonts w:ascii="Arial" w:hAnsi="Arial" w:cs="Arial"/>
        </w:rPr>
        <w:t>ringi</w:t>
      </w:r>
      <w:proofErr w:type="spellEnd"/>
      <w:r w:rsidRPr="0060103D">
        <w:rPr>
          <w:rFonts w:ascii="Arial" w:hAnsi="Arial" w:cs="Arial"/>
        </w:rPr>
        <w:t xml:space="preserve">, </w:t>
      </w:r>
      <w:proofErr w:type="spellStart"/>
      <w:r w:rsidRPr="0060103D">
        <w:rPr>
          <w:rFonts w:ascii="Arial" w:hAnsi="Arial" w:cs="Arial"/>
        </w:rPr>
        <w:t>honne</w:t>
      </w:r>
      <w:proofErr w:type="spellEnd"/>
      <w:r w:rsidRPr="0060103D">
        <w:rPr>
          <w:rFonts w:ascii="Arial" w:hAnsi="Arial" w:cs="Arial"/>
        </w:rPr>
        <w:t xml:space="preserve">, </w:t>
      </w:r>
      <w:proofErr w:type="spellStart"/>
      <w:r w:rsidRPr="0060103D">
        <w:rPr>
          <w:rFonts w:ascii="Arial" w:hAnsi="Arial" w:cs="Arial"/>
        </w:rPr>
        <w:t>tatemae</w:t>
      </w:r>
      <w:proofErr w:type="spellEnd"/>
      <w:r w:rsidRPr="0060103D">
        <w:rPr>
          <w:rFonts w:ascii="Arial" w:hAnsi="Arial" w:cs="Arial"/>
        </w:rPr>
        <w:t>, seniority protocols and the use of English should therefore be understood as possible tendencies rather than fixed national behaviours. GLOBE, cultural intelligence and Meyer’s (2014) Culture Map offer a more flexible basis for supporting long term cooperation between the United Kingdom and Japan.</w:t>
      </w:r>
    </w:p>
    <w:p w14:paraId="4E8DA5B3" w14:textId="77777777" w:rsidR="00282A80" w:rsidRPr="0060103D" w:rsidRDefault="00282A80" w:rsidP="0060103D">
      <w:pPr>
        <w:spacing w:line="360" w:lineRule="auto"/>
        <w:jc w:val="both"/>
        <w:rPr>
          <w:rFonts w:ascii="Arial" w:hAnsi="Arial" w:cs="Arial"/>
        </w:rPr>
      </w:pPr>
    </w:p>
    <w:p w14:paraId="5B3C09DD" w14:textId="29533EED" w:rsidR="00A17CAB" w:rsidRPr="0060103D" w:rsidRDefault="00A17CAB" w:rsidP="0060103D">
      <w:pPr>
        <w:spacing w:line="360" w:lineRule="auto"/>
        <w:jc w:val="both"/>
        <w:rPr>
          <w:rFonts w:ascii="Arial" w:hAnsi="Arial" w:cs="Arial"/>
        </w:rPr>
      </w:pPr>
      <w:r w:rsidRPr="0060103D">
        <w:rPr>
          <w:rFonts w:ascii="Arial" w:hAnsi="Arial" w:cs="Arial"/>
        </w:rPr>
        <w:br w:type="page"/>
      </w:r>
    </w:p>
    <w:p w14:paraId="4DCA1860" w14:textId="77777777" w:rsidR="00A17CAB" w:rsidRPr="0060103D" w:rsidRDefault="00A17CAB" w:rsidP="0060103D">
      <w:pPr>
        <w:pStyle w:val="Heading1"/>
        <w:spacing w:line="360" w:lineRule="auto"/>
        <w:jc w:val="both"/>
        <w:rPr>
          <w:rFonts w:ascii="Arial" w:hAnsi="Arial" w:cs="Arial"/>
        </w:rPr>
      </w:pPr>
      <w:bookmarkStart w:id="13" w:name="_Toc238472527"/>
      <w:r w:rsidRPr="0060103D">
        <w:rPr>
          <w:rFonts w:ascii="Arial" w:hAnsi="Arial" w:cs="Arial"/>
        </w:rPr>
        <w:lastRenderedPageBreak/>
        <w:t>Reference List</w:t>
      </w:r>
      <w:bookmarkEnd w:id="13"/>
    </w:p>
    <w:p w14:paraId="5D15F22A"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Ang, S. and Van Dyne, L. (2008) ‘Conceptualization of cultural intelligence: Definition, distinctiveness, and nomological network’, in Ang, S. and Van Dyne, L. (eds.) </w:t>
      </w:r>
      <w:r w:rsidRPr="0060103D">
        <w:rPr>
          <w:rFonts w:ascii="Arial" w:hAnsi="Arial" w:cs="Arial"/>
          <w:i/>
          <w:iCs/>
        </w:rPr>
        <w:t>Handbook of Cultural Intelligence: Theory, Measurement, and Applications</w:t>
      </w:r>
      <w:r w:rsidRPr="0060103D">
        <w:rPr>
          <w:rFonts w:ascii="Arial" w:hAnsi="Arial" w:cs="Arial"/>
        </w:rPr>
        <w:t>. Armonk, NY: M.E. Sharpe.</w:t>
      </w:r>
    </w:p>
    <w:p w14:paraId="2DF8268D" w14:textId="29CB533D" w:rsidR="00A17CAB" w:rsidRPr="0060103D" w:rsidRDefault="00A17CAB" w:rsidP="0060103D">
      <w:pPr>
        <w:spacing w:after="200" w:line="360" w:lineRule="auto"/>
        <w:jc w:val="both"/>
        <w:rPr>
          <w:rFonts w:ascii="Arial" w:hAnsi="Arial" w:cs="Arial"/>
        </w:rPr>
      </w:pPr>
      <w:r w:rsidRPr="0060103D">
        <w:rPr>
          <w:rFonts w:ascii="Arial" w:hAnsi="Arial" w:cs="Arial"/>
        </w:rPr>
        <w:t xml:space="preserve">AQ Partners (2026) </w:t>
      </w:r>
      <w:r w:rsidRPr="0060103D">
        <w:rPr>
          <w:rFonts w:ascii="Arial" w:hAnsi="Arial" w:cs="Arial"/>
          <w:i/>
          <w:iCs/>
        </w:rPr>
        <w:t>Japanese business culture guide for foreign companies</w:t>
      </w:r>
      <w:r w:rsidRPr="0060103D">
        <w:rPr>
          <w:rFonts w:ascii="Arial" w:hAnsi="Arial" w:cs="Arial"/>
        </w:rPr>
        <w:t>. Available at: https://www.aqpartners.jp/blog/japanese-business-culture-guide-foreign-companies (Accessed: 2</w:t>
      </w:r>
      <w:r w:rsidRPr="0060103D">
        <w:rPr>
          <w:rFonts w:ascii="Arial" w:hAnsi="Arial" w:cs="Arial"/>
        </w:rPr>
        <w:t>1</w:t>
      </w:r>
      <w:r w:rsidRPr="0060103D">
        <w:rPr>
          <w:rFonts w:ascii="Arial" w:hAnsi="Arial" w:cs="Arial"/>
        </w:rPr>
        <w:t xml:space="preserve"> August 2026).</w:t>
      </w:r>
    </w:p>
    <w:p w14:paraId="23EBBB47" w14:textId="0F3367FA" w:rsidR="00A17CAB" w:rsidRPr="0060103D" w:rsidRDefault="00A17CAB" w:rsidP="0060103D">
      <w:pPr>
        <w:spacing w:after="200" w:line="360" w:lineRule="auto"/>
        <w:jc w:val="both"/>
        <w:rPr>
          <w:rFonts w:ascii="Arial" w:hAnsi="Arial" w:cs="Arial"/>
        </w:rPr>
      </w:pPr>
      <w:r w:rsidRPr="0060103D">
        <w:rPr>
          <w:rFonts w:ascii="Arial" w:hAnsi="Arial" w:cs="Arial"/>
        </w:rPr>
        <w:t xml:space="preserve">Cardon, P.W. (2008) ‘A critique of Hall’s </w:t>
      </w:r>
      <w:proofErr w:type="spellStart"/>
      <w:r w:rsidRPr="0060103D">
        <w:rPr>
          <w:rFonts w:ascii="Arial" w:hAnsi="Arial" w:cs="Arial"/>
        </w:rPr>
        <w:t>contexting</w:t>
      </w:r>
      <w:proofErr w:type="spellEnd"/>
      <w:r w:rsidRPr="0060103D">
        <w:rPr>
          <w:rFonts w:ascii="Arial" w:hAnsi="Arial" w:cs="Arial"/>
        </w:rPr>
        <w:t xml:space="preserve"> model: A meta-analysis of literature on intercultural business and technical communication’, </w:t>
      </w:r>
      <w:r w:rsidRPr="0060103D">
        <w:rPr>
          <w:rFonts w:ascii="Arial" w:hAnsi="Arial" w:cs="Arial"/>
          <w:i/>
          <w:iCs/>
        </w:rPr>
        <w:t>Journal of Business and Technical Communication</w:t>
      </w:r>
      <w:r w:rsidRPr="0060103D">
        <w:rPr>
          <w:rFonts w:ascii="Arial" w:hAnsi="Arial" w:cs="Arial"/>
        </w:rPr>
        <w:t>, 22(4), pp. 399-428. Available at: https://doi.org/10.1177/1050651908320361 (Accessed: 2</w:t>
      </w:r>
      <w:r w:rsidRPr="0060103D">
        <w:rPr>
          <w:rFonts w:ascii="Arial" w:hAnsi="Arial" w:cs="Arial"/>
        </w:rPr>
        <w:t>3</w:t>
      </w:r>
      <w:r w:rsidRPr="0060103D">
        <w:rPr>
          <w:rFonts w:ascii="Arial" w:hAnsi="Arial" w:cs="Arial"/>
        </w:rPr>
        <w:t xml:space="preserve"> August 2026).</w:t>
      </w:r>
    </w:p>
    <w:p w14:paraId="257C5448" w14:textId="2C38FC29" w:rsidR="00A17CAB" w:rsidRPr="0060103D" w:rsidRDefault="00A17CAB" w:rsidP="0060103D">
      <w:pPr>
        <w:spacing w:after="200" w:line="360" w:lineRule="auto"/>
        <w:jc w:val="both"/>
        <w:rPr>
          <w:rFonts w:ascii="Arial" w:hAnsi="Arial" w:cs="Arial"/>
        </w:rPr>
      </w:pPr>
      <w:r w:rsidRPr="0060103D">
        <w:rPr>
          <w:rFonts w:ascii="Arial" w:hAnsi="Arial" w:cs="Arial"/>
        </w:rPr>
        <w:t xml:space="preserve">Department for Business and Trade (2026) </w:t>
      </w:r>
      <w:r w:rsidRPr="0060103D">
        <w:rPr>
          <w:rFonts w:ascii="Arial" w:hAnsi="Arial" w:cs="Arial"/>
          <w:i/>
          <w:iCs/>
        </w:rPr>
        <w:t>Japan: Trade and Investment Factsheet, 2 February 2026</w:t>
      </w:r>
      <w:r w:rsidRPr="0060103D">
        <w:rPr>
          <w:rFonts w:ascii="Arial" w:hAnsi="Arial" w:cs="Arial"/>
        </w:rPr>
        <w:t>. Available at: https://assets.publishing.service.gov.uk/media/697a30b31d8c53a85d6bd3f0/japan-trade-and-investment-factsheet-2026-02-02.pdf (Accessed: 2</w:t>
      </w:r>
      <w:r w:rsidRPr="0060103D">
        <w:rPr>
          <w:rFonts w:ascii="Arial" w:hAnsi="Arial" w:cs="Arial"/>
        </w:rPr>
        <w:t>2</w:t>
      </w:r>
      <w:r w:rsidRPr="0060103D">
        <w:rPr>
          <w:rFonts w:ascii="Arial" w:hAnsi="Arial" w:cs="Arial"/>
        </w:rPr>
        <w:t xml:space="preserve"> August 2026).</w:t>
      </w:r>
    </w:p>
    <w:p w14:paraId="2DBA1E8E"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Earley, P.C. and Ang, S. (2003) </w:t>
      </w:r>
      <w:r w:rsidRPr="0060103D">
        <w:rPr>
          <w:rFonts w:ascii="Arial" w:hAnsi="Arial" w:cs="Arial"/>
          <w:i/>
          <w:iCs/>
        </w:rPr>
        <w:t>Cultural Intelligence: Individual Interactions Across Cultures</w:t>
      </w:r>
      <w:r w:rsidRPr="0060103D">
        <w:rPr>
          <w:rFonts w:ascii="Arial" w:hAnsi="Arial" w:cs="Arial"/>
        </w:rPr>
        <w:t>. Stanford, CA: Stanford University Press.</w:t>
      </w:r>
    </w:p>
    <w:p w14:paraId="5833039A" w14:textId="50EAC777" w:rsidR="00A17CAB" w:rsidRPr="0060103D" w:rsidRDefault="00A17CAB" w:rsidP="0060103D">
      <w:pPr>
        <w:spacing w:after="200" w:line="360" w:lineRule="auto"/>
        <w:jc w:val="both"/>
        <w:rPr>
          <w:rFonts w:ascii="Arial" w:hAnsi="Arial" w:cs="Arial"/>
        </w:rPr>
      </w:pPr>
      <w:r w:rsidRPr="0060103D">
        <w:rPr>
          <w:rFonts w:ascii="Arial" w:hAnsi="Arial" w:cs="Arial"/>
        </w:rPr>
        <w:t xml:space="preserve">Fang, T. (2003) ‘A critique of Hofstede’s fifth national culture dimension’, </w:t>
      </w:r>
      <w:r w:rsidRPr="0060103D">
        <w:rPr>
          <w:rFonts w:ascii="Arial" w:hAnsi="Arial" w:cs="Arial"/>
          <w:i/>
          <w:iCs/>
        </w:rPr>
        <w:t xml:space="preserve">International Journal of </w:t>
      </w:r>
      <w:proofErr w:type="gramStart"/>
      <w:r w:rsidRPr="0060103D">
        <w:rPr>
          <w:rFonts w:ascii="Arial" w:hAnsi="Arial" w:cs="Arial"/>
          <w:i/>
          <w:iCs/>
        </w:rPr>
        <w:t>Cross Cultural</w:t>
      </w:r>
      <w:proofErr w:type="gramEnd"/>
      <w:r w:rsidRPr="0060103D">
        <w:rPr>
          <w:rFonts w:ascii="Arial" w:hAnsi="Arial" w:cs="Arial"/>
          <w:i/>
          <w:iCs/>
        </w:rPr>
        <w:t xml:space="preserve"> Management</w:t>
      </w:r>
      <w:r w:rsidRPr="0060103D">
        <w:rPr>
          <w:rFonts w:ascii="Arial" w:hAnsi="Arial" w:cs="Arial"/>
        </w:rPr>
        <w:t xml:space="preserve">, 3(3), pp. 347-368. Available at: https://doi.org/10.1177/1470595803003003006 (Accessed: </w:t>
      </w:r>
      <w:r w:rsidRPr="0060103D">
        <w:rPr>
          <w:rFonts w:ascii="Arial" w:hAnsi="Arial" w:cs="Arial"/>
        </w:rPr>
        <w:t>19</w:t>
      </w:r>
      <w:r w:rsidRPr="0060103D">
        <w:rPr>
          <w:rFonts w:ascii="Arial" w:hAnsi="Arial" w:cs="Arial"/>
        </w:rPr>
        <w:t xml:space="preserve"> August 2026).</w:t>
      </w:r>
    </w:p>
    <w:p w14:paraId="381E18DE" w14:textId="59B5531B" w:rsidR="00A17CAB" w:rsidRPr="0060103D" w:rsidRDefault="00A17CAB" w:rsidP="0060103D">
      <w:pPr>
        <w:spacing w:after="200" w:line="360" w:lineRule="auto"/>
        <w:jc w:val="both"/>
        <w:rPr>
          <w:rFonts w:ascii="Arial" w:hAnsi="Arial" w:cs="Arial"/>
        </w:rPr>
      </w:pPr>
      <w:proofErr w:type="spellStart"/>
      <w:r w:rsidRPr="0060103D">
        <w:rPr>
          <w:rFonts w:ascii="Arial" w:hAnsi="Arial" w:cs="Arial"/>
        </w:rPr>
        <w:t>FlightGlobal</w:t>
      </w:r>
      <w:proofErr w:type="spellEnd"/>
      <w:r w:rsidRPr="0060103D">
        <w:rPr>
          <w:rFonts w:ascii="Arial" w:hAnsi="Arial" w:cs="Arial"/>
        </w:rPr>
        <w:t xml:space="preserve"> (1998) ‘R-R reaches deadlock in Trent investment talks’, </w:t>
      </w:r>
      <w:proofErr w:type="spellStart"/>
      <w:r w:rsidRPr="0060103D">
        <w:rPr>
          <w:rFonts w:ascii="Arial" w:hAnsi="Arial" w:cs="Arial"/>
          <w:i/>
          <w:iCs/>
        </w:rPr>
        <w:t>FlightGlobal</w:t>
      </w:r>
      <w:proofErr w:type="spellEnd"/>
      <w:r w:rsidRPr="0060103D">
        <w:rPr>
          <w:rFonts w:ascii="Arial" w:hAnsi="Arial" w:cs="Arial"/>
        </w:rPr>
        <w:t>, 4 February. Available at: https://www.flightglobal.com/r-r-reaches-deadlock-in-trent-investment-talks/19313.article (Accessed: 2</w:t>
      </w:r>
      <w:r w:rsidRPr="0060103D">
        <w:rPr>
          <w:rFonts w:ascii="Arial" w:hAnsi="Arial" w:cs="Arial"/>
        </w:rPr>
        <w:t>1</w:t>
      </w:r>
      <w:r w:rsidRPr="0060103D">
        <w:rPr>
          <w:rFonts w:ascii="Arial" w:hAnsi="Arial" w:cs="Arial"/>
        </w:rPr>
        <w:t xml:space="preserve"> August 2026).</w:t>
      </w:r>
    </w:p>
    <w:p w14:paraId="75ACC207" w14:textId="2F47B2D2" w:rsidR="00A17CAB" w:rsidRPr="0060103D" w:rsidRDefault="00A17CAB" w:rsidP="0060103D">
      <w:pPr>
        <w:spacing w:after="200" w:line="360" w:lineRule="auto"/>
        <w:jc w:val="both"/>
        <w:rPr>
          <w:rFonts w:ascii="Arial" w:hAnsi="Arial" w:cs="Arial"/>
        </w:rPr>
      </w:pPr>
      <w:r w:rsidRPr="0060103D">
        <w:rPr>
          <w:rFonts w:ascii="Arial" w:hAnsi="Arial" w:cs="Arial"/>
        </w:rPr>
        <w:t xml:space="preserve">Glo-Explore (2026) </w:t>
      </w:r>
      <w:r w:rsidRPr="0060103D">
        <w:rPr>
          <w:rFonts w:ascii="Arial" w:hAnsi="Arial" w:cs="Arial"/>
          <w:i/>
          <w:iCs/>
        </w:rPr>
        <w:t>Business culture in Japan: What students need to know</w:t>
      </w:r>
      <w:r w:rsidRPr="0060103D">
        <w:rPr>
          <w:rFonts w:ascii="Arial" w:hAnsi="Arial" w:cs="Arial"/>
        </w:rPr>
        <w:t>. Available at: https://glo-explore.com/business-culture-in-japan-what-students-need-to-know/ (Accessed: 2</w:t>
      </w:r>
      <w:r w:rsidRPr="0060103D">
        <w:rPr>
          <w:rFonts w:ascii="Arial" w:hAnsi="Arial" w:cs="Arial"/>
        </w:rPr>
        <w:t>1</w:t>
      </w:r>
      <w:r w:rsidRPr="0060103D">
        <w:rPr>
          <w:rFonts w:ascii="Arial" w:hAnsi="Arial" w:cs="Arial"/>
        </w:rPr>
        <w:t xml:space="preserve"> August 2026).</w:t>
      </w:r>
    </w:p>
    <w:p w14:paraId="7F9C8E62" w14:textId="2A82750A" w:rsidR="00A17CAB" w:rsidRPr="0060103D" w:rsidRDefault="00A17CAB" w:rsidP="0060103D">
      <w:pPr>
        <w:spacing w:after="200" w:line="360" w:lineRule="auto"/>
        <w:jc w:val="both"/>
        <w:rPr>
          <w:rFonts w:ascii="Arial" w:hAnsi="Arial" w:cs="Arial"/>
        </w:rPr>
      </w:pPr>
      <w:r w:rsidRPr="0060103D">
        <w:rPr>
          <w:rFonts w:ascii="Arial" w:hAnsi="Arial" w:cs="Arial"/>
        </w:rPr>
        <w:t xml:space="preserve">Global-IQ (2026) </w:t>
      </w:r>
      <w:r w:rsidRPr="0060103D">
        <w:rPr>
          <w:rFonts w:ascii="Arial" w:hAnsi="Arial" w:cs="Arial"/>
          <w:i/>
          <w:iCs/>
        </w:rPr>
        <w:t xml:space="preserve">Erin Meyer Culture Map: 8 </w:t>
      </w:r>
      <w:proofErr w:type="spellStart"/>
      <w:r w:rsidRPr="0060103D">
        <w:rPr>
          <w:rFonts w:ascii="Arial" w:hAnsi="Arial" w:cs="Arial"/>
          <w:i/>
          <w:iCs/>
        </w:rPr>
        <w:t>Dimensionen</w:t>
      </w:r>
      <w:proofErr w:type="spellEnd"/>
      <w:r w:rsidRPr="0060103D">
        <w:rPr>
          <w:rFonts w:ascii="Arial" w:hAnsi="Arial" w:cs="Arial"/>
          <w:i/>
          <w:iCs/>
        </w:rPr>
        <w:t xml:space="preserve"> </w:t>
      </w:r>
      <w:proofErr w:type="spellStart"/>
      <w:r w:rsidRPr="0060103D">
        <w:rPr>
          <w:rFonts w:ascii="Arial" w:hAnsi="Arial" w:cs="Arial"/>
          <w:i/>
          <w:iCs/>
        </w:rPr>
        <w:t>im</w:t>
      </w:r>
      <w:proofErr w:type="spellEnd"/>
      <w:r w:rsidRPr="0060103D">
        <w:rPr>
          <w:rFonts w:ascii="Arial" w:hAnsi="Arial" w:cs="Arial"/>
          <w:i/>
          <w:iCs/>
        </w:rPr>
        <w:t xml:space="preserve"> Praxis-Check</w:t>
      </w:r>
      <w:r w:rsidRPr="0060103D">
        <w:rPr>
          <w:rFonts w:ascii="Arial" w:hAnsi="Arial" w:cs="Arial"/>
        </w:rPr>
        <w:t>. Available at: https://global-iq.org/erin-meyer/ (Accessed: 2</w:t>
      </w:r>
      <w:r w:rsidRPr="0060103D">
        <w:rPr>
          <w:rFonts w:ascii="Arial" w:hAnsi="Arial" w:cs="Arial"/>
        </w:rPr>
        <w:t>3</w:t>
      </w:r>
      <w:r w:rsidRPr="0060103D">
        <w:rPr>
          <w:rFonts w:ascii="Arial" w:hAnsi="Arial" w:cs="Arial"/>
        </w:rPr>
        <w:t xml:space="preserve"> August 2026).</w:t>
      </w:r>
    </w:p>
    <w:p w14:paraId="340F51F1" w14:textId="091E4AE1" w:rsidR="00A17CAB" w:rsidRPr="0060103D" w:rsidRDefault="00A17CAB" w:rsidP="0060103D">
      <w:pPr>
        <w:spacing w:after="200" w:line="360" w:lineRule="auto"/>
        <w:jc w:val="both"/>
        <w:rPr>
          <w:rFonts w:ascii="Arial" w:hAnsi="Arial" w:cs="Arial"/>
        </w:rPr>
      </w:pPr>
      <w:r w:rsidRPr="0060103D">
        <w:rPr>
          <w:rFonts w:ascii="Arial" w:hAnsi="Arial" w:cs="Arial"/>
        </w:rPr>
        <w:lastRenderedPageBreak/>
        <w:t xml:space="preserve">GOV.UK (2022) </w:t>
      </w:r>
      <w:r w:rsidRPr="0060103D">
        <w:rPr>
          <w:rFonts w:ascii="Arial" w:hAnsi="Arial" w:cs="Arial"/>
          <w:i/>
          <w:iCs/>
        </w:rPr>
        <w:t>PM announces new international coalition to develop the next generation of combat aircraft</w:t>
      </w:r>
      <w:r w:rsidRPr="0060103D">
        <w:rPr>
          <w:rFonts w:ascii="Arial" w:hAnsi="Arial" w:cs="Arial"/>
        </w:rPr>
        <w:t>. Available at: https://www.gov.uk/government/news/pm-announces-new-international-coalition-to-develop-the-next-generation-of-combat-aircraft (Accessed: 2</w:t>
      </w:r>
      <w:r w:rsidRPr="0060103D">
        <w:rPr>
          <w:rFonts w:ascii="Arial" w:hAnsi="Arial" w:cs="Arial"/>
        </w:rPr>
        <w:t>3</w:t>
      </w:r>
      <w:r w:rsidRPr="0060103D">
        <w:rPr>
          <w:rFonts w:ascii="Arial" w:hAnsi="Arial" w:cs="Arial"/>
        </w:rPr>
        <w:t xml:space="preserve"> August 2026).</w:t>
      </w:r>
    </w:p>
    <w:p w14:paraId="4AC76CA2" w14:textId="77777777" w:rsidR="00A17CAB" w:rsidRPr="0060103D" w:rsidRDefault="00A17CAB" w:rsidP="0060103D">
      <w:pPr>
        <w:spacing w:after="200" w:line="360" w:lineRule="auto"/>
        <w:ind w:left="720" w:hanging="720"/>
        <w:jc w:val="both"/>
        <w:rPr>
          <w:rFonts w:ascii="Arial" w:hAnsi="Arial" w:cs="Arial"/>
        </w:rPr>
      </w:pPr>
      <w:r w:rsidRPr="0060103D">
        <w:rPr>
          <w:rFonts w:ascii="Arial" w:hAnsi="Arial" w:cs="Arial"/>
        </w:rPr>
        <w:t xml:space="preserve">Hall, E.T. (1976) </w:t>
      </w:r>
      <w:r w:rsidRPr="0060103D">
        <w:rPr>
          <w:rFonts w:ascii="Arial" w:hAnsi="Arial" w:cs="Arial"/>
          <w:i/>
          <w:iCs/>
        </w:rPr>
        <w:t>Beyond Culture</w:t>
      </w:r>
      <w:r w:rsidRPr="0060103D">
        <w:rPr>
          <w:rFonts w:ascii="Arial" w:hAnsi="Arial" w:cs="Arial"/>
        </w:rPr>
        <w:t>. New York: Anchor Books.</w:t>
      </w:r>
    </w:p>
    <w:p w14:paraId="5F9F53C6"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Hall, E.T. and Hall, M.R. (1990) </w:t>
      </w:r>
      <w:r w:rsidRPr="0060103D">
        <w:rPr>
          <w:rFonts w:ascii="Arial" w:hAnsi="Arial" w:cs="Arial"/>
          <w:i/>
          <w:iCs/>
        </w:rPr>
        <w:t>Understanding Cultural Differences: Germans, French and Americans</w:t>
      </w:r>
      <w:r w:rsidRPr="0060103D">
        <w:rPr>
          <w:rFonts w:ascii="Arial" w:hAnsi="Arial" w:cs="Arial"/>
        </w:rPr>
        <w:t>. Yarmouth, ME: Intercultural Press.</w:t>
      </w:r>
    </w:p>
    <w:p w14:paraId="7E5DB35C"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Hofstede, G. (1980) </w:t>
      </w:r>
      <w:r w:rsidRPr="0060103D">
        <w:rPr>
          <w:rFonts w:ascii="Arial" w:hAnsi="Arial" w:cs="Arial"/>
          <w:i/>
          <w:iCs/>
        </w:rPr>
        <w:t>Culture’s Consequences: International Differences in Work-Related Values</w:t>
      </w:r>
      <w:r w:rsidRPr="0060103D">
        <w:rPr>
          <w:rFonts w:ascii="Arial" w:hAnsi="Arial" w:cs="Arial"/>
        </w:rPr>
        <w:t>. Beverly Hills, CA: Sage Publications.</w:t>
      </w:r>
    </w:p>
    <w:p w14:paraId="6BB6C7DB"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Hofstede, G. (2001) </w:t>
      </w:r>
      <w:r w:rsidRPr="0060103D">
        <w:rPr>
          <w:rFonts w:ascii="Arial" w:hAnsi="Arial" w:cs="Arial"/>
          <w:i/>
          <w:iCs/>
        </w:rPr>
        <w:t xml:space="preserve">Culture’s Consequences: Comparing Values, </w:t>
      </w:r>
      <w:proofErr w:type="spellStart"/>
      <w:r w:rsidRPr="0060103D">
        <w:rPr>
          <w:rFonts w:ascii="Arial" w:hAnsi="Arial" w:cs="Arial"/>
          <w:i/>
          <w:iCs/>
        </w:rPr>
        <w:t>Behaviors</w:t>
      </w:r>
      <w:proofErr w:type="spellEnd"/>
      <w:r w:rsidRPr="0060103D">
        <w:rPr>
          <w:rFonts w:ascii="Arial" w:hAnsi="Arial" w:cs="Arial"/>
          <w:i/>
          <w:iCs/>
        </w:rPr>
        <w:t>, Institutions, and Organizations Across Nations</w:t>
      </w:r>
      <w:r w:rsidRPr="0060103D">
        <w:rPr>
          <w:rFonts w:ascii="Arial" w:hAnsi="Arial" w:cs="Arial"/>
        </w:rPr>
        <w:t xml:space="preserve">. 2nd </w:t>
      </w:r>
      <w:proofErr w:type="spellStart"/>
      <w:r w:rsidRPr="0060103D">
        <w:rPr>
          <w:rFonts w:ascii="Arial" w:hAnsi="Arial" w:cs="Arial"/>
        </w:rPr>
        <w:t>edn</w:t>
      </w:r>
      <w:proofErr w:type="spellEnd"/>
      <w:r w:rsidRPr="0060103D">
        <w:rPr>
          <w:rFonts w:ascii="Arial" w:hAnsi="Arial" w:cs="Arial"/>
        </w:rPr>
        <w:t>. Thousand Oaks, CA: Sage Publications.</w:t>
      </w:r>
    </w:p>
    <w:p w14:paraId="5E1E0AED"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House, R.J., Hanges, P.J., Javidan, M., Dorfman, P.W. and Gupta, V. (eds.) (2004) </w:t>
      </w:r>
      <w:r w:rsidRPr="0060103D">
        <w:rPr>
          <w:rFonts w:ascii="Arial" w:hAnsi="Arial" w:cs="Arial"/>
          <w:i/>
          <w:iCs/>
        </w:rPr>
        <w:t>Culture, Leadership, and Organizations: The GLOBE Study of 62 Societies</w:t>
      </w:r>
      <w:r w:rsidRPr="0060103D">
        <w:rPr>
          <w:rFonts w:ascii="Arial" w:hAnsi="Arial" w:cs="Arial"/>
        </w:rPr>
        <w:t>. Thousand Oaks, CA: Sage Publications.</w:t>
      </w:r>
    </w:p>
    <w:p w14:paraId="4196155E" w14:textId="19D0CD92" w:rsidR="00A17CAB" w:rsidRPr="0060103D" w:rsidRDefault="00A17CAB" w:rsidP="0060103D">
      <w:pPr>
        <w:spacing w:after="200" w:line="360" w:lineRule="auto"/>
        <w:jc w:val="both"/>
        <w:rPr>
          <w:rFonts w:ascii="Arial" w:hAnsi="Arial" w:cs="Arial"/>
        </w:rPr>
      </w:pPr>
      <w:r w:rsidRPr="0060103D">
        <w:rPr>
          <w:rFonts w:ascii="Arial" w:hAnsi="Arial" w:cs="Arial"/>
        </w:rPr>
        <w:t xml:space="preserve">International Journal of Management and Humanities (IJMH) (2024) ‘Deference, hierarchy and consensus in Japanese workplace communication’, </w:t>
      </w:r>
      <w:r w:rsidRPr="0060103D">
        <w:rPr>
          <w:rFonts w:ascii="Arial" w:hAnsi="Arial" w:cs="Arial"/>
          <w:i/>
          <w:iCs/>
        </w:rPr>
        <w:t>International Journal of Management and Humanities</w:t>
      </w:r>
      <w:r w:rsidRPr="0060103D">
        <w:rPr>
          <w:rFonts w:ascii="Arial" w:hAnsi="Arial" w:cs="Arial"/>
        </w:rPr>
        <w:t>, 10(11). Available at: https://www.ijmh.org/wp-content/uploads/papers/v10i11/K172710110724.pdf (Accessed: 2</w:t>
      </w:r>
      <w:r w:rsidRPr="0060103D">
        <w:rPr>
          <w:rFonts w:ascii="Arial" w:hAnsi="Arial" w:cs="Arial"/>
        </w:rPr>
        <w:t>3</w:t>
      </w:r>
      <w:r w:rsidRPr="0060103D">
        <w:rPr>
          <w:rFonts w:ascii="Arial" w:hAnsi="Arial" w:cs="Arial"/>
        </w:rPr>
        <w:t xml:space="preserve"> August 2026).</w:t>
      </w:r>
    </w:p>
    <w:p w14:paraId="35BE86E0" w14:textId="7859CDF7" w:rsidR="00A17CAB" w:rsidRPr="0060103D" w:rsidRDefault="00A17CAB" w:rsidP="0060103D">
      <w:pPr>
        <w:spacing w:after="200" w:line="360" w:lineRule="auto"/>
        <w:jc w:val="both"/>
        <w:rPr>
          <w:rFonts w:ascii="Arial" w:hAnsi="Arial" w:cs="Arial"/>
        </w:rPr>
      </w:pPr>
      <w:r w:rsidRPr="0060103D">
        <w:rPr>
          <w:rFonts w:ascii="Arial" w:hAnsi="Arial" w:cs="Arial"/>
        </w:rPr>
        <w:t xml:space="preserve">Kittler, M.G., </w:t>
      </w:r>
      <w:proofErr w:type="spellStart"/>
      <w:r w:rsidRPr="0060103D">
        <w:rPr>
          <w:rFonts w:ascii="Arial" w:hAnsi="Arial" w:cs="Arial"/>
        </w:rPr>
        <w:t>Rygl</w:t>
      </w:r>
      <w:proofErr w:type="spellEnd"/>
      <w:r w:rsidRPr="0060103D">
        <w:rPr>
          <w:rFonts w:ascii="Arial" w:hAnsi="Arial" w:cs="Arial"/>
        </w:rPr>
        <w:t xml:space="preserve">, D. and Mackinnon, A. (2011) ‘Beyond culture or beyond control? Reviewing the use of Hall’s high-/low-context concept’, </w:t>
      </w:r>
      <w:r w:rsidRPr="0060103D">
        <w:rPr>
          <w:rFonts w:ascii="Arial" w:hAnsi="Arial" w:cs="Arial"/>
          <w:i/>
          <w:iCs/>
        </w:rPr>
        <w:t xml:space="preserve">International Journal of </w:t>
      </w:r>
      <w:proofErr w:type="gramStart"/>
      <w:r w:rsidRPr="0060103D">
        <w:rPr>
          <w:rFonts w:ascii="Arial" w:hAnsi="Arial" w:cs="Arial"/>
          <w:i/>
          <w:iCs/>
        </w:rPr>
        <w:t>Cross Cultural</w:t>
      </w:r>
      <w:proofErr w:type="gramEnd"/>
      <w:r w:rsidRPr="0060103D">
        <w:rPr>
          <w:rFonts w:ascii="Arial" w:hAnsi="Arial" w:cs="Arial"/>
          <w:i/>
          <w:iCs/>
        </w:rPr>
        <w:t xml:space="preserve"> Management</w:t>
      </w:r>
      <w:r w:rsidRPr="0060103D">
        <w:rPr>
          <w:rFonts w:ascii="Arial" w:hAnsi="Arial" w:cs="Arial"/>
        </w:rPr>
        <w:t>, 11(1), pp. 63-82. Available at: https://doi.org/10.1177/1470595811398797 (Accessed: 2</w:t>
      </w:r>
      <w:r w:rsidRPr="0060103D">
        <w:rPr>
          <w:rFonts w:ascii="Arial" w:hAnsi="Arial" w:cs="Arial"/>
        </w:rPr>
        <w:t>3</w:t>
      </w:r>
      <w:r w:rsidRPr="0060103D">
        <w:rPr>
          <w:rFonts w:ascii="Arial" w:hAnsi="Arial" w:cs="Arial"/>
        </w:rPr>
        <w:t xml:space="preserve"> August 2026).</w:t>
      </w:r>
    </w:p>
    <w:p w14:paraId="6948FD0A" w14:textId="275AE68E" w:rsidR="00A17CAB" w:rsidRPr="0060103D" w:rsidRDefault="00A17CAB" w:rsidP="0060103D">
      <w:pPr>
        <w:spacing w:after="200" w:line="360" w:lineRule="auto"/>
        <w:jc w:val="both"/>
        <w:rPr>
          <w:rFonts w:ascii="Arial" w:hAnsi="Arial" w:cs="Arial"/>
        </w:rPr>
      </w:pPr>
      <w:r w:rsidRPr="0060103D">
        <w:rPr>
          <w:rFonts w:ascii="Arial" w:hAnsi="Arial" w:cs="Arial"/>
        </w:rPr>
        <w:t xml:space="preserve">McSweeney, B. (2002) ‘Hofstede’s model of national cultural differences and their consequences: A triumph of faith - a failure of analysis’, </w:t>
      </w:r>
      <w:r w:rsidRPr="0060103D">
        <w:rPr>
          <w:rFonts w:ascii="Arial" w:hAnsi="Arial" w:cs="Arial"/>
          <w:i/>
          <w:iCs/>
        </w:rPr>
        <w:t>Human Relations</w:t>
      </w:r>
      <w:r w:rsidRPr="0060103D">
        <w:rPr>
          <w:rFonts w:ascii="Arial" w:hAnsi="Arial" w:cs="Arial"/>
        </w:rPr>
        <w:t>, 55(1), pp. 89-118. Available at: https://doi.org/10.1177/0018726702551004 (Accessed: 2</w:t>
      </w:r>
      <w:r w:rsidRPr="0060103D">
        <w:rPr>
          <w:rFonts w:ascii="Arial" w:hAnsi="Arial" w:cs="Arial"/>
        </w:rPr>
        <w:t>3</w:t>
      </w:r>
      <w:r w:rsidRPr="0060103D">
        <w:rPr>
          <w:rFonts w:ascii="Arial" w:hAnsi="Arial" w:cs="Arial"/>
        </w:rPr>
        <w:t xml:space="preserve"> August 2026).</w:t>
      </w:r>
    </w:p>
    <w:p w14:paraId="30205548"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Meyer, E. (2014) </w:t>
      </w:r>
      <w:r w:rsidRPr="0060103D">
        <w:rPr>
          <w:rFonts w:ascii="Arial" w:hAnsi="Arial" w:cs="Arial"/>
          <w:i/>
          <w:iCs/>
        </w:rPr>
        <w:t>The Culture Map: Breaking Through the Invisible Boundaries of Global Business</w:t>
      </w:r>
      <w:r w:rsidRPr="0060103D">
        <w:rPr>
          <w:rFonts w:ascii="Arial" w:hAnsi="Arial" w:cs="Arial"/>
        </w:rPr>
        <w:t>. New York: PublicAffairs.</w:t>
      </w:r>
    </w:p>
    <w:p w14:paraId="63746D2B" w14:textId="20C43ABC" w:rsidR="00A17CAB" w:rsidRPr="0060103D" w:rsidRDefault="00A17CAB" w:rsidP="0060103D">
      <w:pPr>
        <w:spacing w:after="200" w:line="360" w:lineRule="auto"/>
        <w:jc w:val="both"/>
        <w:rPr>
          <w:rFonts w:ascii="Arial" w:hAnsi="Arial" w:cs="Arial"/>
        </w:rPr>
      </w:pPr>
      <w:r w:rsidRPr="0060103D">
        <w:rPr>
          <w:rFonts w:ascii="Arial" w:hAnsi="Arial" w:cs="Arial"/>
        </w:rPr>
        <w:lastRenderedPageBreak/>
        <w:t xml:space="preserve">Mitsubishi Heavy Industries (2025) </w:t>
      </w:r>
      <w:r w:rsidRPr="0060103D">
        <w:rPr>
          <w:rFonts w:ascii="Arial" w:hAnsi="Arial" w:cs="Arial"/>
          <w:i/>
          <w:iCs/>
        </w:rPr>
        <w:t>Mitsubishi Heavy Industries Aero Engines and Rolls-Royce celebrate 20th anniversary of risk and revenue sharing partnership</w:t>
      </w:r>
      <w:r w:rsidRPr="0060103D">
        <w:rPr>
          <w:rFonts w:ascii="Arial" w:hAnsi="Arial" w:cs="Arial"/>
        </w:rPr>
        <w:t>. Available at: https://www.mhi.com/news/250123.html (Accessed: 2</w:t>
      </w:r>
      <w:r w:rsidRPr="0060103D">
        <w:rPr>
          <w:rFonts w:ascii="Arial" w:hAnsi="Arial" w:cs="Arial"/>
        </w:rPr>
        <w:t>3</w:t>
      </w:r>
      <w:r w:rsidRPr="0060103D">
        <w:rPr>
          <w:rFonts w:ascii="Arial" w:hAnsi="Arial" w:cs="Arial"/>
        </w:rPr>
        <w:t xml:space="preserve"> August 2026).</w:t>
      </w:r>
    </w:p>
    <w:p w14:paraId="048CE570" w14:textId="68B92DD5" w:rsidR="00A17CAB" w:rsidRPr="0060103D" w:rsidRDefault="00A17CAB" w:rsidP="0060103D">
      <w:pPr>
        <w:spacing w:after="200" w:line="360" w:lineRule="auto"/>
        <w:ind w:hanging="11"/>
        <w:jc w:val="both"/>
        <w:rPr>
          <w:rFonts w:ascii="Arial" w:hAnsi="Arial" w:cs="Arial"/>
        </w:rPr>
      </w:pPr>
      <w:r w:rsidRPr="0060103D">
        <w:rPr>
          <w:rFonts w:ascii="Arial" w:hAnsi="Arial" w:cs="Arial"/>
        </w:rPr>
        <w:t xml:space="preserve">Nehrbass, K. (2021) ‘Book review: The Culture Map by Erin Meyer’, </w:t>
      </w:r>
      <w:r w:rsidRPr="0060103D">
        <w:rPr>
          <w:rFonts w:ascii="Arial" w:hAnsi="Arial" w:cs="Arial"/>
          <w:i/>
          <w:iCs/>
        </w:rPr>
        <w:t>Great Commission Research Journal</w:t>
      </w:r>
      <w:r w:rsidRPr="0060103D">
        <w:rPr>
          <w:rFonts w:ascii="Arial" w:hAnsi="Arial" w:cs="Arial"/>
        </w:rPr>
        <w:t>, 13(2), pp. 109-110. Available at: https://place.asburyseminary.edu/cgi/viewcontent.cgi?article=1027&amp;context=gcrj (Accessed: 2</w:t>
      </w:r>
      <w:r w:rsidRPr="0060103D">
        <w:rPr>
          <w:rFonts w:ascii="Arial" w:hAnsi="Arial" w:cs="Arial"/>
        </w:rPr>
        <w:t>1</w:t>
      </w:r>
      <w:r w:rsidRPr="0060103D">
        <w:rPr>
          <w:rFonts w:ascii="Arial" w:hAnsi="Arial" w:cs="Arial"/>
        </w:rPr>
        <w:t xml:space="preserve"> August 2026).</w:t>
      </w:r>
    </w:p>
    <w:p w14:paraId="2C4AB2DC" w14:textId="2613CF66" w:rsidR="00A17CAB" w:rsidRPr="0060103D" w:rsidRDefault="00A17CAB" w:rsidP="0060103D">
      <w:pPr>
        <w:spacing w:after="200" w:line="360" w:lineRule="auto"/>
        <w:jc w:val="both"/>
        <w:rPr>
          <w:rFonts w:ascii="Arial" w:hAnsi="Arial" w:cs="Arial"/>
        </w:rPr>
      </w:pPr>
      <w:r w:rsidRPr="0060103D">
        <w:rPr>
          <w:rFonts w:ascii="Arial" w:hAnsi="Arial" w:cs="Arial"/>
        </w:rPr>
        <w:t xml:space="preserve">Nihonium (2025) </w:t>
      </w:r>
      <w:r w:rsidRPr="0060103D">
        <w:rPr>
          <w:rFonts w:ascii="Arial" w:hAnsi="Arial" w:cs="Arial"/>
          <w:i/>
          <w:iCs/>
        </w:rPr>
        <w:t>Hierarchy vs. consensus in Japan</w:t>
      </w:r>
      <w:r w:rsidRPr="0060103D">
        <w:rPr>
          <w:rFonts w:ascii="Arial" w:hAnsi="Arial" w:cs="Arial"/>
        </w:rPr>
        <w:t>. Available at: https://nihonium.io/hierarchy-vs-consensus-in-japan/ (Accessed: 2</w:t>
      </w:r>
      <w:r w:rsidRPr="0060103D">
        <w:rPr>
          <w:rFonts w:ascii="Arial" w:hAnsi="Arial" w:cs="Arial"/>
        </w:rPr>
        <w:t>1</w:t>
      </w:r>
      <w:r w:rsidRPr="0060103D">
        <w:rPr>
          <w:rFonts w:ascii="Arial" w:hAnsi="Arial" w:cs="Arial"/>
        </w:rPr>
        <w:t xml:space="preserve"> August 2026).</w:t>
      </w:r>
    </w:p>
    <w:p w14:paraId="48BC6C1A" w14:textId="1769A8A7" w:rsidR="00A17CAB" w:rsidRPr="0060103D" w:rsidRDefault="00A17CAB" w:rsidP="0060103D">
      <w:pPr>
        <w:spacing w:after="200" w:line="360" w:lineRule="auto"/>
        <w:jc w:val="both"/>
        <w:rPr>
          <w:rFonts w:ascii="Arial" w:hAnsi="Arial" w:cs="Arial"/>
        </w:rPr>
      </w:pPr>
      <w:r w:rsidRPr="0060103D">
        <w:rPr>
          <w:rFonts w:ascii="Arial" w:hAnsi="Arial" w:cs="Arial"/>
        </w:rPr>
        <w:t xml:space="preserve">Reuters (2026) ‘UK, Italy, Japan award £4.6 billion contract to advance GCAP fighter jet’, </w:t>
      </w:r>
      <w:r w:rsidRPr="0060103D">
        <w:rPr>
          <w:rFonts w:ascii="Arial" w:hAnsi="Arial" w:cs="Arial"/>
          <w:i/>
          <w:iCs/>
        </w:rPr>
        <w:t>Reuters</w:t>
      </w:r>
      <w:r w:rsidRPr="0060103D">
        <w:rPr>
          <w:rFonts w:ascii="Arial" w:hAnsi="Arial" w:cs="Arial"/>
        </w:rPr>
        <w:t>, 3 July. Available at: https://www.reuters.com/business/aerospace-defense/uk-italy-japan-award-46-billion-contract-advance-gcap-fighter-jet-2026-07-03/ (Accessed: 2</w:t>
      </w:r>
      <w:r w:rsidRPr="0060103D">
        <w:rPr>
          <w:rFonts w:ascii="Arial" w:hAnsi="Arial" w:cs="Arial"/>
        </w:rPr>
        <w:t>2</w:t>
      </w:r>
      <w:r w:rsidRPr="0060103D">
        <w:rPr>
          <w:rFonts w:ascii="Arial" w:hAnsi="Arial" w:cs="Arial"/>
        </w:rPr>
        <w:t xml:space="preserve"> August 2026).</w:t>
      </w:r>
    </w:p>
    <w:p w14:paraId="76F78407"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Rolls-Royce (2025) </w:t>
      </w:r>
      <w:r w:rsidRPr="0060103D">
        <w:rPr>
          <w:rFonts w:ascii="Arial" w:hAnsi="Arial" w:cs="Arial"/>
          <w:i/>
          <w:iCs/>
        </w:rPr>
        <w:t>Annual Report 2024</w:t>
      </w:r>
      <w:r w:rsidRPr="0060103D">
        <w:rPr>
          <w:rFonts w:ascii="Arial" w:hAnsi="Arial" w:cs="Arial"/>
        </w:rPr>
        <w:t>. Available at: https://www.rolls-royce.com/~/media/Files/R/Rolls-Royce/documents/annual-report/2025/2024-annual-report.pdf (Accessed: 24 August 2026).</w:t>
      </w:r>
    </w:p>
    <w:p w14:paraId="1090F9C8" w14:textId="77777777" w:rsidR="00A17CAB" w:rsidRPr="0060103D" w:rsidRDefault="00A17CAB" w:rsidP="0060103D">
      <w:pPr>
        <w:spacing w:after="200" w:line="360" w:lineRule="auto"/>
        <w:ind w:hanging="11"/>
        <w:jc w:val="both"/>
        <w:rPr>
          <w:rFonts w:ascii="Arial" w:hAnsi="Arial" w:cs="Arial"/>
        </w:rPr>
      </w:pPr>
      <w:proofErr w:type="spellStart"/>
      <w:r w:rsidRPr="0060103D">
        <w:rPr>
          <w:rFonts w:ascii="Arial" w:hAnsi="Arial" w:cs="Arial"/>
        </w:rPr>
        <w:t>Silkdrive</w:t>
      </w:r>
      <w:proofErr w:type="spellEnd"/>
      <w:r w:rsidRPr="0060103D">
        <w:rPr>
          <w:rFonts w:ascii="Arial" w:hAnsi="Arial" w:cs="Arial"/>
        </w:rPr>
        <w:t xml:space="preserve"> (2026) </w:t>
      </w:r>
      <w:r w:rsidRPr="0060103D">
        <w:rPr>
          <w:rFonts w:ascii="Arial" w:hAnsi="Arial" w:cs="Arial"/>
          <w:i/>
          <w:iCs/>
        </w:rPr>
        <w:t>Japanese business culture: A working guide for Europeans</w:t>
      </w:r>
      <w:r w:rsidRPr="0060103D">
        <w:rPr>
          <w:rFonts w:ascii="Arial" w:hAnsi="Arial" w:cs="Arial"/>
        </w:rPr>
        <w:t>. Available at: https://www.silkdrive.com/insights/japanese-business-culture (Accessed: 24 August 2026).</w:t>
      </w:r>
    </w:p>
    <w:p w14:paraId="24CB1D16"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Spectra/Mitsubishi Heavy Industries (2025) ‘Aviation’s ascent: MHI’s aero-engine business powers into a sustainable future’, </w:t>
      </w:r>
      <w:r w:rsidRPr="0060103D">
        <w:rPr>
          <w:rFonts w:ascii="Arial" w:hAnsi="Arial" w:cs="Arial"/>
          <w:i/>
          <w:iCs/>
        </w:rPr>
        <w:t>Spectra</w:t>
      </w:r>
      <w:r w:rsidRPr="0060103D">
        <w:rPr>
          <w:rFonts w:ascii="Arial" w:hAnsi="Arial" w:cs="Arial"/>
        </w:rPr>
        <w:t>, 13 November. Available at: https://spectra.mhi.com/energy-transition/aviations-ascent-mhis-aero-engine-business-powers-into-a-sustainable-future (Accessed: 24 August 2026).</w:t>
      </w:r>
    </w:p>
    <w:p w14:paraId="1F27AE02" w14:textId="77777777" w:rsidR="00A17CAB" w:rsidRPr="0060103D" w:rsidRDefault="00A17CAB" w:rsidP="0060103D">
      <w:pPr>
        <w:spacing w:after="200" w:line="360" w:lineRule="auto"/>
        <w:jc w:val="both"/>
        <w:rPr>
          <w:rFonts w:ascii="Arial" w:hAnsi="Arial" w:cs="Arial"/>
        </w:rPr>
      </w:pPr>
      <w:r w:rsidRPr="0060103D">
        <w:rPr>
          <w:rFonts w:ascii="Arial" w:hAnsi="Arial" w:cs="Arial"/>
        </w:rPr>
        <w:t xml:space="preserve">THT Consulting (2026) </w:t>
      </w:r>
      <w:r w:rsidRPr="0060103D">
        <w:rPr>
          <w:rFonts w:ascii="Arial" w:hAnsi="Arial" w:cs="Arial"/>
          <w:i/>
          <w:iCs/>
        </w:rPr>
        <w:t>Trompenaars’ seven dimensions of culture</w:t>
      </w:r>
      <w:r w:rsidRPr="0060103D">
        <w:rPr>
          <w:rFonts w:ascii="Arial" w:hAnsi="Arial" w:cs="Arial"/>
        </w:rPr>
        <w:t>. Available at: https://umbrex.com/resources/frameworks/organization-frameworks/trompenaars-seven-dimensions-of-culture/ (Accessed: 24 August 2026).</w:t>
      </w:r>
    </w:p>
    <w:p w14:paraId="504B5479" w14:textId="77777777" w:rsidR="00A17CAB" w:rsidRPr="0060103D" w:rsidRDefault="00A17CAB" w:rsidP="0060103D">
      <w:pPr>
        <w:spacing w:after="200" w:line="360" w:lineRule="auto"/>
        <w:ind w:hanging="11"/>
        <w:jc w:val="both"/>
        <w:rPr>
          <w:rFonts w:ascii="Arial" w:hAnsi="Arial" w:cs="Arial"/>
        </w:rPr>
      </w:pPr>
      <w:r w:rsidRPr="0060103D">
        <w:rPr>
          <w:rFonts w:ascii="Arial" w:hAnsi="Arial" w:cs="Arial"/>
        </w:rPr>
        <w:t xml:space="preserve">Trompenaars, F. and Hampden-Turner, C. (1997) </w:t>
      </w:r>
      <w:r w:rsidRPr="0060103D">
        <w:rPr>
          <w:rFonts w:ascii="Arial" w:hAnsi="Arial" w:cs="Arial"/>
          <w:i/>
          <w:iCs/>
        </w:rPr>
        <w:t>Riding the Waves of Culture: Understanding Diversity in Global Business</w:t>
      </w:r>
      <w:r w:rsidRPr="0060103D">
        <w:rPr>
          <w:rFonts w:ascii="Arial" w:hAnsi="Arial" w:cs="Arial"/>
        </w:rPr>
        <w:t xml:space="preserve">. 2nd </w:t>
      </w:r>
      <w:proofErr w:type="spellStart"/>
      <w:r w:rsidRPr="0060103D">
        <w:rPr>
          <w:rFonts w:ascii="Arial" w:hAnsi="Arial" w:cs="Arial"/>
        </w:rPr>
        <w:t>edn</w:t>
      </w:r>
      <w:proofErr w:type="spellEnd"/>
      <w:r w:rsidRPr="0060103D">
        <w:rPr>
          <w:rFonts w:ascii="Arial" w:hAnsi="Arial" w:cs="Arial"/>
        </w:rPr>
        <w:t>. London: Nicholas Brealey Publishing.</w:t>
      </w:r>
    </w:p>
    <w:p w14:paraId="79A1C331" w14:textId="64927100" w:rsidR="00A17CAB" w:rsidRPr="0060103D" w:rsidRDefault="00A17CAB" w:rsidP="0060103D">
      <w:pPr>
        <w:spacing w:line="360" w:lineRule="auto"/>
        <w:jc w:val="both"/>
        <w:rPr>
          <w:rFonts w:ascii="Arial" w:hAnsi="Arial" w:cs="Arial"/>
        </w:rPr>
      </w:pPr>
      <w:proofErr w:type="spellStart"/>
      <w:r w:rsidRPr="0060103D">
        <w:rPr>
          <w:rFonts w:ascii="Arial" w:hAnsi="Arial" w:cs="Arial"/>
        </w:rPr>
        <w:lastRenderedPageBreak/>
        <w:t>Venaik</w:t>
      </w:r>
      <w:proofErr w:type="spellEnd"/>
      <w:r w:rsidRPr="0060103D">
        <w:rPr>
          <w:rFonts w:ascii="Arial" w:hAnsi="Arial" w:cs="Arial"/>
        </w:rPr>
        <w:t xml:space="preserve">, S. and Brewer, P. (2016) ‘National culture dimensions: The perpetuation of cultural ignorance’, </w:t>
      </w:r>
      <w:r w:rsidRPr="0060103D">
        <w:rPr>
          <w:rFonts w:ascii="Arial" w:hAnsi="Arial" w:cs="Arial"/>
          <w:i/>
          <w:iCs/>
        </w:rPr>
        <w:t>Management Learning</w:t>
      </w:r>
      <w:r w:rsidRPr="0060103D">
        <w:rPr>
          <w:rFonts w:ascii="Arial" w:hAnsi="Arial" w:cs="Arial"/>
        </w:rPr>
        <w:t>, 47(5), pp. 563-589. Available at: https://doi.org/10.1177/1350507616629356 (Accessed: 24 August</w:t>
      </w:r>
      <w:r w:rsidRPr="0060103D">
        <w:rPr>
          <w:rFonts w:ascii="Arial" w:hAnsi="Arial" w:cs="Arial"/>
        </w:rPr>
        <w:t>)</w:t>
      </w:r>
    </w:p>
    <w:sectPr w:rsidR="00A17CAB" w:rsidRPr="0060103D" w:rsidSect="00A17C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AB"/>
    <w:rsid w:val="00187CE5"/>
    <w:rsid w:val="00282A80"/>
    <w:rsid w:val="00336AFD"/>
    <w:rsid w:val="0060103D"/>
    <w:rsid w:val="006158FE"/>
    <w:rsid w:val="006A511E"/>
    <w:rsid w:val="008F719D"/>
    <w:rsid w:val="009E0539"/>
    <w:rsid w:val="00A17CAB"/>
    <w:rsid w:val="00C825A6"/>
    <w:rsid w:val="00CE3EFA"/>
    <w:rsid w:val="00D84092"/>
    <w:rsid w:val="00ED7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6254A"/>
  <w15:chartTrackingRefBased/>
  <w15:docId w15:val="{AD975AB9-7DA4-864A-AAD3-0861B5F95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7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C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C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C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C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7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CAB"/>
    <w:rPr>
      <w:rFonts w:eastAsiaTheme="majorEastAsia" w:cstheme="majorBidi"/>
      <w:color w:val="272727" w:themeColor="text1" w:themeTint="D8"/>
    </w:rPr>
  </w:style>
  <w:style w:type="paragraph" w:styleId="Title">
    <w:name w:val="Title"/>
    <w:basedOn w:val="Normal"/>
    <w:next w:val="Normal"/>
    <w:link w:val="TitleChar"/>
    <w:uiPriority w:val="10"/>
    <w:qFormat/>
    <w:rsid w:val="00A17C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C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C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7CAB"/>
    <w:rPr>
      <w:i/>
      <w:iCs/>
      <w:color w:val="404040" w:themeColor="text1" w:themeTint="BF"/>
    </w:rPr>
  </w:style>
  <w:style w:type="paragraph" w:styleId="ListParagraph">
    <w:name w:val="List Paragraph"/>
    <w:basedOn w:val="Normal"/>
    <w:uiPriority w:val="34"/>
    <w:qFormat/>
    <w:rsid w:val="00A17CAB"/>
    <w:pPr>
      <w:ind w:left="720"/>
      <w:contextualSpacing/>
    </w:pPr>
  </w:style>
  <w:style w:type="character" w:styleId="IntenseEmphasis">
    <w:name w:val="Intense Emphasis"/>
    <w:basedOn w:val="DefaultParagraphFont"/>
    <w:uiPriority w:val="21"/>
    <w:qFormat/>
    <w:rsid w:val="00A17CAB"/>
    <w:rPr>
      <w:i/>
      <w:iCs/>
      <w:color w:val="0F4761" w:themeColor="accent1" w:themeShade="BF"/>
    </w:rPr>
  </w:style>
  <w:style w:type="paragraph" w:styleId="IntenseQuote">
    <w:name w:val="Intense Quote"/>
    <w:basedOn w:val="Normal"/>
    <w:next w:val="Normal"/>
    <w:link w:val="IntenseQuoteChar"/>
    <w:uiPriority w:val="30"/>
    <w:qFormat/>
    <w:rsid w:val="00A17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CAB"/>
    <w:rPr>
      <w:i/>
      <w:iCs/>
      <w:color w:val="0F4761" w:themeColor="accent1" w:themeShade="BF"/>
    </w:rPr>
  </w:style>
  <w:style w:type="character" w:styleId="IntenseReference">
    <w:name w:val="Intense Reference"/>
    <w:basedOn w:val="DefaultParagraphFont"/>
    <w:uiPriority w:val="32"/>
    <w:qFormat/>
    <w:rsid w:val="00A17CAB"/>
    <w:rPr>
      <w:b/>
      <w:bCs/>
      <w:smallCaps/>
      <w:color w:val="0F4761" w:themeColor="accent1" w:themeShade="BF"/>
      <w:spacing w:val="5"/>
    </w:rPr>
  </w:style>
  <w:style w:type="paragraph" w:styleId="NoSpacing">
    <w:name w:val="No Spacing"/>
    <w:link w:val="NoSpacingChar"/>
    <w:uiPriority w:val="1"/>
    <w:qFormat/>
    <w:rsid w:val="00A17CA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17CA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17CA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17CAB"/>
    <w:pPr>
      <w:spacing w:before="120"/>
    </w:pPr>
    <w:rPr>
      <w:b/>
      <w:bCs/>
      <w:i/>
      <w:iCs/>
    </w:rPr>
  </w:style>
  <w:style w:type="paragraph" w:styleId="TOC2">
    <w:name w:val="toc 2"/>
    <w:basedOn w:val="Normal"/>
    <w:next w:val="Normal"/>
    <w:autoRedefine/>
    <w:uiPriority w:val="39"/>
    <w:unhideWhenUsed/>
    <w:rsid w:val="00A17CAB"/>
    <w:pPr>
      <w:spacing w:before="120"/>
      <w:ind w:left="240"/>
    </w:pPr>
    <w:rPr>
      <w:b/>
      <w:bCs/>
      <w:sz w:val="22"/>
      <w:szCs w:val="22"/>
    </w:rPr>
  </w:style>
  <w:style w:type="paragraph" w:styleId="TOC3">
    <w:name w:val="toc 3"/>
    <w:basedOn w:val="Normal"/>
    <w:next w:val="Normal"/>
    <w:autoRedefine/>
    <w:uiPriority w:val="39"/>
    <w:semiHidden/>
    <w:unhideWhenUsed/>
    <w:rsid w:val="00A17CAB"/>
    <w:pPr>
      <w:ind w:left="480"/>
    </w:pPr>
    <w:rPr>
      <w:sz w:val="20"/>
      <w:szCs w:val="20"/>
    </w:rPr>
  </w:style>
  <w:style w:type="paragraph" w:styleId="TOC4">
    <w:name w:val="toc 4"/>
    <w:basedOn w:val="Normal"/>
    <w:next w:val="Normal"/>
    <w:autoRedefine/>
    <w:uiPriority w:val="39"/>
    <w:semiHidden/>
    <w:unhideWhenUsed/>
    <w:rsid w:val="00A17CAB"/>
    <w:pPr>
      <w:ind w:left="720"/>
    </w:pPr>
    <w:rPr>
      <w:sz w:val="20"/>
      <w:szCs w:val="20"/>
    </w:rPr>
  </w:style>
  <w:style w:type="paragraph" w:styleId="TOC5">
    <w:name w:val="toc 5"/>
    <w:basedOn w:val="Normal"/>
    <w:next w:val="Normal"/>
    <w:autoRedefine/>
    <w:uiPriority w:val="39"/>
    <w:semiHidden/>
    <w:unhideWhenUsed/>
    <w:rsid w:val="00A17CAB"/>
    <w:pPr>
      <w:ind w:left="960"/>
    </w:pPr>
    <w:rPr>
      <w:sz w:val="20"/>
      <w:szCs w:val="20"/>
    </w:rPr>
  </w:style>
  <w:style w:type="paragraph" w:styleId="TOC6">
    <w:name w:val="toc 6"/>
    <w:basedOn w:val="Normal"/>
    <w:next w:val="Normal"/>
    <w:autoRedefine/>
    <w:uiPriority w:val="39"/>
    <w:semiHidden/>
    <w:unhideWhenUsed/>
    <w:rsid w:val="00A17CAB"/>
    <w:pPr>
      <w:ind w:left="1200"/>
    </w:pPr>
    <w:rPr>
      <w:sz w:val="20"/>
      <w:szCs w:val="20"/>
    </w:rPr>
  </w:style>
  <w:style w:type="paragraph" w:styleId="TOC7">
    <w:name w:val="toc 7"/>
    <w:basedOn w:val="Normal"/>
    <w:next w:val="Normal"/>
    <w:autoRedefine/>
    <w:uiPriority w:val="39"/>
    <w:semiHidden/>
    <w:unhideWhenUsed/>
    <w:rsid w:val="00A17CAB"/>
    <w:pPr>
      <w:ind w:left="1440"/>
    </w:pPr>
    <w:rPr>
      <w:sz w:val="20"/>
      <w:szCs w:val="20"/>
    </w:rPr>
  </w:style>
  <w:style w:type="paragraph" w:styleId="TOC8">
    <w:name w:val="toc 8"/>
    <w:basedOn w:val="Normal"/>
    <w:next w:val="Normal"/>
    <w:autoRedefine/>
    <w:uiPriority w:val="39"/>
    <w:semiHidden/>
    <w:unhideWhenUsed/>
    <w:rsid w:val="00A17CAB"/>
    <w:pPr>
      <w:ind w:left="1680"/>
    </w:pPr>
    <w:rPr>
      <w:sz w:val="20"/>
      <w:szCs w:val="20"/>
    </w:rPr>
  </w:style>
  <w:style w:type="paragraph" w:styleId="TOC9">
    <w:name w:val="toc 9"/>
    <w:basedOn w:val="Normal"/>
    <w:next w:val="Normal"/>
    <w:autoRedefine/>
    <w:uiPriority w:val="39"/>
    <w:semiHidden/>
    <w:unhideWhenUsed/>
    <w:rsid w:val="00A17CAB"/>
    <w:pPr>
      <w:ind w:left="1920"/>
    </w:pPr>
    <w:rPr>
      <w:sz w:val="20"/>
      <w:szCs w:val="20"/>
    </w:rPr>
  </w:style>
  <w:style w:type="character" w:styleId="Hyperlink">
    <w:name w:val="Hyperlink"/>
    <w:basedOn w:val="DefaultParagraphFont"/>
    <w:uiPriority w:val="99"/>
    <w:unhideWhenUsed/>
    <w:rsid w:val="00282A8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0CC281DE2E404097316A032753FCCD"/>
        <w:category>
          <w:name w:val="General"/>
          <w:gallery w:val="placeholder"/>
        </w:category>
        <w:types>
          <w:type w:val="bbPlcHdr"/>
        </w:types>
        <w:behaviors>
          <w:behavior w:val="content"/>
        </w:behaviors>
        <w:guid w:val="{A09C6918-3214-654F-8F31-163D63C74FDA}"/>
      </w:docPartPr>
      <w:docPartBody>
        <w:p w:rsidR="00000000" w:rsidRDefault="00444317" w:rsidP="00444317">
          <w:pPr>
            <w:pStyle w:val="670CC281DE2E404097316A032753FCCD"/>
          </w:pPr>
          <w:r>
            <w:rPr>
              <w:rFonts w:asciiTheme="majorHAnsi" w:eastAsiaTheme="majorEastAsia" w:hAnsiTheme="majorHAnsi" w:cstheme="majorBidi"/>
              <w:caps/>
              <w:color w:val="156082" w:themeColor="accent1"/>
              <w:sz w:val="80"/>
              <w:szCs w:val="80"/>
            </w:rPr>
            <w:t>[Document title]</w:t>
          </w:r>
        </w:p>
      </w:docPartBody>
    </w:docPart>
    <w:docPart>
      <w:docPartPr>
        <w:name w:val="27F709CFDE019B40B88012FF6E8268B5"/>
        <w:category>
          <w:name w:val="General"/>
          <w:gallery w:val="placeholder"/>
        </w:category>
        <w:types>
          <w:type w:val="bbPlcHdr"/>
        </w:types>
        <w:behaviors>
          <w:behavior w:val="content"/>
        </w:behaviors>
        <w:guid w:val="{881E107F-625E-8A46-8DE5-140DFFD1F81B}"/>
      </w:docPartPr>
      <w:docPartBody>
        <w:p w:rsidR="00000000" w:rsidRDefault="00444317" w:rsidP="00444317">
          <w:pPr>
            <w:pStyle w:val="27F709CFDE019B40B88012FF6E8268B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317"/>
    <w:rsid w:val="002423F9"/>
    <w:rsid w:val="00444317"/>
    <w:rsid w:val="00CE3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0CC281DE2E404097316A032753FCCD">
    <w:name w:val="670CC281DE2E404097316A032753FCCD"/>
    <w:rsid w:val="00444317"/>
  </w:style>
  <w:style w:type="paragraph" w:customStyle="1" w:styleId="27F709CFDE019B40B88012FF6E8268B5">
    <w:name w:val="27F709CFDE019B40B88012FF6E8268B5"/>
    <w:rsid w:val="004443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8EE62-C2DD-294D-8712-7284C4FDE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3293</Words>
  <Characters>18771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Ionut Agrigoroaei (2247225)</Company>
  <LinksUpToDate>false</LinksUpToDate>
  <CharactersWithSpaces>22020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Coursework:Essay</dc:title>
  <dc:subject>International Business Communications (LCBB6023)</dc:subject>
  <dc:creator>Adelina Gabriela Stanciu (2245080)</dc:creator>
  <cp:keywords/>
  <dc:description/>
  <cp:lastModifiedBy>Adelina Gabriela Stanciu (2245080)</cp:lastModifiedBy>
  <cp:revision>2</cp:revision>
  <dcterms:created xsi:type="dcterms:W3CDTF">2026-08-24T11:03:00Z</dcterms:created>
  <dcterms:modified xsi:type="dcterms:W3CDTF">2026-08-24T12:08:00Z</dcterms:modified>
</cp:coreProperties>
</file>