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374EA" w14:textId="77777777" w:rsidR="00F9247D" w:rsidRPr="00F9247D" w:rsidRDefault="00F9247D" w:rsidP="00F9247D">
      <w:pPr>
        <w:rPr>
          <w:rFonts w:ascii="Times New Roman" w:hAnsi="Times New Roman" w:cs="Times New Roman"/>
          <w:color w:val="000000" w:themeColor="text1"/>
          <w:sz w:val="24"/>
          <w:szCs w:val="24"/>
          <w:u w:val="single"/>
        </w:rPr>
      </w:pPr>
      <w:r w:rsidRPr="00F9247D">
        <w:rPr>
          <w:rFonts w:ascii="Times New Roman" w:hAnsi="Times New Roman" w:cs="Times New Roman"/>
          <w:color w:val="000000" w:themeColor="text1"/>
          <w:sz w:val="24"/>
          <w:szCs w:val="24"/>
          <w:u w:val="single"/>
        </w:rPr>
        <w:t>Reflective Account: Nature Treasure Hunt Outdoor Activity</w:t>
      </w:r>
    </w:p>
    <w:p w14:paraId="09D8E497" w14:textId="63500531" w:rsidR="00F9247D" w:rsidRPr="00F9247D" w:rsidRDefault="00F9247D" w:rsidP="00F9247D">
      <w:pPr>
        <w:rPr>
          <w:rFonts w:ascii="Times New Roman" w:hAnsi="Times New Roman" w:cs="Times New Roman"/>
          <w:color w:val="000000" w:themeColor="text1"/>
          <w:sz w:val="24"/>
          <w:szCs w:val="24"/>
        </w:rPr>
      </w:pPr>
      <w:r w:rsidRPr="00F9247D">
        <w:rPr>
          <w:rFonts w:ascii="Times New Roman" w:hAnsi="Times New Roman" w:cs="Times New Roman"/>
          <w:color w:val="000000" w:themeColor="text1"/>
          <w:sz w:val="24"/>
          <w:szCs w:val="24"/>
        </w:rPr>
        <w:t xml:space="preserve">Outdoor play provides a rich context for holistic child development, encompassing cognitive, social, physical, and emotional domains </w:t>
      </w:r>
      <w:r w:rsidR="00E846A6" w:rsidRPr="00EE0455">
        <w:rPr>
          <w:rFonts w:ascii="Times New Roman" w:hAnsi="Times New Roman" w:cs="Times New Roman"/>
          <w:color w:val="000000" w:themeColor="text1"/>
          <w:sz w:val="24"/>
          <w:szCs w:val="24"/>
        </w:rPr>
        <w:t>(</w:t>
      </w:r>
      <w:r w:rsidR="00E846A6" w:rsidRPr="00EE0455">
        <w:rPr>
          <w:rFonts w:ascii="Times New Roman" w:hAnsi="Times New Roman" w:cs="Times New Roman"/>
          <w:color w:val="000000" w:themeColor="text1"/>
          <w:sz w:val="24"/>
          <w:szCs w:val="24"/>
        </w:rPr>
        <w:t>Waite</w:t>
      </w:r>
      <w:r w:rsidR="00E846A6" w:rsidRPr="00EE0455">
        <w:rPr>
          <w:rFonts w:ascii="Times New Roman" w:hAnsi="Times New Roman" w:cs="Times New Roman"/>
          <w:color w:val="000000" w:themeColor="text1"/>
          <w:sz w:val="24"/>
          <w:szCs w:val="24"/>
        </w:rPr>
        <w:t xml:space="preserve"> and </w:t>
      </w:r>
      <w:r w:rsidR="00E846A6" w:rsidRPr="00EE0455">
        <w:rPr>
          <w:rFonts w:ascii="Times New Roman" w:hAnsi="Times New Roman" w:cs="Times New Roman"/>
          <w:color w:val="000000" w:themeColor="text1"/>
          <w:sz w:val="24"/>
          <w:szCs w:val="24"/>
        </w:rPr>
        <w:t>Prince,</w:t>
      </w:r>
      <w:r w:rsidR="00E846A6" w:rsidRPr="00EE0455">
        <w:rPr>
          <w:rFonts w:ascii="Times New Roman" w:hAnsi="Times New Roman" w:cs="Times New Roman"/>
          <w:color w:val="000000" w:themeColor="text1"/>
          <w:sz w:val="24"/>
          <w:szCs w:val="24"/>
        </w:rPr>
        <w:t xml:space="preserve"> </w:t>
      </w:r>
      <w:r w:rsidR="00E846A6" w:rsidRPr="00EE0455">
        <w:rPr>
          <w:rFonts w:ascii="Times New Roman" w:hAnsi="Times New Roman" w:cs="Times New Roman"/>
          <w:color w:val="000000" w:themeColor="text1"/>
          <w:sz w:val="24"/>
          <w:szCs w:val="24"/>
        </w:rPr>
        <w:t>2022).</w:t>
      </w:r>
      <w:r w:rsidR="00E846A6" w:rsidRPr="00EE0455">
        <w:rPr>
          <w:rFonts w:ascii="Times New Roman" w:hAnsi="Times New Roman" w:cs="Times New Roman"/>
          <w:color w:val="000000" w:themeColor="text1"/>
          <w:sz w:val="24"/>
          <w:szCs w:val="24"/>
        </w:rPr>
        <w:t xml:space="preserve"> </w:t>
      </w:r>
      <w:r w:rsidRPr="00F9247D">
        <w:rPr>
          <w:rFonts w:ascii="Times New Roman" w:hAnsi="Times New Roman" w:cs="Times New Roman"/>
          <w:color w:val="000000" w:themeColor="text1"/>
          <w:sz w:val="24"/>
          <w:szCs w:val="24"/>
        </w:rPr>
        <w:t>This reflective account critically evaluates a 15</w:t>
      </w:r>
      <w:r w:rsidRPr="00F9247D">
        <w:rPr>
          <w:rFonts w:ascii="Times New Roman" w:hAnsi="Times New Roman" w:cs="Times New Roman"/>
          <w:color w:val="000000" w:themeColor="text1"/>
          <w:sz w:val="24"/>
          <w:szCs w:val="24"/>
        </w:rPr>
        <w:noBreakHyphen/>
        <w:t>minute outdoor play session I facilitated with a nine</w:t>
      </w:r>
      <w:r w:rsidRPr="00F9247D">
        <w:rPr>
          <w:rFonts w:ascii="Times New Roman" w:hAnsi="Times New Roman" w:cs="Times New Roman"/>
          <w:color w:val="000000" w:themeColor="text1"/>
          <w:sz w:val="24"/>
          <w:szCs w:val="24"/>
        </w:rPr>
        <w:noBreakHyphen/>
        <w:t>year</w:t>
      </w:r>
      <w:r w:rsidRPr="00F9247D">
        <w:rPr>
          <w:rFonts w:ascii="Times New Roman" w:hAnsi="Times New Roman" w:cs="Times New Roman"/>
          <w:color w:val="000000" w:themeColor="text1"/>
          <w:sz w:val="24"/>
          <w:szCs w:val="24"/>
        </w:rPr>
        <w:noBreakHyphen/>
        <w:t>old participant using a Nature Treasure Hunt. The activity aimed to foster curiosity, observation, and sensory engagement through exploration of a garden environment. The child was provided with a checklist of natural items to find, which included a leaf, a stick, a smooth stone, green grass, and a personally chosen object, and was encouraged to reflect on observations during and after the activity. The reflection focuses on the theoretical underpinnings, the effectiveness of the activity in achieving learning outcomes, and considerations for future practice.</w:t>
      </w:r>
    </w:p>
    <w:p w14:paraId="60C63571" w14:textId="77777777" w:rsidR="00F9247D" w:rsidRPr="00F9247D" w:rsidRDefault="00F9247D" w:rsidP="00F9247D">
      <w:pPr>
        <w:rPr>
          <w:rFonts w:ascii="Times New Roman" w:hAnsi="Times New Roman" w:cs="Times New Roman"/>
          <w:color w:val="000000" w:themeColor="text1"/>
          <w:sz w:val="24"/>
          <w:szCs w:val="24"/>
        </w:rPr>
      </w:pPr>
      <w:r w:rsidRPr="00F9247D">
        <w:rPr>
          <w:rFonts w:ascii="Times New Roman" w:hAnsi="Times New Roman" w:cs="Times New Roman"/>
          <w:color w:val="000000" w:themeColor="text1"/>
          <w:sz w:val="24"/>
          <w:szCs w:val="24"/>
        </w:rPr>
        <w:t>The session was structured into four phases: introduction, safety briefing, exploration, and reflection. Initially, I introduced the checklist and explained the objectives, highlighting that the goal was to explore, discover, and observe characteristics of natural objects. Safety rules included staying within the designated boundaries, walking carefully to avoid uneven or slippery surfaces, and seeking guidance when encountering sharp or unfamiliar items. During the exploration phase, the child actively searched for items, collecting them in a basket. I used open</w:t>
      </w:r>
      <w:r w:rsidRPr="00F9247D">
        <w:rPr>
          <w:rFonts w:ascii="Times New Roman" w:hAnsi="Times New Roman" w:cs="Times New Roman"/>
          <w:color w:val="000000" w:themeColor="text1"/>
          <w:sz w:val="24"/>
          <w:szCs w:val="24"/>
        </w:rPr>
        <w:noBreakHyphen/>
        <w:t>ended, reflective questioning to scaffold learning, prompting consideration of texture, colour, shape, and potential function of objects in nature. The session concluded with a reflection phase, in which the child shared favourite discoveries, considered their observations, and reflected on the experience, consolidating both cognitive and sensory learning outcomes.</w:t>
      </w:r>
    </w:p>
    <w:p w14:paraId="2EFD1FEC" w14:textId="6EB1E433" w:rsidR="00F9247D" w:rsidRPr="00F9247D" w:rsidRDefault="00F9247D" w:rsidP="00F9247D">
      <w:pPr>
        <w:rPr>
          <w:rFonts w:ascii="Times New Roman" w:hAnsi="Times New Roman" w:cs="Times New Roman"/>
          <w:color w:val="000000" w:themeColor="text1"/>
          <w:sz w:val="24"/>
          <w:szCs w:val="24"/>
        </w:rPr>
      </w:pPr>
      <w:r w:rsidRPr="00F9247D">
        <w:rPr>
          <w:rFonts w:ascii="Times New Roman" w:hAnsi="Times New Roman" w:cs="Times New Roman"/>
          <w:color w:val="000000" w:themeColor="text1"/>
          <w:sz w:val="24"/>
          <w:szCs w:val="24"/>
        </w:rPr>
        <w:t xml:space="preserve">The activity was informed by contemporary constructivist principles, which emphasise that children actively construct knowledge through interaction with their environment </w:t>
      </w:r>
      <w:r w:rsidR="00E846A6" w:rsidRPr="00EE0455">
        <w:rPr>
          <w:rFonts w:ascii="Times New Roman" w:hAnsi="Times New Roman" w:cs="Times New Roman"/>
          <w:color w:val="000000" w:themeColor="text1"/>
          <w:sz w:val="24"/>
          <w:szCs w:val="24"/>
        </w:rPr>
        <w:t>(</w:t>
      </w:r>
      <w:r w:rsidR="00E846A6" w:rsidRPr="00EE0455">
        <w:rPr>
          <w:rFonts w:ascii="Times New Roman" w:hAnsi="Times New Roman" w:cs="Times New Roman"/>
          <w:color w:val="000000" w:themeColor="text1"/>
          <w:sz w:val="24"/>
          <w:szCs w:val="24"/>
        </w:rPr>
        <w:t>Saleem</w:t>
      </w:r>
      <w:r w:rsidR="00E846A6" w:rsidRPr="00EE0455">
        <w:rPr>
          <w:rFonts w:ascii="Times New Roman" w:hAnsi="Times New Roman" w:cs="Times New Roman"/>
          <w:color w:val="000000" w:themeColor="text1"/>
          <w:sz w:val="24"/>
          <w:szCs w:val="24"/>
        </w:rPr>
        <w:t xml:space="preserve"> et al., </w:t>
      </w:r>
      <w:r w:rsidR="00E846A6" w:rsidRPr="00EE0455">
        <w:rPr>
          <w:rFonts w:ascii="Times New Roman" w:hAnsi="Times New Roman" w:cs="Times New Roman"/>
          <w:color w:val="000000" w:themeColor="text1"/>
          <w:sz w:val="24"/>
          <w:szCs w:val="24"/>
        </w:rPr>
        <w:t xml:space="preserve">2021). </w:t>
      </w:r>
      <w:r w:rsidRPr="00F9247D">
        <w:rPr>
          <w:rFonts w:ascii="Times New Roman" w:hAnsi="Times New Roman" w:cs="Times New Roman"/>
          <w:color w:val="000000" w:themeColor="text1"/>
          <w:sz w:val="24"/>
          <w:szCs w:val="24"/>
        </w:rPr>
        <w:t>By touching, observing, and comparing natural objects, the child engaged in hands</w:t>
      </w:r>
      <w:r w:rsidRPr="00F9247D">
        <w:rPr>
          <w:rFonts w:ascii="Times New Roman" w:hAnsi="Times New Roman" w:cs="Times New Roman"/>
          <w:color w:val="000000" w:themeColor="text1"/>
          <w:sz w:val="24"/>
          <w:szCs w:val="24"/>
        </w:rPr>
        <w:noBreakHyphen/>
        <w:t xml:space="preserve">on exploration, building cognitive schemas through sensory experience. For example, distinguishing between a smooth stone and a rough stick required tactile evaluation and comparison, supporting observation, classification, and reasoning skills </w:t>
      </w:r>
      <w:r w:rsidR="00E846A6" w:rsidRPr="00EE0455">
        <w:rPr>
          <w:rFonts w:ascii="Times New Roman" w:hAnsi="Times New Roman" w:cs="Times New Roman"/>
          <w:color w:val="000000" w:themeColor="text1"/>
          <w:sz w:val="24"/>
          <w:szCs w:val="24"/>
        </w:rPr>
        <w:t>(</w:t>
      </w:r>
      <w:r w:rsidR="00E846A6" w:rsidRPr="00EE0455">
        <w:rPr>
          <w:rFonts w:ascii="Times New Roman" w:hAnsi="Times New Roman" w:cs="Times New Roman"/>
          <w:color w:val="000000" w:themeColor="text1"/>
          <w:sz w:val="24"/>
          <w:szCs w:val="24"/>
        </w:rPr>
        <w:t>Arnold, 2015).</w:t>
      </w:r>
      <w:r w:rsidR="00E846A6" w:rsidRPr="00EE0455">
        <w:rPr>
          <w:rFonts w:ascii="Times New Roman" w:hAnsi="Times New Roman" w:cs="Times New Roman"/>
          <w:color w:val="000000" w:themeColor="text1"/>
          <w:sz w:val="24"/>
          <w:szCs w:val="24"/>
        </w:rPr>
        <w:t xml:space="preserve"> </w:t>
      </w:r>
      <w:r w:rsidRPr="00F9247D">
        <w:rPr>
          <w:rFonts w:ascii="Times New Roman" w:hAnsi="Times New Roman" w:cs="Times New Roman"/>
          <w:color w:val="000000" w:themeColor="text1"/>
          <w:sz w:val="24"/>
          <w:szCs w:val="24"/>
        </w:rPr>
        <w:t>This aligns with active learning and reflects the importance of self</w:t>
      </w:r>
      <w:r w:rsidRPr="00F9247D">
        <w:rPr>
          <w:rFonts w:ascii="Times New Roman" w:hAnsi="Times New Roman" w:cs="Times New Roman"/>
          <w:color w:val="000000" w:themeColor="text1"/>
          <w:sz w:val="24"/>
          <w:szCs w:val="24"/>
        </w:rPr>
        <w:noBreakHyphen/>
        <w:t xml:space="preserve">directed discovery in cognitive development, while also acknowledging that constructivist approaches benefit from guided interaction rather than purely individual cognition </w:t>
      </w:r>
      <w:r w:rsidR="00795183" w:rsidRPr="00EE0455">
        <w:rPr>
          <w:rFonts w:ascii="Times New Roman" w:hAnsi="Times New Roman" w:cs="Times New Roman"/>
          <w:color w:val="000000" w:themeColor="text1"/>
          <w:sz w:val="24"/>
          <w:szCs w:val="24"/>
        </w:rPr>
        <w:t>(</w:t>
      </w:r>
      <w:proofErr w:type="spellStart"/>
      <w:r w:rsidR="00795183" w:rsidRPr="00EE0455">
        <w:rPr>
          <w:rFonts w:ascii="Times New Roman" w:hAnsi="Times New Roman" w:cs="Times New Roman"/>
          <w:color w:val="000000" w:themeColor="text1"/>
          <w:sz w:val="24"/>
          <w:szCs w:val="24"/>
        </w:rPr>
        <w:t>Kharroubi</w:t>
      </w:r>
      <w:proofErr w:type="spellEnd"/>
      <w:r w:rsidR="00795183" w:rsidRPr="00EE0455">
        <w:rPr>
          <w:rFonts w:ascii="Times New Roman" w:hAnsi="Times New Roman" w:cs="Times New Roman"/>
          <w:color w:val="000000" w:themeColor="text1"/>
          <w:sz w:val="24"/>
          <w:szCs w:val="24"/>
        </w:rPr>
        <w:t xml:space="preserve"> and</w:t>
      </w:r>
      <w:r w:rsidR="00795183" w:rsidRPr="00EE0455">
        <w:rPr>
          <w:rFonts w:ascii="Times New Roman" w:hAnsi="Times New Roman" w:cs="Times New Roman"/>
          <w:color w:val="000000" w:themeColor="text1"/>
          <w:sz w:val="24"/>
          <w:szCs w:val="24"/>
        </w:rPr>
        <w:t xml:space="preserve"> </w:t>
      </w:r>
      <w:proofErr w:type="spellStart"/>
      <w:r w:rsidR="00795183" w:rsidRPr="00EE0455">
        <w:rPr>
          <w:rFonts w:ascii="Times New Roman" w:hAnsi="Times New Roman" w:cs="Times New Roman"/>
          <w:color w:val="000000" w:themeColor="text1"/>
          <w:sz w:val="24"/>
          <w:szCs w:val="24"/>
        </w:rPr>
        <w:t>ElMediouni</w:t>
      </w:r>
      <w:proofErr w:type="spellEnd"/>
      <w:r w:rsidR="00795183" w:rsidRPr="00EE0455">
        <w:rPr>
          <w:rFonts w:ascii="Times New Roman" w:hAnsi="Times New Roman" w:cs="Times New Roman"/>
          <w:color w:val="000000" w:themeColor="text1"/>
          <w:sz w:val="24"/>
          <w:szCs w:val="24"/>
        </w:rPr>
        <w:t>, 2024).</w:t>
      </w:r>
    </w:p>
    <w:p w14:paraId="3FBE5B7A" w14:textId="74227BC5" w:rsidR="00F9247D" w:rsidRPr="00F9247D" w:rsidRDefault="00F9247D" w:rsidP="00F9247D">
      <w:pPr>
        <w:rPr>
          <w:rFonts w:ascii="Times New Roman" w:hAnsi="Times New Roman" w:cs="Times New Roman"/>
          <w:color w:val="000000" w:themeColor="text1"/>
          <w:sz w:val="24"/>
          <w:szCs w:val="24"/>
        </w:rPr>
      </w:pPr>
      <w:r w:rsidRPr="00F9247D">
        <w:rPr>
          <w:rFonts w:ascii="Times New Roman" w:hAnsi="Times New Roman" w:cs="Times New Roman"/>
          <w:color w:val="000000" w:themeColor="text1"/>
          <w:sz w:val="24"/>
          <w:szCs w:val="24"/>
        </w:rPr>
        <w:t>To address the reflective component of learning, experiential learning frameworks were applied. The child experienced a cycle of concrete experience (exploring and collecting objects), reflective observation (considering texture, shape, and colour), abstract conceptualisation (reasoning why objects differed or their role in nature)</w:t>
      </w:r>
      <w:r w:rsidR="00EE0455">
        <w:rPr>
          <w:rFonts w:ascii="Times New Roman" w:hAnsi="Times New Roman" w:cs="Times New Roman"/>
          <w:color w:val="000000" w:themeColor="text1"/>
          <w:sz w:val="24"/>
          <w:szCs w:val="24"/>
        </w:rPr>
        <w:t xml:space="preserve"> </w:t>
      </w:r>
      <w:r w:rsidRPr="00F9247D">
        <w:rPr>
          <w:rFonts w:ascii="Times New Roman" w:hAnsi="Times New Roman" w:cs="Times New Roman"/>
          <w:color w:val="000000" w:themeColor="text1"/>
          <w:sz w:val="24"/>
          <w:szCs w:val="24"/>
        </w:rPr>
        <w:t>and active experimentation (applying learning to find new objects). Experiential approaches in outdoor contexts deepen cognitive and sensory understanding</w:t>
      </w:r>
      <w:r w:rsidR="00795183" w:rsidRPr="00EE0455">
        <w:rPr>
          <w:rFonts w:ascii="Times New Roman" w:hAnsi="Times New Roman" w:cs="Times New Roman"/>
          <w:color w:val="000000" w:themeColor="text1"/>
          <w:sz w:val="24"/>
          <w:szCs w:val="24"/>
        </w:rPr>
        <w:t xml:space="preserve"> </w:t>
      </w:r>
      <w:r w:rsidRPr="00F9247D">
        <w:rPr>
          <w:rFonts w:ascii="Times New Roman" w:hAnsi="Times New Roman" w:cs="Times New Roman"/>
          <w:color w:val="000000" w:themeColor="text1"/>
          <w:sz w:val="24"/>
          <w:szCs w:val="24"/>
        </w:rPr>
        <w:t>as demonstrated in recent studies linking outdoor experiential learning with enhanced problem</w:t>
      </w:r>
      <w:r w:rsidRPr="00F9247D">
        <w:rPr>
          <w:rFonts w:ascii="Times New Roman" w:hAnsi="Times New Roman" w:cs="Times New Roman"/>
          <w:color w:val="000000" w:themeColor="text1"/>
          <w:sz w:val="24"/>
          <w:szCs w:val="24"/>
        </w:rPr>
        <w:noBreakHyphen/>
        <w:t xml:space="preserve">solving and environmental cognition </w:t>
      </w:r>
      <w:r w:rsidR="00795183" w:rsidRPr="00EE0455">
        <w:rPr>
          <w:rFonts w:ascii="Times New Roman" w:hAnsi="Times New Roman" w:cs="Times New Roman"/>
          <w:color w:val="000000" w:themeColor="text1"/>
          <w:sz w:val="24"/>
          <w:szCs w:val="24"/>
        </w:rPr>
        <w:t>(</w:t>
      </w:r>
      <w:r w:rsidR="00795183" w:rsidRPr="00EE0455">
        <w:rPr>
          <w:rFonts w:ascii="Times New Roman" w:hAnsi="Times New Roman" w:cs="Times New Roman"/>
          <w:color w:val="000000" w:themeColor="text1"/>
          <w:sz w:val="24"/>
          <w:szCs w:val="24"/>
        </w:rPr>
        <w:t>Parry</w:t>
      </w:r>
      <w:r w:rsidR="00795183" w:rsidRPr="00EE0455">
        <w:rPr>
          <w:rFonts w:ascii="Times New Roman" w:hAnsi="Times New Roman" w:cs="Times New Roman"/>
          <w:color w:val="000000" w:themeColor="text1"/>
          <w:sz w:val="24"/>
          <w:szCs w:val="24"/>
        </w:rPr>
        <w:t xml:space="preserve"> and</w:t>
      </w:r>
      <w:r w:rsidR="00795183" w:rsidRPr="00EE0455">
        <w:rPr>
          <w:rFonts w:ascii="Times New Roman" w:hAnsi="Times New Roman" w:cs="Times New Roman"/>
          <w:color w:val="000000" w:themeColor="text1"/>
          <w:sz w:val="24"/>
          <w:szCs w:val="24"/>
        </w:rPr>
        <w:t xml:space="preserve"> Allison, 2020).</w:t>
      </w:r>
      <w:r w:rsidRPr="00F9247D">
        <w:rPr>
          <w:rFonts w:ascii="Times New Roman" w:hAnsi="Times New Roman" w:cs="Times New Roman"/>
          <w:color w:val="000000" w:themeColor="text1"/>
          <w:sz w:val="24"/>
          <w:szCs w:val="24"/>
        </w:rPr>
        <w:t xml:space="preserve"> The facilitation of reflection and discussion was critical to completing the learning cycle, emphasising the role of guided reflection in consolidating learning.</w:t>
      </w:r>
    </w:p>
    <w:p w14:paraId="04C840C0" w14:textId="6DF5837A" w:rsidR="00F9247D" w:rsidRPr="00F9247D" w:rsidRDefault="00F9247D" w:rsidP="00F9247D">
      <w:pPr>
        <w:rPr>
          <w:rFonts w:ascii="Times New Roman" w:hAnsi="Times New Roman" w:cs="Times New Roman"/>
          <w:color w:val="000000" w:themeColor="text1"/>
          <w:sz w:val="24"/>
          <w:szCs w:val="24"/>
        </w:rPr>
      </w:pPr>
      <w:r w:rsidRPr="00F9247D">
        <w:rPr>
          <w:rFonts w:ascii="Times New Roman" w:hAnsi="Times New Roman" w:cs="Times New Roman"/>
          <w:color w:val="000000" w:themeColor="text1"/>
          <w:sz w:val="24"/>
          <w:szCs w:val="24"/>
        </w:rPr>
        <w:t>While the activity was conducted individually, social constructivist principles informed the facilitation approach, particularly through scaffolding. Open</w:t>
      </w:r>
      <w:r w:rsidRPr="00F9247D">
        <w:rPr>
          <w:rFonts w:ascii="Times New Roman" w:hAnsi="Times New Roman" w:cs="Times New Roman"/>
          <w:color w:val="000000" w:themeColor="text1"/>
          <w:sz w:val="24"/>
          <w:szCs w:val="24"/>
        </w:rPr>
        <w:noBreakHyphen/>
        <w:t xml:space="preserve">ended questioning enabled the child to verbalise reasoning and extend understanding within their zone of proximal </w:t>
      </w:r>
      <w:r w:rsidRPr="00F9247D">
        <w:rPr>
          <w:rFonts w:ascii="Times New Roman" w:hAnsi="Times New Roman" w:cs="Times New Roman"/>
          <w:color w:val="000000" w:themeColor="text1"/>
          <w:sz w:val="24"/>
          <w:szCs w:val="24"/>
        </w:rPr>
        <w:lastRenderedPageBreak/>
        <w:t xml:space="preserve">development </w:t>
      </w:r>
      <w:r w:rsidR="00795183" w:rsidRPr="00EE0455">
        <w:rPr>
          <w:rFonts w:ascii="Times New Roman" w:hAnsi="Times New Roman" w:cs="Times New Roman"/>
          <w:color w:val="000000" w:themeColor="text1"/>
          <w:sz w:val="24"/>
          <w:szCs w:val="24"/>
        </w:rPr>
        <w:t>(</w:t>
      </w:r>
      <w:r w:rsidR="00795183" w:rsidRPr="00EE0455">
        <w:rPr>
          <w:rFonts w:ascii="Times New Roman" w:hAnsi="Times New Roman" w:cs="Times New Roman"/>
          <w:color w:val="000000" w:themeColor="text1"/>
          <w:sz w:val="24"/>
          <w:szCs w:val="24"/>
        </w:rPr>
        <w:t>Irshad</w:t>
      </w:r>
      <w:r w:rsidR="00795183" w:rsidRPr="00EE0455">
        <w:rPr>
          <w:rFonts w:ascii="Times New Roman" w:hAnsi="Times New Roman" w:cs="Times New Roman"/>
          <w:color w:val="000000" w:themeColor="text1"/>
          <w:sz w:val="24"/>
          <w:szCs w:val="24"/>
        </w:rPr>
        <w:t xml:space="preserve"> et al., 2021). </w:t>
      </w:r>
      <w:r w:rsidRPr="00F9247D">
        <w:rPr>
          <w:rFonts w:ascii="Times New Roman" w:hAnsi="Times New Roman" w:cs="Times New Roman"/>
          <w:color w:val="000000" w:themeColor="text1"/>
          <w:sz w:val="24"/>
          <w:szCs w:val="24"/>
        </w:rPr>
        <w:t>Questions such as “Why do you think this leaf is a different colour from the others?” and “What does this object feel like compared to the others?” promoted higher</w:t>
      </w:r>
      <w:r w:rsidRPr="00F9247D">
        <w:rPr>
          <w:rFonts w:ascii="Times New Roman" w:hAnsi="Times New Roman" w:cs="Times New Roman"/>
          <w:color w:val="000000" w:themeColor="text1"/>
          <w:sz w:val="24"/>
          <w:szCs w:val="24"/>
        </w:rPr>
        <w:noBreakHyphen/>
        <w:t xml:space="preserve">order thinking and reflective skills </w:t>
      </w:r>
      <w:r w:rsidR="00795183" w:rsidRPr="00EE0455">
        <w:rPr>
          <w:rFonts w:ascii="Times New Roman" w:hAnsi="Times New Roman" w:cs="Times New Roman"/>
          <w:color w:val="000000" w:themeColor="text1"/>
          <w:sz w:val="24"/>
          <w:szCs w:val="24"/>
        </w:rPr>
        <w:t>(</w:t>
      </w:r>
      <w:r w:rsidR="00795183" w:rsidRPr="00EE0455">
        <w:rPr>
          <w:rFonts w:ascii="Times New Roman" w:hAnsi="Times New Roman" w:cs="Times New Roman"/>
          <w:color w:val="000000" w:themeColor="text1"/>
          <w:sz w:val="24"/>
          <w:szCs w:val="24"/>
        </w:rPr>
        <w:t xml:space="preserve">Margolis, 2020). </w:t>
      </w:r>
      <w:r w:rsidRPr="00F9247D">
        <w:rPr>
          <w:rFonts w:ascii="Times New Roman" w:hAnsi="Times New Roman" w:cs="Times New Roman"/>
          <w:color w:val="000000" w:themeColor="text1"/>
          <w:sz w:val="24"/>
          <w:szCs w:val="24"/>
        </w:rPr>
        <w:t>Scaffolding in this context highlights the role of guided interaction in enhancing cognitive development, even in one</w:t>
      </w:r>
      <w:r w:rsidRPr="00F9247D">
        <w:rPr>
          <w:rFonts w:ascii="Times New Roman" w:hAnsi="Times New Roman" w:cs="Times New Roman"/>
          <w:color w:val="000000" w:themeColor="text1"/>
          <w:sz w:val="24"/>
          <w:szCs w:val="24"/>
        </w:rPr>
        <w:noBreakHyphen/>
        <w:t>to</w:t>
      </w:r>
      <w:r w:rsidRPr="00F9247D">
        <w:rPr>
          <w:rFonts w:ascii="Times New Roman" w:hAnsi="Times New Roman" w:cs="Times New Roman"/>
          <w:color w:val="000000" w:themeColor="text1"/>
          <w:sz w:val="24"/>
          <w:szCs w:val="24"/>
        </w:rPr>
        <w:noBreakHyphen/>
        <w:t>one settings. For future iterations, incorporating peer interaction in small groups could further support social learning, collaborative problem</w:t>
      </w:r>
      <w:r w:rsidRPr="00F9247D">
        <w:rPr>
          <w:rFonts w:ascii="Times New Roman" w:hAnsi="Times New Roman" w:cs="Times New Roman"/>
          <w:color w:val="000000" w:themeColor="text1"/>
          <w:sz w:val="24"/>
          <w:szCs w:val="24"/>
        </w:rPr>
        <w:noBreakHyphen/>
        <w:t>solving, and verbal communication (</w:t>
      </w:r>
      <w:r w:rsidR="00795183" w:rsidRPr="00EE0455">
        <w:rPr>
          <w:rFonts w:ascii="Times New Roman" w:hAnsi="Times New Roman" w:cs="Times New Roman"/>
          <w:color w:val="000000" w:themeColor="text1"/>
          <w:sz w:val="24"/>
          <w:szCs w:val="24"/>
        </w:rPr>
        <w:t xml:space="preserve">Chen et al., </w:t>
      </w:r>
      <w:r w:rsidRPr="00F9247D">
        <w:rPr>
          <w:rFonts w:ascii="Times New Roman" w:hAnsi="Times New Roman" w:cs="Times New Roman"/>
          <w:color w:val="000000" w:themeColor="text1"/>
          <w:sz w:val="24"/>
          <w:szCs w:val="24"/>
        </w:rPr>
        <w:t>202</w:t>
      </w:r>
      <w:r w:rsidR="00795183" w:rsidRPr="00EE0455">
        <w:rPr>
          <w:rFonts w:ascii="Times New Roman" w:hAnsi="Times New Roman" w:cs="Times New Roman"/>
          <w:color w:val="000000" w:themeColor="text1"/>
          <w:sz w:val="24"/>
          <w:szCs w:val="24"/>
        </w:rPr>
        <w:t>2</w:t>
      </w:r>
      <w:r w:rsidRPr="00F9247D">
        <w:rPr>
          <w:rFonts w:ascii="Times New Roman" w:hAnsi="Times New Roman" w:cs="Times New Roman"/>
          <w:color w:val="000000" w:themeColor="text1"/>
          <w:sz w:val="24"/>
          <w:szCs w:val="24"/>
        </w:rPr>
        <w:t>).</w:t>
      </w:r>
    </w:p>
    <w:p w14:paraId="1168A8AB" w14:textId="4870FAA7" w:rsidR="00F9247D" w:rsidRPr="00F9247D" w:rsidRDefault="00F9247D" w:rsidP="00F9247D">
      <w:pPr>
        <w:rPr>
          <w:rFonts w:ascii="Times New Roman" w:hAnsi="Times New Roman" w:cs="Times New Roman"/>
          <w:color w:val="000000" w:themeColor="text1"/>
          <w:sz w:val="24"/>
          <w:szCs w:val="24"/>
        </w:rPr>
      </w:pPr>
      <w:r w:rsidRPr="00F9247D">
        <w:rPr>
          <w:rFonts w:ascii="Times New Roman" w:hAnsi="Times New Roman" w:cs="Times New Roman"/>
          <w:color w:val="000000" w:themeColor="text1"/>
          <w:sz w:val="24"/>
          <w:szCs w:val="24"/>
        </w:rPr>
        <w:t>The activity also reflects principles of play</w:t>
      </w:r>
      <w:r w:rsidRPr="00F9247D">
        <w:rPr>
          <w:rFonts w:ascii="Times New Roman" w:hAnsi="Times New Roman" w:cs="Times New Roman"/>
          <w:color w:val="000000" w:themeColor="text1"/>
          <w:sz w:val="24"/>
          <w:szCs w:val="24"/>
        </w:rPr>
        <w:noBreakHyphen/>
        <w:t xml:space="preserve">based learning and nature pedagogy. Exploratory play was central, encouraging tactile, visual, and olfactory engagement with natural objects </w:t>
      </w:r>
      <w:r w:rsidR="00795183" w:rsidRPr="00EE0455">
        <w:rPr>
          <w:rFonts w:ascii="Times New Roman" w:hAnsi="Times New Roman" w:cs="Times New Roman"/>
          <w:color w:val="000000" w:themeColor="text1"/>
          <w:sz w:val="24"/>
          <w:szCs w:val="24"/>
        </w:rPr>
        <w:t>(</w:t>
      </w:r>
      <w:r w:rsidR="00795183" w:rsidRPr="00EE0455">
        <w:rPr>
          <w:rFonts w:ascii="Times New Roman" w:hAnsi="Times New Roman" w:cs="Times New Roman"/>
          <w:color w:val="000000" w:themeColor="text1"/>
          <w:sz w:val="24"/>
          <w:szCs w:val="24"/>
        </w:rPr>
        <w:t>Beery</w:t>
      </w:r>
      <w:r w:rsidR="00795183" w:rsidRPr="00EE0455">
        <w:rPr>
          <w:rFonts w:ascii="Times New Roman" w:hAnsi="Times New Roman" w:cs="Times New Roman"/>
          <w:color w:val="000000" w:themeColor="text1"/>
          <w:sz w:val="24"/>
          <w:szCs w:val="24"/>
        </w:rPr>
        <w:t xml:space="preserve"> and </w:t>
      </w:r>
      <w:r w:rsidR="00795183" w:rsidRPr="00EE0455">
        <w:rPr>
          <w:rFonts w:ascii="Times New Roman" w:hAnsi="Times New Roman" w:cs="Times New Roman"/>
          <w:color w:val="000000" w:themeColor="text1"/>
          <w:sz w:val="24"/>
          <w:szCs w:val="24"/>
        </w:rPr>
        <w:t>Jørgensen,</w:t>
      </w:r>
      <w:r w:rsidR="00795183" w:rsidRPr="00EE0455">
        <w:rPr>
          <w:rFonts w:ascii="Times New Roman" w:hAnsi="Times New Roman" w:cs="Times New Roman"/>
          <w:color w:val="000000" w:themeColor="text1"/>
          <w:sz w:val="24"/>
          <w:szCs w:val="24"/>
        </w:rPr>
        <w:t xml:space="preserve"> </w:t>
      </w:r>
      <w:r w:rsidR="00795183" w:rsidRPr="00EE0455">
        <w:rPr>
          <w:rFonts w:ascii="Times New Roman" w:hAnsi="Times New Roman" w:cs="Times New Roman"/>
          <w:color w:val="000000" w:themeColor="text1"/>
          <w:sz w:val="24"/>
          <w:szCs w:val="24"/>
        </w:rPr>
        <w:t xml:space="preserve">2018). </w:t>
      </w:r>
      <w:r w:rsidRPr="00F9247D">
        <w:rPr>
          <w:rFonts w:ascii="Times New Roman" w:hAnsi="Times New Roman" w:cs="Times New Roman"/>
          <w:color w:val="000000" w:themeColor="text1"/>
          <w:sz w:val="24"/>
          <w:szCs w:val="24"/>
        </w:rPr>
        <w:t>Autonomy was supported by allowing the child to select an item of personal interest, fostering intrinsic motivation and decision</w:t>
      </w:r>
      <w:r w:rsidRPr="00F9247D">
        <w:rPr>
          <w:rFonts w:ascii="Times New Roman" w:hAnsi="Times New Roman" w:cs="Times New Roman"/>
          <w:color w:val="000000" w:themeColor="text1"/>
          <w:sz w:val="24"/>
          <w:szCs w:val="24"/>
        </w:rPr>
        <w:noBreakHyphen/>
        <w:t xml:space="preserve">making </w:t>
      </w:r>
      <w:r w:rsidR="00906C37" w:rsidRPr="00EE0455">
        <w:rPr>
          <w:rFonts w:ascii="Times New Roman" w:hAnsi="Times New Roman" w:cs="Times New Roman"/>
          <w:color w:val="000000" w:themeColor="text1"/>
          <w:sz w:val="24"/>
          <w:szCs w:val="24"/>
        </w:rPr>
        <w:t>(</w:t>
      </w:r>
      <w:r w:rsidR="00906C37" w:rsidRPr="00EE0455">
        <w:rPr>
          <w:rFonts w:ascii="Times New Roman" w:hAnsi="Times New Roman" w:cs="Times New Roman"/>
          <w:color w:val="000000" w:themeColor="text1"/>
          <w:sz w:val="24"/>
          <w:szCs w:val="24"/>
        </w:rPr>
        <w:t>Evans</w:t>
      </w:r>
      <w:r w:rsidR="00906C37" w:rsidRPr="00EE0455">
        <w:rPr>
          <w:rFonts w:ascii="Times New Roman" w:hAnsi="Times New Roman" w:cs="Times New Roman"/>
          <w:color w:val="000000" w:themeColor="text1"/>
          <w:sz w:val="24"/>
          <w:szCs w:val="24"/>
        </w:rPr>
        <w:t xml:space="preserve"> and</w:t>
      </w:r>
      <w:r w:rsidR="00906C37" w:rsidRPr="00EE0455">
        <w:rPr>
          <w:rFonts w:ascii="Times New Roman" w:hAnsi="Times New Roman" w:cs="Times New Roman"/>
          <w:color w:val="000000" w:themeColor="text1"/>
          <w:sz w:val="24"/>
          <w:szCs w:val="24"/>
        </w:rPr>
        <w:t xml:space="preserve"> Boucher, </w:t>
      </w:r>
      <w:r w:rsidR="00906C37" w:rsidRPr="00EE0455">
        <w:rPr>
          <w:rFonts w:ascii="Times New Roman" w:hAnsi="Times New Roman" w:cs="Times New Roman"/>
          <w:color w:val="000000" w:themeColor="text1"/>
          <w:sz w:val="24"/>
          <w:szCs w:val="24"/>
        </w:rPr>
        <w:t>2015</w:t>
      </w:r>
      <w:r w:rsidR="00906C37" w:rsidRPr="00EE0455">
        <w:rPr>
          <w:rFonts w:ascii="Times New Roman" w:hAnsi="Times New Roman" w:cs="Times New Roman"/>
          <w:color w:val="000000" w:themeColor="text1"/>
          <w:sz w:val="24"/>
          <w:szCs w:val="24"/>
        </w:rPr>
        <w:t xml:space="preserve">). </w:t>
      </w:r>
      <w:r w:rsidRPr="00F9247D">
        <w:rPr>
          <w:rFonts w:ascii="Times New Roman" w:hAnsi="Times New Roman" w:cs="Times New Roman"/>
          <w:color w:val="000000" w:themeColor="text1"/>
          <w:sz w:val="24"/>
          <w:szCs w:val="24"/>
        </w:rPr>
        <w:t xml:space="preserve">Optional checklist items such as “something </w:t>
      </w:r>
      <w:r w:rsidRPr="00EE0455">
        <w:rPr>
          <w:rFonts w:ascii="Times New Roman" w:hAnsi="Times New Roman" w:cs="Times New Roman"/>
          <w:color w:val="000000" w:themeColor="text1"/>
          <w:sz w:val="24"/>
          <w:szCs w:val="24"/>
        </w:rPr>
        <w:t>small</w:t>
      </w:r>
      <w:r w:rsidRPr="00F9247D">
        <w:rPr>
          <w:rFonts w:ascii="Times New Roman" w:hAnsi="Times New Roman" w:cs="Times New Roman"/>
          <w:color w:val="000000" w:themeColor="text1"/>
          <w:sz w:val="24"/>
          <w:szCs w:val="24"/>
        </w:rPr>
        <w:t xml:space="preserve">” or “something </w:t>
      </w:r>
      <w:r w:rsidRPr="00EE0455">
        <w:rPr>
          <w:rFonts w:ascii="Times New Roman" w:hAnsi="Times New Roman" w:cs="Times New Roman"/>
          <w:color w:val="000000" w:themeColor="text1"/>
          <w:sz w:val="24"/>
          <w:szCs w:val="24"/>
        </w:rPr>
        <w:t xml:space="preserve">differently </w:t>
      </w:r>
      <w:r w:rsidRPr="00F9247D">
        <w:rPr>
          <w:rFonts w:ascii="Times New Roman" w:hAnsi="Times New Roman" w:cs="Times New Roman"/>
          <w:color w:val="000000" w:themeColor="text1"/>
          <w:sz w:val="24"/>
          <w:szCs w:val="24"/>
        </w:rPr>
        <w:t xml:space="preserve">shaped” promoted creativity, while the outdoor setting facilitated physical movement, spatial awareness, and wellbeing </w:t>
      </w:r>
      <w:r w:rsidR="00906C37" w:rsidRPr="00EE0455">
        <w:rPr>
          <w:rFonts w:ascii="Times New Roman" w:hAnsi="Times New Roman" w:cs="Times New Roman"/>
          <w:color w:val="000000" w:themeColor="text1"/>
          <w:sz w:val="24"/>
          <w:szCs w:val="24"/>
        </w:rPr>
        <w:t>(</w:t>
      </w:r>
      <w:r w:rsidR="00906C37" w:rsidRPr="00EE0455">
        <w:rPr>
          <w:rFonts w:ascii="Times New Roman" w:hAnsi="Times New Roman" w:cs="Times New Roman"/>
          <w:color w:val="000000" w:themeColor="text1"/>
          <w:sz w:val="24"/>
          <w:szCs w:val="24"/>
        </w:rPr>
        <w:t>Sando</w:t>
      </w:r>
      <w:r w:rsidR="00906C37" w:rsidRPr="00EE0455">
        <w:rPr>
          <w:rFonts w:ascii="Times New Roman" w:hAnsi="Times New Roman" w:cs="Times New Roman"/>
          <w:color w:val="000000" w:themeColor="text1"/>
          <w:sz w:val="24"/>
          <w:szCs w:val="24"/>
        </w:rPr>
        <w:t xml:space="preserve"> and</w:t>
      </w:r>
      <w:r w:rsidR="00906C37" w:rsidRPr="00EE0455">
        <w:rPr>
          <w:rFonts w:ascii="Times New Roman" w:hAnsi="Times New Roman" w:cs="Times New Roman"/>
          <w:color w:val="000000" w:themeColor="text1"/>
          <w:sz w:val="24"/>
          <w:szCs w:val="24"/>
        </w:rPr>
        <w:t xml:space="preserve"> </w:t>
      </w:r>
      <w:proofErr w:type="spellStart"/>
      <w:r w:rsidR="00906C37" w:rsidRPr="00EE0455">
        <w:rPr>
          <w:rFonts w:ascii="Times New Roman" w:hAnsi="Times New Roman" w:cs="Times New Roman"/>
          <w:color w:val="000000" w:themeColor="text1"/>
          <w:sz w:val="24"/>
          <w:szCs w:val="24"/>
        </w:rPr>
        <w:t>Sandseter</w:t>
      </w:r>
      <w:proofErr w:type="spellEnd"/>
      <w:r w:rsidR="00906C37" w:rsidRPr="00EE0455">
        <w:rPr>
          <w:rFonts w:ascii="Times New Roman" w:hAnsi="Times New Roman" w:cs="Times New Roman"/>
          <w:color w:val="000000" w:themeColor="text1"/>
          <w:sz w:val="24"/>
          <w:szCs w:val="24"/>
        </w:rPr>
        <w:t>,</w:t>
      </w:r>
      <w:r w:rsidR="00906C37" w:rsidRPr="00EE0455">
        <w:rPr>
          <w:rFonts w:ascii="Times New Roman" w:hAnsi="Times New Roman" w:cs="Times New Roman"/>
          <w:color w:val="000000" w:themeColor="text1"/>
          <w:sz w:val="24"/>
          <w:szCs w:val="24"/>
        </w:rPr>
        <w:t xml:space="preserve"> </w:t>
      </w:r>
      <w:r w:rsidR="00906C37" w:rsidRPr="00EE0455">
        <w:rPr>
          <w:rFonts w:ascii="Times New Roman" w:hAnsi="Times New Roman" w:cs="Times New Roman"/>
          <w:color w:val="000000" w:themeColor="text1"/>
          <w:sz w:val="24"/>
          <w:szCs w:val="24"/>
        </w:rPr>
        <w:t xml:space="preserve">2020). </w:t>
      </w:r>
      <w:r w:rsidRPr="00F9247D">
        <w:rPr>
          <w:rFonts w:ascii="Times New Roman" w:hAnsi="Times New Roman" w:cs="Times New Roman"/>
          <w:color w:val="000000" w:themeColor="text1"/>
          <w:sz w:val="24"/>
          <w:szCs w:val="24"/>
        </w:rPr>
        <w:t>Research consistently highlights the benefits of nature</w:t>
      </w:r>
      <w:r w:rsidRPr="00F9247D">
        <w:rPr>
          <w:rFonts w:ascii="Times New Roman" w:hAnsi="Times New Roman" w:cs="Times New Roman"/>
          <w:color w:val="000000" w:themeColor="text1"/>
          <w:sz w:val="24"/>
          <w:szCs w:val="24"/>
        </w:rPr>
        <w:noBreakHyphen/>
        <w:t>based play for attention, creativity, emotional regulation</w:t>
      </w:r>
      <w:r w:rsidR="00906C37" w:rsidRPr="00EE0455">
        <w:rPr>
          <w:rFonts w:ascii="Times New Roman" w:hAnsi="Times New Roman" w:cs="Times New Roman"/>
          <w:color w:val="000000" w:themeColor="text1"/>
          <w:sz w:val="24"/>
          <w:szCs w:val="24"/>
        </w:rPr>
        <w:t xml:space="preserve"> </w:t>
      </w:r>
      <w:r w:rsidRPr="00F9247D">
        <w:rPr>
          <w:rFonts w:ascii="Times New Roman" w:hAnsi="Times New Roman" w:cs="Times New Roman"/>
          <w:color w:val="000000" w:themeColor="text1"/>
          <w:sz w:val="24"/>
          <w:szCs w:val="24"/>
        </w:rPr>
        <w:t>and physical health</w:t>
      </w:r>
      <w:r w:rsidR="00906C37" w:rsidRPr="00EE0455">
        <w:rPr>
          <w:rFonts w:ascii="Times New Roman" w:hAnsi="Times New Roman" w:cs="Times New Roman"/>
          <w:color w:val="000000" w:themeColor="text1"/>
          <w:sz w:val="24"/>
          <w:szCs w:val="24"/>
        </w:rPr>
        <w:t xml:space="preserve"> (</w:t>
      </w:r>
      <w:r w:rsidR="00906C37" w:rsidRPr="00EE0455">
        <w:rPr>
          <w:rFonts w:ascii="Times New Roman" w:hAnsi="Times New Roman" w:cs="Times New Roman"/>
          <w:color w:val="000000" w:themeColor="text1"/>
          <w:sz w:val="24"/>
          <w:szCs w:val="24"/>
        </w:rPr>
        <w:t>Jiang</w:t>
      </w:r>
      <w:r w:rsidR="00906C37" w:rsidRPr="00EE0455">
        <w:rPr>
          <w:rFonts w:ascii="Times New Roman" w:hAnsi="Times New Roman" w:cs="Times New Roman"/>
          <w:color w:val="000000" w:themeColor="text1"/>
          <w:sz w:val="24"/>
          <w:szCs w:val="24"/>
        </w:rPr>
        <w:t xml:space="preserve"> and </w:t>
      </w:r>
      <w:r w:rsidR="00906C37" w:rsidRPr="00EE0455">
        <w:rPr>
          <w:rFonts w:ascii="Times New Roman" w:hAnsi="Times New Roman" w:cs="Times New Roman"/>
          <w:color w:val="000000" w:themeColor="text1"/>
          <w:sz w:val="24"/>
          <w:szCs w:val="24"/>
        </w:rPr>
        <w:t xml:space="preserve">Hussain, 2023). </w:t>
      </w:r>
      <w:r w:rsidRPr="00F9247D">
        <w:rPr>
          <w:rFonts w:ascii="Times New Roman" w:hAnsi="Times New Roman" w:cs="Times New Roman"/>
          <w:color w:val="000000" w:themeColor="text1"/>
          <w:sz w:val="24"/>
          <w:szCs w:val="24"/>
        </w:rPr>
        <w:t>Observations confirmed that the child demonstrated sustained attention, curiosity, and engagement, supporting the effectiveness of the approach.</w:t>
      </w:r>
    </w:p>
    <w:p w14:paraId="771B7452" w14:textId="4E69278A" w:rsidR="00F9247D" w:rsidRPr="00F9247D" w:rsidRDefault="00F9247D" w:rsidP="00F9247D">
      <w:pPr>
        <w:rPr>
          <w:rFonts w:ascii="Times New Roman" w:hAnsi="Times New Roman" w:cs="Times New Roman"/>
          <w:color w:val="000000" w:themeColor="text1"/>
          <w:sz w:val="24"/>
          <w:szCs w:val="24"/>
        </w:rPr>
      </w:pPr>
      <w:r w:rsidRPr="00F9247D">
        <w:rPr>
          <w:rFonts w:ascii="Times New Roman" w:hAnsi="Times New Roman" w:cs="Times New Roman"/>
          <w:color w:val="000000" w:themeColor="text1"/>
          <w:sz w:val="24"/>
          <w:szCs w:val="24"/>
        </w:rPr>
        <w:t>Evaluation of effectiveness revealed several strengths. The goal</w:t>
      </w:r>
      <w:r w:rsidRPr="00F9247D">
        <w:rPr>
          <w:rFonts w:ascii="Times New Roman" w:hAnsi="Times New Roman" w:cs="Times New Roman"/>
          <w:color w:val="000000" w:themeColor="text1"/>
          <w:sz w:val="24"/>
          <w:szCs w:val="24"/>
        </w:rPr>
        <w:noBreakHyphen/>
        <w:t xml:space="preserve">oriented structure of the </w:t>
      </w:r>
      <w:proofErr w:type="gramStart"/>
      <w:r w:rsidRPr="00F9247D">
        <w:rPr>
          <w:rFonts w:ascii="Times New Roman" w:hAnsi="Times New Roman" w:cs="Times New Roman"/>
          <w:color w:val="000000" w:themeColor="text1"/>
          <w:sz w:val="24"/>
          <w:szCs w:val="24"/>
        </w:rPr>
        <w:t>checklist maintained</w:t>
      </w:r>
      <w:proofErr w:type="gramEnd"/>
      <w:r w:rsidRPr="00F9247D">
        <w:rPr>
          <w:rFonts w:ascii="Times New Roman" w:hAnsi="Times New Roman" w:cs="Times New Roman"/>
          <w:color w:val="000000" w:themeColor="text1"/>
          <w:sz w:val="24"/>
          <w:szCs w:val="24"/>
        </w:rPr>
        <w:t xml:space="preserve"> motivation, while open</w:t>
      </w:r>
      <w:r w:rsidRPr="00F9247D">
        <w:rPr>
          <w:rFonts w:ascii="Times New Roman" w:hAnsi="Times New Roman" w:cs="Times New Roman"/>
          <w:color w:val="000000" w:themeColor="text1"/>
          <w:sz w:val="24"/>
          <w:szCs w:val="24"/>
        </w:rPr>
        <w:noBreakHyphen/>
        <w:t xml:space="preserve">ended questions promoted reflective thinking and verbalisation, supporting cognitive and language development </w:t>
      </w:r>
      <w:r w:rsidR="00906C37" w:rsidRPr="00EE0455">
        <w:rPr>
          <w:rFonts w:ascii="Times New Roman" w:hAnsi="Times New Roman" w:cs="Times New Roman"/>
          <w:color w:val="000000" w:themeColor="text1"/>
          <w:sz w:val="24"/>
          <w:szCs w:val="24"/>
        </w:rPr>
        <w:t>(</w:t>
      </w:r>
      <w:r w:rsidR="00906C37" w:rsidRPr="00EE0455">
        <w:rPr>
          <w:rFonts w:ascii="Times New Roman" w:hAnsi="Times New Roman" w:cs="Times New Roman"/>
          <w:color w:val="000000" w:themeColor="text1"/>
          <w:sz w:val="24"/>
          <w:szCs w:val="24"/>
        </w:rPr>
        <w:t>Nicholas</w:t>
      </w:r>
      <w:r w:rsidR="00906C37" w:rsidRPr="00EE0455">
        <w:rPr>
          <w:rFonts w:ascii="Times New Roman" w:hAnsi="Times New Roman" w:cs="Times New Roman"/>
          <w:color w:val="000000" w:themeColor="text1"/>
          <w:sz w:val="24"/>
          <w:szCs w:val="24"/>
        </w:rPr>
        <w:t xml:space="preserve"> et al., 2015). </w:t>
      </w:r>
      <w:r w:rsidRPr="00F9247D">
        <w:rPr>
          <w:rFonts w:ascii="Times New Roman" w:hAnsi="Times New Roman" w:cs="Times New Roman"/>
          <w:color w:val="000000" w:themeColor="text1"/>
          <w:sz w:val="24"/>
          <w:szCs w:val="24"/>
        </w:rPr>
        <w:t>Sensory engagement enhanced observation and analytical skills</w:t>
      </w:r>
      <w:r w:rsidR="00906C37" w:rsidRPr="00EE0455">
        <w:rPr>
          <w:rFonts w:ascii="Times New Roman" w:hAnsi="Times New Roman" w:cs="Times New Roman"/>
          <w:color w:val="000000" w:themeColor="text1"/>
          <w:sz w:val="24"/>
          <w:szCs w:val="24"/>
        </w:rPr>
        <w:t xml:space="preserve"> </w:t>
      </w:r>
      <w:r w:rsidRPr="00F9247D">
        <w:rPr>
          <w:rFonts w:ascii="Times New Roman" w:hAnsi="Times New Roman" w:cs="Times New Roman"/>
          <w:color w:val="000000" w:themeColor="text1"/>
          <w:sz w:val="24"/>
          <w:szCs w:val="24"/>
        </w:rPr>
        <w:t>while physical activity contributed to gross motor development and wellbeing. The reflective discussion at the end of the session reinforced metacognition and consolidated learning outcomes. The activity also illustrated the value of integrating structured guidance with child</w:t>
      </w:r>
      <w:r w:rsidRPr="00F9247D">
        <w:rPr>
          <w:rFonts w:ascii="Times New Roman" w:hAnsi="Times New Roman" w:cs="Times New Roman"/>
          <w:color w:val="000000" w:themeColor="text1"/>
          <w:sz w:val="24"/>
          <w:szCs w:val="24"/>
        </w:rPr>
        <w:noBreakHyphen/>
        <w:t>led exploration, balancing autonomy with scaffolding to optimise engagement and learning.</w:t>
      </w:r>
    </w:p>
    <w:p w14:paraId="734A6393" w14:textId="42B8B7A1" w:rsidR="00F9247D" w:rsidRPr="00F9247D" w:rsidRDefault="00F9247D" w:rsidP="00F9247D">
      <w:pPr>
        <w:rPr>
          <w:rFonts w:ascii="Times New Roman" w:hAnsi="Times New Roman" w:cs="Times New Roman"/>
          <w:color w:val="000000" w:themeColor="text1"/>
          <w:sz w:val="24"/>
          <w:szCs w:val="24"/>
        </w:rPr>
      </w:pPr>
      <w:r w:rsidRPr="00F9247D">
        <w:rPr>
          <w:rFonts w:ascii="Times New Roman" w:hAnsi="Times New Roman" w:cs="Times New Roman"/>
          <w:color w:val="000000" w:themeColor="text1"/>
          <w:sz w:val="24"/>
          <w:szCs w:val="24"/>
        </w:rPr>
        <w:t>Critical reflection identified areas for improvement. At times, facilitation could have allowed longer periods of independent observation to encourage greater self</w:t>
      </w:r>
      <w:r w:rsidRPr="00F9247D">
        <w:rPr>
          <w:rFonts w:ascii="Times New Roman" w:hAnsi="Times New Roman" w:cs="Times New Roman"/>
          <w:color w:val="000000" w:themeColor="text1"/>
          <w:sz w:val="24"/>
          <w:szCs w:val="24"/>
        </w:rPr>
        <w:noBreakHyphen/>
        <w:t xml:space="preserve">directed exploration. Incorporating creative extensions such as drawing, photographing, or creating a small nature collage could enhance expressive learning and reinforce observational skills </w:t>
      </w:r>
      <w:r w:rsidR="00906C37" w:rsidRPr="00EE0455">
        <w:rPr>
          <w:rFonts w:ascii="Times New Roman" w:hAnsi="Times New Roman" w:cs="Times New Roman"/>
          <w:color w:val="000000" w:themeColor="text1"/>
          <w:sz w:val="24"/>
          <w:szCs w:val="24"/>
        </w:rPr>
        <w:t>(</w:t>
      </w:r>
      <w:r w:rsidR="00906C37" w:rsidRPr="00EE0455">
        <w:rPr>
          <w:rFonts w:ascii="Times New Roman" w:hAnsi="Times New Roman" w:cs="Times New Roman"/>
          <w:color w:val="000000" w:themeColor="text1"/>
          <w:sz w:val="24"/>
          <w:szCs w:val="24"/>
        </w:rPr>
        <w:t>Novi</w:t>
      </w:r>
      <w:r w:rsidR="00906C37" w:rsidRPr="00EE0455">
        <w:rPr>
          <w:rFonts w:ascii="Times New Roman" w:hAnsi="Times New Roman" w:cs="Times New Roman"/>
          <w:color w:val="000000" w:themeColor="text1"/>
          <w:sz w:val="24"/>
          <w:szCs w:val="24"/>
        </w:rPr>
        <w:t xml:space="preserve"> et al., 2025). </w:t>
      </w:r>
      <w:r w:rsidRPr="00F9247D">
        <w:rPr>
          <w:rFonts w:ascii="Times New Roman" w:hAnsi="Times New Roman" w:cs="Times New Roman"/>
          <w:color w:val="000000" w:themeColor="text1"/>
          <w:sz w:val="24"/>
          <w:szCs w:val="24"/>
        </w:rPr>
        <w:t xml:space="preserve">The activity was designed for one participant, so scaling up for larger groups would require adaptations such as rotational tasks, team exploration, or additional facilitators, while ensuring safety and effective learning. Additionally, consideration of inclusive strategies would support engagement for children with diverse sensory, physical, or learning needs </w:t>
      </w:r>
      <w:r w:rsidR="00906C37" w:rsidRPr="00EE0455">
        <w:rPr>
          <w:rFonts w:ascii="Times New Roman" w:hAnsi="Times New Roman" w:cs="Times New Roman"/>
          <w:color w:val="000000" w:themeColor="text1"/>
          <w:sz w:val="24"/>
          <w:szCs w:val="24"/>
        </w:rPr>
        <w:t>(</w:t>
      </w:r>
      <w:r w:rsidR="00906C37" w:rsidRPr="00EE0455">
        <w:rPr>
          <w:rFonts w:ascii="Times New Roman" w:hAnsi="Times New Roman" w:cs="Times New Roman"/>
          <w:color w:val="000000" w:themeColor="text1"/>
          <w:sz w:val="24"/>
          <w:szCs w:val="24"/>
        </w:rPr>
        <w:t>Rausch</w:t>
      </w:r>
      <w:r w:rsidR="00906C37" w:rsidRPr="00EE0455">
        <w:rPr>
          <w:rFonts w:ascii="Times New Roman" w:hAnsi="Times New Roman" w:cs="Times New Roman"/>
          <w:color w:val="000000" w:themeColor="text1"/>
          <w:sz w:val="24"/>
          <w:szCs w:val="24"/>
        </w:rPr>
        <w:t xml:space="preserve"> et al., 2021).</w:t>
      </w:r>
    </w:p>
    <w:p w14:paraId="1E756B12" w14:textId="77777777" w:rsidR="00EE0455" w:rsidRPr="00EE0455" w:rsidRDefault="00F9247D" w:rsidP="00EE0455">
      <w:pPr>
        <w:rPr>
          <w:rFonts w:ascii="Times New Roman" w:hAnsi="Times New Roman" w:cs="Times New Roman"/>
          <w:color w:val="000000" w:themeColor="text1"/>
          <w:sz w:val="24"/>
          <w:szCs w:val="24"/>
        </w:rPr>
      </w:pPr>
      <w:r w:rsidRPr="00F9247D">
        <w:rPr>
          <w:rFonts w:ascii="Times New Roman" w:hAnsi="Times New Roman" w:cs="Times New Roman"/>
          <w:color w:val="000000" w:themeColor="text1"/>
          <w:sz w:val="24"/>
          <w:szCs w:val="24"/>
        </w:rPr>
        <w:t>In conclusion, the Nature Treasure Hunt was an effective outdoor play activity that integrated constructivist, experiential, and social constructivist principles within a play</w:t>
      </w:r>
      <w:r w:rsidRPr="00F9247D">
        <w:rPr>
          <w:rFonts w:ascii="Times New Roman" w:hAnsi="Times New Roman" w:cs="Times New Roman"/>
          <w:color w:val="000000" w:themeColor="text1"/>
          <w:sz w:val="24"/>
          <w:szCs w:val="24"/>
        </w:rPr>
        <w:noBreakHyphen/>
        <w:t>based, nature</w:t>
      </w:r>
      <w:r w:rsidRPr="00F9247D">
        <w:rPr>
          <w:rFonts w:ascii="Times New Roman" w:hAnsi="Times New Roman" w:cs="Times New Roman"/>
          <w:color w:val="000000" w:themeColor="text1"/>
          <w:sz w:val="24"/>
          <w:szCs w:val="24"/>
        </w:rPr>
        <w:noBreakHyphen/>
        <w:t>oriented framework. The activity supported cognitive development, sensory engagement, reflective thinking, physical activity, and wellbeing. Theoretical underpinnings provided a robust foundation for understanding the child’s learning processes, while critical reflection highlighted areas for enhancement, particularly regarding autonomy, creativity, and scalability. Outdoor play</w:t>
      </w:r>
      <w:r w:rsidRPr="00F9247D">
        <w:rPr>
          <w:rFonts w:ascii="Times New Roman" w:hAnsi="Times New Roman" w:cs="Times New Roman"/>
          <w:color w:val="000000" w:themeColor="text1"/>
          <w:sz w:val="24"/>
          <w:szCs w:val="24"/>
        </w:rPr>
        <w:noBreakHyphen/>
        <w:t>based activities informed by theory not only promote holistic development but also foster curiosity and a lifelong appreciation for the natural environment, demonstrating the value of structured yet flexible learning in outdoor settings.</w:t>
      </w:r>
    </w:p>
    <w:p w14:paraId="63C54032" w14:textId="41A628BB" w:rsidR="00EE0455" w:rsidRPr="00EE0455" w:rsidRDefault="00EE0455" w:rsidP="00EE0455">
      <w:pPr>
        <w:rPr>
          <w:rFonts w:ascii="Times New Roman" w:hAnsi="Times New Roman" w:cs="Times New Roman"/>
          <w:color w:val="000000" w:themeColor="text1"/>
          <w:sz w:val="24"/>
          <w:szCs w:val="24"/>
          <w:u w:val="single"/>
        </w:rPr>
      </w:pPr>
      <w:r w:rsidRPr="00EE0455">
        <w:rPr>
          <w:rFonts w:ascii="Times New Roman" w:hAnsi="Times New Roman" w:cs="Times New Roman"/>
          <w:sz w:val="24"/>
          <w:szCs w:val="24"/>
          <w:u w:val="single"/>
        </w:rPr>
        <w:lastRenderedPageBreak/>
        <w:t xml:space="preserve">Reference List </w:t>
      </w:r>
    </w:p>
    <w:p w14:paraId="213C9947"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Arnold, C. (2015). Schemas: A way into a child's world. </w:t>
      </w:r>
      <w:r w:rsidRPr="00EE0455">
        <w:rPr>
          <w:rFonts w:ascii="Times New Roman" w:hAnsi="Times New Roman" w:cs="Times New Roman"/>
          <w:i/>
          <w:iCs/>
          <w:sz w:val="24"/>
          <w:szCs w:val="24"/>
        </w:rPr>
        <w:t>Early Child Development and Care, 185</w:t>
      </w:r>
      <w:r w:rsidRPr="00EE0455">
        <w:rPr>
          <w:rFonts w:ascii="Times New Roman" w:hAnsi="Times New Roman" w:cs="Times New Roman"/>
          <w:sz w:val="24"/>
          <w:szCs w:val="24"/>
        </w:rPr>
        <w:t>(5), 727–741.</w:t>
      </w:r>
    </w:p>
    <w:p w14:paraId="2CD10DD7"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Beery, T., &amp; Jørgensen, K. A. (2018). Children in nature: Sensory engagement and the experience of biodiversity. </w:t>
      </w:r>
      <w:r w:rsidRPr="00EE0455">
        <w:rPr>
          <w:rFonts w:ascii="Times New Roman" w:hAnsi="Times New Roman" w:cs="Times New Roman"/>
          <w:i/>
          <w:iCs/>
          <w:sz w:val="24"/>
          <w:szCs w:val="24"/>
        </w:rPr>
        <w:t>Environmental Education Research, 24</w:t>
      </w:r>
      <w:r w:rsidRPr="00EE0455">
        <w:rPr>
          <w:rFonts w:ascii="Times New Roman" w:hAnsi="Times New Roman" w:cs="Times New Roman"/>
          <w:sz w:val="24"/>
          <w:szCs w:val="24"/>
        </w:rPr>
        <w:t>(1), 13–25.</w:t>
      </w:r>
    </w:p>
    <w:p w14:paraId="6B0CAACC"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Chen, C. M., Wang, J. Y., &amp; Zhao, R. H. (2022). An effective method for incentivizing groups implemented in a collaborative problem-based learning system to enhance positive peer interaction and learning performance. </w:t>
      </w:r>
      <w:r w:rsidRPr="00EE0455">
        <w:rPr>
          <w:rFonts w:ascii="Times New Roman" w:hAnsi="Times New Roman" w:cs="Times New Roman"/>
          <w:i/>
          <w:iCs/>
          <w:sz w:val="24"/>
          <w:szCs w:val="24"/>
        </w:rPr>
        <w:t>Interactive Learning Environments, 30</w:t>
      </w:r>
      <w:r w:rsidRPr="00EE0455">
        <w:rPr>
          <w:rFonts w:ascii="Times New Roman" w:hAnsi="Times New Roman" w:cs="Times New Roman"/>
          <w:sz w:val="24"/>
          <w:szCs w:val="24"/>
        </w:rPr>
        <w:t>(3), 435–454.</w:t>
      </w:r>
    </w:p>
    <w:p w14:paraId="60014F11"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Evans, M., &amp; Boucher, A. R. (2015). Optimising the power of choice: Supporting student autonomy to foster motivation and engagement in learning. </w:t>
      </w:r>
      <w:r w:rsidRPr="00EE0455">
        <w:rPr>
          <w:rFonts w:ascii="Times New Roman" w:hAnsi="Times New Roman" w:cs="Times New Roman"/>
          <w:i/>
          <w:iCs/>
          <w:sz w:val="24"/>
          <w:szCs w:val="24"/>
        </w:rPr>
        <w:t>Mind, Brain, and Education, 9</w:t>
      </w:r>
      <w:r w:rsidRPr="00EE0455">
        <w:rPr>
          <w:rFonts w:ascii="Times New Roman" w:hAnsi="Times New Roman" w:cs="Times New Roman"/>
          <w:sz w:val="24"/>
          <w:szCs w:val="24"/>
        </w:rPr>
        <w:t>(2), 87–91.</w:t>
      </w:r>
    </w:p>
    <w:p w14:paraId="2D431BDD"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Irshad, S., Maan, M. F., Batool, H., &amp; Hanif, A. (2021). Vygotsky’s zone of proximal development (ZPD): An evaluative tool for language learning and social development in early childhood education. </w:t>
      </w:r>
      <w:r w:rsidRPr="00EE0455">
        <w:rPr>
          <w:rFonts w:ascii="Times New Roman" w:hAnsi="Times New Roman" w:cs="Times New Roman"/>
          <w:i/>
          <w:iCs/>
          <w:sz w:val="24"/>
          <w:szCs w:val="24"/>
        </w:rPr>
        <w:t>Multicultural Education, 7</w:t>
      </w:r>
      <w:r w:rsidRPr="00EE0455">
        <w:rPr>
          <w:rFonts w:ascii="Times New Roman" w:hAnsi="Times New Roman" w:cs="Times New Roman"/>
          <w:sz w:val="24"/>
          <w:szCs w:val="24"/>
        </w:rPr>
        <w:t>(6), 234–242.</w:t>
      </w:r>
    </w:p>
    <w:p w14:paraId="0290BB37"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Jiang, Z., &amp; Hussain, Y. (2023). The effectiveness of nature-based learning in promoting physical, cognitive, and emotional development in young children: A case study in China. </w:t>
      </w:r>
      <w:r w:rsidRPr="00EE0455">
        <w:rPr>
          <w:rFonts w:ascii="Times New Roman" w:hAnsi="Times New Roman" w:cs="Times New Roman"/>
          <w:i/>
          <w:iCs/>
          <w:sz w:val="24"/>
          <w:szCs w:val="24"/>
        </w:rPr>
        <w:t>International Journal of Education &amp; Technology, 1</w:t>
      </w:r>
      <w:r w:rsidRPr="00EE0455">
        <w:rPr>
          <w:rFonts w:ascii="Times New Roman" w:hAnsi="Times New Roman" w:cs="Times New Roman"/>
          <w:sz w:val="24"/>
          <w:szCs w:val="24"/>
        </w:rPr>
        <w:t>(3), 56–66.</w:t>
      </w:r>
    </w:p>
    <w:p w14:paraId="056ADCDD" w14:textId="77777777" w:rsidR="00EE0455" w:rsidRPr="00EE0455" w:rsidRDefault="00EE0455" w:rsidP="00EE0455">
      <w:pPr>
        <w:rPr>
          <w:rFonts w:ascii="Times New Roman" w:hAnsi="Times New Roman" w:cs="Times New Roman"/>
          <w:sz w:val="24"/>
          <w:szCs w:val="24"/>
        </w:rPr>
      </w:pPr>
      <w:proofErr w:type="spellStart"/>
      <w:r w:rsidRPr="00EE0455">
        <w:rPr>
          <w:rFonts w:ascii="Times New Roman" w:hAnsi="Times New Roman" w:cs="Times New Roman"/>
          <w:sz w:val="24"/>
          <w:szCs w:val="24"/>
        </w:rPr>
        <w:t>Kharroubi</w:t>
      </w:r>
      <w:proofErr w:type="spellEnd"/>
      <w:r w:rsidRPr="00EE0455">
        <w:rPr>
          <w:rFonts w:ascii="Times New Roman" w:hAnsi="Times New Roman" w:cs="Times New Roman"/>
          <w:sz w:val="24"/>
          <w:szCs w:val="24"/>
        </w:rPr>
        <w:t xml:space="preserve">, S., &amp; </w:t>
      </w:r>
      <w:proofErr w:type="spellStart"/>
      <w:r w:rsidRPr="00EE0455">
        <w:rPr>
          <w:rFonts w:ascii="Times New Roman" w:hAnsi="Times New Roman" w:cs="Times New Roman"/>
          <w:sz w:val="24"/>
          <w:szCs w:val="24"/>
        </w:rPr>
        <w:t>ElMediouni</w:t>
      </w:r>
      <w:proofErr w:type="spellEnd"/>
      <w:r w:rsidRPr="00EE0455">
        <w:rPr>
          <w:rFonts w:ascii="Times New Roman" w:hAnsi="Times New Roman" w:cs="Times New Roman"/>
          <w:sz w:val="24"/>
          <w:szCs w:val="24"/>
        </w:rPr>
        <w:t xml:space="preserve">, A. (2024). Conceptual review: Cultivating learner autonomy through self-directed learning and self-regulated learning: A socio-constructivist exploration. </w:t>
      </w:r>
      <w:r w:rsidRPr="00EE0455">
        <w:rPr>
          <w:rFonts w:ascii="Times New Roman" w:hAnsi="Times New Roman" w:cs="Times New Roman"/>
          <w:i/>
          <w:iCs/>
          <w:sz w:val="24"/>
          <w:szCs w:val="24"/>
        </w:rPr>
        <w:t>International Journal of Language and Literary Studies, 6</w:t>
      </w:r>
      <w:r w:rsidRPr="00EE0455">
        <w:rPr>
          <w:rFonts w:ascii="Times New Roman" w:hAnsi="Times New Roman" w:cs="Times New Roman"/>
          <w:sz w:val="24"/>
          <w:szCs w:val="24"/>
        </w:rPr>
        <w:t>(2), 276–296.</w:t>
      </w:r>
    </w:p>
    <w:p w14:paraId="6FA7C062"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Margolis, A. A. (2020). Zone of proximal development, scaffolding and teaching practice. </w:t>
      </w:r>
      <w:r w:rsidRPr="00EE0455">
        <w:rPr>
          <w:rFonts w:ascii="Times New Roman" w:hAnsi="Times New Roman" w:cs="Times New Roman"/>
          <w:i/>
          <w:iCs/>
          <w:sz w:val="24"/>
          <w:szCs w:val="24"/>
        </w:rPr>
        <w:t>Cultural-Historical Psychology, 16</w:t>
      </w:r>
      <w:r w:rsidRPr="00EE0455">
        <w:rPr>
          <w:rFonts w:ascii="Times New Roman" w:hAnsi="Times New Roman" w:cs="Times New Roman"/>
          <w:sz w:val="24"/>
          <w:szCs w:val="24"/>
        </w:rPr>
        <w:t>(3).</w:t>
      </w:r>
    </w:p>
    <w:p w14:paraId="118C65FB"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Nicholas, M., Van Bergen, P., &amp; Richards, D. (2015). Enhancing learning in a virtual world using highly elaborative reminiscing as a reflective tool. </w:t>
      </w:r>
      <w:r w:rsidRPr="00EE0455">
        <w:rPr>
          <w:rFonts w:ascii="Times New Roman" w:hAnsi="Times New Roman" w:cs="Times New Roman"/>
          <w:i/>
          <w:iCs/>
          <w:sz w:val="24"/>
          <w:szCs w:val="24"/>
        </w:rPr>
        <w:t>Learning and Instruction, 36</w:t>
      </w:r>
      <w:r w:rsidRPr="00EE0455">
        <w:rPr>
          <w:rFonts w:ascii="Times New Roman" w:hAnsi="Times New Roman" w:cs="Times New Roman"/>
          <w:sz w:val="24"/>
          <w:szCs w:val="24"/>
        </w:rPr>
        <w:t>, 66–75.</w:t>
      </w:r>
    </w:p>
    <w:p w14:paraId="52311896"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Novi, A., </w:t>
      </w:r>
      <w:proofErr w:type="spellStart"/>
      <w:r w:rsidRPr="00EE0455">
        <w:rPr>
          <w:rFonts w:ascii="Times New Roman" w:hAnsi="Times New Roman" w:cs="Times New Roman"/>
          <w:sz w:val="24"/>
          <w:szCs w:val="24"/>
        </w:rPr>
        <w:t>Banowati</w:t>
      </w:r>
      <w:proofErr w:type="spellEnd"/>
      <w:r w:rsidRPr="00EE0455">
        <w:rPr>
          <w:rFonts w:ascii="Times New Roman" w:hAnsi="Times New Roman" w:cs="Times New Roman"/>
          <w:sz w:val="24"/>
          <w:szCs w:val="24"/>
        </w:rPr>
        <w:t xml:space="preserve">, E., </w:t>
      </w:r>
      <w:proofErr w:type="spellStart"/>
      <w:r w:rsidRPr="00EE0455">
        <w:rPr>
          <w:rFonts w:ascii="Times New Roman" w:hAnsi="Times New Roman" w:cs="Times New Roman"/>
          <w:sz w:val="24"/>
          <w:szCs w:val="24"/>
        </w:rPr>
        <w:t>Rambu</w:t>
      </w:r>
      <w:proofErr w:type="spellEnd"/>
      <w:r w:rsidRPr="00EE0455">
        <w:rPr>
          <w:rFonts w:ascii="Times New Roman" w:hAnsi="Times New Roman" w:cs="Times New Roman"/>
          <w:sz w:val="24"/>
          <w:szCs w:val="24"/>
        </w:rPr>
        <w:t xml:space="preserve">, N., &amp; Setia, W. (2025). Implementation of mix media collage through the project-based learning approach to improve independence and learning creativity of grade XI students in the material of personal expression works. </w:t>
      </w:r>
      <w:r w:rsidRPr="00EE0455">
        <w:rPr>
          <w:rFonts w:ascii="Times New Roman" w:hAnsi="Times New Roman" w:cs="Times New Roman"/>
          <w:i/>
          <w:iCs/>
          <w:sz w:val="24"/>
          <w:szCs w:val="24"/>
        </w:rPr>
        <w:t>IJESS International Journal of Education and Social Science, 6</w:t>
      </w:r>
      <w:r w:rsidRPr="00EE0455">
        <w:rPr>
          <w:rFonts w:ascii="Times New Roman" w:hAnsi="Times New Roman" w:cs="Times New Roman"/>
          <w:sz w:val="24"/>
          <w:szCs w:val="24"/>
        </w:rPr>
        <w:t>(2), 237–243.</w:t>
      </w:r>
    </w:p>
    <w:p w14:paraId="40891A7E"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Parry, J., &amp; Allison, P. (2020). </w:t>
      </w:r>
      <w:r w:rsidRPr="00EE0455">
        <w:rPr>
          <w:rFonts w:ascii="Times New Roman" w:hAnsi="Times New Roman" w:cs="Times New Roman"/>
          <w:i/>
          <w:iCs/>
          <w:sz w:val="24"/>
          <w:szCs w:val="24"/>
        </w:rPr>
        <w:t>Experiential learning and outdoor education</w:t>
      </w:r>
      <w:r w:rsidRPr="00EE0455">
        <w:rPr>
          <w:rFonts w:ascii="Times New Roman" w:hAnsi="Times New Roman" w:cs="Times New Roman"/>
          <w:sz w:val="24"/>
          <w:szCs w:val="24"/>
        </w:rPr>
        <w:t>. Routledge.</w:t>
      </w:r>
    </w:p>
    <w:p w14:paraId="66CA321B"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Saleem, A., Kausar, H., &amp; Deeba, F. (2021). Social constructivism: A new paradigm in teaching and learning environment. </w:t>
      </w:r>
      <w:r w:rsidRPr="00EE0455">
        <w:rPr>
          <w:rFonts w:ascii="Times New Roman" w:hAnsi="Times New Roman" w:cs="Times New Roman"/>
          <w:i/>
          <w:iCs/>
          <w:sz w:val="24"/>
          <w:szCs w:val="24"/>
        </w:rPr>
        <w:t>Perennial Journal of History, 2</w:t>
      </w:r>
      <w:r w:rsidRPr="00EE0455">
        <w:rPr>
          <w:rFonts w:ascii="Times New Roman" w:hAnsi="Times New Roman" w:cs="Times New Roman"/>
          <w:sz w:val="24"/>
          <w:szCs w:val="24"/>
        </w:rPr>
        <w:t>(2), 403–421.</w:t>
      </w:r>
    </w:p>
    <w:p w14:paraId="75F129F2"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Sando, O. J., &amp; </w:t>
      </w:r>
      <w:proofErr w:type="spellStart"/>
      <w:r w:rsidRPr="00EE0455">
        <w:rPr>
          <w:rFonts w:ascii="Times New Roman" w:hAnsi="Times New Roman" w:cs="Times New Roman"/>
          <w:sz w:val="24"/>
          <w:szCs w:val="24"/>
        </w:rPr>
        <w:t>Sandseter</w:t>
      </w:r>
      <w:proofErr w:type="spellEnd"/>
      <w:r w:rsidRPr="00EE0455">
        <w:rPr>
          <w:rFonts w:ascii="Times New Roman" w:hAnsi="Times New Roman" w:cs="Times New Roman"/>
          <w:sz w:val="24"/>
          <w:szCs w:val="24"/>
        </w:rPr>
        <w:t xml:space="preserve">, E. B. H. (2020). Affordances for physical activity and well-being in the ECEC outdoor environment. </w:t>
      </w:r>
      <w:r w:rsidRPr="00EE0455">
        <w:rPr>
          <w:rFonts w:ascii="Times New Roman" w:hAnsi="Times New Roman" w:cs="Times New Roman"/>
          <w:i/>
          <w:iCs/>
          <w:sz w:val="24"/>
          <w:szCs w:val="24"/>
        </w:rPr>
        <w:t>Journal of Environmental Psychology, 69</w:t>
      </w:r>
      <w:r w:rsidRPr="00EE0455">
        <w:rPr>
          <w:rFonts w:ascii="Times New Roman" w:hAnsi="Times New Roman" w:cs="Times New Roman"/>
          <w:sz w:val="24"/>
          <w:szCs w:val="24"/>
        </w:rPr>
        <w:t>, 101430.</w:t>
      </w:r>
    </w:p>
    <w:p w14:paraId="3FE31795" w14:textId="77777777" w:rsidR="00EE0455" w:rsidRPr="00EE0455" w:rsidRDefault="00EE0455" w:rsidP="00EE0455">
      <w:pPr>
        <w:rPr>
          <w:rFonts w:ascii="Times New Roman" w:hAnsi="Times New Roman" w:cs="Times New Roman"/>
          <w:sz w:val="24"/>
          <w:szCs w:val="24"/>
        </w:rPr>
      </w:pPr>
      <w:r w:rsidRPr="00EE0455">
        <w:rPr>
          <w:rFonts w:ascii="Times New Roman" w:hAnsi="Times New Roman" w:cs="Times New Roman"/>
          <w:sz w:val="24"/>
          <w:szCs w:val="24"/>
        </w:rPr>
        <w:t xml:space="preserve">Waite, S., &amp; Prince, H. (2022). Child, place, and others: Interactions that support outdoor learning. </w:t>
      </w:r>
      <w:r w:rsidRPr="00EE0455">
        <w:rPr>
          <w:rFonts w:ascii="Times New Roman" w:hAnsi="Times New Roman" w:cs="Times New Roman"/>
          <w:i/>
          <w:iCs/>
          <w:sz w:val="24"/>
          <w:szCs w:val="24"/>
        </w:rPr>
        <w:t>Journal of Adventure Education and Outdoor Learning, 22</w:t>
      </w:r>
      <w:r w:rsidRPr="00EE0455">
        <w:rPr>
          <w:rFonts w:ascii="Times New Roman" w:hAnsi="Times New Roman" w:cs="Times New Roman"/>
          <w:sz w:val="24"/>
          <w:szCs w:val="24"/>
        </w:rPr>
        <w:t>(4), 275–277.</w:t>
      </w:r>
    </w:p>
    <w:p w14:paraId="3F02D60F" w14:textId="6F30B4CC" w:rsidR="00906C37" w:rsidRPr="00EE0455" w:rsidRDefault="00906C37" w:rsidP="00814C99">
      <w:pPr>
        <w:rPr>
          <w:rFonts w:ascii="Times New Roman" w:hAnsi="Times New Roman" w:cs="Times New Roman"/>
          <w:sz w:val="24"/>
          <w:szCs w:val="24"/>
        </w:rPr>
      </w:pPr>
    </w:p>
    <w:sectPr w:rsidR="00906C37" w:rsidRPr="00EE04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36B71"/>
    <w:multiLevelType w:val="multilevel"/>
    <w:tmpl w:val="3EB8A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A2128A"/>
    <w:multiLevelType w:val="multilevel"/>
    <w:tmpl w:val="DBD0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313FF7"/>
    <w:multiLevelType w:val="multilevel"/>
    <w:tmpl w:val="5832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F47671"/>
    <w:multiLevelType w:val="multilevel"/>
    <w:tmpl w:val="44FE1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0F054D"/>
    <w:multiLevelType w:val="multilevel"/>
    <w:tmpl w:val="2C64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1A4482"/>
    <w:multiLevelType w:val="multilevel"/>
    <w:tmpl w:val="F2C61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BB7D86"/>
    <w:multiLevelType w:val="multilevel"/>
    <w:tmpl w:val="BCD84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D123C1"/>
    <w:multiLevelType w:val="multilevel"/>
    <w:tmpl w:val="9DE8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5D08A0"/>
    <w:multiLevelType w:val="multilevel"/>
    <w:tmpl w:val="25D0E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6C6B0E"/>
    <w:multiLevelType w:val="multilevel"/>
    <w:tmpl w:val="863E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3660857">
    <w:abstractNumId w:val="0"/>
  </w:num>
  <w:num w:numId="2" w16cid:durableId="2065634760">
    <w:abstractNumId w:val="6"/>
  </w:num>
  <w:num w:numId="3" w16cid:durableId="2109499689">
    <w:abstractNumId w:val="7"/>
  </w:num>
  <w:num w:numId="4" w16cid:durableId="303195830">
    <w:abstractNumId w:val="1"/>
  </w:num>
  <w:num w:numId="5" w16cid:durableId="216012516">
    <w:abstractNumId w:val="2"/>
  </w:num>
  <w:num w:numId="6" w16cid:durableId="1881242447">
    <w:abstractNumId w:val="3"/>
  </w:num>
  <w:num w:numId="7" w16cid:durableId="1219780680">
    <w:abstractNumId w:val="5"/>
  </w:num>
  <w:num w:numId="8" w16cid:durableId="1190606616">
    <w:abstractNumId w:val="8"/>
  </w:num>
  <w:num w:numId="9" w16cid:durableId="1839688179">
    <w:abstractNumId w:val="9"/>
  </w:num>
  <w:num w:numId="10" w16cid:durableId="2963734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C99"/>
    <w:rsid w:val="000478E5"/>
    <w:rsid w:val="006022EF"/>
    <w:rsid w:val="006B3B74"/>
    <w:rsid w:val="00754090"/>
    <w:rsid w:val="00795183"/>
    <w:rsid w:val="00814C99"/>
    <w:rsid w:val="008C1ED6"/>
    <w:rsid w:val="00906C37"/>
    <w:rsid w:val="00933D2A"/>
    <w:rsid w:val="00AB3C0A"/>
    <w:rsid w:val="00AC344B"/>
    <w:rsid w:val="00BA19C9"/>
    <w:rsid w:val="00E846A6"/>
    <w:rsid w:val="00EE0455"/>
    <w:rsid w:val="00F04CF8"/>
    <w:rsid w:val="00F92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13A84"/>
  <w15:chartTrackingRefBased/>
  <w15:docId w15:val="{2AF97ECA-B8C1-44D5-ADD6-9899673BB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C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C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C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C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C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C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C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C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C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C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C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C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C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C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C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C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C99"/>
    <w:rPr>
      <w:rFonts w:eastAsiaTheme="majorEastAsia" w:cstheme="majorBidi"/>
      <w:color w:val="272727" w:themeColor="text1" w:themeTint="D8"/>
    </w:rPr>
  </w:style>
  <w:style w:type="paragraph" w:styleId="Title">
    <w:name w:val="Title"/>
    <w:basedOn w:val="Normal"/>
    <w:next w:val="Normal"/>
    <w:link w:val="TitleChar"/>
    <w:uiPriority w:val="10"/>
    <w:qFormat/>
    <w:rsid w:val="00814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C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C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C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C99"/>
    <w:pPr>
      <w:spacing w:before="160"/>
      <w:jc w:val="center"/>
    </w:pPr>
    <w:rPr>
      <w:i/>
      <w:iCs/>
      <w:color w:val="404040" w:themeColor="text1" w:themeTint="BF"/>
    </w:rPr>
  </w:style>
  <w:style w:type="character" w:customStyle="1" w:styleId="QuoteChar">
    <w:name w:val="Quote Char"/>
    <w:basedOn w:val="DefaultParagraphFont"/>
    <w:link w:val="Quote"/>
    <w:uiPriority w:val="29"/>
    <w:rsid w:val="00814C99"/>
    <w:rPr>
      <w:i/>
      <w:iCs/>
      <w:color w:val="404040" w:themeColor="text1" w:themeTint="BF"/>
    </w:rPr>
  </w:style>
  <w:style w:type="paragraph" w:styleId="ListParagraph">
    <w:name w:val="List Paragraph"/>
    <w:basedOn w:val="Normal"/>
    <w:uiPriority w:val="34"/>
    <w:qFormat/>
    <w:rsid w:val="00814C99"/>
    <w:pPr>
      <w:ind w:left="720"/>
      <w:contextualSpacing/>
    </w:pPr>
  </w:style>
  <w:style w:type="character" w:styleId="IntenseEmphasis">
    <w:name w:val="Intense Emphasis"/>
    <w:basedOn w:val="DefaultParagraphFont"/>
    <w:uiPriority w:val="21"/>
    <w:qFormat/>
    <w:rsid w:val="00814C99"/>
    <w:rPr>
      <w:i/>
      <w:iCs/>
      <w:color w:val="0F4761" w:themeColor="accent1" w:themeShade="BF"/>
    </w:rPr>
  </w:style>
  <w:style w:type="paragraph" w:styleId="IntenseQuote">
    <w:name w:val="Intense Quote"/>
    <w:basedOn w:val="Normal"/>
    <w:next w:val="Normal"/>
    <w:link w:val="IntenseQuoteChar"/>
    <w:uiPriority w:val="30"/>
    <w:qFormat/>
    <w:rsid w:val="00814C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C99"/>
    <w:rPr>
      <w:i/>
      <w:iCs/>
      <w:color w:val="0F4761" w:themeColor="accent1" w:themeShade="BF"/>
    </w:rPr>
  </w:style>
  <w:style w:type="character" w:styleId="IntenseReference">
    <w:name w:val="Intense Reference"/>
    <w:basedOn w:val="DefaultParagraphFont"/>
    <w:uiPriority w:val="32"/>
    <w:qFormat/>
    <w:rsid w:val="00814C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1521</Words>
  <Characters>8670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2</cp:revision>
  <dcterms:created xsi:type="dcterms:W3CDTF">2026-03-15T22:44:00Z</dcterms:created>
  <dcterms:modified xsi:type="dcterms:W3CDTF">2026-03-15T22:44:00Z</dcterms:modified>
</cp:coreProperties>
</file>