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1EF93" w14:textId="4EFE548B" w:rsidR="000859CB" w:rsidRPr="002F49CF" w:rsidRDefault="00261D96" w:rsidP="002F49CF">
      <w:pPr>
        <w:spacing w:line="360" w:lineRule="auto"/>
        <w:jc w:val="center"/>
        <w:rPr>
          <w:rFonts w:asciiTheme="majorBidi" w:hAnsiTheme="majorBidi" w:cstheme="majorBidi"/>
          <w:color w:val="000000" w:themeColor="text1"/>
        </w:rPr>
      </w:pPr>
      <w:r w:rsidRPr="002F49CF">
        <w:rPr>
          <w:rFonts w:asciiTheme="majorBidi" w:hAnsiTheme="majorBidi" w:cstheme="majorBidi"/>
          <w:noProof/>
          <w:color w:val="000000" w:themeColor="text1"/>
        </w:rPr>
        <w:drawing>
          <wp:inline distT="0" distB="0" distL="0" distR="0" wp14:anchorId="0DFE33E9" wp14:editId="6C1A3C32">
            <wp:extent cx="2273300" cy="1168400"/>
            <wp:effectExtent l="0" t="0" r="0" b="0"/>
            <wp:docPr id="174621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12176" name=""/>
                    <pic:cNvPicPr/>
                  </pic:nvPicPr>
                  <pic:blipFill>
                    <a:blip r:embed="rId6"/>
                    <a:stretch>
                      <a:fillRect/>
                    </a:stretch>
                  </pic:blipFill>
                  <pic:spPr>
                    <a:xfrm>
                      <a:off x="0" y="0"/>
                      <a:ext cx="2273300" cy="1168400"/>
                    </a:xfrm>
                    <a:prstGeom prst="rect">
                      <a:avLst/>
                    </a:prstGeom>
                  </pic:spPr>
                </pic:pic>
              </a:graphicData>
            </a:graphic>
          </wp:inline>
        </w:drawing>
      </w:r>
    </w:p>
    <w:p w14:paraId="22C942BE" w14:textId="77777777" w:rsidR="00142237" w:rsidRPr="002F49CF" w:rsidRDefault="00142237" w:rsidP="002F49CF">
      <w:pPr>
        <w:pStyle w:val="Title"/>
        <w:spacing w:line="360" w:lineRule="auto"/>
        <w:rPr>
          <w:rFonts w:asciiTheme="majorBidi" w:hAnsiTheme="majorBidi"/>
          <w:b/>
          <w:bCs/>
          <w:color w:val="000000" w:themeColor="text1"/>
          <w:sz w:val="24"/>
          <w:szCs w:val="24"/>
        </w:rPr>
      </w:pPr>
      <w:r w:rsidRPr="002F49CF">
        <w:rPr>
          <w:rFonts w:asciiTheme="majorBidi" w:hAnsiTheme="majorBidi"/>
          <w:b/>
          <w:bCs/>
          <w:color w:val="000000" w:themeColor="text1"/>
          <w:sz w:val="24"/>
          <w:szCs w:val="24"/>
        </w:rPr>
        <w:t>International Market Entry Report: Titan Company’s Proposed Expansion into Brazil</w:t>
      </w:r>
    </w:p>
    <w:p w14:paraId="417D77B7" w14:textId="195B8B72" w:rsidR="002F49CF" w:rsidRDefault="00142237" w:rsidP="002F49CF">
      <w:pPr>
        <w:pStyle w:val="Title"/>
        <w:spacing w:line="360" w:lineRule="auto"/>
        <w:rPr>
          <w:rFonts w:asciiTheme="majorBidi" w:hAnsiTheme="majorBidi"/>
          <w:color w:val="000000" w:themeColor="text1"/>
          <w:sz w:val="24"/>
          <w:szCs w:val="24"/>
        </w:rPr>
      </w:pPr>
      <w:r w:rsidRPr="002F49CF">
        <w:rPr>
          <w:rStyle w:val="Strong"/>
          <w:rFonts w:asciiTheme="majorBidi" w:hAnsiTheme="majorBidi"/>
          <w:color w:val="000000" w:themeColor="text1"/>
          <w:sz w:val="24"/>
          <w:szCs w:val="24"/>
        </w:rPr>
        <w:t>Student Name:</w:t>
      </w:r>
      <w:r w:rsidRPr="002F49CF">
        <w:rPr>
          <w:rFonts w:asciiTheme="majorBidi" w:hAnsiTheme="majorBidi"/>
          <w:color w:val="000000" w:themeColor="text1"/>
          <w:sz w:val="24"/>
          <w:szCs w:val="24"/>
        </w:rPr>
        <w:t xml:space="preserve"> Rambhai Vejabhai Modhavadiya</w:t>
      </w:r>
      <w:r w:rsidRPr="002F49CF">
        <w:rPr>
          <w:rFonts w:asciiTheme="majorBidi" w:hAnsiTheme="majorBidi"/>
          <w:color w:val="000000" w:themeColor="text1"/>
          <w:sz w:val="24"/>
          <w:szCs w:val="24"/>
        </w:rPr>
        <w:br/>
      </w:r>
      <w:r w:rsidRPr="002F49CF">
        <w:rPr>
          <w:rStyle w:val="Strong"/>
          <w:rFonts w:asciiTheme="majorBidi" w:hAnsiTheme="majorBidi"/>
          <w:color w:val="000000" w:themeColor="text1"/>
          <w:sz w:val="24"/>
          <w:szCs w:val="24"/>
        </w:rPr>
        <w:t>Student Number:</w:t>
      </w:r>
      <w:r w:rsidRPr="002F49CF">
        <w:rPr>
          <w:rFonts w:asciiTheme="majorBidi" w:hAnsiTheme="majorBidi"/>
          <w:color w:val="000000" w:themeColor="text1"/>
          <w:sz w:val="24"/>
          <w:szCs w:val="24"/>
        </w:rPr>
        <w:t xml:space="preserve"> 2516705</w:t>
      </w:r>
      <w:r w:rsidRPr="002F49CF">
        <w:rPr>
          <w:rFonts w:asciiTheme="majorBidi" w:hAnsiTheme="majorBidi"/>
          <w:color w:val="000000" w:themeColor="text1"/>
          <w:sz w:val="24"/>
          <w:szCs w:val="24"/>
        </w:rPr>
        <w:br/>
      </w:r>
      <w:r w:rsidRPr="002F49CF">
        <w:rPr>
          <w:rStyle w:val="Strong"/>
          <w:rFonts w:asciiTheme="majorBidi" w:hAnsiTheme="majorBidi"/>
          <w:color w:val="000000" w:themeColor="text1"/>
          <w:sz w:val="24"/>
          <w:szCs w:val="24"/>
        </w:rPr>
        <w:t>Programme:</w:t>
      </w:r>
      <w:r w:rsidRPr="002F49CF">
        <w:rPr>
          <w:rFonts w:asciiTheme="majorBidi" w:hAnsiTheme="majorBidi"/>
          <w:color w:val="000000" w:themeColor="text1"/>
          <w:sz w:val="24"/>
          <w:szCs w:val="24"/>
        </w:rPr>
        <w:t xml:space="preserve"> Master of Business Administration</w:t>
      </w:r>
      <w:r w:rsidRPr="002F49CF">
        <w:rPr>
          <w:rFonts w:asciiTheme="majorBidi" w:hAnsiTheme="majorBidi"/>
          <w:color w:val="000000" w:themeColor="text1"/>
          <w:sz w:val="24"/>
          <w:szCs w:val="24"/>
        </w:rPr>
        <w:br/>
      </w:r>
      <w:r w:rsidRPr="002F49CF">
        <w:rPr>
          <w:rStyle w:val="Strong"/>
          <w:rFonts w:asciiTheme="majorBidi" w:hAnsiTheme="majorBidi"/>
          <w:color w:val="000000" w:themeColor="text1"/>
          <w:sz w:val="24"/>
          <w:szCs w:val="24"/>
        </w:rPr>
        <w:t>Module:</w:t>
      </w:r>
      <w:r w:rsidRPr="002F49CF">
        <w:rPr>
          <w:rFonts w:asciiTheme="majorBidi" w:hAnsiTheme="majorBidi"/>
          <w:color w:val="000000" w:themeColor="text1"/>
          <w:sz w:val="24"/>
          <w:szCs w:val="24"/>
        </w:rPr>
        <w:t xml:space="preserve"> International Business Concepts</w:t>
      </w:r>
      <w:r w:rsidRPr="002F49CF">
        <w:rPr>
          <w:rFonts w:asciiTheme="majorBidi" w:hAnsiTheme="majorBidi"/>
          <w:color w:val="000000" w:themeColor="text1"/>
          <w:sz w:val="24"/>
          <w:szCs w:val="24"/>
        </w:rPr>
        <w:br/>
      </w:r>
      <w:r w:rsidRPr="002F49CF">
        <w:rPr>
          <w:rStyle w:val="Strong"/>
          <w:rFonts w:asciiTheme="majorBidi" w:hAnsiTheme="majorBidi"/>
          <w:color w:val="000000" w:themeColor="text1"/>
          <w:sz w:val="24"/>
          <w:szCs w:val="24"/>
        </w:rPr>
        <w:t>Module Code:</w:t>
      </w:r>
      <w:r w:rsidRPr="002F49CF">
        <w:rPr>
          <w:rFonts w:asciiTheme="majorBidi" w:hAnsiTheme="majorBidi"/>
          <w:color w:val="000000" w:themeColor="text1"/>
          <w:sz w:val="24"/>
          <w:szCs w:val="24"/>
        </w:rPr>
        <w:t xml:space="preserve"> LCMB7034</w:t>
      </w:r>
      <w:r w:rsidRPr="002F49CF">
        <w:rPr>
          <w:rFonts w:asciiTheme="majorBidi" w:hAnsiTheme="majorBidi"/>
          <w:color w:val="000000" w:themeColor="text1"/>
          <w:sz w:val="24"/>
          <w:szCs w:val="24"/>
        </w:rPr>
        <w:br/>
      </w:r>
      <w:r w:rsidRPr="002F49CF">
        <w:rPr>
          <w:rStyle w:val="Strong"/>
          <w:rFonts w:asciiTheme="majorBidi" w:hAnsiTheme="majorBidi"/>
          <w:color w:val="000000" w:themeColor="text1"/>
          <w:sz w:val="24"/>
          <w:szCs w:val="24"/>
        </w:rPr>
        <w:t>Assignment Title:</w:t>
      </w:r>
      <w:r w:rsidRPr="002F49CF">
        <w:rPr>
          <w:rFonts w:asciiTheme="majorBidi" w:hAnsiTheme="majorBidi"/>
          <w:color w:val="000000" w:themeColor="text1"/>
          <w:sz w:val="24"/>
          <w:szCs w:val="24"/>
        </w:rPr>
        <w:t xml:space="preserve"> International Market Entry Report: Titan Company’s Proposed Expansion into Brazil</w:t>
      </w:r>
      <w:r w:rsidRPr="002F49CF">
        <w:rPr>
          <w:rFonts w:asciiTheme="majorBidi" w:hAnsiTheme="majorBidi"/>
          <w:color w:val="000000" w:themeColor="text1"/>
          <w:sz w:val="24"/>
          <w:szCs w:val="24"/>
        </w:rPr>
        <w:br/>
      </w:r>
      <w:r w:rsidRPr="002F49CF">
        <w:rPr>
          <w:rFonts w:asciiTheme="majorBidi" w:hAnsiTheme="majorBidi"/>
          <w:color w:val="000000" w:themeColor="text1"/>
          <w:sz w:val="24"/>
          <w:szCs w:val="24"/>
        </w:rPr>
        <w:br/>
      </w:r>
      <w:r w:rsidRPr="002F49CF">
        <w:rPr>
          <w:rStyle w:val="Strong"/>
          <w:rFonts w:asciiTheme="majorBidi" w:hAnsiTheme="majorBidi"/>
          <w:color w:val="000000" w:themeColor="text1"/>
          <w:sz w:val="24"/>
          <w:szCs w:val="24"/>
        </w:rPr>
        <w:t>Word Count:</w:t>
      </w:r>
      <w:r w:rsidRPr="002F49CF">
        <w:rPr>
          <w:rFonts w:asciiTheme="majorBidi" w:hAnsiTheme="majorBidi"/>
          <w:color w:val="000000" w:themeColor="text1"/>
          <w:sz w:val="24"/>
          <w:szCs w:val="24"/>
        </w:rPr>
        <w:t xml:space="preserve"> </w:t>
      </w:r>
      <w:r w:rsidR="002F49CF">
        <w:rPr>
          <w:rFonts w:asciiTheme="majorBidi" w:hAnsiTheme="majorBidi"/>
          <w:color w:val="000000" w:themeColor="text1"/>
          <w:sz w:val="24"/>
          <w:szCs w:val="24"/>
        </w:rPr>
        <w:t>5463</w:t>
      </w:r>
    </w:p>
    <w:p w14:paraId="1E123DCE" w14:textId="06D55729" w:rsidR="00142237" w:rsidRPr="002F49CF" w:rsidRDefault="00142237" w:rsidP="002F49CF">
      <w:pPr>
        <w:pStyle w:val="Title"/>
        <w:spacing w:line="360" w:lineRule="auto"/>
        <w:rPr>
          <w:rFonts w:asciiTheme="majorBidi" w:hAnsiTheme="majorBidi"/>
          <w:color w:val="000000" w:themeColor="text1"/>
          <w:sz w:val="24"/>
          <w:szCs w:val="24"/>
        </w:rPr>
      </w:pPr>
      <w:r w:rsidRPr="002F49CF">
        <w:rPr>
          <w:rStyle w:val="Strong"/>
          <w:rFonts w:asciiTheme="majorBidi" w:hAnsiTheme="majorBidi"/>
          <w:color w:val="000000" w:themeColor="text1"/>
          <w:sz w:val="24"/>
          <w:szCs w:val="24"/>
        </w:rPr>
        <w:t>Submission Date:</w:t>
      </w:r>
      <w:r w:rsidRPr="002F49CF">
        <w:rPr>
          <w:rFonts w:asciiTheme="majorBidi" w:hAnsiTheme="majorBidi"/>
          <w:color w:val="000000" w:themeColor="text1"/>
          <w:sz w:val="24"/>
          <w:szCs w:val="24"/>
        </w:rPr>
        <w:t xml:space="preserve"> 31 July 2026</w:t>
      </w:r>
    </w:p>
    <w:p w14:paraId="4D04A980" w14:textId="3F812663" w:rsidR="00142237" w:rsidRPr="002F49CF" w:rsidRDefault="00142237" w:rsidP="002F49CF">
      <w:pPr>
        <w:spacing w:line="360" w:lineRule="auto"/>
        <w:jc w:val="center"/>
        <w:rPr>
          <w:rFonts w:asciiTheme="majorBidi" w:hAnsiTheme="majorBidi" w:cstheme="majorBidi"/>
          <w:color w:val="000000" w:themeColor="text1"/>
        </w:rPr>
      </w:pPr>
      <w:r w:rsidRPr="002F49CF">
        <w:rPr>
          <w:rFonts w:asciiTheme="majorBidi" w:hAnsiTheme="majorBidi" w:cstheme="majorBidi"/>
          <w:color w:val="000000" w:themeColor="text1"/>
        </w:rPr>
        <w:fldChar w:fldCharType="begin"/>
      </w:r>
      <w:r w:rsidRPr="002F49CF">
        <w:rPr>
          <w:rFonts w:asciiTheme="majorBidi" w:hAnsiTheme="majorBidi" w:cstheme="majorBidi"/>
          <w:color w:val="000000" w:themeColor="text1"/>
        </w:rPr>
        <w:instrText xml:space="preserve"> INCLUDEPICTURE "https://encrypted-tbn0.gstatic.com/images?q=tbn:ANd9GcTTq9aTU_NXVrb22H43Req4nnEKo7thX_7z9-XnXP0YHw&amp;s=10" \* MERGEFORMATINET </w:instrText>
      </w:r>
      <w:r w:rsidRPr="002F49CF">
        <w:rPr>
          <w:rFonts w:asciiTheme="majorBidi" w:hAnsiTheme="majorBidi" w:cstheme="majorBidi"/>
          <w:color w:val="000000" w:themeColor="text1"/>
        </w:rPr>
        <w:fldChar w:fldCharType="separate"/>
      </w:r>
      <w:r w:rsidRPr="002F49CF">
        <w:rPr>
          <w:rFonts w:asciiTheme="majorBidi" w:hAnsiTheme="majorBidi" w:cstheme="majorBidi"/>
          <w:noProof/>
          <w:color w:val="000000" w:themeColor="text1"/>
        </w:rPr>
        <w:drawing>
          <wp:inline distT="0" distB="0" distL="0" distR="0" wp14:anchorId="682B54C1" wp14:editId="759CD950">
            <wp:extent cx="1926336" cy="1926336"/>
            <wp:effectExtent l="0" t="0" r="4445" b="4445"/>
            <wp:docPr id="1896874656" name="Picture 1" descr="Titan Comp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tan Company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35360" cy="1935360"/>
                    </a:xfrm>
                    <a:prstGeom prst="rect">
                      <a:avLst/>
                    </a:prstGeom>
                    <a:noFill/>
                    <a:ln>
                      <a:noFill/>
                    </a:ln>
                  </pic:spPr>
                </pic:pic>
              </a:graphicData>
            </a:graphic>
          </wp:inline>
        </w:drawing>
      </w:r>
      <w:r w:rsidRPr="002F49CF">
        <w:rPr>
          <w:rFonts w:asciiTheme="majorBidi" w:hAnsiTheme="majorBidi" w:cstheme="majorBidi"/>
          <w:color w:val="000000" w:themeColor="text1"/>
        </w:rPr>
        <w:fldChar w:fldCharType="end"/>
      </w:r>
      <w:r w:rsidRPr="002F49CF">
        <w:rPr>
          <w:rFonts w:asciiTheme="majorBidi" w:hAnsiTheme="majorBidi" w:cstheme="majorBidi"/>
          <w:color w:val="000000" w:themeColor="text1"/>
        </w:rPr>
        <w:t xml:space="preserve"> </w:t>
      </w:r>
      <w:r w:rsidRPr="002F49CF">
        <w:rPr>
          <w:rFonts w:asciiTheme="majorBidi" w:hAnsiTheme="majorBidi" w:cstheme="majorBidi"/>
          <w:color w:val="000000" w:themeColor="text1"/>
        </w:rPr>
        <w:fldChar w:fldCharType="begin"/>
      </w:r>
      <w:r w:rsidRPr="002F49CF">
        <w:rPr>
          <w:rFonts w:asciiTheme="majorBidi" w:hAnsiTheme="majorBidi" w:cstheme="majorBidi"/>
          <w:color w:val="000000" w:themeColor="text1"/>
        </w:rPr>
        <w:instrText xml:space="preserve"> INCLUDEPICTURE "https://encrypted-tbn0.gstatic.com/images?q=tbn:ANd9GcRNPQ-MIvGWR65jJ69TJQi9TXmkjjzbVBW9CLh7XKcClw&amp;s" \* MERGEFORMATINET </w:instrText>
      </w:r>
      <w:r w:rsidRPr="002F49CF">
        <w:rPr>
          <w:rFonts w:asciiTheme="majorBidi" w:hAnsiTheme="majorBidi" w:cstheme="majorBidi"/>
          <w:color w:val="000000" w:themeColor="text1"/>
        </w:rPr>
        <w:fldChar w:fldCharType="separate"/>
      </w:r>
      <w:r w:rsidRPr="002F49CF">
        <w:rPr>
          <w:rFonts w:asciiTheme="majorBidi" w:hAnsiTheme="majorBidi" w:cstheme="majorBidi"/>
          <w:noProof/>
          <w:color w:val="000000" w:themeColor="text1"/>
        </w:rPr>
        <w:drawing>
          <wp:inline distT="0" distB="0" distL="0" distR="0" wp14:anchorId="1E641B6A" wp14:editId="38C34C9C">
            <wp:extent cx="2255520" cy="2218690"/>
            <wp:effectExtent l="0" t="0" r="5080" b="3810"/>
            <wp:docPr id="199729278" name="Picture 2" descr="Flag of Brazi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ag of Brazil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1593" cy="2224664"/>
                    </a:xfrm>
                    <a:prstGeom prst="rect">
                      <a:avLst/>
                    </a:prstGeom>
                    <a:noFill/>
                    <a:ln>
                      <a:noFill/>
                    </a:ln>
                  </pic:spPr>
                </pic:pic>
              </a:graphicData>
            </a:graphic>
          </wp:inline>
        </w:drawing>
      </w:r>
      <w:r w:rsidRPr="002F49CF">
        <w:rPr>
          <w:rFonts w:asciiTheme="majorBidi" w:hAnsiTheme="majorBidi" w:cstheme="majorBidi"/>
          <w:color w:val="000000" w:themeColor="text1"/>
        </w:rPr>
        <w:fldChar w:fldCharType="end"/>
      </w:r>
    </w:p>
    <w:p w14:paraId="0792F639" w14:textId="77777777" w:rsidR="00142237" w:rsidRPr="002F49CF" w:rsidRDefault="00142237" w:rsidP="002F49CF">
      <w:pPr>
        <w:spacing w:line="360" w:lineRule="auto"/>
        <w:rPr>
          <w:rFonts w:asciiTheme="majorBidi" w:hAnsiTheme="majorBidi" w:cstheme="majorBidi"/>
          <w:color w:val="000000" w:themeColor="text1"/>
        </w:rPr>
      </w:pPr>
    </w:p>
    <w:p w14:paraId="1411F37C" w14:textId="77777777" w:rsidR="00142237" w:rsidRPr="002F49CF" w:rsidRDefault="00142237" w:rsidP="002F49CF">
      <w:pPr>
        <w:spacing w:line="360" w:lineRule="auto"/>
        <w:rPr>
          <w:rFonts w:asciiTheme="majorBidi" w:hAnsiTheme="majorBidi" w:cstheme="majorBidi"/>
          <w:color w:val="000000" w:themeColor="text1"/>
        </w:rPr>
      </w:pPr>
    </w:p>
    <w:p w14:paraId="691FFFB0" w14:textId="77777777" w:rsidR="00142237" w:rsidRPr="002F49CF" w:rsidRDefault="00142237" w:rsidP="002F49CF">
      <w:pPr>
        <w:spacing w:line="360" w:lineRule="auto"/>
        <w:rPr>
          <w:rFonts w:asciiTheme="majorBidi" w:hAnsiTheme="majorBidi" w:cstheme="majorBidi"/>
          <w:color w:val="000000" w:themeColor="text1"/>
        </w:rPr>
      </w:pPr>
    </w:p>
    <w:p w14:paraId="36B55F48" w14:textId="77777777" w:rsidR="00142237" w:rsidRPr="002F49CF" w:rsidRDefault="00142237" w:rsidP="002F49CF">
      <w:pPr>
        <w:spacing w:line="360" w:lineRule="auto"/>
        <w:rPr>
          <w:rFonts w:asciiTheme="majorBidi" w:hAnsiTheme="majorBidi" w:cstheme="majorBidi"/>
          <w:color w:val="000000" w:themeColor="text1"/>
        </w:rPr>
      </w:pPr>
    </w:p>
    <w:p w14:paraId="32466DA5" w14:textId="77777777" w:rsidR="00142237" w:rsidRPr="002F49CF" w:rsidRDefault="00142237" w:rsidP="002F49CF">
      <w:pPr>
        <w:spacing w:line="360" w:lineRule="auto"/>
        <w:rPr>
          <w:rFonts w:asciiTheme="majorBidi" w:hAnsiTheme="majorBidi" w:cstheme="majorBidi"/>
          <w:color w:val="000000" w:themeColor="text1"/>
        </w:rPr>
      </w:pPr>
    </w:p>
    <w:p w14:paraId="5534342A" w14:textId="77777777" w:rsidR="00142237" w:rsidRPr="002F49CF" w:rsidRDefault="00142237" w:rsidP="002F49CF">
      <w:pPr>
        <w:spacing w:line="360" w:lineRule="auto"/>
        <w:rPr>
          <w:rFonts w:asciiTheme="majorBidi" w:hAnsiTheme="majorBidi" w:cstheme="majorBidi"/>
          <w:color w:val="000000" w:themeColor="text1"/>
        </w:rPr>
      </w:pPr>
    </w:p>
    <w:p w14:paraId="07A9D5D0" w14:textId="77777777" w:rsidR="00142237" w:rsidRPr="002F49CF" w:rsidRDefault="00142237" w:rsidP="002F49CF">
      <w:pPr>
        <w:spacing w:line="360" w:lineRule="auto"/>
        <w:rPr>
          <w:rFonts w:asciiTheme="majorBidi" w:hAnsiTheme="majorBidi" w:cstheme="majorBidi"/>
          <w:color w:val="000000" w:themeColor="text1"/>
        </w:rPr>
      </w:pPr>
    </w:p>
    <w:p w14:paraId="514F532C" w14:textId="77777777" w:rsidR="00142237" w:rsidRPr="002F49CF" w:rsidRDefault="00142237" w:rsidP="002F49CF">
      <w:pPr>
        <w:spacing w:line="360" w:lineRule="auto"/>
        <w:rPr>
          <w:rFonts w:asciiTheme="majorBidi" w:hAnsiTheme="majorBidi" w:cstheme="majorBidi"/>
          <w:color w:val="000000" w:themeColor="text1"/>
        </w:rPr>
      </w:pPr>
    </w:p>
    <w:sdt>
      <w:sdtPr>
        <w:rPr>
          <w:rFonts w:ascii="Times New Roman" w:eastAsia="Times New Roman" w:hAnsi="Times New Roman" w:cs="Times New Roman"/>
          <w:b w:val="0"/>
          <w:bCs w:val="0"/>
          <w:color w:val="auto"/>
          <w:sz w:val="24"/>
          <w:szCs w:val="24"/>
        </w:rPr>
        <w:id w:val="1475257887"/>
        <w:docPartObj>
          <w:docPartGallery w:val="Table of Contents"/>
          <w:docPartUnique/>
        </w:docPartObj>
      </w:sdtPr>
      <w:sdtEndPr>
        <w:rPr>
          <w:noProof/>
        </w:rPr>
      </w:sdtEndPr>
      <w:sdtContent>
        <w:p w14:paraId="7A98C948" w14:textId="5F1461C4" w:rsidR="00142237" w:rsidRPr="002F49CF" w:rsidRDefault="00142237" w:rsidP="002F49CF">
          <w:pPr>
            <w:pStyle w:val="TOCHeading"/>
            <w:numPr>
              <w:ilvl w:val="0"/>
              <w:numId w:val="0"/>
            </w:numPr>
            <w:ind w:left="432" w:hanging="432"/>
            <w:rPr>
              <w:sz w:val="24"/>
              <w:szCs w:val="24"/>
            </w:rPr>
          </w:pPr>
          <w:r w:rsidRPr="002F49CF">
            <w:rPr>
              <w:sz w:val="24"/>
              <w:szCs w:val="24"/>
            </w:rPr>
            <w:t>Table of Contents</w:t>
          </w:r>
        </w:p>
        <w:p w14:paraId="6E55E251" w14:textId="3EAB547B" w:rsidR="00142237" w:rsidRPr="002F49CF" w:rsidRDefault="00142237" w:rsidP="002F49CF">
          <w:pPr>
            <w:pStyle w:val="TOC1"/>
            <w:tabs>
              <w:tab w:val="left" w:pos="480"/>
              <w:tab w:val="right" w:leader="dot" w:pos="9016"/>
            </w:tabs>
            <w:spacing w:line="360" w:lineRule="auto"/>
            <w:rPr>
              <w:rFonts w:asciiTheme="majorBidi" w:eastAsiaTheme="minorEastAsia" w:hAnsiTheme="majorBidi" w:cstheme="majorBidi"/>
              <w:b w:val="0"/>
              <w:bCs w:val="0"/>
              <w:i w:val="0"/>
              <w:iCs w:val="0"/>
              <w:noProof/>
              <w:color w:val="000000" w:themeColor="text1"/>
              <w:kern w:val="2"/>
              <w:szCs w:val="24"/>
              <w14:ligatures w14:val="standardContextual"/>
            </w:rPr>
          </w:pPr>
          <w:r w:rsidRPr="002F49CF">
            <w:rPr>
              <w:rFonts w:asciiTheme="majorBidi" w:hAnsiTheme="majorBidi" w:cstheme="majorBidi"/>
              <w:b w:val="0"/>
              <w:bCs w:val="0"/>
              <w:color w:val="000000" w:themeColor="text1"/>
              <w:szCs w:val="24"/>
            </w:rPr>
            <w:fldChar w:fldCharType="begin"/>
          </w:r>
          <w:r w:rsidRPr="002F49CF">
            <w:rPr>
              <w:rFonts w:asciiTheme="majorBidi" w:hAnsiTheme="majorBidi" w:cstheme="majorBidi"/>
              <w:color w:val="000000" w:themeColor="text1"/>
              <w:szCs w:val="24"/>
            </w:rPr>
            <w:instrText xml:space="preserve"> TOC \o "1-3" \h \z \u </w:instrText>
          </w:r>
          <w:r w:rsidRPr="002F49CF">
            <w:rPr>
              <w:rFonts w:asciiTheme="majorBidi" w:hAnsiTheme="majorBidi" w:cstheme="majorBidi"/>
              <w:b w:val="0"/>
              <w:bCs w:val="0"/>
              <w:color w:val="000000" w:themeColor="text1"/>
              <w:szCs w:val="24"/>
            </w:rPr>
            <w:fldChar w:fldCharType="separate"/>
          </w:r>
          <w:hyperlink w:anchor="_Toc236398169" w:history="1">
            <w:r w:rsidRPr="002F49CF">
              <w:rPr>
                <w:rStyle w:val="Hyperlink"/>
                <w:rFonts w:asciiTheme="majorBidi" w:hAnsiTheme="majorBidi" w:cstheme="majorBidi"/>
                <w:noProof/>
                <w:color w:val="000000" w:themeColor="text1"/>
                <w:szCs w:val="24"/>
              </w:rPr>
              <w:t>1</w:t>
            </w:r>
            <w:r w:rsidRPr="002F49CF">
              <w:rPr>
                <w:rFonts w:asciiTheme="majorBidi" w:eastAsiaTheme="minorEastAsia" w:hAnsiTheme="majorBidi" w:cstheme="majorBidi"/>
                <w:b w:val="0"/>
                <w:bCs w:val="0"/>
                <w:i w:val="0"/>
                <w:iCs w:val="0"/>
                <w:noProof/>
                <w:color w:val="000000" w:themeColor="text1"/>
                <w:kern w:val="2"/>
                <w:szCs w:val="24"/>
                <w14:ligatures w14:val="standardContextual"/>
              </w:rPr>
              <w:tab/>
            </w:r>
            <w:r w:rsidRPr="002F49CF">
              <w:rPr>
                <w:rStyle w:val="Hyperlink"/>
                <w:rFonts w:asciiTheme="majorBidi" w:hAnsiTheme="majorBidi" w:cstheme="majorBidi"/>
                <w:noProof/>
                <w:color w:val="000000" w:themeColor="text1"/>
                <w:szCs w:val="24"/>
              </w:rPr>
              <w:t>Section 1: International Market Entry Report</w:t>
            </w:r>
            <w:r w:rsidRPr="002F49CF">
              <w:rPr>
                <w:rFonts w:asciiTheme="majorBidi" w:hAnsiTheme="majorBidi" w:cstheme="majorBidi"/>
                <w:noProof/>
                <w:webHidden/>
                <w:color w:val="000000" w:themeColor="text1"/>
                <w:szCs w:val="24"/>
              </w:rPr>
              <w:tab/>
            </w:r>
            <w:r w:rsidRPr="002F49CF">
              <w:rPr>
                <w:rFonts w:asciiTheme="majorBidi" w:hAnsiTheme="majorBidi" w:cstheme="majorBidi"/>
                <w:noProof/>
                <w:webHidden/>
                <w:color w:val="000000" w:themeColor="text1"/>
                <w:szCs w:val="24"/>
              </w:rPr>
              <w:fldChar w:fldCharType="begin"/>
            </w:r>
            <w:r w:rsidRPr="002F49CF">
              <w:rPr>
                <w:rFonts w:asciiTheme="majorBidi" w:hAnsiTheme="majorBidi" w:cstheme="majorBidi"/>
                <w:noProof/>
                <w:webHidden/>
                <w:color w:val="000000" w:themeColor="text1"/>
                <w:szCs w:val="24"/>
              </w:rPr>
              <w:instrText xml:space="preserve"> PAGEREF _Toc236398169 \h </w:instrText>
            </w:r>
            <w:r w:rsidRPr="002F49CF">
              <w:rPr>
                <w:rFonts w:asciiTheme="majorBidi" w:hAnsiTheme="majorBidi" w:cstheme="majorBidi"/>
                <w:noProof/>
                <w:webHidden/>
                <w:color w:val="000000" w:themeColor="text1"/>
                <w:szCs w:val="24"/>
              </w:rPr>
            </w:r>
            <w:r w:rsidRPr="002F49CF">
              <w:rPr>
                <w:rFonts w:asciiTheme="majorBidi" w:hAnsiTheme="majorBidi" w:cstheme="majorBidi"/>
                <w:noProof/>
                <w:webHidden/>
                <w:color w:val="000000" w:themeColor="text1"/>
                <w:szCs w:val="24"/>
              </w:rPr>
              <w:fldChar w:fldCharType="separate"/>
            </w:r>
            <w:r w:rsidRPr="002F49CF">
              <w:rPr>
                <w:rFonts w:asciiTheme="majorBidi" w:hAnsiTheme="majorBidi" w:cstheme="majorBidi"/>
                <w:noProof/>
                <w:webHidden/>
                <w:color w:val="000000" w:themeColor="text1"/>
                <w:szCs w:val="24"/>
              </w:rPr>
              <w:t>3</w:t>
            </w:r>
            <w:r w:rsidRPr="002F49CF">
              <w:rPr>
                <w:rFonts w:asciiTheme="majorBidi" w:hAnsiTheme="majorBidi" w:cstheme="majorBidi"/>
                <w:noProof/>
                <w:webHidden/>
                <w:color w:val="000000" w:themeColor="text1"/>
                <w:szCs w:val="24"/>
              </w:rPr>
              <w:fldChar w:fldCharType="end"/>
            </w:r>
          </w:hyperlink>
        </w:p>
        <w:p w14:paraId="6FD835C2" w14:textId="753E9ECD"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70" w:history="1">
            <w:r w:rsidRPr="002F49CF">
              <w:rPr>
                <w:rStyle w:val="Hyperlink"/>
                <w:rFonts w:asciiTheme="majorBidi" w:hAnsiTheme="majorBidi" w:cstheme="majorBidi"/>
                <w:noProof/>
                <w:color w:val="000000" w:themeColor="text1"/>
                <w:sz w:val="24"/>
                <w:szCs w:val="24"/>
              </w:rPr>
              <w:t>1.1</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Introduction and Scope</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_Toc236398170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3</w:t>
            </w:r>
            <w:r w:rsidRPr="002F49CF">
              <w:rPr>
                <w:rFonts w:asciiTheme="majorBidi" w:hAnsiTheme="majorBidi" w:cstheme="majorBidi"/>
                <w:noProof/>
                <w:webHidden/>
                <w:color w:val="000000" w:themeColor="text1"/>
                <w:sz w:val="24"/>
                <w:szCs w:val="24"/>
              </w:rPr>
              <w:fldChar w:fldCharType="end"/>
            </w:r>
          </w:hyperlink>
        </w:p>
        <w:p w14:paraId="549348BD" w14:textId="1FFAFDB0"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71" w:history="1">
            <w:r w:rsidRPr="002F49CF">
              <w:rPr>
                <w:rStyle w:val="Hyperlink"/>
                <w:rFonts w:asciiTheme="majorBidi" w:hAnsiTheme="majorBidi" w:cstheme="majorBidi"/>
                <w:noProof/>
                <w:color w:val="000000" w:themeColor="text1"/>
                <w:sz w:val="24"/>
                <w:szCs w:val="24"/>
              </w:rPr>
              <w:t>1.2</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Organisational Classification and Global Strategy</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_Toc236398171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3</w:t>
            </w:r>
            <w:r w:rsidRPr="002F49CF">
              <w:rPr>
                <w:rFonts w:asciiTheme="majorBidi" w:hAnsiTheme="majorBidi" w:cstheme="majorBidi"/>
                <w:noProof/>
                <w:webHidden/>
                <w:color w:val="000000" w:themeColor="text1"/>
                <w:sz w:val="24"/>
                <w:szCs w:val="24"/>
              </w:rPr>
              <w:fldChar w:fldCharType="end"/>
            </w:r>
          </w:hyperlink>
        </w:p>
        <w:p w14:paraId="315A5ED7" w14:textId="710B7F67"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2" w:history="1">
            <w:r w:rsidRPr="002F49CF">
              <w:rPr>
                <w:rStyle w:val="Hyperlink"/>
                <w:rFonts w:asciiTheme="majorBidi" w:hAnsiTheme="majorBidi" w:cstheme="majorBidi"/>
                <w:noProof/>
                <w:color w:val="000000" w:themeColor="text1"/>
                <w:sz w:val="24"/>
              </w:rPr>
              <w:t>1.2.1</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Strategic Categorisation Using Bartlett and Ghoshal’s Framework</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_Toc236398172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3</w:t>
            </w:r>
            <w:r w:rsidRPr="002F49CF">
              <w:rPr>
                <w:rFonts w:asciiTheme="majorBidi" w:hAnsiTheme="majorBidi" w:cstheme="majorBidi"/>
                <w:noProof/>
                <w:webHidden/>
                <w:color w:val="000000" w:themeColor="text1"/>
                <w:sz w:val="24"/>
              </w:rPr>
              <w:fldChar w:fldCharType="end"/>
            </w:r>
          </w:hyperlink>
        </w:p>
        <w:p w14:paraId="72F53252" w14:textId="28F6DAF7"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3" w:history="1">
            <w:r w:rsidRPr="002F49CF">
              <w:rPr>
                <w:rStyle w:val="Hyperlink"/>
                <w:rFonts w:asciiTheme="majorBidi" w:hAnsiTheme="majorBidi" w:cstheme="majorBidi"/>
                <w:noProof/>
                <w:color w:val="000000" w:themeColor="text1"/>
                <w:sz w:val="24"/>
              </w:rPr>
              <w:t>1.2.2</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Global Configuration and Competitive Advantage</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_Toc236398173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4</w:t>
            </w:r>
            <w:r w:rsidRPr="002F49CF">
              <w:rPr>
                <w:rFonts w:asciiTheme="majorBidi" w:hAnsiTheme="majorBidi" w:cstheme="majorBidi"/>
                <w:noProof/>
                <w:webHidden/>
                <w:color w:val="000000" w:themeColor="text1"/>
                <w:sz w:val="24"/>
              </w:rPr>
              <w:fldChar w:fldCharType="end"/>
            </w:r>
          </w:hyperlink>
        </w:p>
        <w:p w14:paraId="43987A49" w14:textId="6D957677"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74" w:history="1">
            <w:r w:rsidRPr="002F49CF">
              <w:rPr>
                <w:rStyle w:val="Hyperlink"/>
                <w:rFonts w:asciiTheme="majorBidi" w:hAnsiTheme="majorBidi" w:cstheme="majorBidi"/>
                <w:noProof/>
                <w:color w:val="000000" w:themeColor="text1"/>
                <w:sz w:val="24"/>
                <w:szCs w:val="24"/>
              </w:rPr>
              <w:t>1.3</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Macro-Environmental Appraisal and Market Attractiveness</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_Toc236398174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5</w:t>
            </w:r>
            <w:r w:rsidRPr="002F49CF">
              <w:rPr>
                <w:rFonts w:asciiTheme="majorBidi" w:hAnsiTheme="majorBidi" w:cstheme="majorBidi"/>
                <w:noProof/>
                <w:webHidden/>
                <w:color w:val="000000" w:themeColor="text1"/>
                <w:sz w:val="24"/>
                <w:szCs w:val="24"/>
              </w:rPr>
              <w:fldChar w:fldCharType="end"/>
            </w:r>
          </w:hyperlink>
        </w:p>
        <w:p w14:paraId="4B981E28" w14:textId="72727D02"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5" w:history="1">
            <w:r w:rsidRPr="002F49CF">
              <w:rPr>
                <w:rStyle w:val="Hyperlink"/>
                <w:rFonts w:asciiTheme="majorBidi" w:hAnsiTheme="majorBidi" w:cstheme="majorBidi"/>
                <w:noProof/>
                <w:color w:val="000000" w:themeColor="text1"/>
                <w:sz w:val="24"/>
              </w:rPr>
              <w:t>1.3.1</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Brazilian Market Opportunity</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_Toc236398175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5</w:t>
            </w:r>
            <w:r w:rsidRPr="002F49CF">
              <w:rPr>
                <w:rFonts w:asciiTheme="majorBidi" w:hAnsiTheme="majorBidi" w:cstheme="majorBidi"/>
                <w:noProof/>
                <w:webHidden/>
                <w:color w:val="000000" w:themeColor="text1"/>
                <w:sz w:val="24"/>
              </w:rPr>
              <w:fldChar w:fldCharType="end"/>
            </w:r>
          </w:hyperlink>
        </w:p>
        <w:p w14:paraId="25C9C3FE" w14:textId="091C0F72"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6" w:history="1">
            <w:r w:rsidRPr="002F49CF">
              <w:rPr>
                <w:rStyle w:val="Hyperlink"/>
                <w:rFonts w:asciiTheme="majorBidi" w:hAnsiTheme="majorBidi" w:cstheme="majorBidi"/>
                <w:noProof/>
                <w:color w:val="000000" w:themeColor="text1"/>
                <w:sz w:val="24"/>
              </w:rPr>
              <w:t>1.3.2</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Political and Governmental Environment</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_Toc236398176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6</w:t>
            </w:r>
            <w:r w:rsidRPr="002F49CF">
              <w:rPr>
                <w:rFonts w:asciiTheme="majorBidi" w:hAnsiTheme="majorBidi" w:cstheme="majorBidi"/>
                <w:noProof/>
                <w:webHidden/>
                <w:color w:val="000000" w:themeColor="text1"/>
                <w:sz w:val="24"/>
              </w:rPr>
              <w:fldChar w:fldCharType="end"/>
            </w:r>
          </w:hyperlink>
        </w:p>
        <w:p w14:paraId="4870AA7C" w14:textId="6E80DA5F"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7" w:history="1">
            <w:r w:rsidRPr="002F49CF">
              <w:rPr>
                <w:rStyle w:val="Hyperlink"/>
                <w:rFonts w:asciiTheme="majorBidi" w:hAnsiTheme="majorBidi" w:cstheme="majorBidi"/>
                <w:noProof/>
                <w:color w:val="000000" w:themeColor="text1"/>
                <w:sz w:val="24"/>
              </w:rPr>
              <w:t>1.3.3</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Economic and Financial Environment</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_Toc236398177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6</w:t>
            </w:r>
            <w:r w:rsidRPr="002F49CF">
              <w:rPr>
                <w:rFonts w:asciiTheme="majorBidi" w:hAnsiTheme="majorBidi" w:cstheme="majorBidi"/>
                <w:noProof/>
                <w:webHidden/>
                <w:color w:val="000000" w:themeColor="text1"/>
                <w:sz w:val="24"/>
              </w:rPr>
              <w:fldChar w:fldCharType="end"/>
            </w:r>
          </w:hyperlink>
        </w:p>
        <w:p w14:paraId="25492E44" w14:textId="05497FBD"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8" w:history="1">
            <w:r w:rsidRPr="002F49CF">
              <w:rPr>
                <w:rStyle w:val="Hyperlink"/>
                <w:rFonts w:asciiTheme="majorBidi" w:hAnsiTheme="majorBidi" w:cstheme="majorBidi"/>
                <w:noProof/>
                <w:color w:val="000000" w:themeColor="text1"/>
                <w:sz w:val="24"/>
              </w:rPr>
              <w:t>1.3.4</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Legal and Regulatory Environment</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_Toc236398178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7</w:t>
            </w:r>
            <w:r w:rsidRPr="002F49CF">
              <w:rPr>
                <w:rFonts w:asciiTheme="majorBidi" w:hAnsiTheme="majorBidi" w:cstheme="majorBidi"/>
                <w:noProof/>
                <w:webHidden/>
                <w:color w:val="000000" w:themeColor="text1"/>
                <w:sz w:val="24"/>
              </w:rPr>
              <w:fldChar w:fldCharType="end"/>
            </w:r>
          </w:hyperlink>
        </w:p>
        <w:p w14:paraId="0380AAAB" w14:textId="3B6BC8D8"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79" w:history="1">
            <w:r w:rsidRPr="002F49CF">
              <w:rPr>
                <w:rStyle w:val="Hyperlink"/>
                <w:rFonts w:asciiTheme="majorBidi" w:hAnsiTheme="majorBidi" w:cstheme="majorBidi"/>
                <w:noProof/>
                <w:color w:val="000000" w:themeColor="text1"/>
                <w:sz w:val="24"/>
              </w:rPr>
              <w:t>1.3.5</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Cultural and Consumer Environment</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_Toc236398179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9</w:t>
            </w:r>
            <w:r w:rsidRPr="002F49CF">
              <w:rPr>
                <w:rFonts w:asciiTheme="majorBidi" w:hAnsiTheme="majorBidi" w:cstheme="majorBidi"/>
                <w:noProof/>
                <w:webHidden/>
                <w:color w:val="000000" w:themeColor="text1"/>
                <w:sz w:val="24"/>
              </w:rPr>
              <w:fldChar w:fldCharType="end"/>
            </w:r>
          </w:hyperlink>
        </w:p>
        <w:p w14:paraId="7A200BEE" w14:textId="20A5A4D3"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80" w:history="1">
            <w:r w:rsidRPr="002F49CF">
              <w:rPr>
                <w:rStyle w:val="Hyperlink"/>
                <w:rFonts w:asciiTheme="majorBidi" w:hAnsiTheme="majorBidi" w:cstheme="majorBidi"/>
                <w:noProof/>
                <w:color w:val="000000" w:themeColor="text1"/>
                <w:sz w:val="24"/>
                <w:szCs w:val="24"/>
              </w:rPr>
              <w:t>1.4</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OLI Analysis of Titan’s Proposed Brazilian Entry</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_Toc236398180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10</w:t>
            </w:r>
            <w:r w:rsidRPr="002F49CF">
              <w:rPr>
                <w:rFonts w:asciiTheme="majorBidi" w:hAnsiTheme="majorBidi" w:cstheme="majorBidi"/>
                <w:noProof/>
                <w:webHidden/>
                <w:color w:val="000000" w:themeColor="text1"/>
                <w:sz w:val="24"/>
                <w:szCs w:val="24"/>
              </w:rPr>
              <w:fldChar w:fldCharType="end"/>
            </w:r>
          </w:hyperlink>
        </w:p>
        <w:p w14:paraId="3A7690F0" w14:textId="5A0B6889"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81" w:history="1">
            <w:r w:rsidRPr="002F49CF">
              <w:rPr>
                <w:rStyle w:val="Hyperlink"/>
                <w:rFonts w:asciiTheme="majorBidi" w:hAnsiTheme="majorBidi" w:cstheme="majorBidi"/>
                <w:noProof/>
                <w:color w:val="000000" w:themeColor="text1"/>
                <w:sz w:val="24"/>
              </w:rPr>
              <w:t>1.4.1</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Ownership Advantages</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_Toc236398181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10</w:t>
            </w:r>
            <w:r w:rsidRPr="002F49CF">
              <w:rPr>
                <w:rFonts w:asciiTheme="majorBidi" w:hAnsiTheme="majorBidi" w:cstheme="majorBidi"/>
                <w:noProof/>
                <w:webHidden/>
                <w:color w:val="000000" w:themeColor="text1"/>
                <w:sz w:val="24"/>
              </w:rPr>
              <w:fldChar w:fldCharType="end"/>
            </w:r>
          </w:hyperlink>
        </w:p>
        <w:p w14:paraId="71A31B2E" w14:textId="206A22BA"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82" w:history="1">
            <w:r w:rsidRPr="002F49CF">
              <w:rPr>
                <w:rStyle w:val="Hyperlink"/>
                <w:rFonts w:asciiTheme="majorBidi" w:hAnsiTheme="majorBidi" w:cstheme="majorBidi"/>
                <w:noProof/>
                <w:color w:val="000000" w:themeColor="text1"/>
                <w:sz w:val="24"/>
              </w:rPr>
              <w:t>1.4.2</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Location Advantages</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_Toc236398182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10</w:t>
            </w:r>
            <w:r w:rsidRPr="002F49CF">
              <w:rPr>
                <w:rFonts w:asciiTheme="majorBidi" w:hAnsiTheme="majorBidi" w:cstheme="majorBidi"/>
                <w:noProof/>
                <w:webHidden/>
                <w:color w:val="000000" w:themeColor="text1"/>
                <w:sz w:val="24"/>
              </w:rPr>
              <w:fldChar w:fldCharType="end"/>
            </w:r>
          </w:hyperlink>
        </w:p>
        <w:p w14:paraId="1956A54E" w14:textId="2D9670CF"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83" w:history="1">
            <w:r w:rsidRPr="002F49CF">
              <w:rPr>
                <w:rStyle w:val="Hyperlink"/>
                <w:rFonts w:asciiTheme="majorBidi" w:hAnsiTheme="majorBidi" w:cstheme="majorBidi"/>
                <w:noProof/>
                <w:color w:val="000000" w:themeColor="text1"/>
                <w:sz w:val="24"/>
              </w:rPr>
              <w:t>1.4.3</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Internalisation Advantages</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_Toc236398183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10</w:t>
            </w:r>
            <w:r w:rsidRPr="002F49CF">
              <w:rPr>
                <w:rFonts w:asciiTheme="majorBidi" w:hAnsiTheme="majorBidi" w:cstheme="majorBidi"/>
                <w:noProof/>
                <w:webHidden/>
                <w:color w:val="000000" w:themeColor="text1"/>
                <w:sz w:val="24"/>
              </w:rPr>
              <w:fldChar w:fldCharType="end"/>
            </w:r>
          </w:hyperlink>
        </w:p>
        <w:p w14:paraId="2C1062E6" w14:textId="65E10717"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84" w:history="1">
            <w:r w:rsidRPr="002F49CF">
              <w:rPr>
                <w:rStyle w:val="Hyperlink"/>
                <w:rFonts w:asciiTheme="majorBidi" w:hAnsiTheme="majorBidi" w:cstheme="majorBidi"/>
                <w:noProof/>
                <w:color w:val="000000" w:themeColor="text1"/>
                <w:sz w:val="24"/>
                <w:szCs w:val="24"/>
              </w:rPr>
              <w:t>1.5</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Entry-Mode Strategy and Strategic Synthesis</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_Toc236398184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11</w:t>
            </w:r>
            <w:r w:rsidRPr="002F49CF">
              <w:rPr>
                <w:rFonts w:asciiTheme="majorBidi" w:hAnsiTheme="majorBidi" w:cstheme="majorBidi"/>
                <w:noProof/>
                <w:webHidden/>
                <w:color w:val="000000" w:themeColor="text1"/>
                <w:sz w:val="24"/>
                <w:szCs w:val="24"/>
              </w:rPr>
              <w:fldChar w:fldCharType="end"/>
            </w:r>
          </w:hyperlink>
        </w:p>
        <w:p w14:paraId="0BAEE8ED" w14:textId="393A701F"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85" w:history="1">
            <w:r w:rsidRPr="002F49CF">
              <w:rPr>
                <w:rStyle w:val="Hyperlink"/>
                <w:rFonts w:asciiTheme="majorBidi" w:hAnsiTheme="majorBidi" w:cstheme="majorBidi"/>
                <w:noProof/>
                <w:color w:val="000000" w:themeColor="text1"/>
                <w:sz w:val="24"/>
              </w:rPr>
              <w:t>1.5.1</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Titan’s Historical Entry-Mode Pattern</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_Toc236398185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11</w:t>
            </w:r>
            <w:r w:rsidRPr="002F49CF">
              <w:rPr>
                <w:rFonts w:asciiTheme="majorBidi" w:hAnsiTheme="majorBidi" w:cstheme="majorBidi"/>
                <w:noProof/>
                <w:webHidden/>
                <w:color w:val="000000" w:themeColor="text1"/>
                <w:sz w:val="24"/>
              </w:rPr>
              <w:fldChar w:fldCharType="end"/>
            </w:r>
          </w:hyperlink>
        </w:p>
        <w:p w14:paraId="502A77A1" w14:textId="2E19BBA2"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86" w:history="1">
            <w:r w:rsidRPr="002F49CF">
              <w:rPr>
                <w:rStyle w:val="Hyperlink"/>
                <w:rFonts w:asciiTheme="majorBidi" w:hAnsiTheme="majorBidi" w:cstheme="majorBidi"/>
                <w:noProof/>
                <w:color w:val="000000" w:themeColor="text1"/>
                <w:sz w:val="24"/>
              </w:rPr>
              <w:t>1.5.2</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Evaluation of Alternative Entry Modes</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_Toc236398186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11</w:t>
            </w:r>
            <w:r w:rsidRPr="002F49CF">
              <w:rPr>
                <w:rFonts w:asciiTheme="majorBidi" w:hAnsiTheme="majorBidi" w:cstheme="majorBidi"/>
                <w:noProof/>
                <w:webHidden/>
                <w:color w:val="000000" w:themeColor="text1"/>
                <w:sz w:val="24"/>
              </w:rPr>
              <w:fldChar w:fldCharType="end"/>
            </w:r>
          </w:hyperlink>
        </w:p>
        <w:p w14:paraId="083C49C9" w14:textId="30678DD2" w:rsidR="00142237" w:rsidRPr="002F49CF" w:rsidRDefault="00142237" w:rsidP="002F49CF">
          <w:pPr>
            <w:pStyle w:val="TOC3"/>
            <w:tabs>
              <w:tab w:val="left" w:pos="1200"/>
              <w:tab w:val="right" w:leader="dot" w:pos="9016"/>
            </w:tabs>
            <w:spacing w:line="360" w:lineRule="auto"/>
            <w:rPr>
              <w:rFonts w:asciiTheme="majorBidi" w:eastAsiaTheme="minorEastAsia" w:hAnsiTheme="majorBidi" w:cstheme="majorBidi"/>
              <w:noProof/>
              <w:color w:val="000000" w:themeColor="text1"/>
              <w:kern w:val="2"/>
              <w:sz w:val="24"/>
              <w14:ligatures w14:val="standardContextual"/>
            </w:rPr>
          </w:pPr>
          <w:hyperlink w:anchor="_Toc236398187" w:history="1">
            <w:r w:rsidRPr="002F49CF">
              <w:rPr>
                <w:rStyle w:val="Hyperlink"/>
                <w:rFonts w:asciiTheme="majorBidi" w:hAnsiTheme="majorBidi" w:cstheme="majorBidi"/>
                <w:noProof/>
                <w:color w:val="000000" w:themeColor="text1"/>
                <w:sz w:val="24"/>
              </w:rPr>
              <w:t>1.5.3</w:t>
            </w:r>
            <w:r w:rsidRPr="002F49CF">
              <w:rPr>
                <w:rFonts w:asciiTheme="majorBidi" w:eastAsiaTheme="minorEastAsia" w:hAnsiTheme="majorBidi" w:cstheme="majorBidi"/>
                <w:noProof/>
                <w:color w:val="000000" w:themeColor="text1"/>
                <w:kern w:val="2"/>
                <w:sz w:val="24"/>
                <w14:ligatures w14:val="standardContextual"/>
              </w:rPr>
              <w:tab/>
            </w:r>
            <w:r w:rsidRPr="002F49CF">
              <w:rPr>
                <w:rStyle w:val="Hyperlink"/>
                <w:rFonts w:asciiTheme="majorBidi" w:hAnsiTheme="majorBidi" w:cstheme="majorBidi"/>
                <w:noProof/>
                <w:color w:val="000000" w:themeColor="text1"/>
                <w:sz w:val="24"/>
              </w:rPr>
              <w:t>Recommended Entry Mode</w:t>
            </w:r>
            <w:r w:rsidRPr="002F49CF">
              <w:rPr>
                <w:rFonts w:asciiTheme="majorBidi" w:hAnsiTheme="majorBidi" w:cstheme="majorBidi"/>
                <w:noProof/>
                <w:webHidden/>
                <w:color w:val="000000" w:themeColor="text1"/>
                <w:sz w:val="24"/>
              </w:rPr>
              <w:tab/>
            </w:r>
            <w:r w:rsidRPr="002F49CF">
              <w:rPr>
                <w:rFonts w:asciiTheme="majorBidi" w:hAnsiTheme="majorBidi" w:cstheme="majorBidi"/>
                <w:noProof/>
                <w:webHidden/>
                <w:color w:val="000000" w:themeColor="text1"/>
                <w:sz w:val="24"/>
              </w:rPr>
              <w:fldChar w:fldCharType="begin"/>
            </w:r>
            <w:r w:rsidRPr="002F49CF">
              <w:rPr>
                <w:rFonts w:asciiTheme="majorBidi" w:hAnsiTheme="majorBidi" w:cstheme="majorBidi"/>
                <w:noProof/>
                <w:webHidden/>
                <w:color w:val="000000" w:themeColor="text1"/>
                <w:sz w:val="24"/>
              </w:rPr>
              <w:instrText xml:space="preserve"> PAGEREF _Toc236398187 \h </w:instrText>
            </w:r>
            <w:r w:rsidRPr="002F49CF">
              <w:rPr>
                <w:rFonts w:asciiTheme="majorBidi" w:hAnsiTheme="majorBidi" w:cstheme="majorBidi"/>
                <w:noProof/>
                <w:webHidden/>
                <w:color w:val="000000" w:themeColor="text1"/>
                <w:sz w:val="24"/>
              </w:rPr>
            </w:r>
            <w:r w:rsidRPr="002F49CF">
              <w:rPr>
                <w:rFonts w:asciiTheme="majorBidi" w:hAnsiTheme="majorBidi" w:cstheme="majorBidi"/>
                <w:noProof/>
                <w:webHidden/>
                <w:color w:val="000000" w:themeColor="text1"/>
                <w:sz w:val="24"/>
              </w:rPr>
              <w:fldChar w:fldCharType="separate"/>
            </w:r>
            <w:r w:rsidRPr="002F49CF">
              <w:rPr>
                <w:rFonts w:asciiTheme="majorBidi" w:hAnsiTheme="majorBidi" w:cstheme="majorBidi"/>
                <w:noProof/>
                <w:webHidden/>
                <w:color w:val="000000" w:themeColor="text1"/>
                <w:sz w:val="24"/>
              </w:rPr>
              <w:t>12</w:t>
            </w:r>
            <w:r w:rsidRPr="002F49CF">
              <w:rPr>
                <w:rFonts w:asciiTheme="majorBidi" w:hAnsiTheme="majorBidi" w:cstheme="majorBidi"/>
                <w:noProof/>
                <w:webHidden/>
                <w:color w:val="000000" w:themeColor="text1"/>
                <w:sz w:val="24"/>
              </w:rPr>
              <w:fldChar w:fldCharType="end"/>
            </w:r>
          </w:hyperlink>
        </w:p>
        <w:p w14:paraId="0BE765E3" w14:textId="3203ED99"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88" w:history="1">
            <w:r w:rsidRPr="002F49CF">
              <w:rPr>
                <w:rStyle w:val="Hyperlink"/>
                <w:rFonts w:asciiTheme="majorBidi" w:hAnsiTheme="majorBidi" w:cstheme="majorBidi"/>
                <w:noProof/>
                <w:color w:val="000000" w:themeColor="text1"/>
                <w:sz w:val="24"/>
                <w:szCs w:val="24"/>
              </w:rPr>
              <w:t>1.6</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Conclusion and Recommendations</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_Toc236398188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13</w:t>
            </w:r>
            <w:r w:rsidRPr="002F49CF">
              <w:rPr>
                <w:rFonts w:asciiTheme="majorBidi" w:hAnsiTheme="majorBidi" w:cstheme="majorBidi"/>
                <w:noProof/>
                <w:webHidden/>
                <w:color w:val="000000" w:themeColor="text1"/>
                <w:sz w:val="24"/>
                <w:szCs w:val="24"/>
              </w:rPr>
              <w:fldChar w:fldCharType="end"/>
            </w:r>
          </w:hyperlink>
        </w:p>
        <w:p w14:paraId="473C5BFA" w14:textId="42B4B7ED" w:rsidR="00142237" w:rsidRPr="002F49CF" w:rsidRDefault="00142237" w:rsidP="002F49CF">
          <w:pPr>
            <w:pStyle w:val="TOC1"/>
            <w:tabs>
              <w:tab w:val="left" w:pos="480"/>
              <w:tab w:val="right" w:leader="dot" w:pos="9016"/>
            </w:tabs>
            <w:spacing w:line="360" w:lineRule="auto"/>
            <w:rPr>
              <w:rFonts w:asciiTheme="majorBidi" w:eastAsiaTheme="minorEastAsia" w:hAnsiTheme="majorBidi" w:cstheme="majorBidi"/>
              <w:b w:val="0"/>
              <w:bCs w:val="0"/>
              <w:i w:val="0"/>
              <w:iCs w:val="0"/>
              <w:noProof/>
              <w:color w:val="000000" w:themeColor="text1"/>
              <w:kern w:val="2"/>
              <w:szCs w:val="24"/>
              <w14:ligatures w14:val="standardContextual"/>
            </w:rPr>
          </w:pPr>
          <w:hyperlink w:anchor="_Toc236398189" w:history="1">
            <w:r w:rsidRPr="002F49CF">
              <w:rPr>
                <w:rStyle w:val="Hyperlink"/>
                <w:rFonts w:asciiTheme="majorBidi" w:hAnsiTheme="majorBidi" w:cstheme="majorBidi"/>
                <w:noProof/>
                <w:color w:val="000000" w:themeColor="text1"/>
                <w:szCs w:val="24"/>
              </w:rPr>
              <w:t>2</w:t>
            </w:r>
            <w:r w:rsidRPr="002F49CF">
              <w:rPr>
                <w:rFonts w:asciiTheme="majorBidi" w:eastAsiaTheme="minorEastAsia" w:hAnsiTheme="majorBidi" w:cstheme="majorBidi"/>
                <w:b w:val="0"/>
                <w:bCs w:val="0"/>
                <w:i w:val="0"/>
                <w:iCs w:val="0"/>
                <w:noProof/>
                <w:color w:val="000000" w:themeColor="text1"/>
                <w:kern w:val="2"/>
                <w:szCs w:val="24"/>
                <w14:ligatures w14:val="standardContextual"/>
              </w:rPr>
              <w:tab/>
            </w:r>
            <w:r w:rsidRPr="002F49CF">
              <w:rPr>
                <w:rStyle w:val="Hyperlink"/>
                <w:rFonts w:asciiTheme="majorBidi" w:hAnsiTheme="majorBidi" w:cstheme="majorBidi"/>
                <w:noProof/>
                <w:color w:val="000000" w:themeColor="text1"/>
                <w:szCs w:val="24"/>
              </w:rPr>
              <w:t>Section 2: Gibbs Reflective Account</w:t>
            </w:r>
            <w:r w:rsidRPr="002F49CF">
              <w:rPr>
                <w:rFonts w:asciiTheme="majorBidi" w:hAnsiTheme="majorBidi" w:cstheme="majorBidi"/>
                <w:noProof/>
                <w:webHidden/>
                <w:color w:val="000000" w:themeColor="text1"/>
                <w:szCs w:val="24"/>
              </w:rPr>
              <w:tab/>
            </w:r>
            <w:r w:rsidRPr="002F49CF">
              <w:rPr>
                <w:rFonts w:asciiTheme="majorBidi" w:hAnsiTheme="majorBidi" w:cstheme="majorBidi"/>
                <w:noProof/>
                <w:webHidden/>
                <w:color w:val="000000" w:themeColor="text1"/>
                <w:szCs w:val="24"/>
              </w:rPr>
              <w:fldChar w:fldCharType="begin"/>
            </w:r>
            <w:r w:rsidRPr="002F49CF">
              <w:rPr>
                <w:rFonts w:asciiTheme="majorBidi" w:hAnsiTheme="majorBidi" w:cstheme="majorBidi"/>
                <w:noProof/>
                <w:webHidden/>
                <w:color w:val="000000" w:themeColor="text1"/>
                <w:szCs w:val="24"/>
              </w:rPr>
              <w:instrText xml:space="preserve"> PAGEREF _Toc236398189 \h </w:instrText>
            </w:r>
            <w:r w:rsidRPr="002F49CF">
              <w:rPr>
                <w:rFonts w:asciiTheme="majorBidi" w:hAnsiTheme="majorBidi" w:cstheme="majorBidi"/>
                <w:noProof/>
                <w:webHidden/>
                <w:color w:val="000000" w:themeColor="text1"/>
                <w:szCs w:val="24"/>
              </w:rPr>
            </w:r>
            <w:r w:rsidRPr="002F49CF">
              <w:rPr>
                <w:rFonts w:asciiTheme="majorBidi" w:hAnsiTheme="majorBidi" w:cstheme="majorBidi"/>
                <w:noProof/>
                <w:webHidden/>
                <w:color w:val="000000" w:themeColor="text1"/>
                <w:szCs w:val="24"/>
              </w:rPr>
              <w:fldChar w:fldCharType="separate"/>
            </w:r>
            <w:r w:rsidRPr="002F49CF">
              <w:rPr>
                <w:rFonts w:asciiTheme="majorBidi" w:hAnsiTheme="majorBidi" w:cstheme="majorBidi"/>
                <w:noProof/>
                <w:webHidden/>
                <w:color w:val="000000" w:themeColor="text1"/>
                <w:szCs w:val="24"/>
              </w:rPr>
              <w:t>14</w:t>
            </w:r>
            <w:r w:rsidRPr="002F49CF">
              <w:rPr>
                <w:rFonts w:asciiTheme="majorBidi" w:hAnsiTheme="majorBidi" w:cstheme="majorBidi"/>
                <w:noProof/>
                <w:webHidden/>
                <w:color w:val="000000" w:themeColor="text1"/>
                <w:szCs w:val="24"/>
              </w:rPr>
              <w:fldChar w:fldCharType="end"/>
            </w:r>
          </w:hyperlink>
        </w:p>
        <w:p w14:paraId="71A16D98" w14:textId="7E30399D"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90" w:history="1">
            <w:r w:rsidRPr="002F49CF">
              <w:rPr>
                <w:rStyle w:val="Hyperlink"/>
                <w:rFonts w:asciiTheme="majorBidi" w:hAnsiTheme="majorBidi" w:cstheme="majorBidi"/>
                <w:noProof/>
                <w:color w:val="000000" w:themeColor="text1"/>
                <w:sz w:val="24"/>
                <w:szCs w:val="24"/>
              </w:rPr>
              <w:t>2.1</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Description</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_Toc236398190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14</w:t>
            </w:r>
            <w:r w:rsidRPr="002F49CF">
              <w:rPr>
                <w:rFonts w:asciiTheme="majorBidi" w:hAnsiTheme="majorBidi" w:cstheme="majorBidi"/>
                <w:noProof/>
                <w:webHidden/>
                <w:color w:val="000000" w:themeColor="text1"/>
                <w:sz w:val="24"/>
                <w:szCs w:val="24"/>
              </w:rPr>
              <w:fldChar w:fldCharType="end"/>
            </w:r>
          </w:hyperlink>
        </w:p>
        <w:p w14:paraId="58F65003" w14:textId="182E83B8"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91" w:history="1">
            <w:r w:rsidRPr="002F49CF">
              <w:rPr>
                <w:rStyle w:val="Hyperlink"/>
                <w:rFonts w:asciiTheme="majorBidi" w:hAnsiTheme="majorBidi" w:cstheme="majorBidi"/>
                <w:noProof/>
                <w:color w:val="000000" w:themeColor="text1"/>
                <w:sz w:val="24"/>
                <w:szCs w:val="24"/>
              </w:rPr>
              <w:t>2.2</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Feelings</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_Toc236398191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15</w:t>
            </w:r>
            <w:r w:rsidRPr="002F49CF">
              <w:rPr>
                <w:rFonts w:asciiTheme="majorBidi" w:hAnsiTheme="majorBidi" w:cstheme="majorBidi"/>
                <w:noProof/>
                <w:webHidden/>
                <w:color w:val="000000" w:themeColor="text1"/>
                <w:sz w:val="24"/>
                <w:szCs w:val="24"/>
              </w:rPr>
              <w:fldChar w:fldCharType="end"/>
            </w:r>
          </w:hyperlink>
        </w:p>
        <w:p w14:paraId="7C685D3A" w14:textId="073A17D9"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92" w:history="1">
            <w:r w:rsidRPr="002F49CF">
              <w:rPr>
                <w:rStyle w:val="Hyperlink"/>
                <w:rFonts w:asciiTheme="majorBidi" w:hAnsiTheme="majorBidi" w:cstheme="majorBidi"/>
                <w:noProof/>
                <w:color w:val="000000" w:themeColor="text1"/>
                <w:sz w:val="24"/>
                <w:szCs w:val="24"/>
              </w:rPr>
              <w:t>2.3</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Evaluation</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_Toc236398192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15</w:t>
            </w:r>
            <w:r w:rsidRPr="002F49CF">
              <w:rPr>
                <w:rFonts w:asciiTheme="majorBidi" w:hAnsiTheme="majorBidi" w:cstheme="majorBidi"/>
                <w:noProof/>
                <w:webHidden/>
                <w:color w:val="000000" w:themeColor="text1"/>
                <w:sz w:val="24"/>
                <w:szCs w:val="24"/>
              </w:rPr>
              <w:fldChar w:fldCharType="end"/>
            </w:r>
          </w:hyperlink>
        </w:p>
        <w:p w14:paraId="4ACD679D" w14:textId="6902B427"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93" w:history="1">
            <w:r w:rsidRPr="002F49CF">
              <w:rPr>
                <w:rStyle w:val="Hyperlink"/>
                <w:rFonts w:asciiTheme="majorBidi" w:hAnsiTheme="majorBidi" w:cstheme="majorBidi"/>
                <w:noProof/>
                <w:color w:val="000000" w:themeColor="text1"/>
                <w:sz w:val="24"/>
                <w:szCs w:val="24"/>
              </w:rPr>
              <w:t>2.4</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Analysis</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_Toc236398193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16</w:t>
            </w:r>
            <w:r w:rsidRPr="002F49CF">
              <w:rPr>
                <w:rFonts w:asciiTheme="majorBidi" w:hAnsiTheme="majorBidi" w:cstheme="majorBidi"/>
                <w:noProof/>
                <w:webHidden/>
                <w:color w:val="000000" w:themeColor="text1"/>
                <w:sz w:val="24"/>
                <w:szCs w:val="24"/>
              </w:rPr>
              <w:fldChar w:fldCharType="end"/>
            </w:r>
          </w:hyperlink>
        </w:p>
        <w:p w14:paraId="450CE14E" w14:textId="7AD03CA3"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94" w:history="1">
            <w:r w:rsidRPr="002F49CF">
              <w:rPr>
                <w:rStyle w:val="Hyperlink"/>
                <w:rFonts w:asciiTheme="majorBidi" w:hAnsiTheme="majorBidi" w:cstheme="majorBidi"/>
                <w:noProof/>
                <w:color w:val="000000" w:themeColor="text1"/>
                <w:sz w:val="24"/>
                <w:szCs w:val="24"/>
              </w:rPr>
              <w:t>2.5</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Conclusion</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_Toc236398194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16</w:t>
            </w:r>
            <w:r w:rsidRPr="002F49CF">
              <w:rPr>
                <w:rFonts w:asciiTheme="majorBidi" w:hAnsiTheme="majorBidi" w:cstheme="majorBidi"/>
                <w:noProof/>
                <w:webHidden/>
                <w:color w:val="000000" w:themeColor="text1"/>
                <w:sz w:val="24"/>
                <w:szCs w:val="24"/>
              </w:rPr>
              <w:fldChar w:fldCharType="end"/>
            </w:r>
          </w:hyperlink>
        </w:p>
        <w:p w14:paraId="1A2C3D10" w14:textId="73D9AD9A" w:rsidR="00142237" w:rsidRPr="002F49CF" w:rsidRDefault="00142237" w:rsidP="002F49CF">
          <w:pPr>
            <w:pStyle w:val="TOC2"/>
            <w:tabs>
              <w:tab w:val="left" w:pos="960"/>
              <w:tab w:val="right" w:leader="dot" w:pos="9016"/>
            </w:tabs>
            <w:spacing w:line="360" w:lineRule="auto"/>
            <w:rPr>
              <w:rFonts w:asciiTheme="majorBidi" w:eastAsiaTheme="minorEastAsia" w:hAnsiTheme="majorBidi" w:cstheme="majorBidi"/>
              <w:b w:val="0"/>
              <w:bCs w:val="0"/>
              <w:noProof/>
              <w:color w:val="000000" w:themeColor="text1"/>
              <w:kern w:val="2"/>
              <w:sz w:val="24"/>
              <w:szCs w:val="24"/>
              <w14:ligatures w14:val="standardContextual"/>
            </w:rPr>
          </w:pPr>
          <w:hyperlink w:anchor="_Toc236398195" w:history="1">
            <w:r w:rsidRPr="002F49CF">
              <w:rPr>
                <w:rStyle w:val="Hyperlink"/>
                <w:rFonts w:asciiTheme="majorBidi" w:hAnsiTheme="majorBidi" w:cstheme="majorBidi"/>
                <w:noProof/>
                <w:color w:val="000000" w:themeColor="text1"/>
                <w:sz w:val="24"/>
                <w:szCs w:val="24"/>
              </w:rPr>
              <w:t>2.6</w:t>
            </w:r>
            <w:r w:rsidRPr="002F49CF">
              <w:rPr>
                <w:rFonts w:asciiTheme="majorBidi" w:eastAsiaTheme="minorEastAsia" w:hAnsiTheme="majorBidi" w:cstheme="majorBidi"/>
                <w:b w:val="0"/>
                <w:bCs w:val="0"/>
                <w:noProof/>
                <w:color w:val="000000" w:themeColor="text1"/>
                <w:kern w:val="2"/>
                <w:sz w:val="24"/>
                <w:szCs w:val="24"/>
                <w14:ligatures w14:val="standardContextual"/>
              </w:rPr>
              <w:tab/>
            </w:r>
            <w:r w:rsidRPr="002F49CF">
              <w:rPr>
                <w:rStyle w:val="Hyperlink"/>
                <w:rFonts w:asciiTheme="majorBidi" w:hAnsiTheme="majorBidi" w:cstheme="majorBidi"/>
                <w:noProof/>
                <w:color w:val="000000" w:themeColor="text1"/>
                <w:sz w:val="24"/>
                <w:szCs w:val="24"/>
              </w:rPr>
              <w:t>Action Plan</w:t>
            </w:r>
            <w:r w:rsidRPr="002F49CF">
              <w:rPr>
                <w:rFonts w:asciiTheme="majorBidi" w:hAnsiTheme="majorBidi" w:cstheme="majorBidi"/>
                <w:noProof/>
                <w:webHidden/>
                <w:color w:val="000000" w:themeColor="text1"/>
                <w:sz w:val="24"/>
                <w:szCs w:val="24"/>
              </w:rPr>
              <w:tab/>
            </w:r>
            <w:r w:rsidRPr="002F49CF">
              <w:rPr>
                <w:rFonts w:asciiTheme="majorBidi" w:hAnsiTheme="majorBidi" w:cstheme="majorBidi"/>
                <w:noProof/>
                <w:webHidden/>
                <w:color w:val="000000" w:themeColor="text1"/>
                <w:sz w:val="24"/>
                <w:szCs w:val="24"/>
              </w:rPr>
              <w:fldChar w:fldCharType="begin"/>
            </w:r>
            <w:r w:rsidRPr="002F49CF">
              <w:rPr>
                <w:rFonts w:asciiTheme="majorBidi" w:hAnsiTheme="majorBidi" w:cstheme="majorBidi"/>
                <w:noProof/>
                <w:webHidden/>
                <w:color w:val="000000" w:themeColor="text1"/>
                <w:sz w:val="24"/>
                <w:szCs w:val="24"/>
              </w:rPr>
              <w:instrText xml:space="preserve"> PAGEREF _Toc236398195 \h </w:instrText>
            </w:r>
            <w:r w:rsidRPr="002F49CF">
              <w:rPr>
                <w:rFonts w:asciiTheme="majorBidi" w:hAnsiTheme="majorBidi" w:cstheme="majorBidi"/>
                <w:noProof/>
                <w:webHidden/>
                <w:color w:val="000000" w:themeColor="text1"/>
                <w:sz w:val="24"/>
                <w:szCs w:val="24"/>
              </w:rPr>
            </w:r>
            <w:r w:rsidRPr="002F49CF">
              <w:rPr>
                <w:rFonts w:asciiTheme="majorBidi" w:hAnsiTheme="majorBidi" w:cstheme="majorBidi"/>
                <w:noProof/>
                <w:webHidden/>
                <w:color w:val="000000" w:themeColor="text1"/>
                <w:sz w:val="24"/>
                <w:szCs w:val="24"/>
              </w:rPr>
              <w:fldChar w:fldCharType="separate"/>
            </w:r>
            <w:r w:rsidRPr="002F49CF">
              <w:rPr>
                <w:rFonts w:asciiTheme="majorBidi" w:hAnsiTheme="majorBidi" w:cstheme="majorBidi"/>
                <w:noProof/>
                <w:webHidden/>
                <w:color w:val="000000" w:themeColor="text1"/>
                <w:sz w:val="24"/>
                <w:szCs w:val="24"/>
              </w:rPr>
              <w:t>17</w:t>
            </w:r>
            <w:r w:rsidRPr="002F49CF">
              <w:rPr>
                <w:rFonts w:asciiTheme="majorBidi" w:hAnsiTheme="majorBidi" w:cstheme="majorBidi"/>
                <w:noProof/>
                <w:webHidden/>
                <w:color w:val="000000" w:themeColor="text1"/>
                <w:sz w:val="24"/>
                <w:szCs w:val="24"/>
              </w:rPr>
              <w:fldChar w:fldCharType="end"/>
            </w:r>
          </w:hyperlink>
        </w:p>
        <w:p w14:paraId="2E2F4C7B" w14:textId="0C32A5BC" w:rsidR="00142237" w:rsidRPr="002F49CF" w:rsidRDefault="00142237" w:rsidP="002F49CF">
          <w:pPr>
            <w:pStyle w:val="TOC1"/>
            <w:tabs>
              <w:tab w:val="left" w:pos="480"/>
              <w:tab w:val="right" w:leader="dot" w:pos="9016"/>
            </w:tabs>
            <w:spacing w:line="360" w:lineRule="auto"/>
            <w:rPr>
              <w:rFonts w:asciiTheme="majorBidi" w:eastAsiaTheme="minorEastAsia" w:hAnsiTheme="majorBidi" w:cstheme="majorBidi"/>
              <w:b w:val="0"/>
              <w:bCs w:val="0"/>
              <w:i w:val="0"/>
              <w:iCs w:val="0"/>
              <w:noProof/>
              <w:color w:val="000000" w:themeColor="text1"/>
              <w:kern w:val="2"/>
              <w:szCs w:val="24"/>
              <w14:ligatures w14:val="standardContextual"/>
            </w:rPr>
          </w:pPr>
          <w:hyperlink w:anchor="_Toc236398196" w:history="1">
            <w:r w:rsidRPr="002F49CF">
              <w:rPr>
                <w:rStyle w:val="Hyperlink"/>
                <w:rFonts w:asciiTheme="majorBidi" w:hAnsiTheme="majorBidi" w:cstheme="majorBidi"/>
                <w:noProof/>
                <w:color w:val="000000" w:themeColor="text1"/>
                <w:szCs w:val="24"/>
              </w:rPr>
              <w:t>3</w:t>
            </w:r>
            <w:r w:rsidRPr="002F49CF">
              <w:rPr>
                <w:rFonts w:asciiTheme="majorBidi" w:eastAsiaTheme="minorEastAsia" w:hAnsiTheme="majorBidi" w:cstheme="majorBidi"/>
                <w:b w:val="0"/>
                <w:bCs w:val="0"/>
                <w:i w:val="0"/>
                <w:iCs w:val="0"/>
                <w:noProof/>
                <w:color w:val="000000" w:themeColor="text1"/>
                <w:kern w:val="2"/>
                <w:szCs w:val="24"/>
                <w14:ligatures w14:val="standardContextual"/>
              </w:rPr>
              <w:tab/>
            </w:r>
            <w:r w:rsidRPr="002F49CF">
              <w:rPr>
                <w:rStyle w:val="Hyperlink"/>
                <w:rFonts w:asciiTheme="majorBidi" w:hAnsiTheme="majorBidi" w:cstheme="majorBidi"/>
                <w:noProof/>
                <w:color w:val="000000" w:themeColor="text1"/>
                <w:szCs w:val="24"/>
              </w:rPr>
              <w:t>References</w:t>
            </w:r>
            <w:r w:rsidRPr="002F49CF">
              <w:rPr>
                <w:rFonts w:asciiTheme="majorBidi" w:hAnsiTheme="majorBidi" w:cstheme="majorBidi"/>
                <w:noProof/>
                <w:webHidden/>
                <w:color w:val="000000" w:themeColor="text1"/>
                <w:szCs w:val="24"/>
              </w:rPr>
              <w:tab/>
            </w:r>
            <w:r w:rsidRPr="002F49CF">
              <w:rPr>
                <w:rFonts w:asciiTheme="majorBidi" w:hAnsiTheme="majorBidi" w:cstheme="majorBidi"/>
                <w:noProof/>
                <w:webHidden/>
                <w:color w:val="000000" w:themeColor="text1"/>
                <w:szCs w:val="24"/>
              </w:rPr>
              <w:fldChar w:fldCharType="begin"/>
            </w:r>
            <w:r w:rsidRPr="002F49CF">
              <w:rPr>
                <w:rFonts w:asciiTheme="majorBidi" w:hAnsiTheme="majorBidi" w:cstheme="majorBidi"/>
                <w:noProof/>
                <w:webHidden/>
                <w:color w:val="000000" w:themeColor="text1"/>
                <w:szCs w:val="24"/>
              </w:rPr>
              <w:instrText xml:space="preserve"> PAGEREF _Toc236398196 \h </w:instrText>
            </w:r>
            <w:r w:rsidRPr="002F49CF">
              <w:rPr>
                <w:rFonts w:asciiTheme="majorBidi" w:hAnsiTheme="majorBidi" w:cstheme="majorBidi"/>
                <w:noProof/>
                <w:webHidden/>
                <w:color w:val="000000" w:themeColor="text1"/>
                <w:szCs w:val="24"/>
              </w:rPr>
            </w:r>
            <w:r w:rsidRPr="002F49CF">
              <w:rPr>
                <w:rFonts w:asciiTheme="majorBidi" w:hAnsiTheme="majorBidi" w:cstheme="majorBidi"/>
                <w:noProof/>
                <w:webHidden/>
                <w:color w:val="000000" w:themeColor="text1"/>
                <w:szCs w:val="24"/>
              </w:rPr>
              <w:fldChar w:fldCharType="separate"/>
            </w:r>
            <w:r w:rsidRPr="002F49CF">
              <w:rPr>
                <w:rFonts w:asciiTheme="majorBidi" w:hAnsiTheme="majorBidi" w:cstheme="majorBidi"/>
                <w:noProof/>
                <w:webHidden/>
                <w:color w:val="000000" w:themeColor="text1"/>
                <w:szCs w:val="24"/>
              </w:rPr>
              <w:t>17</w:t>
            </w:r>
            <w:r w:rsidRPr="002F49CF">
              <w:rPr>
                <w:rFonts w:asciiTheme="majorBidi" w:hAnsiTheme="majorBidi" w:cstheme="majorBidi"/>
                <w:noProof/>
                <w:webHidden/>
                <w:color w:val="000000" w:themeColor="text1"/>
                <w:szCs w:val="24"/>
              </w:rPr>
              <w:fldChar w:fldCharType="end"/>
            </w:r>
          </w:hyperlink>
        </w:p>
        <w:p w14:paraId="526EC16C" w14:textId="6795D0F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b/>
              <w:bCs/>
              <w:noProof/>
              <w:color w:val="000000" w:themeColor="text1"/>
            </w:rPr>
            <w:fldChar w:fldCharType="end"/>
          </w:r>
        </w:p>
      </w:sdtContent>
    </w:sdt>
    <w:p w14:paraId="34655879" w14:textId="4594F0A3" w:rsidR="00142237" w:rsidRPr="002F49CF" w:rsidRDefault="00142237" w:rsidP="002F49CF">
      <w:pPr>
        <w:spacing w:line="360" w:lineRule="auto"/>
        <w:rPr>
          <w:rFonts w:asciiTheme="majorBidi" w:hAnsiTheme="majorBidi" w:cstheme="majorBidi"/>
          <w:color w:val="000000" w:themeColor="text1"/>
        </w:rPr>
      </w:pPr>
    </w:p>
    <w:p w14:paraId="74B062B3" w14:textId="77777777" w:rsidR="00142237" w:rsidRPr="002F49CF" w:rsidRDefault="00142237" w:rsidP="002F49CF">
      <w:pPr>
        <w:spacing w:line="360" w:lineRule="auto"/>
        <w:rPr>
          <w:rFonts w:asciiTheme="majorBidi" w:hAnsiTheme="majorBidi" w:cstheme="majorBidi"/>
          <w:color w:val="000000" w:themeColor="text1"/>
        </w:rPr>
      </w:pPr>
    </w:p>
    <w:p w14:paraId="47B5F673" w14:textId="77777777" w:rsidR="00142237" w:rsidRPr="002F49CF" w:rsidRDefault="00142237" w:rsidP="002F49CF">
      <w:pPr>
        <w:spacing w:line="360" w:lineRule="auto"/>
        <w:rPr>
          <w:rFonts w:asciiTheme="majorBidi" w:hAnsiTheme="majorBidi" w:cstheme="majorBidi"/>
          <w:color w:val="000000" w:themeColor="text1"/>
        </w:rPr>
      </w:pPr>
    </w:p>
    <w:p w14:paraId="65320B0A" w14:textId="77777777" w:rsidR="00142237" w:rsidRPr="002F49CF" w:rsidRDefault="00142237" w:rsidP="002F49CF">
      <w:pPr>
        <w:spacing w:line="360" w:lineRule="auto"/>
        <w:rPr>
          <w:rFonts w:asciiTheme="majorBidi" w:hAnsiTheme="majorBidi" w:cstheme="majorBidi"/>
          <w:color w:val="000000" w:themeColor="text1"/>
        </w:rPr>
      </w:pPr>
    </w:p>
    <w:p w14:paraId="2EFFE377" w14:textId="77777777" w:rsidR="00142237" w:rsidRPr="002F49CF" w:rsidRDefault="00142237" w:rsidP="002F49CF">
      <w:pPr>
        <w:pStyle w:val="Heading1"/>
        <w:rPr>
          <w:sz w:val="24"/>
          <w:szCs w:val="24"/>
        </w:rPr>
      </w:pPr>
      <w:bookmarkStart w:id="0" w:name="_Toc236398169"/>
      <w:r w:rsidRPr="002F49CF">
        <w:rPr>
          <w:sz w:val="24"/>
          <w:szCs w:val="24"/>
        </w:rPr>
        <w:t>Section 1: International Market Entry Report</w:t>
      </w:r>
      <w:bookmarkEnd w:id="0"/>
    </w:p>
    <w:p w14:paraId="29C6127A" w14:textId="7B49F665" w:rsidR="00142237" w:rsidRPr="002F49CF" w:rsidRDefault="00142237" w:rsidP="002F49CF">
      <w:pPr>
        <w:pStyle w:val="Heading2"/>
        <w:spacing w:line="360" w:lineRule="auto"/>
      </w:pPr>
      <w:bookmarkStart w:id="1" w:name="_Toc236398170"/>
      <w:r w:rsidRPr="002F49CF">
        <w:t>Introduction and Scope</w:t>
      </w:r>
      <w:bookmarkEnd w:id="1"/>
    </w:p>
    <w:p w14:paraId="40BE7350" w14:textId="77777777" w:rsidR="002F49CF" w:rsidRPr="002F49CF" w:rsidRDefault="002F49CF" w:rsidP="002F49CF">
      <w:pPr>
        <w:spacing w:line="360" w:lineRule="auto"/>
        <w:rPr>
          <w:rFonts w:asciiTheme="majorBidi" w:hAnsiTheme="majorBidi" w:cstheme="majorBidi"/>
          <w:color w:val="000000" w:themeColor="text1"/>
        </w:rPr>
      </w:pPr>
      <w:bookmarkStart w:id="2" w:name="_Toc236398171"/>
      <w:r w:rsidRPr="002F49CF">
        <w:rPr>
          <w:rFonts w:asciiTheme="majorBidi" w:hAnsiTheme="majorBidi" w:cstheme="majorBidi"/>
          <w:color w:val="000000" w:themeColor="text1"/>
        </w:rPr>
        <w:t>Titan Company Limited is an Indian consumer-lifestyle multinational, which is engaged in jewellery, watch, eyewear, fragrances, fashion accessories and precision engineering business. It has the following major brands: Tanishq, Mia, Zoya, CaratLane, Titan, Fastrack, Sonata, Helios, Titan Eye+ and SKINN and Taneira. Jewellery is Titan's core business and watches offer diversification, design and international brand presence. Backed by robust jewellery demand, premiumisation and a growing retail network, Titan saw an annual revenue of more than ₹750 billion in FY2025-2026. Its international expansion has focused mainly on the Gulf Cooperation Council, North America, and Singapore, particularly with the acquisition of a 67% stake in Damas Jewellery, further cementing its Middle Eastern footprint – a reason for its omission of Brazil from the list of its listed international shipping destinations, and no Brazilian subsidiary being listed in its subsidiary portfolio for FY2026, as per Titan. As such, at the cut-off to the assessment, Titan did not have a major subsidiary, store network, manufacturing plant or formal market-entry platform in Brazil. Despite this, Brazil is a key market as it is home to over 213 million people, with a growing economy for premium jewellery and watches, and a large urban market. It critically assesses Titan's global strategy, the politically and institutionally complex market in Brazil, Titan's ownership, location and internalisation advantages and alternative modes of entry. It suggests the formation of a phased JV that would be majority held instead of immediate 100 percent expansion.</w:t>
      </w:r>
    </w:p>
    <w:p w14:paraId="0F2C1CEE" w14:textId="7C2D152C" w:rsidR="00142237" w:rsidRPr="002F49CF" w:rsidRDefault="00142237" w:rsidP="002F49CF">
      <w:pPr>
        <w:pStyle w:val="Heading2"/>
        <w:spacing w:line="360" w:lineRule="auto"/>
      </w:pPr>
      <w:r w:rsidRPr="002F49CF">
        <w:t>Organisational Classification and Global Strategy</w:t>
      </w:r>
      <w:bookmarkEnd w:id="2"/>
    </w:p>
    <w:p w14:paraId="2A5EA267" w14:textId="119A033C" w:rsidR="00142237" w:rsidRPr="002F49CF" w:rsidRDefault="00142237" w:rsidP="002F49CF">
      <w:pPr>
        <w:pStyle w:val="Heading3"/>
        <w:spacing w:line="360" w:lineRule="auto"/>
      </w:pPr>
      <w:bookmarkStart w:id="3" w:name="_Toc236398172"/>
      <w:r w:rsidRPr="002F49CF">
        <w:t>Strategic Categorisation Using Bartlett and Ghoshal’s Framework</w:t>
      </w:r>
      <w:bookmarkEnd w:id="3"/>
    </w:p>
    <w:p w14:paraId="44E865D2" w14:textId="77777777" w:rsidR="002F49CF" w:rsidRPr="002F49CF" w:rsidRDefault="002F49CF" w:rsidP="002F49CF">
      <w:pPr>
        <w:spacing w:line="360" w:lineRule="auto"/>
        <w:rPr>
          <w:rFonts w:asciiTheme="majorBidi" w:hAnsiTheme="majorBidi" w:cstheme="majorBidi"/>
          <w:color w:val="000000" w:themeColor="text1"/>
        </w:rPr>
      </w:pPr>
      <w:bookmarkStart w:id="4" w:name="_Toc236398173"/>
      <w:r w:rsidRPr="002F49CF">
        <w:rPr>
          <w:rFonts w:asciiTheme="majorBidi" w:hAnsiTheme="majorBidi" w:cstheme="majorBidi"/>
          <w:color w:val="000000" w:themeColor="text1"/>
        </w:rPr>
        <w:t>According to Bartlett and Ghoshal's integration-responsiveness matrix, there are four strategies: international, global, multidomestic and transnational, which are based on the need for global efficiency and local responsiveness. Titan's best description is an international enterprise which is moving toward a transnational approach rather than a global or multidomestic approach. It is fundamentally India-centric in terms of its core brand architecture, product-quality standards, design capabilities, sourcing relationships, technologies and managerial knowledge are largely India-centric. Such firm-specific advantages are centralised and exported to foreign markets, as part of a knowledge-exploitation logic of an international strategy (Bartlett &amp; Ghoshal, 1989; Hennart, 2019; Kano et al., 2020).</w:t>
      </w:r>
    </w:p>
    <w:p w14:paraId="2296F4BE"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However, increasingly Titan does a mix of central control and local adaptation. Tanishq's international business has evolved into a range of collections and experiences for people whose lives are influenced by the countries where they are living, but who still have ties to India. Titan has also been building up from entirely owned Tanishq outlets to Damas which has a heritage of its brands and has customers in the entire GCC not among Indians only. This global brand control, centralised capabilities, regional knowledge acquisition and local product adaptation suggests a trend towards transnational configuration (Luo &amp; Tung, 2018; Tang &amp; Buckley, 2022; Vahlne &amp; Johanson, 2017). It is also, therefore, not a fully transnational jewellery company as international revenues and decision-making are still relatively small and its most successful brands are still very Indian. It has started expanding abroad based on the demand of Indian diaspora in UAE, Qatar, Singapore and North America. A true transnational company would lead to more multidirectional knowledge flows, give more autonomy to subsidiaries to develop innovations that can be transferred globally, and balance the revenues geographically (Autio et al., 2021; Banalieva &amp; Dhanaraj, 2019; Nambisan et al., 2019). Brazil would thus not only have geographic relevance, but also would have been a test of the ability of Titan to move from diaspora-led internationalisation to mainstream international brand competition.</w:t>
      </w:r>
    </w:p>
    <w:p w14:paraId="6B6DB77D" w14:textId="1300C58C" w:rsidR="00142237" w:rsidRPr="002F49CF" w:rsidRDefault="00142237" w:rsidP="002F49CF">
      <w:pPr>
        <w:pStyle w:val="Heading3"/>
        <w:spacing w:line="360" w:lineRule="auto"/>
      </w:pPr>
      <w:r w:rsidRPr="002F49CF">
        <w:t>Global Configuration and Competitive Advantage</w:t>
      </w:r>
      <w:bookmarkEnd w:id="4"/>
    </w:p>
    <w:p w14:paraId="57DB0B84"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 Tata-group legitimacy, manufacturing knowledge, data, design capabilities, retail networks and the trusted brands are the source of Titan's competitive advantage. Tanishq shook the Indian jewellery market, which was tainted by the presence of inferior quality jewellery, with its transparent purity testing, standardised retailing and branded trust. These benefits lessen the perceived risk in purchasing a product in a category where there is information asymmetry about the purity of the product, the gems and craftsmanship, and the value of the product when sold. However, the liability-of-foreignness theory suggests that what works in one institutional environment may not be legitimate in another (Kostova et al., 2020; Tang &amp; Buckley, 2022; Zaheer, 1995).</w:t>
      </w:r>
    </w:p>
    <w:p w14:paraId="0955A0B9"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Titan's geographical set-up is India manufacturing and design, plus international subsidiaries in the UAE, Qatar and North America, and the Singapore retail outlet and network called Damas throughout the GCC. It has also been exporting historical watches, gaining experience in many different countries. International operations achieve value by means of revenue diversification, learning from premium markets, diaspora relationships, and global talent/exposure to various retail models. By purchasing stores, the Damas acquisition is able to gain market access quickly through the acquisition of local legitimacy and customer knowledge, instead of creating them from scratch (Donnelly et al., 2024; Huang et al., 2026; Xie &amp; Yin, 2024).</w:t>
      </w:r>
    </w:p>
    <w:p w14:paraId="1AE6AE4E" w14:textId="1EE003DC" w:rsidR="00142237" w:rsidRPr="002F49CF" w:rsidRDefault="00142237" w:rsidP="002F49CF">
      <w:pPr>
        <w:spacing w:line="360" w:lineRule="auto"/>
        <w:rPr>
          <w:rFonts w:asciiTheme="majorBidi" w:hAnsiTheme="majorBidi" w:cstheme="majorBidi"/>
          <w:b/>
          <w:bCs/>
          <w:color w:val="000000" w:themeColor="text1"/>
        </w:rPr>
      </w:pPr>
      <w:r w:rsidRPr="002F49CF">
        <w:rPr>
          <w:rFonts w:asciiTheme="majorBidi" w:hAnsiTheme="majorBidi" w:cstheme="majorBidi"/>
          <w:b/>
          <w:bCs/>
          <w:color w:val="000000" w:themeColor="text1"/>
        </w:rPr>
        <w:t>Table 1: Titan’s International Configuration and Contribution to Value Creation</w:t>
      </w:r>
    </w:p>
    <w:tbl>
      <w:tblPr>
        <w:tblStyle w:val="GridTable4-Accent5"/>
        <w:tblW w:w="0" w:type="auto"/>
        <w:tblLook w:val="04A0" w:firstRow="1" w:lastRow="0" w:firstColumn="1" w:lastColumn="0" w:noHBand="0" w:noVBand="1"/>
      </w:tblPr>
      <w:tblGrid>
        <w:gridCol w:w="1586"/>
        <w:gridCol w:w="2789"/>
        <w:gridCol w:w="2625"/>
        <w:gridCol w:w="2016"/>
      </w:tblGrid>
      <w:tr w:rsidR="00142237" w:rsidRPr="002F49CF" w14:paraId="08469C1C" w14:textId="77777777" w:rsidTr="001422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B9AB59" w14:textId="77777777" w:rsidR="00142237" w:rsidRPr="002F49CF" w:rsidRDefault="00142237" w:rsidP="002F49CF">
            <w:pPr>
              <w:spacing w:line="360" w:lineRule="auto"/>
              <w:jc w:val="center"/>
              <w:rPr>
                <w:rFonts w:asciiTheme="majorBidi" w:hAnsiTheme="majorBidi" w:cstheme="majorBidi"/>
                <w:color w:val="000000" w:themeColor="text1"/>
              </w:rPr>
            </w:pPr>
            <w:r w:rsidRPr="002F49CF">
              <w:rPr>
                <w:rFonts w:asciiTheme="majorBidi" w:hAnsiTheme="majorBidi" w:cstheme="majorBidi"/>
                <w:color w:val="000000" w:themeColor="text1"/>
              </w:rPr>
              <w:t>Geographic component</w:t>
            </w:r>
          </w:p>
        </w:tc>
        <w:tc>
          <w:tcPr>
            <w:tcW w:w="0" w:type="auto"/>
            <w:hideMark/>
          </w:tcPr>
          <w:p w14:paraId="53EF4AF9" w14:textId="77777777" w:rsidR="00142237" w:rsidRPr="002F49CF" w:rsidRDefault="00142237" w:rsidP="002F49CF">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Principal activities</w:t>
            </w:r>
          </w:p>
        </w:tc>
        <w:tc>
          <w:tcPr>
            <w:tcW w:w="0" w:type="auto"/>
            <w:hideMark/>
          </w:tcPr>
          <w:p w14:paraId="1E1C23E7" w14:textId="77777777" w:rsidR="00142237" w:rsidRPr="002F49CF" w:rsidRDefault="00142237" w:rsidP="002F49CF">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Strategic contribution</w:t>
            </w:r>
          </w:p>
        </w:tc>
        <w:tc>
          <w:tcPr>
            <w:tcW w:w="0" w:type="auto"/>
            <w:hideMark/>
          </w:tcPr>
          <w:p w14:paraId="389A088B" w14:textId="77777777" w:rsidR="00142237" w:rsidRPr="002F49CF" w:rsidRDefault="00142237" w:rsidP="002F49CF">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Main limitation</w:t>
            </w:r>
          </w:p>
        </w:tc>
      </w:tr>
      <w:tr w:rsidR="00142237" w:rsidRPr="002F49CF" w14:paraId="28554A4A"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DF88F5"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India</w:t>
            </w:r>
          </w:p>
        </w:tc>
        <w:tc>
          <w:tcPr>
            <w:tcW w:w="0" w:type="auto"/>
            <w:hideMark/>
          </w:tcPr>
          <w:p w14:paraId="7595EDFA"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Design, manufacturing, sourcing, digital platforms, brand management and largest retail network</w:t>
            </w:r>
          </w:p>
        </w:tc>
        <w:tc>
          <w:tcPr>
            <w:tcW w:w="0" w:type="auto"/>
            <w:hideMark/>
          </w:tcPr>
          <w:p w14:paraId="13D77AE5"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Economies of scale, craftsmanship, innovation and financial resources</w:t>
            </w:r>
          </w:p>
        </w:tc>
        <w:tc>
          <w:tcPr>
            <w:tcW w:w="0" w:type="auto"/>
            <w:hideMark/>
          </w:tcPr>
          <w:p w14:paraId="4C926C65"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High dependence on domestic jewellery demand</w:t>
            </w:r>
          </w:p>
        </w:tc>
      </w:tr>
      <w:tr w:rsidR="00142237" w:rsidRPr="002F49CF" w14:paraId="44E11BBD"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6B0FCC6D"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GCC</w:t>
            </w:r>
          </w:p>
        </w:tc>
        <w:tc>
          <w:tcPr>
            <w:tcW w:w="0" w:type="auto"/>
            <w:hideMark/>
          </w:tcPr>
          <w:p w14:paraId="58225FBE"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Tanishq, Titan Eye+, subsidiaries and Damas network</w:t>
            </w:r>
          </w:p>
        </w:tc>
        <w:tc>
          <w:tcPr>
            <w:tcW w:w="0" w:type="auto"/>
            <w:hideMark/>
          </w:tcPr>
          <w:p w14:paraId="39BFD650"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Diaspora access, luxury-retail knowledge, premium positioning and regional scale</w:t>
            </w:r>
          </w:p>
        </w:tc>
        <w:tc>
          <w:tcPr>
            <w:tcW w:w="0" w:type="auto"/>
            <w:hideMark/>
          </w:tcPr>
          <w:p w14:paraId="0F8D902F"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Exposure to geopolitical disruption and gold-price volatility</w:t>
            </w:r>
          </w:p>
        </w:tc>
      </w:tr>
      <w:tr w:rsidR="00142237" w:rsidRPr="002F49CF" w14:paraId="5F89F912"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1F223"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North America</w:t>
            </w:r>
          </w:p>
        </w:tc>
        <w:tc>
          <w:tcPr>
            <w:tcW w:w="0" w:type="auto"/>
            <w:hideMark/>
          </w:tcPr>
          <w:p w14:paraId="7EE2DF56"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Tanishq stores and TCL North America</w:t>
            </w:r>
          </w:p>
        </w:tc>
        <w:tc>
          <w:tcPr>
            <w:tcW w:w="0" w:type="auto"/>
            <w:hideMark/>
          </w:tcPr>
          <w:p w14:paraId="609ED00A"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Access to affluent diaspora and developed-market learning</w:t>
            </w:r>
          </w:p>
        </w:tc>
        <w:tc>
          <w:tcPr>
            <w:tcW w:w="0" w:type="auto"/>
            <w:hideMark/>
          </w:tcPr>
          <w:p w14:paraId="479FFBC1"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High customer-acquisition and compliance costs</w:t>
            </w:r>
          </w:p>
        </w:tc>
      </w:tr>
      <w:tr w:rsidR="00142237" w:rsidRPr="002F49CF" w14:paraId="1FC74AC0"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4B251F33"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Singapore</w:t>
            </w:r>
          </w:p>
        </w:tc>
        <w:tc>
          <w:tcPr>
            <w:tcW w:w="0" w:type="auto"/>
            <w:hideMark/>
          </w:tcPr>
          <w:p w14:paraId="6A2AC470"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Tanishq retail presence</w:t>
            </w:r>
          </w:p>
        </w:tc>
        <w:tc>
          <w:tcPr>
            <w:tcW w:w="0" w:type="auto"/>
            <w:hideMark/>
          </w:tcPr>
          <w:p w14:paraId="05BEDF86"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Gateway to a diverse Asian consumer market</w:t>
            </w:r>
          </w:p>
        </w:tc>
        <w:tc>
          <w:tcPr>
            <w:tcW w:w="0" w:type="auto"/>
            <w:hideMark/>
          </w:tcPr>
          <w:p w14:paraId="0691BB33"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Small national market and intense luxury competition</w:t>
            </w:r>
          </w:p>
        </w:tc>
      </w:tr>
      <w:tr w:rsidR="00142237" w:rsidRPr="002F49CF" w14:paraId="48A47E41"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8B7C92"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Proposed Brazil</w:t>
            </w:r>
          </w:p>
        </w:tc>
        <w:tc>
          <w:tcPr>
            <w:tcW w:w="0" w:type="auto"/>
            <w:hideMark/>
          </w:tcPr>
          <w:p w14:paraId="7136B831"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Jewellery, watches and omnichannel retail</w:t>
            </w:r>
          </w:p>
        </w:tc>
        <w:tc>
          <w:tcPr>
            <w:tcW w:w="0" w:type="auto"/>
            <w:hideMark/>
          </w:tcPr>
          <w:p w14:paraId="5B4510C2"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Entry into Latin America, mainstream consumer learning and geographic diversification</w:t>
            </w:r>
          </w:p>
        </w:tc>
        <w:tc>
          <w:tcPr>
            <w:tcW w:w="0" w:type="auto"/>
            <w:hideMark/>
          </w:tcPr>
          <w:p w14:paraId="03A0BDF8"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Cultural, taxation, regulatory and currency risks</w:t>
            </w:r>
          </w:p>
        </w:tc>
      </w:tr>
    </w:tbl>
    <w:p w14:paraId="698C4F10"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Titan Company (2026a, 2026b), Tang and Buckley (2022), and Donnelly et al. (2024).</w:t>
      </w:r>
    </w:p>
    <w:p w14:paraId="10E38A91"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Titan's official international presence shows that its international retail strategy is presently geared towards the GCC, United States, and Singapore. Subsidiaries of FY2026 include Titan International QFZ, Titan Global Retail, TCL North America and Titan Holdings International but not any Brazilian entity. This would spread Titan's reach beyond its current geographic focus and necessitate some new capabilities that Brazil has not as much vetted through its diaspora-driven model.</w:t>
      </w:r>
    </w:p>
    <w:p w14:paraId="7BD6CAFD" w14:textId="68A404F1"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noProof/>
          <w:color w:val="000000" w:themeColor="text1"/>
        </w:rPr>
        <w:drawing>
          <wp:inline distT="0" distB="0" distL="0" distR="0" wp14:anchorId="775E8EFA" wp14:editId="735FF16D">
            <wp:extent cx="5731510" cy="3948430"/>
            <wp:effectExtent l="0" t="0" r="0" b="1270"/>
            <wp:docPr id="1372149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49399" name=""/>
                    <pic:cNvPicPr/>
                  </pic:nvPicPr>
                  <pic:blipFill>
                    <a:blip r:embed="rId9"/>
                    <a:stretch>
                      <a:fillRect/>
                    </a:stretch>
                  </pic:blipFill>
                  <pic:spPr>
                    <a:xfrm>
                      <a:off x="0" y="0"/>
                      <a:ext cx="5731510" cy="3948430"/>
                    </a:xfrm>
                    <a:prstGeom prst="rect">
                      <a:avLst/>
                    </a:prstGeom>
                  </pic:spPr>
                </pic:pic>
              </a:graphicData>
            </a:graphic>
          </wp:inline>
        </w:drawing>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Figure 1:Titan’s Current Global Value-Creation Configuration</w:t>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Bartlett and Ghoshal (1989), Titan Company (2026a), and Titan Company (2026b).</w:t>
      </w:r>
    </w:p>
    <w:p w14:paraId="7A364E5B" w14:textId="10D2B469" w:rsidR="00142237" w:rsidRPr="002F49CF" w:rsidRDefault="00142237" w:rsidP="002F49CF">
      <w:pPr>
        <w:pStyle w:val="Heading2"/>
        <w:spacing w:line="360" w:lineRule="auto"/>
      </w:pPr>
      <w:bookmarkStart w:id="5" w:name="_Toc236398174"/>
      <w:r w:rsidRPr="002F49CF">
        <w:t>Macro-Environmental Appraisal and Market Attractiveness</w:t>
      </w:r>
      <w:bookmarkEnd w:id="5"/>
    </w:p>
    <w:p w14:paraId="10690268" w14:textId="3E924BC8" w:rsidR="00142237" w:rsidRPr="002F49CF" w:rsidRDefault="00142237" w:rsidP="002F49CF">
      <w:pPr>
        <w:pStyle w:val="Heading3"/>
        <w:spacing w:line="360" w:lineRule="auto"/>
      </w:pPr>
      <w:bookmarkStart w:id="6" w:name="_Toc236398175"/>
      <w:r w:rsidRPr="002F49CF">
        <w:t>Brazilian Market Opportunity</w:t>
      </w:r>
      <w:bookmarkEnd w:id="6"/>
    </w:p>
    <w:p w14:paraId="035D4441"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Brazil is the biggest consumer market in Latin America, and the second in the Western Hemisphere. In 2025, it had a population of 213.4 million and GDP grew at 1.8% in Q1 2026 and by ~2.0% in the previous four quarters. The unemployment rate was close to 6.1% in the first quarter 2026. The current-value growth in the 2025 period was around 11% and the size of the ellery market was around BRL23 billion. The value of fine jewellery was about BRL20.4 billion, and there was demand from wealthy consumers, gifting and the perceived value of fine jewellery as a store of value. The overall market for luxury goods in Brazil expanded by about 8% to BRL56.8 billion. Two million connected watches were sold in the traditional and connected-watch market in 2025, but established local brand Technos and Apple held strong competitive positions and tics do not guarantee profitability. The current value growth is partly due to inflation and gold price increases and not to a growth in volume. The cities with a high number of high-income consumers are São Paulo, Rio, Brasília, Belo Horizonte and Curitiba. Titan must thus not think of the national population in Brazil as a target market. A focused urban-cluster approach is more suitable than the rapid speed to cover the country, given that luxury consumption is based on experience retailing, reputation and relationship marketing (Batat, 2023; Jain &amp; Shankar, 2023; Wang et al., 2024).</w:t>
      </w:r>
    </w:p>
    <w:p w14:paraId="49043F22" w14:textId="0FF87276"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noProof/>
          <w:color w:val="000000" w:themeColor="text1"/>
        </w:rPr>
        <w:drawing>
          <wp:inline distT="0" distB="0" distL="0" distR="0" wp14:anchorId="494BD868" wp14:editId="26B8D66A">
            <wp:extent cx="5731510" cy="3989705"/>
            <wp:effectExtent l="0" t="0" r="0" b="0"/>
            <wp:docPr id="40889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9245" name=""/>
                    <pic:cNvPicPr/>
                  </pic:nvPicPr>
                  <pic:blipFill>
                    <a:blip r:embed="rId10"/>
                    <a:stretch>
                      <a:fillRect/>
                    </a:stretch>
                  </pic:blipFill>
                  <pic:spPr>
                    <a:xfrm>
                      <a:off x="0" y="0"/>
                      <a:ext cx="5731510" cy="3989705"/>
                    </a:xfrm>
                    <a:prstGeom prst="rect">
                      <a:avLst/>
                    </a:prstGeom>
                  </pic:spPr>
                </pic:pic>
              </a:graphicData>
            </a:graphic>
          </wp:inline>
        </w:drawing>
      </w:r>
    </w:p>
    <w:p w14:paraId="4DA81405" w14:textId="42BDD8E9" w:rsidR="00142237" w:rsidRPr="002F49CF" w:rsidRDefault="00142237" w:rsidP="002F49CF">
      <w:pPr>
        <w:spacing w:line="360" w:lineRule="auto"/>
        <w:rPr>
          <w:rFonts w:asciiTheme="majorBidi" w:hAnsiTheme="majorBidi" w:cstheme="majorBidi"/>
          <w:b/>
          <w:bCs/>
          <w:color w:val="000000" w:themeColor="text1"/>
        </w:rPr>
      </w:pPr>
      <w:r w:rsidRPr="002F49CF">
        <w:rPr>
          <w:rFonts w:asciiTheme="majorBidi" w:hAnsiTheme="majorBidi" w:cstheme="majorBidi"/>
          <w:b/>
          <w:bCs/>
          <w:color w:val="000000" w:themeColor="text1"/>
        </w:rPr>
        <w:t>Figure 2: Brazilian Market Attractiveness–Risk Balance</w:t>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IBGE (2026a), Euromonitor International (2026a), Receita Federal do Brasil (2026a), and Zhang et al. (2023).</w:t>
      </w:r>
    </w:p>
    <w:p w14:paraId="4414F2C8" w14:textId="294030C4" w:rsidR="00142237" w:rsidRPr="002F49CF" w:rsidRDefault="00142237" w:rsidP="002F49CF">
      <w:pPr>
        <w:pStyle w:val="Heading3"/>
        <w:spacing w:line="360" w:lineRule="auto"/>
      </w:pPr>
      <w:bookmarkStart w:id="7" w:name="_Toc236398176"/>
      <w:r w:rsidRPr="002F49CF">
        <w:t>Political and Governmental Environment</w:t>
      </w:r>
      <w:bookmarkEnd w:id="7"/>
    </w:p>
    <w:p w14:paraId="54DBBE9C" w14:textId="77777777" w:rsidR="002F49CF" w:rsidRPr="002F49CF" w:rsidRDefault="002F49CF" w:rsidP="002F49CF">
      <w:pPr>
        <w:spacing w:line="360" w:lineRule="auto"/>
        <w:rPr>
          <w:rFonts w:asciiTheme="majorBidi" w:hAnsiTheme="majorBidi" w:cstheme="majorBidi"/>
          <w:color w:val="000000" w:themeColor="text1"/>
        </w:rPr>
      </w:pPr>
      <w:bookmarkStart w:id="8" w:name="_Toc236398177"/>
      <w:r w:rsidRPr="002F49CF">
        <w:rPr>
          <w:rFonts w:asciiTheme="majorBidi" w:hAnsiTheme="majorBidi" w:cstheme="majorBidi"/>
          <w:color w:val="000000" w:themeColor="text1"/>
        </w:rPr>
        <w:t>Foreign investment is generally allowed in the majority of the consumer retail sector and foreign investors are treated in a similar manner to domestic investors in Brazil. Restrictions continue in certain sectors including media, telecommunications, rural property and maritime activities, however, these restrictions are not applicable to foreign jewellery and watch retailing. Formal openness should not be equated with institutional simplicity, however, as the government has launched the Brazil Single Window for Investments to streamline information and reduce administrative complexity (Brazilian Ministry of Foreign Affairs, 2026; International Trade Administration, 2025a). Brazil is a federally organized country, meaning that there are differences in taxation, licensing, administration of labour and regulatory enforcement across federal, state and municipal institutions. Infrastructure limitations, inflexible processes, complicated tax regimes and regulatory uncertainty are often cited as aspects of “Brazil cost” by foreign companies. Research on institutional distance reveals that the impact of this complexity will not only be a matter of distance but will also be influenced by the company's resources and its local knowledge and ability to establish institutional support (Donnelly et al., 2024; Haddad &amp; Verriest, 2025; Zhang et al., 2023).</w:t>
      </w:r>
    </w:p>
    <w:p w14:paraId="0D2C3CFE"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This can be expected to lead to more policy and exchange-rate volatility in the 2026 electoral cycle. Even if fundamental foreign investment guarantees are not at stake, political rivalry can affect how consumers feel, their fiscal expectations and regulatory priorities. An electoral transition would thus immediately before or during it, therefore, carry an avoidable timing risk for Titan with a high resource commitment. Holmes et al. (2025) do not take the view that a single variable of governance affects investment attractiveness. Titan should therefore engage in scenario planning with regard to depreciation, reduced consumption, tax changes, change in import policy and tax transition delays.</w:t>
      </w:r>
    </w:p>
    <w:p w14:paraId="752C9956"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Political risk is not insurmountable, but is manageable. Brazil draws significant FDI and traditionally more than half of South American FDI inflows. Unlike markets where there are no fundamental property rights, it has an established judiciary, a consumer market, and institutional structure. But it will also require improved ties with local government and stakeholders to manage approvals, mall development, customs and employment and sustainability demands (Bothner, 2024; Lee et al., 2024; Reddy, 2024).</w:t>
      </w:r>
    </w:p>
    <w:p w14:paraId="50CC1A7B" w14:textId="2E0694C9" w:rsidR="00142237" w:rsidRPr="002F49CF" w:rsidRDefault="00142237" w:rsidP="002F49CF">
      <w:pPr>
        <w:pStyle w:val="Heading3"/>
        <w:spacing w:line="360" w:lineRule="auto"/>
      </w:pPr>
      <w:r w:rsidRPr="002F49CF">
        <w:t>Economic and Financial Environment</w:t>
      </w:r>
      <w:bookmarkEnd w:id="8"/>
    </w:p>
    <w:p w14:paraId="66B760F1" w14:textId="77777777" w:rsidR="002F49CF" w:rsidRPr="002F49CF" w:rsidRDefault="002F49CF" w:rsidP="002F49CF">
      <w:pPr>
        <w:spacing w:line="360" w:lineRule="auto"/>
        <w:rPr>
          <w:rFonts w:asciiTheme="majorBidi" w:hAnsiTheme="majorBidi" w:cstheme="majorBidi"/>
          <w:color w:val="000000" w:themeColor="text1"/>
        </w:rPr>
      </w:pPr>
      <w:bookmarkStart w:id="9" w:name="_Toc236398178"/>
      <w:r w:rsidRPr="002F49CF">
        <w:rPr>
          <w:rFonts w:asciiTheme="majorBidi" w:hAnsiTheme="majorBidi" w:cstheme="majorBidi"/>
          <w:color w:val="000000" w:themeColor="text1"/>
        </w:rPr>
        <w:t>The advantage of the scale is the size of Brazil's economy, but Titan would be coming in at a time of relatively tight monetary policy. The consumer inflation rate for 12 months ending in June 2026 stood at 4.64% and interest rates remained high. High borrowing rates can dampen discretionary spending, grow the retail-development expenses and boost the price of local stock. The demand for jewellery could remain relatively robust among high-income consumers, who might value the emotional, status and investment aspect of gold and fine jewellery; however, the affordability of instalments and the cost of credit are significant concerns for middle-income customers (IBGE, 2026b; Kumar, 2024; Wang et al., 2024). Initially, Titan's jewellery and watch products would be largely sourced from India with the Brazilian revenue in reais. Loss in the real value vis-à-vis the Indian rupee or the US dollar would mean higher landed costs, lesser margins or price hikes. Titan would be subject to both exchange-rate and gold-price volatility since gold is internationally-priced. The recent performance at Titan indicates that the worthiness of higher gold prices can lead to an improvement in transaction worthiness while simultaneously squeezing margins and buyer volume (Reuters, 2026a; Titan Company, 2026a). quality is also a segment that needs careful consideration. Premium growth does not mean mass affordability and one "national price architecture" wouldn't work. Titan should bifurcate its business into two segments for high-income fine-jewellery buyers – Tanishq or Zoya and another for accessible fine jewellery – Mia or CaratLane, and further divide its watch-business into Titan and Fastrack and Sonata. This portfolio offers an ownership advantage since Titan can tap into multiple consumer segments without having to dilute one brand (Al-Issa et al., 2024; Liu et al., 2023; Ting &amp; Ahn, 2024).</w:t>
      </w:r>
    </w:p>
    <w:p w14:paraId="240EEEFF"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 digital-payment infrastructure is a positive location advantage in Brazil. The volume of transactions Pix can process is gigantic, and it has become a popular instant-payment system. It helps to lower the friction of payment and can be used for deposits and online transactions and instalment-based services. However, for the high-value jewellery purchases, trust, consultation, examination of the jewellery and after-sales services are still necessary. The integrated physical/digital model is therefore superior to the pure e-commerce (Lehrer &amp; Trenz, 2022; Wolf &amp; Steul-Fischer,  2023) and ractiveness is therefore conditional. The size and high quality requirements of the Brazilian market warrant penetration, and for money to be made, there must be inventory management, currency hedging, and appropriate price levels and progressive investment. Titan should adopt the principle of 'rolling inventory' and limited pilot collections and local working-capital financing instead of sending a wide range of India designed inventory before it is proven.</w:t>
      </w:r>
    </w:p>
    <w:p w14:paraId="08872610" w14:textId="5458201D" w:rsidR="00142237" w:rsidRPr="002F49CF" w:rsidRDefault="00142237" w:rsidP="002F49CF">
      <w:pPr>
        <w:pStyle w:val="Heading3"/>
        <w:spacing w:line="360" w:lineRule="auto"/>
      </w:pPr>
      <w:r w:rsidRPr="002F49CF">
        <w:t>Legal and Regulatory Environment</w:t>
      </w:r>
      <w:bookmarkEnd w:id="9"/>
    </w:p>
    <w:p w14:paraId="4F898D84"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 legal framework is the greatest challenge for implementation in Brazil. There are a number of cumulative taxes imposed on imports, the most important of which are Import Duty, PIS/COFINS contributions and state level ICMS. Depending on the classification of the product, its value, and origin and state, a varying liability applies, and the nominal customs duties are not equal to the real landed costs. The complexity of this structure renders a pure export model a structurally unattractive way to expand when contrasted with local competitors that manufacture or source locally (International Trade Administration, 2025b; Receita Federal do Brasil, 2026a), as they roll out their consumption-tax reform in 2026 via the CBS and IBS. During the transition, businesses will need to adjust their systems, such as electronic invoices, reporting, and transaction documentation. The tax reform in the longer term will ease tax complexity, the transition will lead to a short term uncertainty and compliance parallelism. The regulation also establishes product-specific obligations, which would call for a localisation of the stores by Brazilian tax experts, as well as enterprise-resource-planning (ERP) scenario modelling prior to their opening. Jewellery and fashion jewellery according to Inmetro's technical regulation is not allowed to have cadmium and lead in excess of the limits established. The obligations are for manufacturers, importers, distributors and retailers. Thus, Titan will need to register materials and suppliers and laboratory tests along its supply chain in Brazil. Their protection is robust, especially regarding price, returns, warranties, advertising and product information, which is strategically aligned with Tanishq's trust and purity positioning, but at the cost of compliance expenses (INMETRO, 2026; Ellimäki et al., 2023; Polloni-Silva et al., 2025). An explanation in Portuguese of the fineness of the gold, how the gemstones have been treated, weight, care conditions, after-sales rights would be crucial. Before launch, it is also advisable for Titan to register brands in Brazil with the National Institute of Industrial Property, as there is little mainstream knowledge in Brazil with the brands and they may be subject to imitators or conflicting registrations.</w:t>
      </w:r>
    </w:p>
    <w:p w14:paraId="6B06D9AA"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Personalisation based upon data needs to be consistent with the General Data Protection Act of Brazil. Jewellery selling can necessitate sensitive data associated with identification, payment, as well as customer-profile data, and omnichannel retailing links websites, customer-relationship management systems and stores. Portugal privacy notices, lawful consent mechanisms, local incident-response procedures and data minimisation would be necessary for Titan. The research on digital internationalisation highlights the importance of the role of data regulation in turning compliance based on location into a significant internalisation decision (Banalieva &amp; Dhanaraj, 2019; Chen et al., 2019; Nambisan et al., 2019).</w:t>
      </w:r>
    </w:p>
    <w:p w14:paraId="00D9515D"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There must also be a consideration of the economics of stores in the context of labour regulation and employment-related costs. Luxury value is co-created by means of trust, advice and personal interaction, which requires highly trained jewellery consultants. Titan should not do the minimum on service because of taxes, as an insufficient difference in service would not be sufficient for the difference in price. Extensive expatriate staffing is not as preferable as local recruitment coupled with training by Titan.</w:t>
      </w:r>
    </w:p>
    <w:p w14:paraId="4CC76DC8" w14:textId="2B644799" w:rsidR="00142237" w:rsidRPr="002F49CF" w:rsidRDefault="00142237" w:rsidP="002F49CF">
      <w:pPr>
        <w:spacing w:line="360" w:lineRule="auto"/>
        <w:rPr>
          <w:rFonts w:asciiTheme="majorBidi" w:hAnsiTheme="majorBidi" w:cstheme="majorBidi"/>
          <w:b/>
          <w:bCs/>
          <w:color w:val="000000" w:themeColor="text1"/>
        </w:rPr>
      </w:pPr>
      <w:r w:rsidRPr="002F49CF">
        <w:rPr>
          <w:rFonts w:asciiTheme="majorBidi" w:hAnsiTheme="majorBidi" w:cstheme="majorBidi"/>
          <w:b/>
          <w:bCs/>
          <w:color w:val="000000" w:themeColor="text1"/>
        </w:rPr>
        <w:t>Table 2: Critical Brazilian Macro-Environmental Factors for Titan</w:t>
      </w:r>
    </w:p>
    <w:tbl>
      <w:tblPr>
        <w:tblStyle w:val="GridTable4-Accent6"/>
        <w:tblW w:w="0" w:type="auto"/>
        <w:tblLook w:val="04A0" w:firstRow="1" w:lastRow="0" w:firstColumn="1" w:lastColumn="0" w:noHBand="0" w:noVBand="1"/>
      </w:tblPr>
      <w:tblGrid>
        <w:gridCol w:w="1643"/>
        <w:gridCol w:w="2246"/>
        <w:gridCol w:w="2072"/>
        <w:gridCol w:w="3055"/>
      </w:tblGrid>
      <w:tr w:rsidR="00142237" w:rsidRPr="002F49CF" w14:paraId="17F5879D" w14:textId="77777777" w:rsidTr="001422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CB6714" w14:textId="77777777" w:rsidR="00142237" w:rsidRPr="002F49CF" w:rsidRDefault="00142237" w:rsidP="002F49CF">
            <w:pPr>
              <w:spacing w:line="360" w:lineRule="auto"/>
              <w:jc w:val="center"/>
              <w:rPr>
                <w:rFonts w:asciiTheme="majorBidi" w:hAnsiTheme="majorBidi" w:cstheme="majorBidi"/>
                <w:color w:val="000000" w:themeColor="text1"/>
              </w:rPr>
            </w:pPr>
            <w:r w:rsidRPr="002F49CF">
              <w:rPr>
                <w:rFonts w:asciiTheme="majorBidi" w:hAnsiTheme="majorBidi" w:cstheme="majorBidi"/>
                <w:color w:val="000000" w:themeColor="text1"/>
              </w:rPr>
              <w:t>Dimension</w:t>
            </w:r>
          </w:p>
        </w:tc>
        <w:tc>
          <w:tcPr>
            <w:tcW w:w="0" w:type="auto"/>
            <w:hideMark/>
          </w:tcPr>
          <w:p w14:paraId="2B3E2071" w14:textId="77777777" w:rsidR="00142237" w:rsidRPr="002F49CF" w:rsidRDefault="00142237" w:rsidP="002F49CF">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Opportunity</w:t>
            </w:r>
          </w:p>
        </w:tc>
        <w:tc>
          <w:tcPr>
            <w:tcW w:w="0" w:type="auto"/>
            <w:hideMark/>
          </w:tcPr>
          <w:p w14:paraId="096F4F0B" w14:textId="77777777" w:rsidR="00142237" w:rsidRPr="002F49CF" w:rsidRDefault="00142237" w:rsidP="002F49CF">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Risk</w:t>
            </w:r>
          </w:p>
        </w:tc>
        <w:tc>
          <w:tcPr>
            <w:tcW w:w="0" w:type="auto"/>
            <w:hideMark/>
          </w:tcPr>
          <w:p w14:paraId="0E38111F" w14:textId="77777777" w:rsidR="00142237" w:rsidRPr="002F49CF" w:rsidRDefault="00142237" w:rsidP="002F49CF">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Strategic response</w:t>
            </w:r>
          </w:p>
        </w:tc>
      </w:tr>
      <w:tr w:rsidR="00142237" w:rsidRPr="002F49CF" w14:paraId="4F5219A3"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605219"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Political</w:t>
            </w:r>
          </w:p>
        </w:tc>
        <w:tc>
          <w:tcPr>
            <w:tcW w:w="0" w:type="auto"/>
            <w:hideMark/>
          </w:tcPr>
          <w:p w14:paraId="273A6E89"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Openness to foreign retail investment and investment-facilitation reforms</w:t>
            </w:r>
          </w:p>
        </w:tc>
        <w:tc>
          <w:tcPr>
            <w:tcW w:w="0" w:type="auto"/>
            <w:hideMark/>
          </w:tcPr>
          <w:p w14:paraId="07AF555D"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Electoral, fiscal and regulatory uncertainty</w:t>
            </w:r>
          </w:p>
        </w:tc>
        <w:tc>
          <w:tcPr>
            <w:tcW w:w="0" w:type="auto"/>
            <w:hideMark/>
          </w:tcPr>
          <w:p w14:paraId="6C6A9139"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Stage investment and maintain government/stakeholder engagement</w:t>
            </w:r>
          </w:p>
        </w:tc>
      </w:tr>
      <w:tr w:rsidR="00142237" w:rsidRPr="002F49CF" w14:paraId="1C2614E2"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1BAE6BA4"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Economic</w:t>
            </w:r>
          </w:p>
        </w:tc>
        <w:tc>
          <w:tcPr>
            <w:tcW w:w="0" w:type="auto"/>
            <w:hideMark/>
          </w:tcPr>
          <w:p w14:paraId="0D643BDD"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Large population, premiumisation and BRL23bn jewellery market</w:t>
            </w:r>
          </w:p>
        </w:tc>
        <w:tc>
          <w:tcPr>
            <w:tcW w:w="0" w:type="auto"/>
            <w:hideMark/>
          </w:tcPr>
          <w:p w14:paraId="5959331F"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High rates, inequality, currency and gold volatility</w:t>
            </w:r>
          </w:p>
        </w:tc>
        <w:tc>
          <w:tcPr>
            <w:tcW w:w="0" w:type="auto"/>
            <w:hideMark/>
          </w:tcPr>
          <w:p w14:paraId="4E0B220C"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Urban segmentation, hedging and controlled inventory</w:t>
            </w:r>
          </w:p>
        </w:tc>
      </w:tr>
      <w:tr w:rsidR="00142237" w:rsidRPr="002F49CF" w14:paraId="66E02449"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BD280"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Legal</w:t>
            </w:r>
          </w:p>
        </w:tc>
        <w:tc>
          <w:tcPr>
            <w:tcW w:w="0" w:type="auto"/>
            <w:hideMark/>
          </w:tcPr>
          <w:p w14:paraId="06C785BE"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Formal consumer and product standards support trustworthy brands</w:t>
            </w:r>
          </w:p>
        </w:tc>
        <w:tc>
          <w:tcPr>
            <w:tcW w:w="0" w:type="auto"/>
            <w:hideMark/>
          </w:tcPr>
          <w:p w14:paraId="2F628CA3"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Cumulative taxes, customs and complex compliance</w:t>
            </w:r>
          </w:p>
        </w:tc>
        <w:tc>
          <w:tcPr>
            <w:tcW w:w="0" w:type="auto"/>
            <w:hideMark/>
          </w:tcPr>
          <w:p w14:paraId="72BA0F0C"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Local legal entity, tax specialists and supply-chain traceability</w:t>
            </w:r>
          </w:p>
        </w:tc>
      </w:tr>
      <w:tr w:rsidR="00142237" w:rsidRPr="002F49CF" w14:paraId="22BE42BE"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3FDCF822"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Cultural</w:t>
            </w:r>
          </w:p>
        </w:tc>
        <w:tc>
          <w:tcPr>
            <w:tcW w:w="0" w:type="auto"/>
            <w:hideMark/>
          </w:tcPr>
          <w:p w14:paraId="1B28149C"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Symbolic gifting, status consumption and demand for personalised retail</w:t>
            </w:r>
          </w:p>
        </w:tc>
        <w:tc>
          <w:tcPr>
            <w:tcW w:w="0" w:type="auto"/>
            <w:hideMark/>
          </w:tcPr>
          <w:p w14:paraId="6BAB597E"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Low brand awareness and differences from Indian jewellery traditions</w:t>
            </w:r>
          </w:p>
        </w:tc>
        <w:tc>
          <w:tcPr>
            <w:tcW w:w="0" w:type="auto"/>
            <w:hideMark/>
          </w:tcPr>
          <w:p w14:paraId="27953927"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Portuguese branding, Brazilian collections and local relationship marketing</w:t>
            </w:r>
          </w:p>
        </w:tc>
      </w:tr>
      <w:tr w:rsidR="00142237" w:rsidRPr="002F49CF" w14:paraId="6D92B507"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1347FD"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Technological</w:t>
            </w:r>
          </w:p>
        </w:tc>
        <w:tc>
          <w:tcPr>
            <w:tcW w:w="0" w:type="auto"/>
            <w:hideMark/>
          </w:tcPr>
          <w:p w14:paraId="16BDB45E"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Pix and expanding omnichannel behaviour</w:t>
            </w:r>
          </w:p>
        </w:tc>
        <w:tc>
          <w:tcPr>
            <w:tcW w:w="0" w:type="auto"/>
            <w:hideMark/>
          </w:tcPr>
          <w:p w14:paraId="06BD2C94"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Cybersecurity and data-protection obligations</w:t>
            </w:r>
          </w:p>
        </w:tc>
        <w:tc>
          <w:tcPr>
            <w:tcW w:w="0" w:type="auto"/>
            <w:hideMark/>
          </w:tcPr>
          <w:p w14:paraId="2263E69C" w14:textId="77777777" w:rsidR="00142237" w:rsidRPr="002F49CF" w:rsidRDefault="00142237" w:rsidP="002F49CF">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Integrated digital platform with LGPD-compliant data governance</w:t>
            </w:r>
          </w:p>
        </w:tc>
      </w:tr>
      <w:tr w:rsidR="00142237" w:rsidRPr="002F49CF" w14:paraId="1DADD69C"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3037BCE3"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Sustainability</w:t>
            </w:r>
          </w:p>
        </w:tc>
        <w:tc>
          <w:tcPr>
            <w:tcW w:w="0" w:type="auto"/>
            <w:hideMark/>
          </w:tcPr>
          <w:p w14:paraId="65562728"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Demand for rarity, authenticity and responsible products</w:t>
            </w:r>
          </w:p>
        </w:tc>
        <w:tc>
          <w:tcPr>
            <w:tcW w:w="0" w:type="auto"/>
            <w:hideMark/>
          </w:tcPr>
          <w:p w14:paraId="35290971"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Scrutiny of mining, materials and sourcing claims</w:t>
            </w:r>
          </w:p>
        </w:tc>
        <w:tc>
          <w:tcPr>
            <w:tcW w:w="0" w:type="auto"/>
            <w:hideMark/>
          </w:tcPr>
          <w:p w14:paraId="025BFAB6" w14:textId="77777777" w:rsidR="00142237" w:rsidRPr="002F49CF" w:rsidRDefault="00142237" w:rsidP="002F49CF">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Verified recycled gold, traceable stones and evidence-based ESG communication</w:t>
            </w:r>
          </w:p>
        </w:tc>
      </w:tr>
    </w:tbl>
    <w:p w14:paraId="236F8426" w14:textId="2D61BD61"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International Trade Administration (2025a, 2025b), IBGE (2026a), INMETRO (2026), Wang et al. (2024), and Wolf and Steul-Fischer (2023).</w:t>
      </w:r>
    </w:p>
    <w:p w14:paraId="082D7BAD" w14:textId="66B73711" w:rsidR="00142237" w:rsidRPr="002F49CF" w:rsidRDefault="00142237" w:rsidP="002F49CF">
      <w:pPr>
        <w:pStyle w:val="Heading3"/>
        <w:spacing w:line="360" w:lineRule="auto"/>
      </w:pPr>
      <w:bookmarkStart w:id="10" w:name="_Toc236398179"/>
      <w:r w:rsidRPr="002F49CF">
        <w:t>Cultural and Consumer Environment</w:t>
      </w:r>
      <w:bookmarkEnd w:id="10"/>
    </w:p>
    <w:p w14:paraId="031CAB39" w14:textId="77777777" w:rsidR="002F49CF" w:rsidRPr="002F49CF" w:rsidRDefault="002F49CF" w:rsidP="002F49CF">
      <w:pPr>
        <w:spacing w:line="360" w:lineRule="auto"/>
        <w:rPr>
          <w:rFonts w:asciiTheme="majorBidi" w:hAnsiTheme="majorBidi" w:cstheme="majorBidi"/>
          <w:color w:val="000000" w:themeColor="text1"/>
        </w:rPr>
      </w:pPr>
      <w:bookmarkStart w:id="11" w:name="_Toc236398180"/>
      <w:r w:rsidRPr="002F49CF">
        <w:rPr>
          <w:rFonts w:asciiTheme="majorBidi" w:hAnsiTheme="majorBidi" w:cstheme="majorBidi"/>
          <w:color w:val="000000" w:themeColor="text1"/>
        </w:rPr>
        <w:t>Despite the fact that both India and Brazil are large emerging economies, there is a considerable cultural gap between the two. Portuguese is needed to communicate, for contracts, digital interfaces and customer service. In Brazil, commercial relationships are more related to personal credibility, networks and repeated interaction and regional identities impact design and consumption. While national-culture scores do provide a first indication, these should not be interpreted as determinate as there are significant social, regional and generational differences in Brazil (Beugelsdijk et al., 2018; Ettalibi et al., 2025; Kostova et al., 2020).</w:t>
      </w:r>
    </w:p>
    <w:p w14:paraId="7DE1608D"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Titan's current international jewellery model is an advantage to the Indian heritage and familiarity with the diaspora. The situation is different in Brazil, where customers are not likely to have any previous contact with Tanishq's background, wedding collections, purity innovations. Transplanting Indian bridal designs directly would put a cap on the market. Instead, Titan should re-interpret its functionalities into Brazilian cultural significance, such as celebration, relationships, colour, craftsmanship, self-expression, and symbolic gifting (Batat, 2023; Pangarkar &amp; Rathee, 2023; Ting &amp; Ahn, 2024).</w:t>
      </w:r>
    </w:p>
    <w:p w14:paraId="4A41FFEE"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Product adaptation is of special significance. Indian jewellery has traditionally preferred to gold of higher purity and also welcomed towards wedding jewellery while the Brazilian fine jewellery sector has mostly been adopting light designs and 18-carat or 750 gold. Titan needs to design 18K collections that cater to the taste of the Brazilian people and continue to offer a few Indian-inspired products as special editions. It is important that its design should be a combination of Brazilian gemstones, local colour palette and contemporary forms while upholding Tanishq's craftsmanship and purity guarantee. mers are becoming more keen on looking at symbolic, experiential, ethical and digital value than just the visible status, which must be a part of their design. Research shows that luxury desire and willingness to pay are driven by the factors of cultural symbolism, perceived rarity, and sustainability and self-expression (Al-Issa et al., 2024; Liu et al., 2023; Wang et al., 2024). While sustainability claims must be verifiable, craftsmanship demonstrations, stories about the gems and transparent sourcing and personal consultations can help Titan differentiate. General claims, like “ethical gold”, with no traceability, could lead to a reputational and legal risk.</w:t>
      </w:r>
    </w:p>
    <w:p w14:paraId="61041DDB"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Consumers in Brazil also engage in social media, influencers and digital research when travelling for luxury. However, when the customer has a physical examination, he or she may research online and buy in stores, as the perceived risk is less. Thus, Titan requires a Portuguese language omnichannel platform that includes appointment booking, virtual consultation, inventory transparency, click-and-collect, and Pix payment and after-sales support (Jain &amp; Shankar, 2023; Lehrer &amp; Trenz, 2022; Park &amp; Chun, 2025; Wolf &amp; Steul-Fischer, 2023).</w:t>
      </w:r>
    </w:p>
    <w:p w14:paraId="75FA56F0"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São Paulo is the best place to launch the product due to its high concentration of customers, luxurious malls, business connections and fashion industry. The first time the presence is in a recognised premium shopping environment, some location legitimacy would be transferred to Titan. The expansion to Rio de Janeiro, Brasília and other cities should only take place after the validation of customer economics, system of compliance and product preferences.</w:t>
      </w:r>
    </w:p>
    <w:p w14:paraId="489D1439" w14:textId="1F851FF9" w:rsidR="00142237" w:rsidRPr="002F49CF" w:rsidRDefault="00142237" w:rsidP="002F49CF">
      <w:pPr>
        <w:pStyle w:val="Heading2"/>
        <w:spacing w:line="360" w:lineRule="auto"/>
      </w:pPr>
      <w:r w:rsidRPr="002F49CF">
        <w:t>OLI Analysis of Titan’s Proposed Brazilian Entry</w:t>
      </w:r>
      <w:bookmarkEnd w:id="11"/>
    </w:p>
    <w:p w14:paraId="3D012DE0" w14:textId="77777777" w:rsidR="002F49CF" w:rsidRPr="002F49CF" w:rsidRDefault="002F49CF" w:rsidP="002F49CF">
      <w:pPr>
        <w:spacing w:line="360" w:lineRule="auto"/>
        <w:rPr>
          <w:rFonts w:asciiTheme="majorBidi" w:hAnsiTheme="majorBidi" w:cstheme="majorBidi"/>
          <w:color w:val="000000" w:themeColor="text1"/>
        </w:rPr>
      </w:pPr>
      <w:bookmarkStart w:id="12" w:name="_Toc236398181"/>
      <w:r w:rsidRPr="002F49CF">
        <w:rPr>
          <w:rFonts w:asciiTheme="majorBidi" w:hAnsiTheme="majorBidi" w:cstheme="majorBidi"/>
          <w:color w:val="000000" w:themeColor="text1"/>
        </w:rPr>
        <w:t>According to Dunning's eclectic paradigm, foreign direct investment will be suitable when a firm has the ownership advantages, location advantages and internalising the activities will create more value than licensing or contracting them out (Dunning, 1988; Mahasuar, 2023; Tang &amp; Buckley, 2022).</w:t>
      </w:r>
    </w:p>
    <w:p w14:paraId="044E0641" w14:textId="042778D8" w:rsidR="00142237" w:rsidRPr="002F49CF" w:rsidRDefault="00142237" w:rsidP="002F49CF">
      <w:pPr>
        <w:pStyle w:val="Heading3"/>
        <w:spacing w:line="360" w:lineRule="auto"/>
      </w:pPr>
      <w:r w:rsidRPr="002F49CF">
        <w:t>Ownership Advantages</w:t>
      </w:r>
      <w:bookmarkEnd w:id="12"/>
    </w:p>
    <w:p w14:paraId="2C34CE30" w14:textId="77777777" w:rsidR="002F49CF" w:rsidRPr="002F49CF" w:rsidRDefault="002F49CF" w:rsidP="002F49CF">
      <w:pPr>
        <w:spacing w:line="360" w:lineRule="auto"/>
        <w:rPr>
          <w:rFonts w:asciiTheme="majorBidi" w:hAnsiTheme="majorBidi" w:cstheme="majorBidi"/>
          <w:color w:val="000000" w:themeColor="text1"/>
        </w:rPr>
      </w:pPr>
      <w:bookmarkStart w:id="13" w:name="_Toc236398182"/>
      <w:r w:rsidRPr="002F49CF">
        <w:rPr>
          <w:rFonts w:asciiTheme="majorBidi" w:hAnsiTheme="majorBidi" w:cstheme="majorBidi"/>
          <w:color w:val="000000" w:themeColor="text1"/>
        </w:rPr>
        <w:t>The brand portfolio, reputation of Tata-group, jewellery-purity systems, design expertise, retail capabilities, supplier networks, customer analytics, financial resources and experience in managing high-value inventory are the main ownership benefits that Titan has to offer. Differentiation based on trust through the initiation of Karatmeter and the exchange schemes and transparency in selling practices could be the factor to be considered in any product-information asymmetric market like today's market. Another way in which Titan can diversify market risk is by not solely relying on the jewellery market segment but also watches and accessories (Kano et al., 2020; Luo &amp; Tung, 2018; Tang &amp; Yang, 2024).</w:t>
      </w:r>
    </w:p>
    <w:p w14:paraId="00D6D9B7"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All these benefits, however, do not necessarily translate into value in Brazil. Tanishq has gained a good reputation in India and is not very well known in Brazil. The Tata brand can help legitimise B2B business but it may not be enough to induce an immediate preference in the consumer. The benefits of this ownership need to be translated therefore through Brazilian design, Portuguese communication, local endorsements and credible retail locations. This depicts the difference between owning an asset and being able to deploy it effectively across institutional distance (donnelly et al., 2024; Kostova et al., 2020; Zhang et al., 2023).</w:t>
      </w:r>
    </w:p>
    <w:p w14:paraId="6FC7FB71" w14:textId="18DDA812" w:rsidR="00142237" w:rsidRPr="002F49CF" w:rsidRDefault="00142237" w:rsidP="002F49CF">
      <w:pPr>
        <w:pStyle w:val="Heading3"/>
        <w:spacing w:line="360" w:lineRule="auto"/>
      </w:pPr>
      <w:r w:rsidRPr="002F49CF">
        <w:t>Location Advantages</w:t>
      </w:r>
      <w:bookmarkEnd w:id="13"/>
    </w:p>
    <w:p w14:paraId="6D63D890" w14:textId="77777777" w:rsidR="002F49CF" w:rsidRPr="002F49CF" w:rsidRDefault="002F49CF" w:rsidP="002F49CF">
      <w:pPr>
        <w:spacing w:line="360" w:lineRule="auto"/>
        <w:rPr>
          <w:rFonts w:asciiTheme="majorBidi" w:hAnsiTheme="majorBidi" w:cstheme="majorBidi"/>
          <w:color w:val="000000" w:themeColor="text1"/>
        </w:rPr>
      </w:pPr>
      <w:bookmarkStart w:id="14" w:name="_Toc236398183"/>
      <w:r w:rsidRPr="002F49CF">
        <w:rPr>
          <w:rFonts w:asciiTheme="majorBidi" w:hAnsiTheme="majorBidi" w:cstheme="majorBidi"/>
          <w:color w:val="000000" w:themeColor="text1"/>
        </w:rPr>
        <w:t>Brazil has large market size, increasing spending on premium jewellery, urban affluence, a developed payment infrastructure and is also a potential platform for further Latin American expansion. It has the jewellery culture, gemstone heritage as well as symbolics products which gives opportunities to differentiate designs. Brazil also enables Titan to diversify geographically away from India and the GCC countries, which would help with diversification of geographical risks (Lee et al., 2024; Polloni-Silva et al., 2025; Reddy, 2024).</w:t>
      </w:r>
    </w:p>
    <w:p w14:paraId="2A780ED7"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Some of the location drawbacks are taxes, customs, high capital costs, currency risk and strong local brands and cultural distance. Thus, Brazil is a market-seeking location, and not one that is efficiency-seeking. Titan in the first place shouldn't move its whole manufacturing line to Brazil. First it should include market knowledge and ascertain if finished products can be manufactured at the local level or if gemstones can be procured or if assembly can be done at a later stage to bring down the landed cost.</w:t>
      </w:r>
    </w:p>
    <w:p w14:paraId="5B018A4B" w14:textId="1158465C" w:rsidR="00142237" w:rsidRPr="002F49CF" w:rsidRDefault="00142237" w:rsidP="002F49CF">
      <w:pPr>
        <w:pStyle w:val="Heading3"/>
        <w:spacing w:line="360" w:lineRule="auto"/>
      </w:pPr>
      <w:r w:rsidRPr="002F49CF">
        <w:t>Internalisation Advantages</w:t>
      </w:r>
      <w:bookmarkEnd w:id="14"/>
    </w:p>
    <w:p w14:paraId="431D70E4"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Internalisation needs to be done where quality, purity, customer information, after sales etc. of a brand is difficult to safeguard with arm's-length agreements. It is possible that if licensing is done to an unrelated distributor, consistency may suffer and Titan may come at risk of quality and reputation issues. In addition, full-franchising would pass on to the franchisee the knowledge of the customers and reduce Titan's capacity to build a regional platform (Hennart, 2019; Rygh &amp; Benito, 2023; Xie &amp; Yin, 2024).</w:t>
      </w:r>
    </w:p>
    <w:p w14:paraId="5B80BDF5"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On the other hand, if Titan were to go the route of 100% entry, then it would have to internalize the complexity of the Brazilian institution before it had any knowledge. The best OLI view thus seems to be selective internalisation: Titan ought to be in charge of brand standards, sourcing, product quality, customer information and senior strategy, and the Brazilian partner ought to be in charge of local real estate, government, distribution expertise and operational details.</w:t>
      </w:r>
    </w:p>
    <w:p w14:paraId="7B73E531" w14:textId="68DBE9A4"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noProof/>
          <w:color w:val="000000" w:themeColor="text1"/>
        </w:rPr>
        <w:drawing>
          <wp:inline distT="0" distB="0" distL="0" distR="0" wp14:anchorId="579F1C3B" wp14:editId="0934D2D0">
            <wp:extent cx="5731510" cy="5504180"/>
            <wp:effectExtent l="0" t="0" r="0" b="0"/>
            <wp:docPr id="102763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38888" name=""/>
                    <pic:cNvPicPr/>
                  </pic:nvPicPr>
                  <pic:blipFill>
                    <a:blip r:embed="rId11"/>
                    <a:stretch>
                      <a:fillRect/>
                    </a:stretch>
                  </pic:blipFill>
                  <pic:spPr>
                    <a:xfrm>
                      <a:off x="0" y="0"/>
                      <a:ext cx="5731510" cy="5504180"/>
                    </a:xfrm>
                    <a:prstGeom prst="rect">
                      <a:avLst/>
                    </a:prstGeom>
                  </pic:spPr>
                </pic:pic>
              </a:graphicData>
            </a:graphic>
          </wp:inline>
        </w:drawing>
      </w:r>
    </w:p>
    <w:p w14:paraId="4B771E89" w14:textId="34072662" w:rsidR="00142237" w:rsidRPr="002F49CF" w:rsidRDefault="00142237" w:rsidP="002F49CF">
      <w:pPr>
        <w:spacing w:line="360" w:lineRule="auto"/>
        <w:rPr>
          <w:rFonts w:asciiTheme="majorBidi" w:hAnsiTheme="majorBidi" w:cstheme="majorBidi"/>
          <w:b/>
          <w:bCs/>
          <w:color w:val="000000" w:themeColor="text1"/>
        </w:rPr>
      </w:pPr>
      <w:r w:rsidRPr="002F49CF">
        <w:rPr>
          <w:rFonts w:asciiTheme="majorBidi" w:hAnsiTheme="majorBidi" w:cstheme="majorBidi"/>
          <w:b/>
          <w:bCs/>
          <w:color w:val="000000" w:themeColor="text1"/>
        </w:rPr>
        <w:t>Figure 3: OLI Framework for Titan’s Proposed Brazilian Entry</w:t>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Dunning (1988), Mahasuar (2023), and Zhang et al. (2023).</w:t>
      </w:r>
    </w:p>
    <w:p w14:paraId="33DB5600" w14:textId="23845B77" w:rsidR="00142237" w:rsidRPr="002F49CF" w:rsidRDefault="00142237" w:rsidP="002F49CF">
      <w:pPr>
        <w:pStyle w:val="Heading2"/>
        <w:spacing w:line="360" w:lineRule="auto"/>
      </w:pPr>
      <w:bookmarkStart w:id="15" w:name="_Toc236398184"/>
      <w:r w:rsidRPr="002F49CF">
        <w:t>Entry-Mode Strategy and Strategic Synthesis</w:t>
      </w:r>
      <w:bookmarkEnd w:id="15"/>
    </w:p>
    <w:p w14:paraId="007EFB85" w14:textId="5D5D896A" w:rsidR="00142237" w:rsidRPr="002F49CF" w:rsidRDefault="00142237" w:rsidP="002F49CF">
      <w:pPr>
        <w:pStyle w:val="Heading3"/>
        <w:spacing w:line="360" w:lineRule="auto"/>
      </w:pPr>
      <w:bookmarkStart w:id="16" w:name="_Toc236398185"/>
      <w:r w:rsidRPr="002F49CF">
        <w:t>Titan’s Historical Entry-Mode Pattern</w:t>
      </w:r>
      <w:bookmarkEnd w:id="16"/>
    </w:p>
    <w:p w14:paraId="0BA35C21" w14:textId="77777777" w:rsidR="002F49CF" w:rsidRPr="002F49CF" w:rsidRDefault="002F49CF" w:rsidP="002F49CF">
      <w:pPr>
        <w:spacing w:line="360" w:lineRule="auto"/>
        <w:rPr>
          <w:rFonts w:asciiTheme="majorBidi" w:hAnsiTheme="majorBidi" w:cstheme="majorBidi"/>
          <w:color w:val="000000" w:themeColor="text1"/>
        </w:rPr>
      </w:pPr>
      <w:bookmarkStart w:id="17" w:name="_Toc236398186"/>
      <w:r w:rsidRPr="002F49CF">
        <w:rPr>
          <w:rFonts w:asciiTheme="majorBidi" w:hAnsiTheme="majorBidi" w:cstheme="majorBidi"/>
          <w:color w:val="000000" w:themeColor="text1"/>
        </w:rPr>
        <w:t>Titan's past growth has been a sign of the company's commitment to a progression. It started off by exporting and distributing watches to many international markets that required very little investment and provided scale. Tanishq then ventured into the direct retail segment via its subsidiaries abroad and company-owned outlets in the UAE, Qatar, USA and Singapore. This way, there was more control of luxury service, product quality, and customer data. Titan's 67% Damas acquisition is consistent with experiential internationalisation as the firm initially enters the market with low commitment before further committing to it (Titan Company, 2026a, 2026b). But, historical repetition is not necessarily the best, because of institutional and cultural distance. It would be a success in a market with a lot of diaspora in the region, where there is already brand awareness, but it might fail in Brazil where the customer education and localisation is significantly higher (Johanson &amp; Vahlne, 2009; Vahlne &amp; Johanson, 2017; Zhang et al., 2023).</w:t>
      </w:r>
    </w:p>
    <w:p w14:paraId="36A8A504" w14:textId="6FA9B437" w:rsidR="00142237" w:rsidRPr="002F49CF" w:rsidRDefault="00142237" w:rsidP="002F49CF">
      <w:pPr>
        <w:pStyle w:val="Heading3"/>
        <w:spacing w:line="360" w:lineRule="auto"/>
      </w:pPr>
      <w:r w:rsidRPr="002F49CF">
        <w:t>Evaluation of Alternative Entry Modes</w:t>
      </w:r>
      <w:bookmarkEnd w:id="17"/>
    </w:p>
    <w:p w14:paraId="714980EE" w14:textId="0FBD63C8" w:rsidR="00142237" w:rsidRPr="002F49CF" w:rsidRDefault="00142237" w:rsidP="002F49CF">
      <w:pPr>
        <w:spacing w:line="360" w:lineRule="auto"/>
        <w:rPr>
          <w:rFonts w:asciiTheme="majorBidi" w:hAnsiTheme="majorBidi" w:cstheme="majorBidi"/>
          <w:b/>
          <w:bCs/>
          <w:color w:val="000000" w:themeColor="text1"/>
        </w:rPr>
      </w:pPr>
      <w:r w:rsidRPr="002F49CF">
        <w:rPr>
          <w:rFonts w:asciiTheme="majorBidi" w:hAnsiTheme="majorBidi" w:cstheme="majorBidi"/>
          <w:b/>
          <w:bCs/>
          <w:color w:val="000000" w:themeColor="text1"/>
        </w:rPr>
        <w:t>Table 3: Weighted Entry-Mode Assessment for Brazil</w:t>
      </w:r>
    </w:p>
    <w:tbl>
      <w:tblPr>
        <w:tblStyle w:val="GridTable4-Accent4"/>
        <w:tblW w:w="0" w:type="auto"/>
        <w:tblLook w:val="04A0" w:firstRow="1" w:lastRow="0" w:firstColumn="1" w:lastColumn="0" w:noHBand="0" w:noVBand="1"/>
      </w:tblPr>
      <w:tblGrid>
        <w:gridCol w:w="1416"/>
        <w:gridCol w:w="895"/>
        <w:gridCol w:w="1173"/>
        <w:gridCol w:w="2010"/>
        <w:gridCol w:w="1187"/>
        <w:gridCol w:w="1283"/>
        <w:gridCol w:w="1052"/>
      </w:tblGrid>
      <w:tr w:rsidR="00142237" w:rsidRPr="002F49CF" w14:paraId="3E004244" w14:textId="77777777" w:rsidTr="001422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40EA4" w14:textId="77777777" w:rsidR="00142237" w:rsidRPr="002F49CF" w:rsidRDefault="00142237" w:rsidP="002F49CF">
            <w:pPr>
              <w:spacing w:line="360" w:lineRule="auto"/>
              <w:jc w:val="center"/>
              <w:rPr>
                <w:rFonts w:asciiTheme="majorBidi" w:hAnsiTheme="majorBidi" w:cstheme="majorBidi"/>
                <w:color w:val="000000" w:themeColor="text1"/>
              </w:rPr>
            </w:pPr>
            <w:r w:rsidRPr="002F49CF">
              <w:rPr>
                <w:rFonts w:asciiTheme="majorBidi" w:hAnsiTheme="majorBidi" w:cstheme="majorBidi"/>
                <w:color w:val="000000" w:themeColor="text1"/>
              </w:rPr>
              <w:t>Criterion</w:t>
            </w:r>
          </w:p>
        </w:tc>
        <w:tc>
          <w:tcPr>
            <w:tcW w:w="0" w:type="auto"/>
            <w:hideMark/>
          </w:tcPr>
          <w:p w14:paraId="67127DDF" w14:textId="77777777" w:rsidR="00142237" w:rsidRPr="002F49CF" w:rsidRDefault="00142237" w:rsidP="002F49CF">
            <w:pPr>
              <w:spacing w:line="360" w:lineRule="auto"/>
              <w:jc w:val="right"/>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Weight</w:t>
            </w:r>
          </w:p>
        </w:tc>
        <w:tc>
          <w:tcPr>
            <w:tcW w:w="0" w:type="auto"/>
            <w:hideMark/>
          </w:tcPr>
          <w:p w14:paraId="4B73BB1D" w14:textId="77777777" w:rsidR="00142237" w:rsidRPr="002F49CF" w:rsidRDefault="00142237" w:rsidP="002F49CF">
            <w:pPr>
              <w:spacing w:line="360" w:lineRule="auto"/>
              <w:jc w:val="right"/>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Export/e-commerce</w:t>
            </w:r>
          </w:p>
        </w:tc>
        <w:tc>
          <w:tcPr>
            <w:tcW w:w="0" w:type="auto"/>
            <w:hideMark/>
          </w:tcPr>
          <w:p w14:paraId="31DE1EFA" w14:textId="77777777" w:rsidR="00142237" w:rsidRPr="002F49CF" w:rsidRDefault="00142237" w:rsidP="002F49CF">
            <w:pPr>
              <w:spacing w:line="360" w:lineRule="auto"/>
              <w:jc w:val="right"/>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Franchise/licensing</w:t>
            </w:r>
          </w:p>
        </w:tc>
        <w:tc>
          <w:tcPr>
            <w:tcW w:w="0" w:type="auto"/>
            <w:hideMark/>
          </w:tcPr>
          <w:p w14:paraId="315735B0" w14:textId="77777777" w:rsidR="00142237" w:rsidRPr="002F49CF" w:rsidRDefault="00142237" w:rsidP="002F49CF">
            <w:pPr>
              <w:spacing w:line="360" w:lineRule="auto"/>
              <w:jc w:val="right"/>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Wholly owned subsidiary</w:t>
            </w:r>
          </w:p>
        </w:tc>
        <w:tc>
          <w:tcPr>
            <w:tcW w:w="0" w:type="auto"/>
            <w:hideMark/>
          </w:tcPr>
          <w:p w14:paraId="79B364BF" w14:textId="77777777" w:rsidR="00142237" w:rsidRPr="002F49CF" w:rsidRDefault="00142237" w:rsidP="002F49CF">
            <w:pPr>
              <w:spacing w:line="360" w:lineRule="auto"/>
              <w:jc w:val="right"/>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Acquisition</w:t>
            </w:r>
          </w:p>
        </w:tc>
        <w:tc>
          <w:tcPr>
            <w:tcW w:w="0" w:type="auto"/>
            <w:hideMark/>
          </w:tcPr>
          <w:p w14:paraId="722CDBFC" w14:textId="77777777" w:rsidR="00142237" w:rsidRPr="002F49CF" w:rsidRDefault="00142237" w:rsidP="002F49CF">
            <w:pPr>
              <w:spacing w:line="360" w:lineRule="auto"/>
              <w:jc w:val="right"/>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Majority joint venture</w:t>
            </w:r>
          </w:p>
        </w:tc>
      </w:tr>
      <w:tr w:rsidR="00142237" w:rsidRPr="002F49CF" w14:paraId="18ABD7F2"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FAFDF3"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Brand and quality control</w:t>
            </w:r>
          </w:p>
        </w:tc>
        <w:tc>
          <w:tcPr>
            <w:tcW w:w="0" w:type="auto"/>
            <w:hideMark/>
          </w:tcPr>
          <w:p w14:paraId="79ED258C"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25%</w:t>
            </w:r>
          </w:p>
        </w:tc>
        <w:tc>
          <w:tcPr>
            <w:tcW w:w="0" w:type="auto"/>
            <w:hideMark/>
          </w:tcPr>
          <w:p w14:paraId="19C656A3"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3</w:t>
            </w:r>
          </w:p>
        </w:tc>
        <w:tc>
          <w:tcPr>
            <w:tcW w:w="0" w:type="auto"/>
            <w:hideMark/>
          </w:tcPr>
          <w:p w14:paraId="68F6588B"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4DAFC894"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6BAEA7CF"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c>
          <w:tcPr>
            <w:tcW w:w="0" w:type="auto"/>
            <w:hideMark/>
          </w:tcPr>
          <w:p w14:paraId="2668AC6F"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r>
      <w:tr w:rsidR="00142237" w:rsidRPr="002F49CF" w14:paraId="7C2549C5"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13882C8B"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Local knowledge and legitimacy</w:t>
            </w:r>
          </w:p>
        </w:tc>
        <w:tc>
          <w:tcPr>
            <w:tcW w:w="0" w:type="auto"/>
            <w:hideMark/>
          </w:tcPr>
          <w:p w14:paraId="6A218ADD"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20%</w:t>
            </w:r>
          </w:p>
        </w:tc>
        <w:tc>
          <w:tcPr>
            <w:tcW w:w="0" w:type="auto"/>
            <w:hideMark/>
          </w:tcPr>
          <w:p w14:paraId="23D92D3C"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w:t>
            </w:r>
          </w:p>
        </w:tc>
        <w:tc>
          <w:tcPr>
            <w:tcW w:w="0" w:type="auto"/>
            <w:hideMark/>
          </w:tcPr>
          <w:p w14:paraId="5DA90E51"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c>
          <w:tcPr>
            <w:tcW w:w="0" w:type="auto"/>
            <w:hideMark/>
          </w:tcPr>
          <w:p w14:paraId="39972A1E"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7737A1ED"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2C4C09EB"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r>
      <w:tr w:rsidR="00142237" w:rsidRPr="002F49CF" w14:paraId="38CC89F2"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8BFCC2"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Capital-risk management</w:t>
            </w:r>
          </w:p>
        </w:tc>
        <w:tc>
          <w:tcPr>
            <w:tcW w:w="0" w:type="auto"/>
            <w:hideMark/>
          </w:tcPr>
          <w:p w14:paraId="3E6C716C"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15%</w:t>
            </w:r>
          </w:p>
        </w:tc>
        <w:tc>
          <w:tcPr>
            <w:tcW w:w="0" w:type="auto"/>
            <w:hideMark/>
          </w:tcPr>
          <w:p w14:paraId="614818FE"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25F3C388"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13A10A88"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241DB9E2"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w:t>
            </w:r>
          </w:p>
        </w:tc>
        <w:tc>
          <w:tcPr>
            <w:tcW w:w="0" w:type="auto"/>
            <w:hideMark/>
          </w:tcPr>
          <w:p w14:paraId="2370C89A"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3</w:t>
            </w:r>
          </w:p>
        </w:tc>
      </w:tr>
      <w:tr w:rsidR="00142237" w:rsidRPr="002F49CF" w14:paraId="25A1BBC8"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19D4E621"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Regulatory and tax navigation</w:t>
            </w:r>
          </w:p>
        </w:tc>
        <w:tc>
          <w:tcPr>
            <w:tcW w:w="0" w:type="auto"/>
            <w:hideMark/>
          </w:tcPr>
          <w:p w14:paraId="178D31F8"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15%</w:t>
            </w:r>
          </w:p>
        </w:tc>
        <w:tc>
          <w:tcPr>
            <w:tcW w:w="0" w:type="auto"/>
            <w:hideMark/>
          </w:tcPr>
          <w:p w14:paraId="1EC2B07E"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w:t>
            </w:r>
          </w:p>
        </w:tc>
        <w:tc>
          <w:tcPr>
            <w:tcW w:w="0" w:type="auto"/>
            <w:hideMark/>
          </w:tcPr>
          <w:p w14:paraId="2DF98A7F"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c>
          <w:tcPr>
            <w:tcW w:w="0" w:type="auto"/>
            <w:hideMark/>
          </w:tcPr>
          <w:p w14:paraId="5942F0DE"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781F6078"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66C4C40B"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r>
      <w:tr w:rsidR="00142237" w:rsidRPr="002F49CF" w14:paraId="0E597474"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AD9CB5"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Speed of entry</w:t>
            </w:r>
          </w:p>
        </w:tc>
        <w:tc>
          <w:tcPr>
            <w:tcW w:w="0" w:type="auto"/>
            <w:hideMark/>
          </w:tcPr>
          <w:p w14:paraId="4761964F"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10%</w:t>
            </w:r>
          </w:p>
        </w:tc>
        <w:tc>
          <w:tcPr>
            <w:tcW w:w="0" w:type="auto"/>
            <w:hideMark/>
          </w:tcPr>
          <w:p w14:paraId="05D02447"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c>
          <w:tcPr>
            <w:tcW w:w="0" w:type="auto"/>
            <w:hideMark/>
          </w:tcPr>
          <w:p w14:paraId="1D0C6786"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c>
          <w:tcPr>
            <w:tcW w:w="0" w:type="auto"/>
            <w:hideMark/>
          </w:tcPr>
          <w:p w14:paraId="7FEC4E33"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27810885"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1C3091E3"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r>
      <w:tr w:rsidR="00142237" w:rsidRPr="002F49CF" w14:paraId="5B556824" w14:textId="77777777" w:rsidTr="00142237">
        <w:tc>
          <w:tcPr>
            <w:cnfStyle w:val="001000000000" w:firstRow="0" w:lastRow="0" w:firstColumn="1" w:lastColumn="0" w:oddVBand="0" w:evenVBand="0" w:oddHBand="0" w:evenHBand="0" w:firstRowFirstColumn="0" w:firstRowLastColumn="0" w:lastRowFirstColumn="0" w:lastRowLastColumn="0"/>
            <w:tcW w:w="0" w:type="auto"/>
            <w:hideMark/>
          </w:tcPr>
          <w:p w14:paraId="18D54874"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Long-term strategic learning</w:t>
            </w:r>
          </w:p>
        </w:tc>
        <w:tc>
          <w:tcPr>
            <w:tcW w:w="0" w:type="auto"/>
            <w:hideMark/>
          </w:tcPr>
          <w:p w14:paraId="49495A77"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15%</w:t>
            </w:r>
          </w:p>
        </w:tc>
        <w:tc>
          <w:tcPr>
            <w:tcW w:w="0" w:type="auto"/>
            <w:hideMark/>
          </w:tcPr>
          <w:p w14:paraId="1E205648"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599AD3D5"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2</w:t>
            </w:r>
          </w:p>
        </w:tc>
        <w:tc>
          <w:tcPr>
            <w:tcW w:w="0" w:type="auto"/>
            <w:hideMark/>
          </w:tcPr>
          <w:p w14:paraId="23BD7DC1"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c>
          <w:tcPr>
            <w:tcW w:w="0" w:type="auto"/>
            <w:hideMark/>
          </w:tcPr>
          <w:p w14:paraId="378E13C1"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4</w:t>
            </w:r>
          </w:p>
        </w:tc>
        <w:tc>
          <w:tcPr>
            <w:tcW w:w="0" w:type="auto"/>
            <w:hideMark/>
          </w:tcPr>
          <w:p w14:paraId="6098A742" w14:textId="77777777" w:rsidR="00142237" w:rsidRPr="002F49CF" w:rsidRDefault="00142237" w:rsidP="002F49CF">
            <w:pPr>
              <w:spacing w:line="360" w:lineRule="auto"/>
              <w:jc w:val="right"/>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color w:val="000000" w:themeColor="text1"/>
              </w:rPr>
              <w:t>5</w:t>
            </w:r>
          </w:p>
        </w:tc>
      </w:tr>
      <w:tr w:rsidR="00142237" w:rsidRPr="002F49CF" w14:paraId="33153BA0" w14:textId="77777777" w:rsidTr="00142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890CC2" w14:textId="77777777" w:rsidR="00142237" w:rsidRPr="002F49CF" w:rsidRDefault="00142237"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Weighted score / 5</w:t>
            </w:r>
          </w:p>
        </w:tc>
        <w:tc>
          <w:tcPr>
            <w:tcW w:w="0" w:type="auto"/>
            <w:hideMark/>
          </w:tcPr>
          <w:p w14:paraId="02BB6CF6"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b/>
                <w:bCs/>
                <w:color w:val="000000" w:themeColor="text1"/>
              </w:rPr>
              <w:t>100%</w:t>
            </w:r>
          </w:p>
        </w:tc>
        <w:tc>
          <w:tcPr>
            <w:tcW w:w="0" w:type="auto"/>
            <w:hideMark/>
          </w:tcPr>
          <w:p w14:paraId="6B4FBDDB"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b/>
                <w:bCs/>
                <w:color w:val="000000" w:themeColor="text1"/>
              </w:rPr>
              <w:t>2.55</w:t>
            </w:r>
          </w:p>
        </w:tc>
        <w:tc>
          <w:tcPr>
            <w:tcW w:w="0" w:type="auto"/>
            <w:hideMark/>
          </w:tcPr>
          <w:p w14:paraId="6D336601"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b/>
                <w:bCs/>
                <w:color w:val="000000" w:themeColor="text1"/>
              </w:rPr>
              <w:t>3.35</w:t>
            </w:r>
          </w:p>
        </w:tc>
        <w:tc>
          <w:tcPr>
            <w:tcW w:w="0" w:type="auto"/>
            <w:hideMark/>
          </w:tcPr>
          <w:p w14:paraId="67DD3743"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b/>
                <w:bCs/>
                <w:color w:val="000000" w:themeColor="text1"/>
              </w:rPr>
              <w:t>3.30</w:t>
            </w:r>
          </w:p>
        </w:tc>
        <w:tc>
          <w:tcPr>
            <w:tcW w:w="0" w:type="auto"/>
            <w:hideMark/>
          </w:tcPr>
          <w:p w14:paraId="2C9DEBC5"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b/>
                <w:bCs/>
                <w:color w:val="000000" w:themeColor="text1"/>
              </w:rPr>
              <w:t>4.00</w:t>
            </w:r>
          </w:p>
        </w:tc>
        <w:tc>
          <w:tcPr>
            <w:tcW w:w="0" w:type="auto"/>
            <w:hideMark/>
          </w:tcPr>
          <w:p w14:paraId="416AA3A8" w14:textId="77777777" w:rsidR="00142237" w:rsidRPr="002F49CF" w:rsidRDefault="00142237" w:rsidP="002F49CF">
            <w:pPr>
              <w:spacing w:line="360" w:lineRule="auto"/>
              <w:jc w:val="right"/>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2F49CF">
              <w:rPr>
                <w:rFonts w:asciiTheme="majorBidi" w:hAnsiTheme="majorBidi" w:cstheme="majorBidi"/>
                <w:b/>
                <w:bCs/>
                <w:color w:val="000000" w:themeColor="text1"/>
              </w:rPr>
              <w:t>4.40</w:t>
            </w:r>
          </w:p>
        </w:tc>
      </w:tr>
    </w:tbl>
    <w:p w14:paraId="509D2990"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b/>
          <w:bCs/>
          <w:color w:val="000000" w:themeColor="text1"/>
        </w:rPr>
        <w:t>Scoring:</w:t>
      </w:r>
      <w:r w:rsidRPr="002F49CF">
        <w:rPr>
          <w:rFonts w:asciiTheme="majorBidi" w:hAnsiTheme="majorBidi" w:cstheme="majorBidi"/>
          <w:color w:val="000000" w:themeColor="text1"/>
        </w:rPr>
        <w:t xml:space="preserve"> 1 = very weak; 5 = very strong.</w:t>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Dunning (1988), Xie and Yin (2024), Zhang et al. (2023), and Titan Company (2026a).</w:t>
      </w:r>
    </w:p>
    <w:p w14:paraId="3763764A" w14:textId="77777777" w:rsidR="002F49CF" w:rsidRPr="002F49CF" w:rsidRDefault="002F49CF" w:rsidP="002F49CF">
      <w:pPr>
        <w:spacing w:line="360" w:lineRule="auto"/>
        <w:rPr>
          <w:rFonts w:asciiTheme="majorBidi" w:hAnsiTheme="majorBidi" w:cstheme="majorBidi"/>
          <w:color w:val="000000" w:themeColor="text1"/>
        </w:rPr>
      </w:pPr>
      <w:bookmarkStart w:id="18" w:name="_Toc236398187"/>
      <w:r w:rsidRPr="002F49CF">
        <w:rPr>
          <w:rFonts w:asciiTheme="majorBidi" w:hAnsiTheme="majorBidi" w:cstheme="majorBidi"/>
          <w:color w:val="000000" w:themeColor="text1"/>
        </w:rPr>
        <w:t>Pure exporting would have advantages of flexibility, but would also be subject to successive import taxes, long delivery times and lack of after-sales credibility. Market testing should be done through cross-border e-commerce but not as the key e-commerce mode for premium jewellery. Brazil would bring local know-how and minimal capital investment to Tanishq, but it would also be confusing to consumers with imported direct-to-consumer transactions, as the tax system of the country would render such transactions unpredictable. Trust, security of inventory, disclosure of gemstones, jewellery purity is at the core of Tanishq's value proposition. Franchisees' service or compliance failure can hurt the Titan more than in less-involved retail categories.</w:t>
      </w:r>
    </w:p>
    <w:p w14:paraId="7DBDB9F7"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A 100% subsidiary would allow Titan to have the maximum control and for long-term learning, which is what Titan has been doing in the case of Tanishq. But that would mean Titan would own the land outright right off the bat and would face all the complexities of real estate, taxation, employment and regulation with no expertise in Brazil. There is generally evidence of a relationship between distance and initial commitment to ownership, with distance generally associated with less initial commitment to ownership (Donnelly et al., 2024; Tang &amp; Buckley, 2022; Zhang et al., 2023).</w:t>
      </w:r>
    </w:p>
    <w:p w14:paraId="729424B3"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Acquisition would give quick market access, but the appropriate acquisition targets could be too costly, culturally challenging to integrate or have unknown liabilities. Meanwhile, Damas' transaction in the region was strategically relevant, but not directly replicable as Damas had an existing regional brand with a strong network, which complemented Titan's jewellery expertise. In Brazil, a full acquisition should only be taken into account once the company Titan has a good understanding of the market and has been able to select a target that complies in terms of its brand and compliance.</w:t>
      </w:r>
    </w:p>
    <w:p w14:paraId="720C2955" w14:textId="3DCED74C" w:rsidR="00142237" w:rsidRPr="002F49CF" w:rsidRDefault="00142237" w:rsidP="002F49CF">
      <w:pPr>
        <w:pStyle w:val="Heading3"/>
        <w:spacing w:line="360" w:lineRule="auto"/>
      </w:pPr>
      <w:r w:rsidRPr="002F49CF">
        <w:t>Recommended Entry Mode</w:t>
      </w:r>
      <w:bookmarkEnd w:id="18"/>
    </w:p>
    <w:p w14:paraId="65A5FBEF"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 needs to be 51% majority shareholder of a joint venture with a good luxury-retail, jewellery or premium-shopping firm in Brazil. Titan's Brands, Products, Sourcing, Quality System, Digital Platform, Training and Strategic Management should be contributed by Titan. The Brazilian partner should be able to bring its local market expertise, retail-development capacity, regulatory expertise, employment management and stakeholder relations.</w:t>
      </w:r>
    </w:p>
    <w:p w14:paraId="2BBEE80D"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Majority ownership is also being okayed on the basis that Titan has to maintain the integrity of its brand and the quality of its products. But, there would be real incentives for transferring knowledge and resources when substantial minority ownership of the local partner would be involved. Reserved decisions, quality, data ownership, sourcing approval, anti-corruption compliance, IP and audit rights and a staged buyout option should be included in contractual provisions.</w:t>
      </w:r>
    </w:p>
    <w:p w14:paraId="3D8C2009" w14:textId="7DB5225C"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noProof/>
          <w:color w:val="000000" w:themeColor="text1"/>
        </w:rPr>
        <w:drawing>
          <wp:inline distT="0" distB="0" distL="0" distR="0" wp14:anchorId="28F4255A" wp14:editId="55BBE1E4">
            <wp:extent cx="5731510" cy="5383530"/>
            <wp:effectExtent l="0" t="0" r="0" b="1270"/>
            <wp:docPr id="1916916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16292" name=""/>
                    <pic:cNvPicPr/>
                  </pic:nvPicPr>
                  <pic:blipFill>
                    <a:blip r:embed="rId12"/>
                    <a:stretch>
                      <a:fillRect/>
                    </a:stretch>
                  </pic:blipFill>
                  <pic:spPr>
                    <a:xfrm>
                      <a:off x="0" y="0"/>
                      <a:ext cx="5731510" cy="5383530"/>
                    </a:xfrm>
                    <a:prstGeom prst="rect">
                      <a:avLst/>
                    </a:prstGeom>
                  </pic:spPr>
                </pic:pic>
              </a:graphicData>
            </a:graphic>
          </wp:inline>
        </w:drawing>
      </w:r>
    </w:p>
    <w:p w14:paraId="07A2403A" w14:textId="181F9151" w:rsidR="00142237" w:rsidRPr="002F49CF" w:rsidRDefault="00142237" w:rsidP="002F49CF">
      <w:pPr>
        <w:pStyle w:val="NoSpacing"/>
        <w:spacing w:line="360" w:lineRule="auto"/>
        <w:rPr>
          <w:rFonts w:asciiTheme="majorBidi" w:hAnsiTheme="majorBidi" w:cstheme="majorBidi"/>
          <w:color w:val="000000" w:themeColor="text1"/>
        </w:rPr>
      </w:pPr>
      <w:r w:rsidRPr="002F49CF">
        <w:rPr>
          <w:rFonts w:asciiTheme="majorBidi" w:hAnsiTheme="majorBidi" w:cstheme="majorBidi"/>
          <w:b/>
          <w:bCs/>
          <w:color w:val="000000" w:themeColor="text1"/>
        </w:rPr>
        <w:t>Figure 4: Recommended Phased Entry Roadmap</w:t>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Johanson and Vahlne (2009), Donnelly et al. (2024), and Xie and Yin (2024).</w:t>
      </w:r>
    </w:p>
    <w:p w14:paraId="1E8918EB" w14:textId="77777777" w:rsidR="002F49CF" w:rsidRPr="002F49CF" w:rsidRDefault="002F49CF" w:rsidP="002F49CF">
      <w:pPr>
        <w:spacing w:line="360" w:lineRule="auto"/>
        <w:rPr>
          <w:rFonts w:asciiTheme="majorBidi" w:hAnsiTheme="majorBidi" w:cstheme="majorBidi"/>
          <w:color w:val="000000" w:themeColor="text1"/>
        </w:rPr>
      </w:pPr>
      <w:bookmarkStart w:id="19" w:name="_Toc236398188"/>
      <w:r w:rsidRPr="002F49CF">
        <w:rPr>
          <w:rFonts w:asciiTheme="majorBidi" w:hAnsiTheme="majorBidi" w:cstheme="majorBidi"/>
          <w:color w:val="000000" w:themeColor="text1"/>
        </w:rPr>
        <w:t>It is best to focus on Tanishq in the initial flagship, instead of launching all Titan brands at once. The biggest differentiator is the purity, craftsmanship and the fine jewellery know-how that Tanishq possesses. Selected international watch brands can be added as a Helios-style curated offer, to drive cross category traffic. After Titan proves accessible fine jewellery is in demand, Mia or CaratLane should come in later.</w:t>
      </w:r>
    </w:p>
    <w:p w14:paraId="0C8DBF2C"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18K gold and lighter on a daily wear basis, coloured gemstones, Portuguese engraving, and collections that are related to Brazilian festivities should be included in product localization. Indian design inheritance should be a visible part in the total collection but should not overshadow the entire collection. Willingness to pay, preferred gold purity, gemstone attitudes, instalment behaviour and after-sales expectations are some of the customer research areas that should be assessed before expanding inventory.</w:t>
      </w:r>
    </w:p>
    <w:p w14:paraId="34EBBF9F"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Measures should be put in place to control the risk including currency hedging, gold-price adjustment mechanism, conservative inventory, thorough insurance, supply chain traceability and compliance audit. The stop/go indicators that Titan should adopt are: store contribution margin, repeat-purchase rate, appointment conversion, customer-acquisition cost, inventory turnover, brand awareness and regulatory incidents. Don't expand simply because the first store is doing well in terms of revenue – repeat behaviour and profitability and reliability of operations are more telling.</w:t>
      </w:r>
    </w:p>
    <w:p w14:paraId="04AB7ED1" w14:textId="47C7E5F8" w:rsidR="00142237" w:rsidRPr="002F49CF" w:rsidRDefault="00142237" w:rsidP="002F49CF">
      <w:pPr>
        <w:pStyle w:val="Heading2"/>
        <w:spacing w:line="360" w:lineRule="auto"/>
      </w:pPr>
      <w:r w:rsidRPr="002F49CF">
        <w:t>Conclusion and Recommendations</w:t>
      </w:r>
      <w:bookmarkEnd w:id="19"/>
    </w:p>
    <w:p w14:paraId="6A6E87AA"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Brazil is strategically appealing due to its size, urban wealth, rising jewellery spend, digital-payment ecosystem and the fact that it is a gateway to Latin America. It is, however, institutionally complicated and far more heavily taxed than Titan's existing markets, whose participants are the diaspora. Brazil thus must be viewed as a long-term capability building opportunity, not a short-term target for store expansion.</w:t>
      </w:r>
    </w:p>
    <w:p w14:paraId="2D5778D3"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 can be best described as an international company of a transnational nature. It owns identified brands, has systems for product quality, design expertise, retail systems, Tata-group credibility and financial resources – all of which are significant benefits. Brazil offers substantial location advantages, which are offset by taxation, currency fluctuations, competition and lack of brand awareness. Product quality, brand reputation and data – need internalisation, institutional knowledge – need local partnership.</w:t>
      </w:r>
    </w:p>
    <w:p w14:paraId="0FC2F7FE"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 final recommendation is a 51:49 JV with a majority stake, which will be focused in São Paulo initially. The Portuguese omnichannel platform should be launched by Titan, collections should be made through appointment and premium pop up shops and only after receiving validation, the geographic expansion should happen when predefined financial and operational milestones have been reached by Titan. Local adaptation should feature 18K collections, Brazilian gemstones, Pix payment and instalment facilities as well as culturally relevant storytelling.</w:t>
      </w:r>
    </w:p>
    <w:p w14:paraId="038FEBC5"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 should also:</w:t>
      </w:r>
    </w:p>
    <w:p w14:paraId="43548503"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Complete trademark, tax, customs, product-safety and LGPD due diligence before commercial launch.</w:t>
      </w:r>
    </w:p>
    <w:p w14:paraId="1C7F9085"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Select a partner using governance, compliance, retail-network and reputation criteria rather than speed alone.</w:t>
      </w:r>
    </w:p>
    <w:p w14:paraId="64D7FC48"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Retain control over sourcing, quality, brand standards, customer data and senior appointments.</w:t>
      </w:r>
    </w:p>
    <w:p w14:paraId="4CF63850"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Use local designers and consumer panels to co-create Brazilian collections.</w:t>
      </w:r>
    </w:p>
    <w:p w14:paraId="1CDB2CF5"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Introduce watches selectively while avoiding an unfocused multi-brand launch.</w:t>
      </w:r>
    </w:p>
    <w:p w14:paraId="1F5868F4"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Evaluate local finishing or assembly after the pilot demonstrates sustainable scale.</w:t>
      </w:r>
    </w:p>
    <w:p w14:paraId="1DBF2A17" w14:textId="77777777" w:rsidR="00142237" w:rsidRPr="002F49CF" w:rsidRDefault="00142237" w:rsidP="002F49CF">
      <w:pPr>
        <w:numPr>
          <w:ilvl w:val="0"/>
          <w:numId w:val="12"/>
        </w:num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Retain contractual options to increase ownership, acquire the partner’s stake or exit if performance and compliance conditions are not achieved.</w:t>
      </w:r>
    </w:p>
    <w:p w14:paraId="095AC89F" w14:textId="77777777" w:rsidR="002F49CF" w:rsidRPr="002F49CF" w:rsidRDefault="002F49CF" w:rsidP="002F49CF">
      <w:pPr>
        <w:spacing w:line="360" w:lineRule="auto"/>
        <w:rPr>
          <w:rFonts w:asciiTheme="majorBidi" w:hAnsiTheme="majorBidi" w:cstheme="majorBidi"/>
          <w:color w:val="000000" w:themeColor="text1"/>
        </w:rPr>
      </w:pPr>
      <w:bookmarkStart w:id="20" w:name="_Toc236398189"/>
      <w:r w:rsidRPr="002F49CF">
        <w:rPr>
          <w:rFonts w:asciiTheme="majorBidi" w:hAnsiTheme="majorBidi" w:cstheme="majorBidi"/>
          <w:color w:val="000000" w:themeColor="text1"/>
        </w:rPr>
        <w:t>This mode strikes a balance between control and flexibility in a more appropriate manner than exporting or franchising or immediate wholly owned investment or full acquisition. It also helps to facilitate the process of Titan's transformation from an international company rooted in the diaspora to a more "true" transnational consumer-lifestyle enterprise.</w:t>
      </w:r>
    </w:p>
    <w:p w14:paraId="3857394B" w14:textId="77777777" w:rsidR="00142237" w:rsidRPr="002F49CF" w:rsidRDefault="00142237" w:rsidP="002F49CF">
      <w:pPr>
        <w:pStyle w:val="Heading1"/>
        <w:rPr>
          <w:sz w:val="24"/>
          <w:szCs w:val="24"/>
        </w:rPr>
      </w:pPr>
      <w:r w:rsidRPr="002F49CF">
        <w:rPr>
          <w:sz w:val="24"/>
          <w:szCs w:val="24"/>
        </w:rPr>
        <w:t>Section 2: Gibbs Reflective Account</w:t>
      </w:r>
      <w:bookmarkEnd w:id="20"/>
    </w:p>
    <w:p w14:paraId="053DC8CB" w14:textId="4551D963" w:rsidR="00142237" w:rsidRPr="002F49CF" w:rsidRDefault="00142237" w:rsidP="002F49CF">
      <w:pPr>
        <w:pStyle w:val="Heading2"/>
        <w:spacing w:line="360" w:lineRule="auto"/>
      </w:pPr>
      <w:bookmarkStart w:id="21" w:name="_Toc236398190"/>
      <w:r w:rsidRPr="002F49CF">
        <w:t>Description</w:t>
      </w:r>
      <w:bookmarkEnd w:id="21"/>
    </w:p>
    <w:p w14:paraId="515C1DF6"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 did not do a general country-description assignment, but rather a strategic decision problem assignment. The first phase was an interpretation of the assessment requirements and a breakdown of the work into the organisation classification, host-country analysis, application of the OLI framework, evaluation of the historical entry modes and the final recommendations. I chose Titan because there is a large amount of multinational activity there and it didn't have much of an operational platform in Brazil. Brazil was selected as it provided a big consumer market, with significant jewellery and watch potential, along with political, legal, economic and cultural diversity.</w:t>
      </w:r>
    </w:p>
    <w:p w14:paraId="55F63E7B"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 collected evidence in the annual reports of Titan, on pages of investors, information about subsidiaries, official pages of brands, indicators of the Brazilian Institute of Geography and Statistics (IBGE) and data on foreign investment guidance and market reports. The evaluation of the evidence was then done through academic literature, rather than to repeat the evidence. The framework of Bartlett and Ghoshal was used to classify Titan's strategy and the OLI paradigm structured the decision of direct investment or not to Brazil. Entry-mode, institutional-distance, luxury-consumption and omnichannel literature were used to verify the comparison between alternative strategies.</w:t>
      </w:r>
    </w:p>
    <w:p w14:paraId="5A2BB206" w14:textId="5CA959E5"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noProof/>
          <w:color w:val="000000" w:themeColor="text1"/>
        </w:rPr>
        <w:drawing>
          <wp:inline distT="0" distB="0" distL="0" distR="0" wp14:anchorId="67EA8101" wp14:editId="021BC233">
            <wp:extent cx="5731510" cy="4125595"/>
            <wp:effectExtent l="0" t="0" r="0" b="1905"/>
            <wp:docPr id="492314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14246" name=""/>
                    <pic:cNvPicPr/>
                  </pic:nvPicPr>
                  <pic:blipFill>
                    <a:blip r:embed="rId13"/>
                    <a:stretch>
                      <a:fillRect/>
                    </a:stretch>
                  </pic:blipFill>
                  <pic:spPr>
                    <a:xfrm>
                      <a:off x="0" y="0"/>
                      <a:ext cx="5731510" cy="4125595"/>
                    </a:xfrm>
                    <a:prstGeom prst="rect">
                      <a:avLst/>
                    </a:prstGeom>
                  </pic:spPr>
                </pic:pic>
              </a:graphicData>
            </a:graphic>
          </wp:inline>
        </w:drawing>
      </w:r>
    </w:p>
    <w:p w14:paraId="4BCC0F07" w14:textId="34AC77AB" w:rsidR="00142237" w:rsidRPr="002F49CF" w:rsidRDefault="00142237" w:rsidP="002F49CF">
      <w:pPr>
        <w:pStyle w:val="NoSpacing"/>
        <w:spacing w:line="360" w:lineRule="auto"/>
        <w:rPr>
          <w:rFonts w:asciiTheme="majorBidi" w:hAnsiTheme="majorBidi" w:cstheme="majorBidi"/>
          <w:color w:val="000000" w:themeColor="text1"/>
        </w:rPr>
      </w:pPr>
      <w:r w:rsidRPr="002F49CF">
        <w:rPr>
          <w:rFonts w:asciiTheme="majorBidi" w:hAnsiTheme="majorBidi" w:cstheme="majorBidi"/>
          <w:b/>
          <w:bCs/>
          <w:color w:val="000000" w:themeColor="text1"/>
        </w:rPr>
        <w:t>Figure 5: Application of Gibbs’ Reflective Cycle</w:t>
      </w:r>
      <w:r w:rsidRPr="002F49CF">
        <w:rPr>
          <w:rFonts w:asciiTheme="majorBidi" w:hAnsiTheme="majorBidi" w:cstheme="majorBidi"/>
          <w:color w:val="000000" w:themeColor="text1"/>
        </w:rPr>
        <w:br/>
      </w:r>
      <w:r w:rsidRPr="002F49CF">
        <w:rPr>
          <w:rFonts w:asciiTheme="majorBidi" w:hAnsiTheme="majorBidi" w:cstheme="majorBidi"/>
          <w:b/>
          <w:bCs/>
          <w:color w:val="000000" w:themeColor="text1"/>
        </w:rPr>
        <w:t>Source:</w:t>
      </w:r>
      <w:r w:rsidRPr="002F49CF">
        <w:rPr>
          <w:rFonts w:asciiTheme="majorBidi" w:hAnsiTheme="majorBidi" w:cstheme="majorBidi"/>
          <w:color w:val="000000" w:themeColor="text1"/>
        </w:rPr>
        <w:t xml:space="preserve"> Author’s own work based on Gibbs (1988).</w:t>
      </w:r>
    </w:p>
    <w:p w14:paraId="6E695063" w14:textId="6481F4E9" w:rsidR="00142237" w:rsidRPr="002F49CF" w:rsidRDefault="00142237" w:rsidP="002F49CF">
      <w:pPr>
        <w:pStyle w:val="Heading2"/>
        <w:spacing w:line="360" w:lineRule="auto"/>
      </w:pPr>
      <w:bookmarkStart w:id="22" w:name="_Toc236398191"/>
      <w:r w:rsidRPr="002F49CF">
        <w:t>Feelings</w:t>
      </w:r>
      <w:bookmarkEnd w:id="22"/>
    </w:p>
    <w:p w14:paraId="09304DB6" w14:textId="77777777" w:rsidR="002F49CF" w:rsidRPr="002F49CF" w:rsidRDefault="002F49CF" w:rsidP="002F49CF">
      <w:pPr>
        <w:spacing w:line="360" w:lineRule="auto"/>
        <w:rPr>
          <w:rFonts w:asciiTheme="majorBidi" w:hAnsiTheme="majorBidi" w:cstheme="majorBidi"/>
          <w:color w:val="000000" w:themeColor="text1"/>
        </w:rPr>
      </w:pPr>
      <w:bookmarkStart w:id="23" w:name="_Toc236398192"/>
      <w:r w:rsidRPr="002F49CF">
        <w:rPr>
          <w:rFonts w:asciiTheme="majorBidi" w:hAnsiTheme="majorBidi" w:cstheme="majorBidi"/>
          <w:color w:val="000000" w:themeColor="text1"/>
        </w:rPr>
        <w:t>Initially I thought it would be easy to enter into the Brazilian market because of its large population and a growing luxury market in the country. This meant there was an initial risk of confirmation bias as I was likely to look for evidence of market attractiveness versus evidence of market non-attractiveness. As I continued the research I was less and less sure. The cumulative tax system, the fluctuation of the currency, the institutional framework and the lack of knowledge of Titan by the institutions in Brazil, considerably affected the case for a swift wholly owned expansion.</w:t>
      </w:r>
    </w:p>
    <w:p w14:paraId="1D21FEA9"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It was also difficult for me to categorize Titan in one of the categories of Bartlett and Ghoshal. Titan is centralising many capabilities in India, pointing towards an international strategy while increasingly localising products, developing capabilities in the country, pointing towards transnational development. I decided to apply framework dynamically instead of categorising the company as pure one. This helped me to understand that strategic classifications are analytical tools and not labels.</w:t>
      </w:r>
    </w:p>
    <w:p w14:paraId="3C334E12"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There was initially a lot of information to handle, and it was big. Company reports emphasised on achievement and growth and market reports emphasised on opportunities. Limitation identification was more effectively done in government and academic sources. So I got more wary about taking at face value any organisation or commercial claims not triangulated.</w:t>
      </w:r>
    </w:p>
    <w:p w14:paraId="1927C16E" w14:textId="1615CAD9" w:rsidR="00142237" w:rsidRPr="002F49CF" w:rsidRDefault="00142237" w:rsidP="002F49CF">
      <w:pPr>
        <w:pStyle w:val="Heading2"/>
        <w:spacing w:line="360" w:lineRule="auto"/>
      </w:pPr>
      <w:r w:rsidRPr="002F49CF">
        <w:t>Evaluation</w:t>
      </w:r>
      <w:bookmarkEnd w:id="23"/>
    </w:p>
    <w:p w14:paraId="53364054" w14:textId="77777777" w:rsidR="002F49CF" w:rsidRPr="002F49CF" w:rsidRDefault="002F49CF" w:rsidP="002F49CF">
      <w:pPr>
        <w:spacing w:line="360" w:lineRule="auto"/>
        <w:rPr>
          <w:rFonts w:asciiTheme="majorBidi" w:hAnsiTheme="majorBidi" w:cstheme="majorBidi"/>
          <w:color w:val="000000" w:themeColor="text1"/>
        </w:rPr>
      </w:pPr>
      <w:bookmarkStart w:id="24" w:name="_Toc236398193"/>
      <w:r w:rsidRPr="002F49CF">
        <w:rPr>
          <w:rFonts w:asciiTheme="majorBidi" w:hAnsiTheme="majorBidi" w:cstheme="majorBidi"/>
          <w:color w:val="000000" w:themeColor="text1"/>
        </w:rPr>
        <w:t>One of the biggest things that I did well was utilising a variety of evidence types. Appropriate sources for financial results and brand history and operational presence were titan sources, and for taxation, investment regulation and economic indicators, Brazilian government sources were more reliable. Theory was supported by peer-reviewed research. This lessened the reliance on a single source and aided in differentiating between facts and management assertions.</w:t>
      </w:r>
    </w:p>
    <w:p w14:paraId="634EA8C9"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The use of OLI was especially helpful as it was to prevent the analysis becoming a PESTLE descriptive exercise. When analyzing a business's ownership, one of the questions I had to ask was, did Titan have transferable advantages? Location analysis involved determining if there were advantages in Brazil other than the size of the market. The results from the internalisation analysis were then related with the entry mode. The blueprint made it clear that Brazil was an interesting place to be, but not so predictable for immediate wholly-owned entry.</w:t>
      </w:r>
    </w:p>
    <w:p w14:paraId="5BAE11CA"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 would find myself gathering too much general information from the country-level. There were interesting but somewhat jewellery and watch non-specific political and social facts. There, however, I limited myself to factors which influenced customer demand, product design, taxation, compliance, logistics, staffing or brand legitimacy and strategic control. This caused the final report to be more analytical, and to follow the requirement of the assignment to not be descriptive.</w:t>
      </w:r>
    </w:p>
    <w:p w14:paraId="3FED6C5E"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One other constraint was the lack of uniformity in the estimates of size of the commercial market. Various definitions of watches, jewellery and luxury goods were used in the different reports. I did not attempt to mix incompatible figures together, but I did use a few well-defined estimates, and interpreted them with caution. I separated current-value growth from real volume growth since revenue can grow due to inflation and gold prices without growth in the number of buyers.</w:t>
      </w:r>
    </w:p>
    <w:p w14:paraId="084F507B" w14:textId="6327FF1A" w:rsidR="00142237" w:rsidRPr="002F49CF" w:rsidRDefault="00142237" w:rsidP="002F49CF">
      <w:pPr>
        <w:pStyle w:val="Heading2"/>
        <w:spacing w:line="360" w:lineRule="auto"/>
      </w:pPr>
      <w:r w:rsidRPr="002F49CF">
        <w:t>Analysis</w:t>
      </w:r>
      <w:bookmarkEnd w:id="24"/>
    </w:p>
    <w:p w14:paraId="636EF9E9" w14:textId="77777777" w:rsidR="002F49CF" w:rsidRPr="002F49CF" w:rsidRDefault="002F49CF" w:rsidP="002F49CF">
      <w:pPr>
        <w:spacing w:line="360" w:lineRule="auto"/>
        <w:rPr>
          <w:rFonts w:asciiTheme="majorBidi" w:hAnsiTheme="majorBidi" w:cstheme="majorBidi"/>
          <w:color w:val="000000" w:themeColor="text1"/>
        </w:rPr>
      </w:pPr>
      <w:bookmarkStart w:id="25" w:name="_Toc236398194"/>
      <w:r w:rsidRPr="002F49CF">
        <w:rPr>
          <w:rFonts w:asciiTheme="majorBidi" w:hAnsiTheme="majorBidi" w:cstheme="majorBidi"/>
          <w:color w:val="000000" w:themeColor="text1"/>
        </w:rPr>
        <w:t>The research process has transformed my understanding of the theory of international business. My initial thought was that frameworks would be distinct; Bartlett and Ghoshal for strategy, PESTLE for the environment, OLI for investment and an entry-mode model for the decision. In the analysis process I realised that there is an interdependency between the frameworks.</w:t>
      </w:r>
    </w:p>
    <w:p w14:paraId="33764F24"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Titan's international-strategy classification had an impact on assessing its ownership advantages. Its Indian capabilities are centralised and bring about quality and scale but it has limited mainstream localisation, which results in cultural risk. The internalisation decision was influenced by the institutional environment present in Brazil as Titan must exercise control over the quality and also local knowledge is required. Thus, the choice of an entry mode was more a result of the combination of firm strategy and conditions in the host country than a mere inclination towards JVs.</w:t>
      </w:r>
    </w:p>
    <w:p w14:paraId="5CC6D658"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Institutional-distance research played a key role. Previous beliefs included that distance is always associated with less ownership. Recent literature reveals a more nuanced picture where firm resources and the direction of the institutional difference and industry conditions are important factors. Titan has financial and managerial capabilities to help overcome distance, yet is lacking on the Brazilian customer. Thus a majority joint venture was more suitable than low control licensing or outright and immediate ownership.</w:t>
      </w:r>
    </w:p>
    <w:p w14:paraId="5319C5A2"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This assignment also helped me to get a better understanding of cultural adaptation. It's important not to be satisfied with national dimension scores when it comes to culture. Brazil hosts a variety of areas, economic segments, age groups and luxury incentives. The important consequence is that Titan cannot presume that the jewellery preferences of all Brazilian consumers are the same, but must conduct consumer research, and create products with consumers, instead. This is especially important as Indian wedding jewellery can't just be moved over to a market where day to day jewellery of 18K fine jewellery, gemstones and other celebration rituals might be more relevant.</w:t>
      </w:r>
    </w:p>
    <w:p w14:paraId="1EBFC5A0"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In addition, I was made aware that recommendations should involve implementation mechanisms. Declaring that Titan should form a joint venture isn't a complete statement without there being some discussion about who owns what, who decides what, what comes first, geographic emphasis, risk controls and performance milestones. The introduction of a phased roadmap is the key to making the recommendation more feasible and showing how the uncertainties can be reduced as the roadmap unfolds.</w:t>
      </w:r>
    </w:p>
    <w:p w14:paraId="68924C0F" w14:textId="6AC49D6B" w:rsidR="00142237" w:rsidRPr="002F49CF" w:rsidRDefault="00142237" w:rsidP="002F49CF">
      <w:pPr>
        <w:pStyle w:val="Heading2"/>
        <w:spacing w:line="360" w:lineRule="auto"/>
      </w:pPr>
      <w:r w:rsidRPr="002F49CF">
        <w:t>Conclusion</w:t>
      </w:r>
      <w:bookmarkEnd w:id="25"/>
    </w:p>
    <w:p w14:paraId="50C9720E" w14:textId="77777777" w:rsidR="002F49CF" w:rsidRPr="002F49CF" w:rsidRDefault="002F49CF" w:rsidP="002F49CF">
      <w:pPr>
        <w:spacing w:line="360" w:lineRule="auto"/>
        <w:rPr>
          <w:rFonts w:asciiTheme="majorBidi" w:hAnsiTheme="majorBidi" w:cstheme="majorBidi"/>
          <w:color w:val="000000" w:themeColor="text1"/>
        </w:rPr>
      </w:pPr>
      <w:bookmarkStart w:id="26" w:name="_Toc236398195"/>
      <w:r w:rsidRPr="002F49CF">
        <w:rPr>
          <w:rFonts w:asciiTheme="majorBidi" w:hAnsiTheme="majorBidi" w:cstheme="majorBidi"/>
          <w:color w:val="000000" w:themeColor="text1"/>
        </w:rPr>
        <w:t>The research process helped me to develop my skills in collecting and then critically synthesising evidence. The key takeaway: Big markets and markets that are growing do not necessarily make for good investments. A company's ability to make a successful entry into the market depends on the fit of its capabilities to the local requirements and whether an entry mode can deal with the institutional and cultural risks.</w:t>
      </w:r>
    </w:p>
    <w:p w14:paraId="5B2973DA"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 also arrived at the conclusion that the transferring from one region to the other should not be considered as an evidence of the success of the company in that region. The experience of GCC and North America is very useful for Titan, but Brazil needs mainstream localisation. This difference was a key aspect of the final recommendation.</w:t>
      </w:r>
    </w:p>
    <w:p w14:paraId="604E5A32"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 would have liked to have had access to some primary Brazilian consumer research as well as competitor store economics and jewellery executives' interviews to enhance my analysis. There was no complete information available on partner availability, willingness to pay (city level) or precise landed costs for each product classification from public sources. I thus interpreted the recommendation as a strategic proposal, based on the evidence, and not as an alternative to the commercial due diligence.</w:t>
      </w:r>
    </w:p>
    <w:p w14:paraId="1D0482BB" w14:textId="3484CF1D" w:rsidR="00142237" w:rsidRPr="002F49CF" w:rsidRDefault="00142237" w:rsidP="002F49CF">
      <w:pPr>
        <w:pStyle w:val="Heading2"/>
        <w:spacing w:line="360" w:lineRule="auto"/>
      </w:pPr>
      <w:r w:rsidRPr="002F49CF">
        <w:t>Action Plan</w:t>
      </w:r>
      <w:bookmarkEnd w:id="26"/>
    </w:p>
    <w:p w14:paraId="3ECBF8B4"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I'm going to use an evidence matrix that pairs each requirement to a theory, company fact, host-country indicator, and host-country counterpoint for future international-business assignments. This will minimise the collection of unnecessary data and enhance the collection of data to meet the marking criteria.</w:t>
      </w:r>
    </w:p>
    <w:p w14:paraId="3210EA7B"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Also, I will employ a formal source hierarchy. Peer-reviewed research will be favored over official statistics and corporate sources, which will be used primarily for company-specific information. Commercial reports will be identified and triangulated as much as possible.</w:t>
      </w:r>
    </w:p>
    <w:p w14:paraId="4E004966"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I will build at least three scenarios prior to making recommendations: optimistic, base and adverse. These could include such exchange rates, gold prices, tax costs and consumer demand for Titan. This would enhance the credibility of the recommendation in financial terms and make risk analysis more explicit.</w:t>
      </w:r>
    </w:p>
    <w:p w14:paraId="7C0CAA4A" w14:textId="77777777" w:rsidR="002F49CF" w:rsidRPr="002F49CF" w:rsidRDefault="002F49CF" w:rsidP="002F49CF">
      <w:pPr>
        <w:spacing w:line="360" w:lineRule="auto"/>
        <w:rPr>
          <w:rFonts w:asciiTheme="majorBidi" w:hAnsiTheme="majorBidi" w:cstheme="majorBidi"/>
          <w:color w:val="000000" w:themeColor="text1"/>
        </w:rPr>
      </w:pPr>
      <w:r w:rsidRPr="002F49CF">
        <w:rPr>
          <w:rFonts w:asciiTheme="majorBidi" w:hAnsiTheme="majorBidi" w:cstheme="majorBidi"/>
          <w:color w:val="000000" w:themeColor="text1"/>
        </w:rPr>
        <w:t>Lastly, I will make recommendations for implementation and strategic decisions. These will include decision rights, performance indicators, timelines, exit condition and ethical considerations. These actions should lead to more systematic, critical and professionally relevant work in the future.</w:t>
      </w:r>
    </w:p>
    <w:p w14:paraId="23AA5B9A" w14:textId="50669B45" w:rsidR="00142237" w:rsidRPr="002F49CF" w:rsidRDefault="00142237" w:rsidP="002F49CF">
      <w:pPr>
        <w:spacing w:line="360" w:lineRule="auto"/>
        <w:rPr>
          <w:rFonts w:asciiTheme="majorBidi" w:hAnsiTheme="majorBidi" w:cstheme="majorBidi"/>
          <w:color w:val="000000" w:themeColor="text1"/>
        </w:rPr>
      </w:pPr>
    </w:p>
    <w:p w14:paraId="7F89C242" w14:textId="77777777" w:rsidR="002F49CF" w:rsidRPr="002F49CF" w:rsidRDefault="002F49CF" w:rsidP="002F49CF">
      <w:pPr>
        <w:spacing w:line="360" w:lineRule="auto"/>
        <w:rPr>
          <w:rFonts w:asciiTheme="majorBidi" w:hAnsiTheme="majorBidi" w:cstheme="majorBidi"/>
          <w:color w:val="000000" w:themeColor="text1"/>
        </w:rPr>
      </w:pPr>
    </w:p>
    <w:p w14:paraId="6F044C6B" w14:textId="77777777" w:rsidR="002F49CF" w:rsidRPr="002F49CF" w:rsidRDefault="002F49CF" w:rsidP="002F49CF">
      <w:pPr>
        <w:spacing w:line="360" w:lineRule="auto"/>
        <w:rPr>
          <w:rFonts w:asciiTheme="majorBidi" w:hAnsiTheme="majorBidi" w:cstheme="majorBidi"/>
          <w:color w:val="000000" w:themeColor="text1"/>
        </w:rPr>
      </w:pPr>
    </w:p>
    <w:p w14:paraId="5C9D70A3" w14:textId="77777777" w:rsidR="002F49CF" w:rsidRPr="002F49CF" w:rsidRDefault="002F49CF" w:rsidP="002F49CF">
      <w:pPr>
        <w:spacing w:line="360" w:lineRule="auto"/>
        <w:rPr>
          <w:rFonts w:asciiTheme="majorBidi" w:hAnsiTheme="majorBidi" w:cstheme="majorBidi"/>
          <w:color w:val="000000" w:themeColor="text1"/>
        </w:rPr>
      </w:pPr>
    </w:p>
    <w:p w14:paraId="695A4D30" w14:textId="77777777" w:rsidR="002F49CF" w:rsidRPr="002F49CF" w:rsidRDefault="002F49CF" w:rsidP="002F49CF">
      <w:pPr>
        <w:spacing w:line="360" w:lineRule="auto"/>
        <w:rPr>
          <w:rFonts w:asciiTheme="majorBidi" w:hAnsiTheme="majorBidi" w:cstheme="majorBidi"/>
          <w:color w:val="000000" w:themeColor="text1"/>
        </w:rPr>
      </w:pPr>
    </w:p>
    <w:p w14:paraId="76B04526" w14:textId="77777777" w:rsidR="002F49CF" w:rsidRPr="002F49CF" w:rsidRDefault="002F49CF" w:rsidP="002F49CF">
      <w:pPr>
        <w:spacing w:line="360" w:lineRule="auto"/>
        <w:rPr>
          <w:rFonts w:asciiTheme="majorBidi" w:hAnsiTheme="majorBidi" w:cstheme="majorBidi"/>
          <w:color w:val="000000" w:themeColor="text1"/>
        </w:rPr>
      </w:pPr>
    </w:p>
    <w:p w14:paraId="75758554" w14:textId="77777777" w:rsidR="002F49CF" w:rsidRPr="002F49CF" w:rsidRDefault="002F49CF" w:rsidP="002F49CF">
      <w:pPr>
        <w:spacing w:line="360" w:lineRule="auto"/>
        <w:rPr>
          <w:rFonts w:asciiTheme="majorBidi" w:hAnsiTheme="majorBidi" w:cstheme="majorBidi"/>
          <w:color w:val="000000" w:themeColor="text1"/>
        </w:rPr>
      </w:pPr>
    </w:p>
    <w:p w14:paraId="3C00FE8D" w14:textId="77777777" w:rsidR="002F49CF" w:rsidRPr="002F49CF" w:rsidRDefault="002F49CF" w:rsidP="002F49CF">
      <w:pPr>
        <w:spacing w:line="360" w:lineRule="auto"/>
        <w:rPr>
          <w:rFonts w:asciiTheme="majorBidi" w:hAnsiTheme="majorBidi" w:cstheme="majorBidi"/>
          <w:color w:val="000000" w:themeColor="text1"/>
        </w:rPr>
      </w:pPr>
    </w:p>
    <w:p w14:paraId="76EF7C14" w14:textId="77777777" w:rsidR="002F49CF" w:rsidRPr="002F49CF" w:rsidRDefault="002F49CF" w:rsidP="002F49CF">
      <w:pPr>
        <w:spacing w:line="360" w:lineRule="auto"/>
        <w:rPr>
          <w:rFonts w:asciiTheme="majorBidi" w:hAnsiTheme="majorBidi" w:cstheme="majorBidi"/>
          <w:color w:val="000000" w:themeColor="text1"/>
        </w:rPr>
      </w:pPr>
    </w:p>
    <w:p w14:paraId="340FFED7" w14:textId="77777777" w:rsidR="002F49CF" w:rsidRPr="002F49CF" w:rsidRDefault="002F49CF" w:rsidP="002F49CF">
      <w:pPr>
        <w:spacing w:line="360" w:lineRule="auto"/>
        <w:rPr>
          <w:rFonts w:asciiTheme="majorBidi" w:hAnsiTheme="majorBidi" w:cstheme="majorBidi"/>
          <w:color w:val="000000" w:themeColor="text1"/>
        </w:rPr>
      </w:pPr>
    </w:p>
    <w:p w14:paraId="23AD4604" w14:textId="77777777" w:rsidR="002F49CF" w:rsidRPr="002F49CF" w:rsidRDefault="002F49CF" w:rsidP="002F49CF">
      <w:pPr>
        <w:spacing w:line="360" w:lineRule="auto"/>
        <w:rPr>
          <w:rFonts w:asciiTheme="majorBidi" w:hAnsiTheme="majorBidi" w:cstheme="majorBidi"/>
          <w:color w:val="000000" w:themeColor="text1"/>
        </w:rPr>
      </w:pPr>
    </w:p>
    <w:p w14:paraId="3B9A5E1F" w14:textId="77777777" w:rsidR="002F49CF" w:rsidRPr="002F49CF" w:rsidRDefault="002F49CF" w:rsidP="002F49CF">
      <w:pPr>
        <w:spacing w:line="360" w:lineRule="auto"/>
        <w:rPr>
          <w:rFonts w:asciiTheme="majorBidi" w:hAnsiTheme="majorBidi" w:cstheme="majorBidi"/>
          <w:color w:val="000000" w:themeColor="text1"/>
        </w:rPr>
      </w:pPr>
    </w:p>
    <w:p w14:paraId="44617FA6" w14:textId="77777777" w:rsidR="002F49CF" w:rsidRPr="002F49CF" w:rsidRDefault="002F49CF" w:rsidP="002F49CF">
      <w:pPr>
        <w:spacing w:line="360" w:lineRule="auto"/>
        <w:rPr>
          <w:rFonts w:asciiTheme="majorBidi" w:hAnsiTheme="majorBidi" w:cstheme="majorBidi"/>
          <w:color w:val="000000" w:themeColor="text1"/>
        </w:rPr>
      </w:pPr>
    </w:p>
    <w:p w14:paraId="125D4F4E" w14:textId="77777777" w:rsidR="002F49CF" w:rsidRPr="002F49CF" w:rsidRDefault="002F49CF" w:rsidP="002F49CF">
      <w:pPr>
        <w:spacing w:line="360" w:lineRule="auto"/>
        <w:rPr>
          <w:rFonts w:asciiTheme="majorBidi" w:hAnsiTheme="majorBidi" w:cstheme="majorBidi"/>
          <w:color w:val="000000" w:themeColor="text1"/>
        </w:rPr>
      </w:pPr>
    </w:p>
    <w:p w14:paraId="35A9F9AA" w14:textId="77777777" w:rsidR="002F49CF" w:rsidRPr="002F49CF" w:rsidRDefault="002F49CF" w:rsidP="002F49CF">
      <w:pPr>
        <w:spacing w:line="360" w:lineRule="auto"/>
        <w:rPr>
          <w:rFonts w:asciiTheme="majorBidi" w:hAnsiTheme="majorBidi" w:cstheme="majorBidi"/>
          <w:color w:val="000000" w:themeColor="text1"/>
        </w:rPr>
      </w:pPr>
    </w:p>
    <w:p w14:paraId="4AFEC22D" w14:textId="77777777" w:rsidR="002F49CF" w:rsidRPr="002F49CF" w:rsidRDefault="002F49CF" w:rsidP="002F49CF">
      <w:pPr>
        <w:spacing w:line="360" w:lineRule="auto"/>
        <w:rPr>
          <w:rFonts w:asciiTheme="majorBidi" w:hAnsiTheme="majorBidi" w:cstheme="majorBidi"/>
          <w:color w:val="000000" w:themeColor="text1"/>
        </w:rPr>
      </w:pPr>
    </w:p>
    <w:p w14:paraId="49E24FE5" w14:textId="77777777" w:rsidR="002F49CF" w:rsidRPr="002F49CF" w:rsidRDefault="002F49CF" w:rsidP="002F49CF">
      <w:pPr>
        <w:spacing w:line="360" w:lineRule="auto"/>
        <w:rPr>
          <w:rFonts w:asciiTheme="majorBidi" w:hAnsiTheme="majorBidi" w:cstheme="majorBidi"/>
          <w:color w:val="000000" w:themeColor="text1"/>
        </w:rPr>
      </w:pPr>
    </w:p>
    <w:p w14:paraId="0F4970F1" w14:textId="77777777" w:rsidR="002F49CF" w:rsidRPr="002F49CF" w:rsidRDefault="002F49CF" w:rsidP="002F49CF">
      <w:pPr>
        <w:spacing w:line="360" w:lineRule="auto"/>
        <w:rPr>
          <w:rFonts w:asciiTheme="majorBidi" w:hAnsiTheme="majorBidi" w:cstheme="majorBidi"/>
          <w:color w:val="000000" w:themeColor="text1"/>
        </w:rPr>
      </w:pPr>
    </w:p>
    <w:p w14:paraId="1D942FC9" w14:textId="77777777" w:rsidR="002F49CF" w:rsidRPr="002F49CF" w:rsidRDefault="002F49CF" w:rsidP="002F49CF">
      <w:pPr>
        <w:spacing w:line="360" w:lineRule="auto"/>
        <w:rPr>
          <w:rFonts w:asciiTheme="majorBidi" w:hAnsiTheme="majorBidi" w:cstheme="majorBidi"/>
          <w:color w:val="000000" w:themeColor="text1"/>
        </w:rPr>
      </w:pPr>
    </w:p>
    <w:p w14:paraId="1B27FE60" w14:textId="77777777" w:rsidR="002F49CF" w:rsidRPr="002F49CF" w:rsidRDefault="002F49CF" w:rsidP="002F49CF">
      <w:pPr>
        <w:spacing w:line="360" w:lineRule="auto"/>
        <w:rPr>
          <w:rFonts w:asciiTheme="majorBidi" w:hAnsiTheme="majorBidi" w:cstheme="majorBidi"/>
          <w:color w:val="000000" w:themeColor="text1"/>
        </w:rPr>
      </w:pPr>
    </w:p>
    <w:p w14:paraId="7EA21400" w14:textId="77777777" w:rsidR="002F49CF" w:rsidRPr="002F49CF" w:rsidRDefault="002F49CF" w:rsidP="002F49CF">
      <w:pPr>
        <w:spacing w:line="360" w:lineRule="auto"/>
        <w:rPr>
          <w:rFonts w:asciiTheme="majorBidi" w:hAnsiTheme="majorBidi" w:cstheme="majorBidi"/>
          <w:color w:val="000000" w:themeColor="text1"/>
        </w:rPr>
      </w:pPr>
    </w:p>
    <w:p w14:paraId="213F5941" w14:textId="77777777" w:rsidR="002F49CF" w:rsidRPr="002F49CF" w:rsidRDefault="002F49CF" w:rsidP="002F49CF">
      <w:pPr>
        <w:spacing w:line="360" w:lineRule="auto"/>
        <w:rPr>
          <w:rFonts w:asciiTheme="majorBidi" w:hAnsiTheme="majorBidi" w:cstheme="majorBidi"/>
          <w:color w:val="000000" w:themeColor="text1"/>
        </w:rPr>
      </w:pPr>
    </w:p>
    <w:p w14:paraId="5988E8A1" w14:textId="77777777" w:rsidR="00142237" w:rsidRPr="002F49CF" w:rsidRDefault="00142237" w:rsidP="002F49CF">
      <w:pPr>
        <w:pStyle w:val="Heading1"/>
        <w:rPr>
          <w:sz w:val="24"/>
          <w:szCs w:val="24"/>
        </w:rPr>
      </w:pPr>
      <w:bookmarkStart w:id="27" w:name="_Toc236398196"/>
      <w:r w:rsidRPr="002F49CF">
        <w:rPr>
          <w:sz w:val="24"/>
          <w:szCs w:val="24"/>
        </w:rPr>
        <w:t>References</w:t>
      </w:r>
      <w:bookmarkEnd w:id="27"/>
    </w:p>
    <w:p w14:paraId="7451567B"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Al-Issa, N., Dens, N., Moons, I., &amp; Ali, O. (2024). Predicting luxury purchases: A new comprehensive framework and research roadmap. </w:t>
      </w:r>
      <w:r w:rsidRPr="002F49CF">
        <w:rPr>
          <w:rFonts w:asciiTheme="majorBidi" w:hAnsiTheme="majorBidi" w:cstheme="majorBidi"/>
          <w:i/>
          <w:iCs/>
          <w:color w:val="000000" w:themeColor="text1"/>
        </w:rPr>
        <w:t>Cogent Business &amp; Management, 11</w:t>
      </w:r>
      <w:r w:rsidRPr="002F49CF">
        <w:rPr>
          <w:rFonts w:asciiTheme="majorBidi" w:hAnsiTheme="majorBidi" w:cstheme="majorBidi"/>
          <w:color w:val="000000" w:themeColor="text1"/>
        </w:rPr>
        <w:t xml:space="preserve">(1), 2285815. </w:t>
      </w:r>
      <w:hyperlink r:id="rId14" w:history="1">
        <w:r w:rsidRPr="002F49CF">
          <w:rPr>
            <w:rFonts w:asciiTheme="majorBidi" w:hAnsiTheme="majorBidi" w:cstheme="majorBidi"/>
            <w:color w:val="000000" w:themeColor="text1"/>
            <w:u w:val="single"/>
          </w:rPr>
          <w:t>https://www.tandfonline.com/doi/full/10.1080/23311975.2023.2285815</w:t>
        </w:r>
      </w:hyperlink>
    </w:p>
    <w:p w14:paraId="6F6F9F65"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Autio, E., Mudambi, R., &amp; Yoo, Y. (2021). Digitalization and globalization in a turbulent world: Centrifugal and centripetal forces. </w:t>
      </w:r>
      <w:r w:rsidRPr="002F49CF">
        <w:rPr>
          <w:rFonts w:asciiTheme="majorBidi" w:hAnsiTheme="majorBidi" w:cstheme="majorBidi"/>
          <w:i/>
          <w:iCs/>
          <w:color w:val="000000" w:themeColor="text1"/>
        </w:rPr>
        <w:t>Global Strategy Journal, 11</w:t>
      </w:r>
      <w:r w:rsidRPr="002F49CF">
        <w:rPr>
          <w:rFonts w:asciiTheme="majorBidi" w:hAnsiTheme="majorBidi" w:cstheme="majorBidi"/>
          <w:color w:val="000000" w:themeColor="text1"/>
        </w:rPr>
        <w:t xml:space="preserve">(1), 3–16. </w:t>
      </w:r>
      <w:hyperlink r:id="rId15" w:history="1">
        <w:r w:rsidRPr="002F49CF">
          <w:rPr>
            <w:rFonts w:asciiTheme="majorBidi" w:hAnsiTheme="majorBidi" w:cstheme="majorBidi"/>
            <w:color w:val="000000" w:themeColor="text1"/>
            <w:u w:val="single"/>
          </w:rPr>
          <w:t>https://onlinelibrary.wiley.com/doi/10.1002/gsj.1396</w:t>
        </w:r>
      </w:hyperlink>
    </w:p>
    <w:p w14:paraId="2842E97E"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Banalieva, E. R., &amp; Dhanaraj, C. (2019). Internalization theory for the digital economy. </w:t>
      </w:r>
      <w:r w:rsidRPr="002F49CF">
        <w:rPr>
          <w:rFonts w:asciiTheme="majorBidi" w:hAnsiTheme="majorBidi" w:cstheme="majorBidi"/>
          <w:i/>
          <w:iCs/>
          <w:color w:val="000000" w:themeColor="text1"/>
        </w:rPr>
        <w:t>Journal of International Business Studies, 50</w:t>
      </w:r>
      <w:r w:rsidRPr="002F49CF">
        <w:rPr>
          <w:rFonts w:asciiTheme="majorBidi" w:hAnsiTheme="majorBidi" w:cstheme="majorBidi"/>
          <w:color w:val="000000" w:themeColor="text1"/>
        </w:rPr>
        <w:t xml:space="preserve">, 1372–1387. </w:t>
      </w:r>
      <w:hyperlink r:id="rId16" w:history="1">
        <w:r w:rsidRPr="002F49CF">
          <w:rPr>
            <w:rFonts w:asciiTheme="majorBidi" w:hAnsiTheme="majorBidi" w:cstheme="majorBidi"/>
            <w:color w:val="000000" w:themeColor="text1"/>
            <w:u w:val="single"/>
          </w:rPr>
          <w:t>https://link.springer.com/article/10.1057/s41267-019-00243-7</w:t>
        </w:r>
      </w:hyperlink>
    </w:p>
    <w:p w14:paraId="2A044DBB"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Bartlett, C. A., &amp; Ghoshal, S. (1989). </w:t>
      </w:r>
      <w:r w:rsidRPr="002F49CF">
        <w:rPr>
          <w:rFonts w:asciiTheme="majorBidi" w:hAnsiTheme="majorBidi" w:cstheme="majorBidi"/>
          <w:i/>
          <w:iCs/>
          <w:color w:val="000000" w:themeColor="text1"/>
        </w:rPr>
        <w:t>Managing across borders: The transnational solution</w:t>
      </w:r>
      <w:r w:rsidRPr="002F49CF">
        <w:rPr>
          <w:rFonts w:asciiTheme="majorBidi" w:hAnsiTheme="majorBidi" w:cstheme="majorBidi"/>
          <w:color w:val="000000" w:themeColor="text1"/>
        </w:rPr>
        <w:t xml:space="preserve">. Harvard Business School Press. </w:t>
      </w:r>
      <w:hyperlink r:id="rId17" w:history="1">
        <w:r w:rsidRPr="002F49CF">
          <w:rPr>
            <w:rFonts w:asciiTheme="majorBidi" w:hAnsiTheme="majorBidi" w:cstheme="majorBidi"/>
            <w:color w:val="000000" w:themeColor="text1"/>
            <w:u w:val="single"/>
          </w:rPr>
          <w:t>https://www.hbs.edu/faculty/Pages/item.aspx?num=161</w:t>
        </w:r>
      </w:hyperlink>
    </w:p>
    <w:p w14:paraId="0226D94D"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Batat, W. (2023). The pursuit of luxury or luxuries? A framework of the past, present, and future of luxury research. </w:t>
      </w:r>
      <w:r w:rsidRPr="002F49CF">
        <w:rPr>
          <w:rFonts w:asciiTheme="majorBidi" w:hAnsiTheme="majorBidi" w:cstheme="majorBidi"/>
          <w:i/>
          <w:iCs/>
          <w:color w:val="000000" w:themeColor="text1"/>
        </w:rPr>
        <w:t>Consumption Markets &amp; Culture, 26</w:t>
      </w:r>
      <w:r w:rsidRPr="002F49CF">
        <w:rPr>
          <w:rFonts w:asciiTheme="majorBidi" w:hAnsiTheme="majorBidi" w:cstheme="majorBidi"/>
          <w:color w:val="000000" w:themeColor="text1"/>
        </w:rPr>
        <w:t xml:space="preserve">(2), 103–116. </w:t>
      </w:r>
      <w:hyperlink r:id="rId18" w:history="1">
        <w:r w:rsidRPr="002F49CF">
          <w:rPr>
            <w:rFonts w:asciiTheme="majorBidi" w:hAnsiTheme="majorBidi" w:cstheme="majorBidi"/>
            <w:color w:val="000000" w:themeColor="text1"/>
            <w:u w:val="single"/>
          </w:rPr>
          <w:t>https://www.tandfonline.com/doi/full/10.1080/10253866.2023.2185233</w:t>
        </w:r>
      </w:hyperlink>
    </w:p>
    <w:p w14:paraId="276B14B3"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Beugelsdijk, S., Kostova, T., Kunst, V. E., Spadafora, E., &amp; van Essen, M. (2018). Cultural distance and firm internationalization: A meta-analytical review and theoretical implications. </w:t>
      </w:r>
      <w:r w:rsidRPr="002F49CF">
        <w:rPr>
          <w:rFonts w:asciiTheme="majorBidi" w:hAnsiTheme="majorBidi" w:cstheme="majorBidi"/>
          <w:i/>
          <w:iCs/>
          <w:color w:val="000000" w:themeColor="text1"/>
        </w:rPr>
        <w:t>Journal of Management, 44</w:t>
      </w:r>
      <w:r w:rsidRPr="002F49CF">
        <w:rPr>
          <w:rFonts w:asciiTheme="majorBidi" w:hAnsiTheme="majorBidi" w:cstheme="majorBidi"/>
          <w:color w:val="000000" w:themeColor="text1"/>
        </w:rPr>
        <w:t xml:space="preserve">(1), 89–130. </w:t>
      </w:r>
      <w:hyperlink r:id="rId19" w:history="1">
        <w:r w:rsidRPr="002F49CF">
          <w:rPr>
            <w:rFonts w:asciiTheme="majorBidi" w:hAnsiTheme="majorBidi" w:cstheme="majorBidi"/>
            <w:color w:val="000000" w:themeColor="text1"/>
            <w:u w:val="single"/>
          </w:rPr>
          <w:t>https://journals.sagepub.com/doi/10.1177/0149206317729027</w:t>
        </w:r>
      </w:hyperlink>
    </w:p>
    <w:p w14:paraId="5205D392"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Bothner, J. (2024). Institutions as a determinant of FDI and the role of natural resources. </w:t>
      </w:r>
      <w:r w:rsidRPr="002F49CF">
        <w:rPr>
          <w:rFonts w:asciiTheme="majorBidi" w:hAnsiTheme="majorBidi" w:cstheme="majorBidi"/>
          <w:i/>
          <w:iCs/>
          <w:color w:val="000000" w:themeColor="text1"/>
        </w:rPr>
        <w:t>Resources Policy, 99</w:t>
      </w:r>
      <w:r w:rsidRPr="002F49CF">
        <w:rPr>
          <w:rFonts w:asciiTheme="majorBidi" w:hAnsiTheme="majorBidi" w:cstheme="majorBidi"/>
          <w:color w:val="000000" w:themeColor="text1"/>
        </w:rPr>
        <w:t xml:space="preserve">, 105367. </w:t>
      </w:r>
      <w:hyperlink r:id="rId20" w:history="1">
        <w:r w:rsidRPr="002F49CF">
          <w:rPr>
            <w:rFonts w:asciiTheme="majorBidi" w:hAnsiTheme="majorBidi" w:cstheme="majorBidi"/>
            <w:color w:val="000000" w:themeColor="text1"/>
            <w:u w:val="single"/>
          </w:rPr>
          <w:t>https://www.sciencedirect.com/science/article/pii/S0301420724007347</w:t>
        </w:r>
      </w:hyperlink>
    </w:p>
    <w:p w14:paraId="44926FE4"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Brazilian Ministry of Foreign Affairs. (2026). </w:t>
      </w:r>
      <w:r w:rsidRPr="002F49CF">
        <w:rPr>
          <w:rFonts w:asciiTheme="majorBidi" w:hAnsiTheme="majorBidi" w:cstheme="majorBidi"/>
          <w:i/>
          <w:iCs/>
          <w:color w:val="000000" w:themeColor="text1"/>
        </w:rPr>
        <w:t>Invest in Brazil safely and efficiently: Brazil Single Window for Investments</w:t>
      </w:r>
      <w:r w:rsidRPr="002F49CF">
        <w:rPr>
          <w:rFonts w:asciiTheme="majorBidi" w:hAnsiTheme="majorBidi" w:cstheme="majorBidi"/>
          <w:color w:val="000000" w:themeColor="text1"/>
        </w:rPr>
        <w:t xml:space="preserve">. </w:t>
      </w:r>
      <w:hyperlink r:id="rId21" w:history="1">
        <w:r w:rsidRPr="002F49CF">
          <w:rPr>
            <w:rFonts w:asciiTheme="majorBidi" w:hAnsiTheme="majorBidi" w:cstheme="majorBidi"/>
            <w:color w:val="000000" w:themeColor="text1"/>
            <w:u w:val="single"/>
          </w:rPr>
          <w:t>https://www.gov.br/mre/pt-br/consulado-los-angeles/setor-de-promocao-comercial-secom/invest-in-brazil-safely-and-efficiently-1</w:t>
        </w:r>
      </w:hyperlink>
    </w:p>
    <w:p w14:paraId="40DB4E3A"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Chen, L., Shaheer, N., Yi, J., &amp; Li, S. (2019). The international penetration of ibusiness firms: Network effects, liabilities of outsidership and country clout. </w:t>
      </w:r>
      <w:r w:rsidRPr="002F49CF">
        <w:rPr>
          <w:rFonts w:asciiTheme="majorBidi" w:hAnsiTheme="majorBidi" w:cstheme="majorBidi"/>
          <w:i/>
          <w:iCs/>
          <w:color w:val="000000" w:themeColor="text1"/>
        </w:rPr>
        <w:t>Journal of International Business Studies, 50</w:t>
      </w:r>
      <w:r w:rsidRPr="002F49CF">
        <w:rPr>
          <w:rFonts w:asciiTheme="majorBidi" w:hAnsiTheme="majorBidi" w:cstheme="majorBidi"/>
          <w:color w:val="000000" w:themeColor="text1"/>
        </w:rPr>
        <w:t xml:space="preserve">, 172–192. </w:t>
      </w:r>
      <w:hyperlink r:id="rId22" w:history="1">
        <w:r w:rsidRPr="002F49CF">
          <w:rPr>
            <w:rFonts w:asciiTheme="majorBidi" w:hAnsiTheme="majorBidi" w:cstheme="majorBidi"/>
            <w:color w:val="000000" w:themeColor="text1"/>
            <w:u w:val="single"/>
          </w:rPr>
          <w:t>https://link.springer.com/article/10.1057/s41267-018-0176-2</w:t>
        </w:r>
      </w:hyperlink>
    </w:p>
    <w:p w14:paraId="3854DD17"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Donnelly, R., Purkayastha, S., Manolova, T. S., &amp; Edelman, L. F. (2024). Institutional distance, slack resources, and foreign market entry. </w:t>
      </w:r>
      <w:r w:rsidRPr="002F49CF">
        <w:rPr>
          <w:rFonts w:asciiTheme="majorBidi" w:hAnsiTheme="majorBidi" w:cstheme="majorBidi"/>
          <w:i/>
          <w:iCs/>
          <w:color w:val="000000" w:themeColor="text1"/>
        </w:rPr>
        <w:t>Journal of International Business Studies, 55</w:t>
      </w:r>
      <w:r w:rsidRPr="002F49CF">
        <w:rPr>
          <w:rFonts w:asciiTheme="majorBidi" w:hAnsiTheme="majorBidi" w:cstheme="majorBidi"/>
          <w:color w:val="000000" w:themeColor="text1"/>
        </w:rPr>
        <w:t xml:space="preserve">, 194–211. </w:t>
      </w:r>
      <w:hyperlink r:id="rId23" w:history="1">
        <w:r w:rsidRPr="002F49CF">
          <w:rPr>
            <w:rFonts w:asciiTheme="majorBidi" w:hAnsiTheme="majorBidi" w:cstheme="majorBidi"/>
            <w:color w:val="000000" w:themeColor="text1"/>
            <w:u w:val="single"/>
          </w:rPr>
          <w:t>https://link.springer.com/article/10.1057/s41267-023-00647-6</w:t>
        </w:r>
      </w:hyperlink>
    </w:p>
    <w:p w14:paraId="2AB282EA"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Dunning, J. H. (1988). The eclectic paradigm of international production: A restatement and some possible extensions. </w:t>
      </w:r>
      <w:r w:rsidRPr="002F49CF">
        <w:rPr>
          <w:rFonts w:asciiTheme="majorBidi" w:hAnsiTheme="majorBidi" w:cstheme="majorBidi"/>
          <w:i/>
          <w:iCs/>
          <w:color w:val="000000" w:themeColor="text1"/>
        </w:rPr>
        <w:t>Journal of International Business Studies, 19</w:t>
      </w:r>
      <w:r w:rsidRPr="002F49CF">
        <w:rPr>
          <w:rFonts w:asciiTheme="majorBidi" w:hAnsiTheme="majorBidi" w:cstheme="majorBidi"/>
          <w:color w:val="000000" w:themeColor="text1"/>
        </w:rPr>
        <w:t xml:space="preserve">(1), 1–31. </w:t>
      </w:r>
      <w:hyperlink r:id="rId24" w:history="1">
        <w:r w:rsidRPr="002F49CF">
          <w:rPr>
            <w:rFonts w:asciiTheme="majorBidi" w:hAnsiTheme="majorBidi" w:cstheme="majorBidi"/>
            <w:color w:val="000000" w:themeColor="text1"/>
            <w:u w:val="single"/>
          </w:rPr>
          <w:t>https://link.springer.com/article/10.1057/palgrave.jibs.8490372</w:t>
        </w:r>
      </w:hyperlink>
    </w:p>
    <w:p w14:paraId="1D551065"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Ellimäki, P., Aguilera, R. V., Hurtado-Torres, N. E., &amp; Aragón-Correa, J. A. (2023). The link between foreign institutional owners and multinational enterprises’ environmental outcomes. </w:t>
      </w:r>
      <w:r w:rsidRPr="002F49CF">
        <w:rPr>
          <w:rFonts w:asciiTheme="majorBidi" w:hAnsiTheme="majorBidi" w:cstheme="majorBidi"/>
          <w:i/>
          <w:iCs/>
          <w:color w:val="000000" w:themeColor="text1"/>
        </w:rPr>
        <w:t>Journal of International Business Studies, 54</w:t>
      </w:r>
      <w:r w:rsidRPr="002F49CF">
        <w:rPr>
          <w:rFonts w:asciiTheme="majorBidi" w:hAnsiTheme="majorBidi" w:cstheme="majorBidi"/>
          <w:color w:val="000000" w:themeColor="text1"/>
        </w:rPr>
        <w:t xml:space="preserve">, 910–927. </w:t>
      </w:r>
      <w:hyperlink r:id="rId25" w:history="1">
        <w:r w:rsidRPr="002F49CF">
          <w:rPr>
            <w:rFonts w:asciiTheme="majorBidi" w:hAnsiTheme="majorBidi" w:cstheme="majorBidi"/>
            <w:color w:val="000000" w:themeColor="text1"/>
            <w:u w:val="single"/>
          </w:rPr>
          <w:t>https://link.springer.com/article/10.1057/s41267-022-00580-0</w:t>
        </w:r>
      </w:hyperlink>
    </w:p>
    <w:p w14:paraId="6362ADCF"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Ettalibi, N., Arunachalam, M., Nguyen, T., &amp; Rehman, K. U. (2025). The influence of institutional void and socio-cultural factors on the internationalization of emerging multinationals. </w:t>
      </w:r>
      <w:r w:rsidRPr="002F49CF">
        <w:rPr>
          <w:rFonts w:asciiTheme="majorBidi" w:hAnsiTheme="majorBidi" w:cstheme="majorBidi"/>
          <w:i/>
          <w:iCs/>
          <w:color w:val="000000" w:themeColor="text1"/>
        </w:rPr>
        <w:t>Research in International Business and Finance, 73</w:t>
      </w:r>
      <w:r w:rsidRPr="002F49CF">
        <w:rPr>
          <w:rFonts w:asciiTheme="majorBidi" w:hAnsiTheme="majorBidi" w:cstheme="majorBidi"/>
          <w:color w:val="000000" w:themeColor="text1"/>
        </w:rPr>
        <w:t xml:space="preserve">, 102605. </w:t>
      </w:r>
      <w:hyperlink r:id="rId26" w:history="1">
        <w:r w:rsidRPr="002F49CF">
          <w:rPr>
            <w:rFonts w:asciiTheme="majorBidi" w:hAnsiTheme="majorBidi" w:cstheme="majorBidi"/>
            <w:color w:val="000000" w:themeColor="text1"/>
            <w:u w:val="single"/>
          </w:rPr>
          <w:t>https://www.sciencedirect.com/science/article/pii/S0275531924003982</w:t>
        </w:r>
      </w:hyperlink>
    </w:p>
    <w:p w14:paraId="5BB2C41A"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Euromonitor International. (2025a). </w:t>
      </w:r>
      <w:r w:rsidRPr="002F49CF">
        <w:rPr>
          <w:rFonts w:asciiTheme="majorBidi" w:hAnsiTheme="majorBidi" w:cstheme="majorBidi"/>
          <w:i/>
          <w:iCs/>
          <w:color w:val="000000" w:themeColor="text1"/>
        </w:rPr>
        <w:t>Luxury goods in Brazil</w:t>
      </w:r>
      <w:r w:rsidRPr="002F49CF">
        <w:rPr>
          <w:rFonts w:asciiTheme="majorBidi" w:hAnsiTheme="majorBidi" w:cstheme="majorBidi"/>
          <w:color w:val="000000" w:themeColor="text1"/>
        </w:rPr>
        <w:t xml:space="preserve">. </w:t>
      </w:r>
      <w:hyperlink r:id="rId27" w:history="1">
        <w:r w:rsidRPr="002F49CF">
          <w:rPr>
            <w:rFonts w:asciiTheme="majorBidi" w:hAnsiTheme="majorBidi" w:cstheme="majorBidi"/>
            <w:color w:val="000000" w:themeColor="text1"/>
            <w:u w:val="single"/>
          </w:rPr>
          <w:t>https://www.euromonitor.com/luxury-goods-in-brazil/report</w:t>
        </w:r>
      </w:hyperlink>
    </w:p>
    <w:p w14:paraId="7419F47B"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Euromonitor International. (2026a). </w:t>
      </w:r>
      <w:r w:rsidRPr="002F49CF">
        <w:rPr>
          <w:rFonts w:asciiTheme="majorBidi" w:hAnsiTheme="majorBidi" w:cstheme="majorBidi"/>
          <w:i/>
          <w:iCs/>
          <w:color w:val="000000" w:themeColor="text1"/>
        </w:rPr>
        <w:t>Jewellery in Brazil</w:t>
      </w:r>
      <w:r w:rsidRPr="002F49CF">
        <w:rPr>
          <w:rFonts w:asciiTheme="majorBidi" w:hAnsiTheme="majorBidi" w:cstheme="majorBidi"/>
          <w:color w:val="000000" w:themeColor="text1"/>
        </w:rPr>
        <w:t xml:space="preserve">. </w:t>
      </w:r>
      <w:hyperlink r:id="rId28" w:history="1">
        <w:r w:rsidRPr="002F49CF">
          <w:rPr>
            <w:rFonts w:asciiTheme="majorBidi" w:hAnsiTheme="majorBidi" w:cstheme="majorBidi"/>
            <w:color w:val="000000" w:themeColor="text1"/>
            <w:u w:val="single"/>
          </w:rPr>
          <w:t>https://www.marketresearch.com/Euromonitor-International-v746/Jewellery-Brazil-44050819/</w:t>
        </w:r>
      </w:hyperlink>
    </w:p>
    <w:p w14:paraId="22C50720"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Euromonitor International. (2026b). </w:t>
      </w:r>
      <w:r w:rsidRPr="002F49CF">
        <w:rPr>
          <w:rFonts w:asciiTheme="majorBidi" w:hAnsiTheme="majorBidi" w:cstheme="majorBidi"/>
          <w:i/>
          <w:iCs/>
          <w:color w:val="000000" w:themeColor="text1"/>
        </w:rPr>
        <w:t>Traditional and connected watches in Brazil</w:t>
      </w:r>
      <w:r w:rsidRPr="002F49CF">
        <w:rPr>
          <w:rFonts w:asciiTheme="majorBidi" w:hAnsiTheme="majorBidi" w:cstheme="majorBidi"/>
          <w:color w:val="000000" w:themeColor="text1"/>
        </w:rPr>
        <w:t xml:space="preserve">. </w:t>
      </w:r>
      <w:hyperlink r:id="rId29" w:history="1">
        <w:r w:rsidRPr="002F49CF">
          <w:rPr>
            <w:rFonts w:asciiTheme="majorBidi" w:hAnsiTheme="majorBidi" w:cstheme="majorBidi"/>
            <w:color w:val="000000" w:themeColor="text1"/>
            <w:u w:val="single"/>
          </w:rPr>
          <w:t>https://www.marketresearch.com/Euromonitor-International-v746/Traditional-Connected-Watches-Brazil-44050834/</w:t>
        </w:r>
      </w:hyperlink>
    </w:p>
    <w:p w14:paraId="7BAF1470"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Gibbs, G. (1988). </w:t>
      </w:r>
      <w:r w:rsidRPr="002F49CF">
        <w:rPr>
          <w:rFonts w:asciiTheme="majorBidi" w:hAnsiTheme="majorBidi" w:cstheme="majorBidi"/>
          <w:i/>
          <w:iCs/>
          <w:color w:val="000000" w:themeColor="text1"/>
        </w:rPr>
        <w:t>Learning by doing: A guide to teaching and learning methods</w:t>
      </w:r>
      <w:r w:rsidRPr="002F49CF">
        <w:rPr>
          <w:rFonts w:asciiTheme="majorBidi" w:hAnsiTheme="majorBidi" w:cstheme="majorBidi"/>
          <w:color w:val="000000" w:themeColor="text1"/>
        </w:rPr>
        <w:t xml:space="preserve">. Oxford Polytechnic. </w:t>
      </w:r>
      <w:hyperlink r:id="rId30" w:history="1">
        <w:r w:rsidRPr="002F49CF">
          <w:rPr>
            <w:rFonts w:asciiTheme="majorBidi" w:hAnsiTheme="majorBidi" w:cstheme="majorBidi"/>
            <w:color w:val="000000" w:themeColor="text1"/>
            <w:u w:val="single"/>
          </w:rPr>
          <w:t>https://thoughtsmostlyaboutlearning.files.wordpress.com/2015/12/learning-by-doing-graham-gibbs.pdf</w:t>
        </w:r>
      </w:hyperlink>
    </w:p>
    <w:p w14:paraId="06B00746"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Haddad, C., &amp; Verriest, A. (2025). How do country institutions affect foreign investment? Evidence from European multinational companies. </w:t>
      </w:r>
      <w:r w:rsidRPr="002F49CF">
        <w:rPr>
          <w:rFonts w:asciiTheme="majorBidi" w:hAnsiTheme="majorBidi" w:cstheme="majorBidi"/>
          <w:i/>
          <w:iCs/>
          <w:color w:val="000000" w:themeColor="text1"/>
        </w:rPr>
        <w:t>International Business Review, 34</w:t>
      </w:r>
      <w:r w:rsidRPr="002F49CF">
        <w:rPr>
          <w:rFonts w:asciiTheme="majorBidi" w:hAnsiTheme="majorBidi" w:cstheme="majorBidi"/>
          <w:color w:val="000000" w:themeColor="text1"/>
        </w:rPr>
        <w:t xml:space="preserve">(1), 102344. </w:t>
      </w:r>
      <w:hyperlink r:id="rId31" w:history="1">
        <w:r w:rsidRPr="002F49CF">
          <w:rPr>
            <w:rFonts w:asciiTheme="majorBidi" w:hAnsiTheme="majorBidi" w:cstheme="majorBidi"/>
            <w:color w:val="000000" w:themeColor="text1"/>
            <w:u w:val="single"/>
          </w:rPr>
          <w:t>https://www.sciencedirect.com/science/article/pii/S096959312400091X</w:t>
        </w:r>
      </w:hyperlink>
    </w:p>
    <w:p w14:paraId="2A13C233"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Hennart, J.-F. (2019). Digitalized service multinationals and international business theory. </w:t>
      </w:r>
      <w:r w:rsidRPr="002F49CF">
        <w:rPr>
          <w:rFonts w:asciiTheme="majorBidi" w:hAnsiTheme="majorBidi" w:cstheme="majorBidi"/>
          <w:i/>
          <w:iCs/>
          <w:color w:val="000000" w:themeColor="text1"/>
        </w:rPr>
        <w:t>Journal of International Business Studies, 50</w:t>
      </w:r>
      <w:r w:rsidRPr="002F49CF">
        <w:rPr>
          <w:rFonts w:asciiTheme="majorBidi" w:hAnsiTheme="majorBidi" w:cstheme="majorBidi"/>
          <w:color w:val="000000" w:themeColor="text1"/>
        </w:rPr>
        <w:t xml:space="preserve">, 1388–1400. </w:t>
      </w:r>
      <w:hyperlink r:id="rId32" w:history="1">
        <w:r w:rsidRPr="002F49CF">
          <w:rPr>
            <w:rFonts w:asciiTheme="majorBidi" w:hAnsiTheme="majorBidi" w:cstheme="majorBidi"/>
            <w:color w:val="000000" w:themeColor="text1"/>
            <w:u w:val="single"/>
          </w:rPr>
          <w:t>https://link.springer.com/article/10.1057/s41267-019-00256-2</w:t>
        </w:r>
      </w:hyperlink>
    </w:p>
    <w:p w14:paraId="530DFA17"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Holmes, R. M., Jr., Xu, K., &amp; Hitt, M. A. (2025). Political institutions, the institutional milieu, and inward foreign direct investment. </w:t>
      </w:r>
      <w:r w:rsidRPr="002F49CF">
        <w:rPr>
          <w:rFonts w:asciiTheme="majorBidi" w:hAnsiTheme="majorBidi" w:cstheme="majorBidi"/>
          <w:i/>
          <w:iCs/>
          <w:color w:val="000000" w:themeColor="text1"/>
        </w:rPr>
        <w:t>Journal of Business Research, 197</w:t>
      </w:r>
      <w:r w:rsidRPr="002F49CF">
        <w:rPr>
          <w:rFonts w:asciiTheme="majorBidi" w:hAnsiTheme="majorBidi" w:cstheme="majorBidi"/>
          <w:color w:val="000000" w:themeColor="text1"/>
        </w:rPr>
        <w:t xml:space="preserve">, 115447. </w:t>
      </w:r>
      <w:hyperlink r:id="rId33" w:history="1">
        <w:r w:rsidRPr="002F49CF">
          <w:rPr>
            <w:rFonts w:asciiTheme="majorBidi" w:hAnsiTheme="majorBidi" w:cstheme="majorBidi"/>
            <w:color w:val="000000" w:themeColor="text1"/>
            <w:u w:val="single"/>
          </w:rPr>
          <w:t>https://www.sciencedirect.com/science/article/pii/S014829632500270X</w:t>
        </w:r>
      </w:hyperlink>
    </w:p>
    <w:p w14:paraId="5A401CD8"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Huang, W., Hu, Y., &amp; Chen, S. (2026). Overcoming liability of origin: The effects of EM-MNEs’ ESG reporting on establishment mode choice. </w:t>
      </w:r>
      <w:r w:rsidRPr="002F49CF">
        <w:rPr>
          <w:rFonts w:asciiTheme="majorBidi" w:hAnsiTheme="majorBidi" w:cstheme="majorBidi"/>
          <w:i/>
          <w:iCs/>
          <w:color w:val="000000" w:themeColor="text1"/>
        </w:rPr>
        <w:t>Journal of Business Research</w:t>
      </w:r>
      <w:r w:rsidRPr="002F49CF">
        <w:rPr>
          <w:rFonts w:asciiTheme="majorBidi" w:hAnsiTheme="majorBidi" w:cstheme="majorBidi"/>
          <w:color w:val="000000" w:themeColor="text1"/>
        </w:rPr>
        <w:t xml:space="preserve">, 116133. </w:t>
      </w:r>
      <w:hyperlink r:id="rId34" w:history="1">
        <w:r w:rsidRPr="002F49CF">
          <w:rPr>
            <w:rFonts w:asciiTheme="majorBidi" w:hAnsiTheme="majorBidi" w:cstheme="majorBidi"/>
            <w:color w:val="000000" w:themeColor="text1"/>
            <w:u w:val="single"/>
          </w:rPr>
          <w:t>https://www.sciencedirect.com/science/article/pii/S0148296326001670</w:t>
        </w:r>
      </w:hyperlink>
    </w:p>
    <w:p w14:paraId="689F7829"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IBGE. (2026a). </w:t>
      </w:r>
      <w:r w:rsidRPr="002F49CF">
        <w:rPr>
          <w:rFonts w:asciiTheme="majorBidi" w:hAnsiTheme="majorBidi" w:cstheme="majorBidi"/>
          <w:i/>
          <w:iCs/>
          <w:color w:val="000000" w:themeColor="text1"/>
        </w:rPr>
        <w:t>Brazilian population estimates and national indicators</w:t>
      </w:r>
      <w:r w:rsidRPr="002F49CF">
        <w:rPr>
          <w:rFonts w:asciiTheme="majorBidi" w:hAnsiTheme="majorBidi" w:cstheme="majorBidi"/>
          <w:color w:val="000000" w:themeColor="text1"/>
        </w:rPr>
        <w:t xml:space="preserve">. </w:t>
      </w:r>
      <w:hyperlink r:id="rId35" w:history="1">
        <w:r w:rsidRPr="002F49CF">
          <w:rPr>
            <w:rFonts w:asciiTheme="majorBidi" w:hAnsiTheme="majorBidi" w:cstheme="majorBidi"/>
            <w:color w:val="000000" w:themeColor="text1"/>
            <w:u w:val="single"/>
          </w:rPr>
          <w:t>https://www.ibge.gov.br/en/novoportal-institutional.html</w:t>
        </w:r>
      </w:hyperlink>
    </w:p>
    <w:p w14:paraId="48D1BA19"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IBGE. (2026b). </w:t>
      </w:r>
      <w:r w:rsidRPr="002F49CF">
        <w:rPr>
          <w:rFonts w:asciiTheme="majorBidi" w:hAnsiTheme="majorBidi" w:cstheme="majorBidi"/>
          <w:i/>
          <w:iCs/>
          <w:color w:val="000000" w:themeColor="text1"/>
        </w:rPr>
        <w:t>Dashboard of economic indicators</w:t>
      </w:r>
      <w:r w:rsidRPr="002F49CF">
        <w:rPr>
          <w:rFonts w:asciiTheme="majorBidi" w:hAnsiTheme="majorBidi" w:cstheme="majorBidi"/>
          <w:color w:val="000000" w:themeColor="text1"/>
        </w:rPr>
        <w:t xml:space="preserve">. </w:t>
      </w:r>
      <w:hyperlink r:id="rId36" w:history="1">
        <w:r w:rsidRPr="002F49CF">
          <w:rPr>
            <w:rFonts w:asciiTheme="majorBidi" w:hAnsiTheme="majorBidi" w:cstheme="majorBidi"/>
            <w:color w:val="000000" w:themeColor="text1"/>
            <w:u w:val="single"/>
          </w:rPr>
          <w:t>https://www.ibge.gov.br/en/indicators.html</w:t>
        </w:r>
      </w:hyperlink>
    </w:p>
    <w:p w14:paraId="30DD3EEE"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INMETRO. (2026). </w:t>
      </w:r>
      <w:r w:rsidRPr="002F49CF">
        <w:rPr>
          <w:rFonts w:asciiTheme="majorBidi" w:hAnsiTheme="majorBidi" w:cstheme="majorBidi"/>
          <w:i/>
          <w:iCs/>
          <w:color w:val="000000" w:themeColor="text1"/>
        </w:rPr>
        <w:t>Regulation for the commercialisation of jewellery and fashion jewellery</w:t>
      </w:r>
      <w:r w:rsidRPr="002F49CF">
        <w:rPr>
          <w:rFonts w:asciiTheme="majorBidi" w:hAnsiTheme="majorBidi" w:cstheme="majorBidi"/>
          <w:color w:val="000000" w:themeColor="text1"/>
        </w:rPr>
        <w:t xml:space="preserve">. </w:t>
      </w:r>
      <w:hyperlink r:id="rId37" w:history="1">
        <w:r w:rsidRPr="002F49CF">
          <w:rPr>
            <w:rFonts w:asciiTheme="majorBidi" w:hAnsiTheme="majorBidi" w:cstheme="majorBidi"/>
            <w:color w:val="000000" w:themeColor="text1"/>
            <w:u w:val="single"/>
          </w:rPr>
          <w:t>https://www.gov.br/inmetro/pt-br/acesso-a-informacao/perguntas-frequentes/avaliacao-da-conformidade/bijuterias-e-joias/qual-a-regulamentacao-para-a-comercializacao-de-bijuterias-e-joias</w:t>
        </w:r>
      </w:hyperlink>
    </w:p>
    <w:p w14:paraId="32C3EEE1"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International Trade Administration. (2025a). </w:t>
      </w:r>
      <w:r w:rsidRPr="002F49CF">
        <w:rPr>
          <w:rFonts w:asciiTheme="majorBidi" w:hAnsiTheme="majorBidi" w:cstheme="majorBidi"/>
          <w:i/>
          <w:iCs/>
          <w:color w:val="000000" w:themeColor="text1"/>
        </w:rPr>
        <w:t>Brazil investment climate statement</w:t>
      </w:r>
      <w:r w:rsidRPr="002F49CF">
        <w:rPr>
          <w:rFonts w:asciiTheme="majorBidi" w:hAnsiTheme="majorBidi" w:cstheme="majorBidi"/>
          <w:color w:val="000000" w:themeColor="text1"/>
        </w:rPr>
        <w:t xml:space="preserve">. </w:t>
      </w:r>
      <w:hyperlink r:id="rId38" w:history="1">
        <w:r w:rsidRPr="002F49CF">
          <w:rPr>
            <w:rFonts w:asciiTheme="majorBidi" w:hAnsiTheme="majorBidi" w:cstheme="majorBidi"/>
            <w:color w:val="000000" w:themeColor="text1"/>
            <w:u w:val="single"/>
          </w:rPr>
          <w:t>https://www.trade.gov/country-commercial-guides/brazil-investment-climate-statement</w:t>
        </w:r>
      </w:hyperlink>
    </w:p>
    <w:p w14:paraId="21AFECFB"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International Trade Administration. (2025b). </w:t>
      </w:r>
      <w:r w:rsidRPr="002F49CF">
        <w:rPr>
          <w:rFonts w:asciiTheme="majorBidi" w:hAnsiTheme="majorBidi" w:cstheme="majorBidi"/>
          <w:i/>
          <w:iCs/>
          <w:color w:val="000000" w:themeColor="text1"/>
        </w:rPr>
        <w:t>Brazil import tariffs</w:t>
      </w:r>
      <w:r w:rsidRPr="002F49CF">
        <w:rPr>
          <w:rFonts w:asciiTheme="majorBidi" w:hAnsiTheme="majorBidi" w:cstheme="majorBidi"/>
          <w:color w:val="000000" w:themeColor="text1"/>
        </w:rPr>
        <w:t xml:space="preserve">. </w:t>
      </w:r>
      <w:hyperlink r:id="rId39" w:history="1">
        <w:r w:rsidRPr="002F49CF">
          <w:rPr>
            <w:rFonts w:asciiTheme="majorBidi" w:hAnsiTheme="majorBidi" w:cstheme="majorBidi"/>
            <w:color w:val="000000" w:themeColor="text1"/>
            <w:u w:val="single"/>
          </w:rPr>
          <w:t>https://www.trade.gov/country-commercial-guides/brazil-import-tariffs</w:t>
        </w:r>
      </w:hyperlink>
    </w:p>
    <w:p w14:paraId="75231858"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Jain, S., &amp; Shankar, A. (2023). Examining luxury consumers’ showrooming behaviour: The effect of perceived values and product involvement. </w:t>
      </w:r>
      <w:r w:rsidRPr="002F49CF">
        <w:rPr>
          <w:rFonts w:asciiTheme="majorBidi" w:hAnsiTheme="majorBidi" w:cstheme="majorBidi"/>
          <w:i/>
          <w:iCs/>
          <w:color w:val="000000" w:themeColor="text1"/>
        </w:rPr>
        <w:t>Journal of Global Fashion Marketing, 14</w:t>
      </w:r>
      <w:r w:rsidRPr="002F49CF">
        <w:rPr>
          <w:rFonts w:asciiTheme="majorBidi" w:hAnsiTheme="majorBidi" w:cstheme="majorBidi"/>
          <w:color w:val="000000" w:themeColor="text1"/>
        </w:rPr>
        <w:t xml:space="preserve">(3), 294–311. </w:t>
      </w:r>
      <w:hyperlink r:id="rId40" w:history="1">
        <w:r w:rsidRPr="002F49CF">
          <w:rPr>
            <w:rFonts w:asciiTheme="majorBidi" w:hAnsiTheme="majorBidi" w:cstheme="majorBidi"/>
            <w:color w:val="000000" w:themeColor="text1"/>
            <w:u w:val="single"/>
          </w:rPr>
          <w:t>https://www.tandfonline.com/doi/abs/10.1080/20932685.2023.2165130</w:t>
        </w:r>
      </w:hyperlink>
    </w:p>
    <w:p w14:paraId="5E69ECE4"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Johanson, J., &amp; Vahlne, J.-E. (2009). The Uppsala internationalization process model revisited: From liability of foreignness to liability of outsidership. </w:t>
      </w:r>
      <w:r w:rsidRPr="002F49CF">
        <w:rPr>
          <w:rFonts w:asciiTheme="majorBidi" w:hAnsiTheme="majorBidi" w:cstheme="majorBidi"/>
          <w:i/>
          <w:iCs/>
          <w:color w:val="000000" w:themeColor="text1"/>
        </w:rPr>
        <w:t>Journal of International Business Studies, 40</w:t>
      </w:r>
      <w:r w:rsidRPr="002F49CF">
        <w:rPr>
          <w:rFonts w:asciiTheme="majorBidi" w:hAnsiTheme="majorBidi" w:cstheme="majorBidi"/>
          <w:color w:val="000000" w:themeColor="text1"/>
        </w:rPr>
        <w:t xml:space="preserve">(9), 1411–1431. </w:t>
      </w:r>
      <w:hyperlink r:id="rId41" w:history="1">
        <w:r w:rsidRPr="002F49CF">
          <w:rPr>
            <w:rFonts w:asciiTheme="majorBidi" w:hAnsiTheme="majorBidi" w:cstheme="majorBidi"/>
            <w:color w:val="000000" w:themeColor="text1"/>
            <w:u w:val="single"/>
          </w:rPr>
          <w:t>https://link.springer.com/article/10.1057/jibs.2009.24</w:t>
        </w:r>
      </w:hyperlink>
    </w:p>
    <w:p w14:paraId="20B1C983"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Kano, L., Tsang, E. W. K., &amp; Yeung, H. W.-C. (2020). Global value chains: A review of the multidisciplinary literature. </w:t>
      </w:r>
      <w:r w:rsidRPr="002F49CF">
        <w:rPr>
          <w:rFonts w:asciiTheme="majorBidi" w:hAnsiTheme="majorBidi" w:cstheme="majorBidi"/>
          <w:i/>
          <w:iCs/>
          <w:color w:val="000000" w:themeColor="text1"/>
        </w:rPr>
        <w:t>Journal of International Business Studies, 51</w:t>
      </w:r>
      <w:r w:rsidRPr="002F49CF">
        <w:rPr>
          <w:rFonts w:asciiTheme="majorBidi" w:hAnsiTheme="majorBidi" w:cstheme="majorBidi"/>
          <w:color w:val="000000" w:themeColor="text1"/>
        </w:rPr>
        <w:t xml:space="preserve">, 577–622. </w:t>
      </w:r>
      <w:hyperlink r:id="rId42" w:history="1">
        <w:r w:rsidRPr="002F49CF">
          <w:rPr>
            <w:rFonts w:asciiTheme="majorBidi" w:hAnsiTheme="majorBidi" w:cstheme="majorBidi"/>
            <w:color w:val="000000" w:themeColor="text1"/>
            <w:u w:val="single"/>
          </w:rPr>
          <w:t>https://link.springer.com/article/10.1057/s41267-020-00304-2</w:t>
        </w:r>
      </w:hyperlink>
    </w:p>
    <w:p w14:paraId="5F8C6288"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Kostova, T., Beugelsdijk, S., Scott, W. R., Kunst, V. E., Chua, C. H., &amp; van Essen, M. (2020). The construct of institutional distance through the lens of different institutional perspectives: Review, analysis, and recommendations. </w:t>
      </w:r>
      <w:r w:rsidRPr="002F49CF">
        <w:rPr>
          <w:rFonts w:asciiTheme="majorBidi" w:hAnsiTheme="majorBidi" w:cstheme="majorBidi"/>
          <w:i/>
          <w:iCs/>
          <w:color w:val="000000" w:themeColor="text1"/>
        </w:rPr>
        <w:t>Journal of International Business Studies, 51</w:t>
      </w:r>
      <w:r w:rsidRPr="002F49CF">
        <w:rPr>
          <w:rFonts w:asciiTheme="majorBidi" w:hAnsiTheme="majorBidi" w:cstheme="majorBidi"/>
          <w:color w:val="000000" w:themeColor="text1"/>
        </w:rPr>
        <w:t xml:space="preserve">, 467–497. </w:t>
      </w:r>
      <w:hyperlink r:id="rId43" w:history="1">
        <w:r w:rsidRPr="002F49CF">
          <w:rPr>
            <w:rFonts w:asciiTheme="majorBidi" w:hAnsiTheme="majorBidi" w:cstheme="majorBidi"/>
            <w:color w:val="000000" w:themeColor="text1"/>
            <w:u w:val="single"/>
          </w:rPr>
          <w:t>https://link.springer.com/article/10.1057/s41267-019-00294-w</w:t>
        </w:r>
      </w:hyperlink>
    </w:p>
    <w:p w14:paraId="27ACE13C"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Kumar, J. (2024). Psychological mechanisms behind access-based luxury brand consumption: Empirical investigation from the lens of the new ownership paradigm. </w:t>
      </w:r>
      <w:r w:rsidRPr="002F49CF">
        <w:rPr>
          <w:rFonts w:asciiTheme="majorBidi" w:hAnsiTheme="majorBidi" w:cstheme="majorBidi"/>
          <w:i/>
          <w:iCs/>
          <w:color w:val="000000" w:themeColor="text1"/>
        </w:rPr>
        <w:t>Journal of Business Research, 175</w:t>
      </w:r>
      <w:r w:rsidRPr="002F49CF">
        <w:rPr>
          <w:rFonts w:asciiTheme="majorBidi" w:hAnsiTheme="majorBidi" w:cstheme="majorBidi"/>
          <w:color w:val="000000" w:themeColor="text1"/>
        </w:rPr>
        <w:t xml:space="preserve">, 114539. </w:t>
      </w:r>
      <w:hyperlink r:id="rId44" w:history="1">
        <w:r w:rsidRPr="002F49CF">
          <w:rPr>
            <w:rFonts w:asciiTheme="majorBidi" w:hAnsiTheme="majorBidi" w:cstheme="majorBidi"/>
            <w:color w:val="000000" w:themeColor="text1"/>
            <w:u w:val="single"/>
          </w:rPr>
          <w:t>https://www.sciencedirect.com/science/article/pii/S0148296324000432</w:t>
        </w:r>
      </w:hyperlink>
    </w:p>
    <w:p w14:paraId="2E498EDE"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Lee, S. J., Kang, S. J., &amp; Lee, S. (2024). Economic, social and institutional determinants of FDI inflows: A comparative analysis of developed and developing economies. </w:t>
      </w:r>
      <w:r w:rsidRPr="002F49CF">
        <w:rPr>
          <w:rFonts w:asciiTheme="majorBidi" w:hAnsiTheme="majorBidi" w:cstheme="majorBidi"/>
          <w:i/>
          <w:iCs/>
          <w:color w:val="000000" w:themeColor="text1"/>
        </w:rPr>
        <w:t>Transnational Corporations Review, 16</w:t>
      </w:r>
      <w:r w:rsidRPr="002F49CF">
        <w:rPr>
          <w:rFonts w:asciiTheme="majorBidi" w:hAnsiTheme="majorBidi" w:cstheme="majorBidi"/>
          <w:color w:val="000000" w:themeColor="text1"/>
        </w:rPr>
        <w:t xml:space="preserve">(3), 200074. </w:t>
      </w:r>
      <w:hyperlink r:id="rId45" w:history="1">
        <w:r w:rsidRPr="002F49CF">
          <w:rPr>
            <w:rFonts w:asciiTheme="majorBidi" w:hAnsiTheme="majorBidi" w:cstheme="majorBidi"/>
            <w:color w:val="000000" w:themeColor="text1"/>
            <w:u w:val="single"/>
          </w:rPr>
          <w:t>https://www.sciencedirect.com/science/article/pii/S1925209924006004</w:t>
        </w:r>
      </w:hyperlink>
    </w:p>
    <w:p w14:paraId="56FAACD8"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Lehrer, C., &amp; Trenz, M. (2022). Omnichannel business. </w:t>
      </w:r>
      <w:r w:rsidRPr="002F49CF">
        <w:rPr>
          <w:rFonts w:asciiTheme="majorBidi" w:hAnsiTheme="majorBidi" w:cstheme="majorBidi"/>
          <w:i/>
          <w:iCs/>
          <w:color w:val="000000" w:themeColor="text1"/>
        </w:rPr>
        <w:t>Electronic Markets, 32</w:t>
      </w:r>
      <w:r w:rsidRPr="002F49CF">
        <w:rPr>
          <w:rFonts w:asciiTheme="majorBidi" w:hAnsiTheme="majorBidi" w:cstheme="majorBidi"/>
          <w:color w:val="000000" w:themeColor="text1"/>
        </w:rPr>
        <w:t xml:space="preserve">, 687–699. </w:t>
      </w:r>
      <w:hyperlink r:id="rId46" w:history="1">
        <w:r w:rsidRPr="002F49CF">
          <w:rPr>
            <w:rFonts w:asciiTheme="majorBidi" w:hAnsiTheme="majorBidi" w:cstheme="majorBidi"/>
            <w:color w:val="000000" w:themeColor="text1"/>
            <w:u w:val="single"/>
          </w:rPr>
          <w:t>https://link.springer.com/article/10.1007/s12525-021-00511-1</w:t>
        </w:r>
      </w:hyperlink>
    </w:p>
    <w:p w14:paraId="69C5BE45"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Liu, T., Quintero Rodriguez, C., &amp; Huang, W.-C. (2023). Measuring consumers’ dominant value perceptions to determine their purchase intention of luxury fashion consumption. </w:t>
      </w:r>
      <w:r w:rsidRPr="002F49CF">
        <w:rPr>
          <w:rFonts w:asciiTheme="majorBidi" w:hAnsiTheme="majorBidi" w:cstheme="majorBidi"/>
          <w:i/>
          <w:iCs/>
          <w:color w:val="000000" w:themeColor="text1"/>
        </w:rPr>
        <w:t>Cogent Business &amp; Management, 10</w:t>
      </w:r>
      <w:r w:rsidRPr="002F49CF">
        <w:rPr>
          <w:rFonts w:asciiTheme="majorBidi" w:hAnsiTheme="majorBidi" w:cstheme="majorBidi"/>
          <w:color w:val="000000" w:themeColor="text1"/>
        </w:rPr>
        <w:t xml:space="preserve">(3), 2272374. </w:t>
      </w:r>
      <w:hyperlink r:id="rId47" w:history="1">
        <w:r w:rsidRPr="002F49CF">
          <w:rPr>
            <w:rFonts w:asciiTheme="majorBidi" w:hAnsiTheme="majorBidi" w:cstheme="majorBidi"/>
            <w:color w:val="000000" w:themeColor="text1"/>
            <w:u w:val="single"/>
          </w:rPr>
          <w:t>https://www.tandfonline.com/doi/abs/10.1080/23311975.2023.2272374</w:t>
        </w:r>
      </w:hyperlink>
    </w:p>
    <w:p w14:paraId="62215B2B"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Luo, Y., &amp; Tung, R. L. (2018). A general theory of springboard MNEs. </w:t>
      </w:r>
      <w:r w:rsidRPr="002F49CF">
        <w:rPr>
          <w:rFonts w:asciiTheme="majorBidi" w:hAnsiTheme="majorBidi" w:cstheme="majorBidi"/>
          <w:i/>
          <w:iCs/>
          <w:color w:val="000000" w:themeColor="text1"/>
        </w:rPr>
        <w:t>Journal of International Business Studies, 49</w:t>
      </w:r>
      <w:r w:rsidRPr="002F49CF">
        <w:rPr>
          <w:rFonts w:asciiTheme="majorBidi" w:hAnsiTheme="majorBidi" w:cstheme="majorBidi"/>
          <w:color w:val="000000" w:themeColor="text1"/>
        </w:rPr>
        <w:t xml:space="preserve">, 129–152. </w:t>
      </w:r>
      <w:hyperlink r:id="rId48" w:history="1">
        <w:r w:rsidRPr="002F49CF">
          <w:rPr>
            <w:rFonts w:asciiTheme="majorBidi" w:hAnsiTheme="majorBidi" w:cstheme="majorBidi"/>
            <w:color w:val="000000" w:themeColor="text1"/>
            <w:u w:val="single"/>
          </w:rPr>
          <w:t>https://link.springer.com/article/10.1057/s41267-017-0114-8</w:t>
        </w:r>
      </w:hyperlink>
    </w:p>
    <w:p w14:paraId="34B3755C"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Mahasuar, K. (2023). Strategic choices of an MNE in an emerging market: The case of Perfetti Van Melle. </w:t>
      </w:r>
      <w:r w:rsidRPr="002F49CF">
        <w:rPr>
          <w:rFonts w:asciiTheme="majorBidi" w:hAnsiTheme="majorBidi" w:cstheme="majorBidi"/>
          <w:i/>
          <w:iCs/>
          <w:color w:val="000000" w:themeColor="text1"/>
        </w:rPr>
        <w:t>Journal of Strategic Marketing, 31</w:t>
      </w:r>
      <w:r w:rsidRPr="002F49CF">
        <w:rPr>
          <w:rFonts w:asciiTheme="majorBidi" w:hAnsiTheme="majorBidi" w:cstheme="majorBidi"/>
          <w:color w:val="000000" w:themeColor="text1"/>
        </w:rPr>
        <w:t xml:space="preserve">(5), 1012–1028. </w:t>
      </w:r>
      <w:hyperlink r:id="rId49" w:history="1">
        <w:r w:rsidRPr="002F49CF">
          <w:rPr>
            <w:rFonts w:asciiTheme="majorBidi" w:hAnsiTheme="majorBidi" w:cstheme="majorBidi"/>
            <w:color w:val="000000" w:themeColor="text1"/>
            <w:u w:val="single"/>
          </w:rPr>
          <w:t>https://www.tandfonline.com/doi/full/10.1080/0965254X.2022.2030391</w:t>
        </w:r>
      </w:hyperlink>
    </w:p>
    <w:p w14:paraId="63AA241C"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Nambisan, S., Zahra, S. A., &amp; Luo, Y. (2019). Global platforms and ecosystems: Implications for international business theories. </w:t>
      </w:r>
      <w:r w:rsidRPr="002F49CF">
        <w:rPr>
          <w:rFonts w:asciiTheme="majorBidi" w:hAnsiTheme="majorBidi" w:cstheme="majorBidi"/>
          <w:i/>
          <w:iCs/>
          <w:color w:val="000000" w:themeColor="text1"/>
        </w:rPr>
        <w:t>Journal of International Business Studies, 50</w:t>
      </w:r>
      <w:r w:rsidRPr="002F49CF">
        <w:rPr>
          <w:rFonts w:asciiTheme="majorBidi" w:hAnsiTheme="majorBidi" w:cstheme="majorBidi"/>
          <w:color w:val="000000" w:themeColor="text1"/>
        </w:rPr>
        <w:t xml:space="preserve">, 1464–1486. </w:t>
      </w:r>
      <w:hyperlink r:id="rId50" w:history="1">
        <w:r w:rsidRPr="002F49CF">
          <w:rPr>
            <w:rFonts w:asciiTheme="majorBidi" w:hAnsiTheme="majorBidi" w:cstheme="majorBidi"/>
            <w:color w:val="000000" w:themeColor="text1"/>
            <w:u w:val="single"/>
          </w:rPr>
          <w:t>https://link.springer.com/article/10.1057/s41267-019-00262-4</w:t>
        </w:r>
      </w:hyperlink>
    </w:p>
    <w:p w14:paraId="11383046"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Pangarkar, A., &amp; Rathee, S. (2023). The role of conspicuity: Impact of social influencers on purchase decisions of luxury consumers. </w:t>
      </w:r>
      <w:r w:rsidRPr="002F49CF">
        <w:rPr>
          <w:rFonts w:asciiTheme="majorBidi" w:hAnsiTheme="majorBidi" w:cstheme="majorBidi"/>
          <w:i/>
          <w:iCs/>
          <w:color w:val="000000" w:themeColor="text1"/>
        </w:rPr>
        <w:t>International Journal of Advertising, 42</w:t>
      </w:r>
      <w:r w:rsidRPr="002F49CF">
        <w:rPr>
          <w:rFonts w:asciiTheme="majorBidi" w:hAnsiTheme="majorBidi" w:cstheme="majorBidi"/>
          <w:color w:val="000000" w:themeColor="text1"/>
        </w:rPr>
        <w:t xml:space="preserve">(7), 1150–1177. </w:t>
      </w:r>
      <w:hyperlink r:id="rId51" w:history="1">
        <w:r w:rsidRPr="002F49CF">
          <w:rPr>
            <w:rFonts w:asciiTheme="majorBidi" w:hAnsiTheme="majorBidi" w:cstheme="majorBidi"/>
            <w:color w:val="000000" w:themeColor="text1"/>
            <w:u w:val="single"/>
          </w:rPr>
          <w:t>https://www.tandfonline.com/doi/abs/10.1080/02650487.2022.2084265</w:t>
        </w:r>
      </w:hyperlink>
    </w:p>
    <w:p w14:paraId="33A0A8B3"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Park, J., &amp; Chun, J. (2025). The consumer socialization process: How social media affects youth luxury consumption. </w:t>
      </w:r>
      <w:r w:rsidRPr="002F49CF">
        <w:rPr>
          <w:rFonts w:asciiTheme="majorBidi" w:hAnsiTheme="majorBidi" w:cstheme="majorBidi"/>
          <w:i/>
          <w:iCs/>
          <w:color w:val="000000" w:themeColor="text1"/>
        </w:rPr>
        <w:t>Journal of Global Fashion Marketing, 16</w:t>
      </w:r>
      <w:r w:rsidRPr="002F49CF">
        <w:rPr>
          <w:rFonts w:asciiTheme="majorBidi" w:hAnsiTheme="majorBidi" w:cstheme="majorBidi"/>
          <w:color w:val="000000" w:themeColor="text1"/>
        </w:rPr>
        <w:t xml:space="preserve">(2), 156–172. </w:t>
      </w:r>
      <w:hyperlink r:id="rId52" w:history="1">
        <w:r w:rsidRPr="002F49CF">
          <w:rPr>
            <w:rFonts w:asciiTheme="majorBidi" w:hAnsiTheme="majorBidi" w:cstheme="majorBidi"/>
            <w:color w:val="000000" w:themeColor="text1"/>
            <w:u w:val="single"/>
          </w:rPr>
          <w:t>https://www.tandfonline.com/doi/full/10.1080/20932685.2024.2434870</w:t>
        </w:r>
      </w:hyperlink>
    </w:p>
    <w:p w14:paraId="3574A881"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Polloni-Silva, E., Moreno, R., &amp; Moralles, H. F. (2025). Technological content and institutional quality of FDI: Investigating the effects on the environment in Brazil. </w:t>
      </w:r>
      <w:r w:rsidRPr="002F49CF">
        <w:rPr>
          <w:rFonts w:asciiTheme="majorBidi" w:hAnsiTheme="majorBidi" w:cstheme="majorBidi"/>
          <w:i/>
          <w:iCs/>
          <w:color w:val="000000" w:themeColor="text1"/>
        </w:rPr>
        <w:t>International Business Review, 34</w:t>
      </w:r>
      <w:r w:rsidRPr="002F49CF">
        <w:rPr>
          <w:rFonts w:asciiTheme="majorBidi" w:hAnsiTheme="majorBidi" w:cstheme="majorBidi"/>
          <w:color w:val="000000" w:themeColor="text1"/>
        </w:rPr>
        <w:t xml:space="preserve">(6), 102500. </w:t>
      </w:r>
      <w:hyperlink r:id="rId53" w:history="1">
        <w:r w:rsidRPr="002F49CF">
          <w:rPr>
            <w:rFonts w:asciiTheme="majorBidi" w:hAnsiTheme="majorBidi" w:cstheme="majorBidi"/>
            <w:color w:val="000000" w:themeColor="text1"/>
            <w:u w:val="single"/>
          </w:rPr>
          <w:t>https://www.sciencedirect.com/science/article/pii/S0969593125001131</w:t>
        </w:r>
      </w:hyperlink>
    </w:p>
    <w:p w14:paraId="57712FA8"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Receita Federal do Brasil. (2026a). </w:t>
      </w:r>
      <w:r w:rsidRPr="002F49CF">
        <w:rPr>
          <w:rFonts w:asciiTheme="majorBidi" w:hAnsiTheme="majorBidi" w:cstheme="majorBidi"/>
          <w:i/>
          <w:iCs/>
          <w:color w:val="000000" w:themeColor="text1"/>
        </w:rPr>
        <w:t>Taxation of international imports</w:t>
      </w:r>
      <w:r w:rsidRPr="002F49CF">
        <w:rPr>
          <w:rFonts w:asciiTheme="majorBidi" w:hAnsiTheme="majorBidi" w:cstheme="majorBidi"/>
          <w:color w:val="000000" w:themeColor="text1"/>
        </w:rPr>
        <w:t xml:space="preserve">. </w:t>
      </w:r>
      <w:hyperlink r:id="rId54" w:history="1">
        <w:r w:rsidRPr="002F49CF">
          <w:rPr>
            <w:rFonts w:asciiTheme="majorBidi" w:hAnsiTheme="majorBidi" w:cstheme="majorBidi"/>
            <w:color w:val="000000" w:themeColor="text1"/>
            <w:u w:val="single"/>
          </w:rPr>
          <w:t>https://www.gov.br/receitafederal/pt-br/assuntos/aduana-e-comercio-exterior/manuais/remessas-postal-e-expressa/topicos/tributacao</w:t>
        </w:r>
      </w:hyperlink>
    </w:p>
    <w:p w14:paraId="2C3E3538"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Receita Federal do Brasil. (2026b). </w:t>
      </w:r>
      <w:r w:rsidRPr="002F49CF">
        <w:rPr>
          <w:rFonts w:asciiTheme="majorBidi" w:hAnsiTheme="majorBidi" w:cstheme="majorBidi"/>
          <w:i/>
          <w:iCs/>
          <w:color w:val="000000" w:themeColor="text1"/>
        </w:rPr>
        <w:t>Consumption tax reform guidance for 2026</w:t>
      </w:r>
      <w:r w:rsidRPr="002F49CF">
        <w:rPr>
          <w:rFonts w:asciiTheme="majorBidi" w:hAnsiTheme="majorBidi" w:cstheme="majorBidi"/>
          <w:color w:val="000000" w:themeColor="text1"/>
        </w:rPr>
        <w:t xml:space="preserve">. </w:t>
      </w:r>
      <w:hyperlink r:id="rId55" w:history="1">
        <w:r w:rsidRPr="002F49CF">
          <w:rPr>
            <w:rFonts w:asciiTheme="majorBidi" w:hAnsiTheme="majorBidi" w:cstheme="majorBidi"/>
            <w:color w:val="000000" w:themeColor="text1"/>
            <w:u w:val="single"/>
          </w:rPr>
          <w:t>https://www.gov.br/receitafederal/pt-br/acesso-a-informacao/acoes-e-programas/programas-e-atividades/reforma-tributaria-do-consumo/orientacoes-2026</w:t>
        </w:r>
      </w:hyperlink>
    </w:p>
    <w:p w14:paraId="698C827A"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Reddy, K. S. (2024). Economic openness, physical infrastructure, marketization, public governance, and MNE location strategy: An institution-based view of state mechanism. </w:t>
      </w:r>
      <w:r w:rsidRPr="002F49CF">
        <w:rPr>
          <w:rFonts w:asciiTheme="majorBidi" w:hAnsiTheme="majorBidi" w:cstheme="majorBidi"/>
          <w:i/>
          <w:iCs/>
          <w:color w:val="000000" w:themeColor="text1"/>
        </w:rPr>
        <w:t>Development and Sustainability in Economics and Finance, 2–4</w:t>
      </w:r>
      <w:r w:rsidRPr="002F49CF">
        <w:rPr>
          <w:rFonts w:asciiTheme="majorBidi" w:hAnsiTheme="majorBidi" w:cstheme="majorBidi"/>
          <w:color w:val="000000" w:themeColor="text1"/>
        </w:rPr>
        <w:t xml:space="preserve">, 100022. </w:t>
      </w:r>
      <w:hyperlink r:id="rId56" w:history="1">
        <w:r w:rsidRPr="002F49CF">
          <w:rPr>
            <w:rFonts w:asciiTheme="majorBidi" w:hAnsiTheme="majorBidi" w:cstheme="majorBidi"/>
            <w:color w:val="000000" w:themeColor="text1"/>
            <w:u w:val="single"/>
          </w:rPr>
          <w:t>https://www.sciencedirect.com/science/article/pii/S2950524024000222</w:t>
        </w:r>
      </w:hyperlink>
    </w:p>
    <w:p w14:paraId="4E767A0E"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Reuters. (2026a, May 8). </w:t>
      </w:r>
      <w:r w:rsidRPr="002F49CF">
        <w:rPr>
          <w:rFonts w:asciiTheme="majorBidi" w:hAnsiTheme="majorBidi" w:cstheme="majorBidi"/>
          <w:i/>
          <w:iCs/>
          <w:color w:val="000000" w:themeColor="text1"/>
        </w:rPr>
        <w:t>Indian jeweller Titan bets on resilient gold demand to drive growth</w:t>
      </w:r>
      <w:r w:rsidRPr="002F49CF">
        <w:rPr>
          <w:rFonts w:asciiTheme="majorBidi" w:hAnsiTheme="majorBidi" w:cstheme="majorBidi"/>
          <w:color w:val="000000" w:themeColor="text1"/>
        </w:rPr>
        <w:t xml:space="preserve">. </w:t>
      </w:r>
      <w:hyperlink r:id="rId57" w:history="1">
        <w:r w:rsidRPr="002F49CF">
          <w:rPr>
            <w:rFonts w:asciiTheme="majorBidi" w:hAnsiTheme="majorBidi" w:cstheme="majorBidi"/>
            <w:color w:val="000000" w:themeColor="text1"/>
            <w:u w:val="single"/>
          </w:rPr>
          <w:t>https://www.reuters.com/world/india/indian-jeweller-titan-misses-quarterly-profit-estimates-costs-bite-2026-05-08/</w:t>
        </w:r>
      </w:hyperlink>
    </w:p>
    <w:p w14:paraId="32354EF7"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Rygh, A., &amp; Benito, G. R. G. (2023). Subsidiary capital structure in multinational enterprises: A new internalization theory perspective. </w:t>
      </w:r>
      <w:r w:rsidRPr="002F49CF">
        <w:rPr>
          <w:rFonts w:asciiTheme="majorBidi" w:hAnsiTheme="majorBidi" w:cstheme="majorBidi"/>
          <w:i/>
          <w:iCs/>
          <w:color w:val="000000" w:themeColor="text1"/>
        </w:rPr>
        <w:t>Management International Review, 63</w:t>
      </w:r>
      <w:r w:rsidRPr="002F49CF">
        <w:rPr>
          <w:rFonts w:asciiTheme="majorBidi" w:hAnsiTheme="majorBidi" w:cstheme="majorBidi"/>
          <w:color w:val="000000" w:themeColor="text1"/>
        </w:rPr>
        <w:t xml:space="preserve">, 979–1019. </w:t>
      </w:r>
      <w:hyperlink r:id="rId58" w:history="1">
        <w:r w:rsidRPr="002F49CF">
          <w:rPr>
            <w:rFonts w:asciiTheme="majorBidi" w:hAnsiTheme="majorBidi" w:cstheme="majorBidi"/>
            <w:color w:val="000000" w:themeColor="text1"/>
            <w:u w:val="single"/>
          </w:rPr>
          <w:t>https://link.springer.com/article/10.1007/s11575-023-00517-1</w:t>
        </w:r>
      </w:hyperlink>
    </w:p>
    <w:p w14:paraId="42233871"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Singha, A., Patel, A. K., &amp; Parayitam, S. (2025). Purchase intention of luxury fashion brands in the post-pandemic era: A double moderation analysis using the information acceptance model. </w:t>
      </w:r>
      <w:r w:rsidRPr="002F49CF">
        <w:rPr>
          <w:rFonts w:asciiTheme="majorBidi" w:hAnsiTheme="majorBidi" w:cstheme="majorBidi"/>
          <w:i/>
          <w:iCs/>
          <w:color w:val="000000" w:themeColor="text1"/>
        </w:rPr>
        <w:t>Journal of Marketing Communications, 31</w:t>
      </w:r>
      <w:r w:rsidRPr="002F49CF">
        <w:rPr>
          <w:rFonts w:asciiTheme="majorBidi" w:hAnsiTheme="majorBidi" w:cstheme="majorBidi"/>
          <w:color w:val="000000" w:themeColor="text1"/>
        </w:rPr>
        <w:t xml:space="preserve">(4), 467–490. </w:t>
      </w:r>
      <w:hyperlink r:id="rId59" w:history="1">
        <w:r w:rsidRPr="002F49CF">
          <w:rPr>
            <w:rFonts w:asciiTheme="majorBidi" w:hAnsiTheme="majorBidi" w:cstheme="majorBidi"/>
            <w:color w:val="000000" w:themeColor="text1"/>
            <w:u w:val="single"/>
          </w:rPr>
          <w:t>https://www.tandfonline.com/doi/abs/10.1080/13527266.2023.2248999</w:t>
        </w:r>
      </w:hyperlink>
    </w:p>
    <w:p w14:paraId="5C39114E"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Tang, R. W., &amp; Buckley, P. J. (2022). Outward foreign direct investment by emerging market multinationals: The directionality of institutional distance. </w:t>
      </w:r>
      <w:r w:rsidRPr="002F49CF">
        <w:rPr>
          <w:rFonts w:asciiTheme="majorBidi" w:hAnsiTheme="majorBidi" w:cstheme="majorBidi"/>
          <w:i/>
          <w:iCs/>
          <w:color w:val="000000" w:themeColor="text1"/>
        </w:rPr>
        <w:t>Journal of Business Research, 149</w:t>
      </w:r>
      <w:r w:rsidRPr="002F49CF">
        <w:rPr>
          <w:rFonts w:asciiTheme="majorBidi" w:hAnsiTheme="majorBidi" w:cstheme="majorBidi"/>
          <w:color w:val="000000" w:themeColor="text1"/>
        </w:rPr>
        <w:t xml:space="preserve">, 314–326. </w:t>
      </w:r>
      <w:hyperlink r:id="rId60" w:history="1">
        <w:r w:rsidRPr="002F49CF">
          <w:rPr>
            <w:rFonts w:asciiTheme="majorBidi" w:hAnsiTheme="majorBidi" w:cstheme="majorBidi"/>
            <w:color w:val="000000" w:themeColor="text1"/>
            <w:u w:val="single"/>
          </w:rPr>
          <w:t>https://www.sciencedirect.com/science/article/pii/S0148296322004763</w:t>
        </w:r>
      </w:hyperlink>
    </w:p>
    <w:p w14:paraId="1459B767"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Tang, R. W., &amp; Yang, J. Y. (2024). Diversity in foreign direct investment and environmental innovation of emerging market firms: The effect of ownership-conveyed institutional logics. </w:t>
      </w:r>
      <w:r w:rsidRPr="002F49CF">
        <w:rPr>
          <w:rFonts w:asciiTheme="majorBidi" w:hAnsiTheme="majorBidi" w:cstheme="majorBidi"/>
          <w:i/>
          <w:iCs/>
          <w:color w:val="000000" w:themeColor="text1"/>
        </w:rPr>
        <w:t>Journal of Business Research, 172</w:t>
      </w:r>
      <w:r w:rsidRPr="002F49CF">
        <w:rPr>
          <w:rFonts w:asciiTheme="majorBidi" w:hAnsiTheme="majorBidi" w:cstheme="majorBidi"/>
          <w:color w:val="000000" w:themeColor="text1"/>
        </w:rPr>
        <w:t xml:space="preserve">, 114405. </w:t>
      </w:r>
      <w:hyperlink r:id="rId61" w:history="1">
        <w:r w:rsidRPr="002F49CF">
          <w:rPr>
            <w:rFonts w:asciiTheme="majorBidi" w:hAnsiTheme="majorBidi" w:cstheme="majorBidi"/>
            <w:color w:val="000000" w:themeColor="text1"/>
            <w:u w:val="single"/>
          </w:rPr>
          <w:t>https://www.sciencedirect.com/science/article/pii/S0148296323007646</w:t>
        </w:r>
      </w:hyperlink>
    </w:p>
    <w:p w14:paraId="50DDAAA1"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Titan Company. (2026a). </w:t>
      </w:r>
      <w:r w:rsidRPr="002F49CF">
        <w:rPr>
          <w:rFonts w:asciiTheme="majorBidi" w:hAnsiTheme="majorBidi" w:cstheme="majorBidi"/>
          <w:i/>
          <w:iCs/>
          <w:color w:val="000000" w:themeColor="text1"/>
        </w:rPr>
        <w:t>Titan crosses ₹75,000 crores in FY2025–26</w:t>
      </w:r>
      <w:r w:rsidRPr="002F49CF">
        <w:rPr>
          <w:rFonts w:asciiTheme="majorBidi" w:hAnsiTheme="majorBidi" w:cstheme="majorBidi"/>
          <w:color w:val="000000" w:themeColor="text1"/>
        </w:rPr>
        <w:t xml:space="preserve">. </w:t>
      </w:r>
      <w:hyperlink r:id="rId62" w:history="1">
        <w:r w:rsidRPr="002F49CF">
          <w:rPr>
            <w:rFonts w:asciiTheme="majorBidi" w:hAnsiTheme="majorBidi" w:cstheme="majorBidi"/>
            <w:color w:val="000000" w:themeColor="text1"/>
            <w:u w:val="single"/>
          </w:rPr>
          <w:t>https://www.titancompany.in/news/titan-FY26-results</w:t>
        </w:r>
      </w:hyperlink>
    </w:p>
    <w:p w14:paraId="62E7D5E0"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Titan Company. (2026b). </w:t>
      </w:r>
      <w:r w:rsidRPr="002F49CF">
        <w:rPr>
          <w:rFonts w:asciiTheme="majorBidi" w:hAnsiTheme="majorBidi" w:cstheme="majorBidi"/>
          <w:i/>
          <w:iCs/>
          <w:color w:val="000000" w:themeColor="text1"/>
        </w:rPr>
        <w:t>Subsidiaries: FY2026</w:t>
      </w:r>
      <w:r w:rsidRPr="002F49CF">
        <w:rPr>
          <w:rFonts w:asciiTheme="majorBidi" w:hAnsiTheme="majorBidi" w:cstheme="majorBidi"/>
          <w:color w:val="000000" w:themeColor="text1"/>
        </w:rPr>
        <w:t xml:space="preserve">. </w:t>
      </w:r>
      <w:hyperlink r:id="rId63" w:history="1">
        <w:r w:rsidRPr="002F49CF">
          <w:rPr>
            <w:rFonts w:asciiTheme="majorBidi" w:hAnsiTheme="majorBidi" w:cstheme="majorBidi"/>
            <w:color w:val="000000" w:themeColor="text1"/>
            <w:u w:val="single"/>
          </w:rPr>
          <w:t>https://www.titancompany.in/investors/subsidiaries</w:t>
        </w:r>
      </w:hyperlink>
    </w:p>
    <w:p w14:paraId="7304E816"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Ting, L., &amp; Ahn, J. (2024). Luxury brand cultural symbolism: Signaling effect on customer well-being. </w:t>
      </w:r>
      <w:r w:rsidRPr="002F49CF">
        <w:rPr>
          <w:rFonts w:asciiTheme="majorBidi" w:hAnsiTheme="majorBidi" w:cstheme="majorBidi"/>
          <w:i/>
          <w:iCs/>
          <w:color w:val="000000" w:themeColor="text1"/>
        </w:rPr>
        <w:t>Journal of Strategic Marketing, 32</w:t>
      </w:r>
      <w:r w:rsidRPr="002F49CF">
        <w:rPr>
          <w:rFonts w:asciiTheme="majorBidi" w:hAnsiTheme="majorBidi" w:cstheme="majorBidi"/>
          <w:color w:val="000000" w:themeColor="text1"/>
        </w:rPr>
        <w:t xml:space="preserve">(5), 590–605. </w:t>
      </w:r>
      <w:hyperlink r:id="rId64" w:history="1">
        <w:r w:rsidRPr="002F49CF">
          <w:rPr>
            <w:rFonts w:asciiTheme="majorBidi" w:hAnsiTheme="majorBidi" w:cstheme="majorBidi"/>
            <w:color w:val="000000" w:themeColor="text1"/>
            <w:u w:val="single"/>
          </w:rPr>
          <w:t>https://www.tandfonline.com/doi/full/10.1080/0965254X.2023.2275134</w:t>
        </w:r>
      </w:hyperlink>
    </w:p>
    <w:p w14:paraId="1E487B8C"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Vahlne, J.-E., &amp; Johanson, J. (2017). From internationalization to evolution: The Uppsala model at 40 years. </w:t>
      </w:r>
      <w:r w:rsidRPr="002F49CF">
        <w:rPr>
          <w:rFonts w:asciiTheme="majorBidi" w:hAnsiTheme="majorBidi" w:cstheme="majorBidi"/>
          <w:i/>
          <w:iCs/>
          <w:color w:val="000000" w:themeColor="text1"/>
        </w:rPr>
        <w:t>Journal of International Business Studies, 48</w:t>
      </w:r>
      <w:r w:rsidRPr="002F49CF">
        <w:rPr>
          <w:rFonts w:asciiTheme="majorBidi" w:hAnsiTheme="majorBidi" w:cstheme="majorBidi"/>
          <w:color w:val="000000" w:themeColor="text1"/>
        </w:rPr>
        <w:t xml:space="preserve">, 1087–1102. </w:t>
      </w:r>
      <w:hyperlink r:id="rId65" w:history="1">
        <w:r w:rsidRPr="002F49CF">
          <w:rPr>
            <w:rFonts w:asciiTheme="majorBidi" w:hAnsiTheme="majorBidi" w:cstheme="majorBidi"/>
            <w:color w:val="000000" w:themeColor="text1"/>
            <w:u w:val="single"/>
          </w:rPr>
          <w:t>https://link.springer.com/article/10.1057/s41267-017-0107-7</w:t>
        </w:r>
      </w:hyperlink>
    </w:p>
    <w:p w14:paraId="5DB85E62"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Wang, X., Sung, B., &amp; Phau, I. (2024). Examining the mediating role of consumer desire for luxury: Can perceived sustainability and natural rarity evoke willingness to pay more? </w:t>
      </w:r>
      <w:r w:rsidRPr="002F49CF">
        <w:rPr>
          <w:rFonts w:asciiTheme="majorBidi" w:hAnsiTheme="majorBidi" w:cstheme="majorBidi"/>
          <w:i/>
          <w:iCs/>
          <w:color w:val="000000" w:themeColor="text1"/>
        </w:rPr>
        <w:t>Journal of International Consumer Marketing, 36</w:t>
      </w:r>
      <w:r w:rsidRPr="002F49CF">
        <w:rPr>
          <w:rFonts w:asciiTheme="majorBidi" w:hAnsiTheme="majorBidi" w:cstheme="majorBidi"/>
          <w:color w:val="000000" w:themeColor="text1"/>
        </w:rPr>
        <w:t xml:space="preserve">(4), 301–319. </w:t>
      </w:r>
      <w:hyperlink r:id="rId66" w:history="1">
        <w:r w:rsidRPr="002F49CF">
          <w:rPr>
            <w:rFonts w:asciiTheme="majorBidi" w:hAnsiTheme="majorBidi" w:cstheme="majorBidi"/>
            <w:color w:val="000000" w:themeColor="text1"/>
            <w:u w:val="single"/>
          </w:rPr>
          <w:t>https://www.tandfonline.com/doi/full/10.1080/08961530.2024.2333756</w:t>
        </w:r>
      </w:hyperlink>
    </w:p>
    <w:p w14:paraId="0509BC1B"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Wolf, L., &amp; Steul-Fischer, M. (2023). Factors of customers’ channel choice in an omnichannel environment: A systematic literature review. </w:t>
      </w:r>
      <w:r w:rsidRPr="002F49CF">
        <w:rPr>
          <w:rFonts w:asciiTheme="majorBidi" w:hAnsiTheme="majorBidi" w:cstheme="majorBidi"/>
          <w:i/>
          <w:iCs/>
          <w:color w:val="000000" w:themeColor="text1"/>
        </w:rPr>
        <w:t>Management Review Quarterly, 73</w:t>
      </w:r>
      <w:r w:rsidRPr="002F49CF">
        <w:rPr>
          <w:rFonts w:asciiTheme="majorBidi" w:hAnsiTheme="majorBidi" w:cstheme="majorBidi"/>
          <w:color w:val="000000" w:themeColor="text1"/>
        </w:rPr>
        <w:t xml:space="preserve">, 1579–1630. </w:t>
      </w:r>
      <w:hyperlink r:id="rId67" w:history="1">
        <w:r w:rsidRPr="002F49CF">
          <w:rPr>
            <w:rFonts w:asciiTheme="majorBidi" w:hAnsiTheme="majorBidi" w:cstheme="majorBidi"/>
            <w:color w:val="000000" w:themeColor="text1"/>
            <w:u w:val="single"/>
          </w:rPr>
          <w:t>https://link.springer.com/article/10.1007/s11301-022-00281-w</w:t>
        </w:r>
      </w:hyperlink>
    </w:p>
    <w:p w14:paraId="61821DDD"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Xie, Q., &amp; Yin, H. (2024). Business environment and the choice of entry mode of outward foreign direct investment: Evidence from China. </w:t>
      </w:r>
      <w:r w:rsidRPr="002F49CF">
        <w:rPr>
          <w:rFonts w:asciiTheme="majorBidi" w:hAnsiTheme="majorBidi" w:cstheme="majorBidi"/>
          <w:i/>
          <w:iCs/>
          <w:color w:val="000000" w:themeColor="text1"/>
        </w:rPr>
        <w:t>Journal of Asian Economics, 92</w:t>
      </w:r>
      <w:r w:rsidRPr="002F49CF">
        <w:rPr>
          <w:rFonts w:asciiTheme="majorBidi" w:hAnsiTheme="majorBidi" w:cstheme="majorBidi"/>
          <w:color w:val="000000" w:themeColor="text1"/>
        </w:rPr>
        <w:t xml:space="preserve">, 101717. </w:t>
      </w:r>
      <w:hyperlink r:id="rId68" w:history="1">
        <w:r w:rsidRPr="002F49CF">
          <w:rPr>
            <w:rFonts w:asciiTheme="majorBidi" w:hAnsiTheme="majorBidi" w:cstheme="majorBidi"/>
            <w:color w:val="000000" w:themeColor="text1"/>
            <w:u w:val="single"/>
          </w:rPr>
          <w:t>https://www.sciencedirect.com/science/article/abs/pii/S1049007824000125</w:t>
        </w:r>
      </w:hyperlink>
    </w:p>
    <w:p w14:paraId="57C0A11E"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Zaheer, S. (1995). Overcoming the liability of foreignness. </w:t>
      </w:r>
      <w:r w:rsidRPr="002F49CF">
        <w:rPr>
          <w:rFonts w:asciiTheme="majorBidi" w:hAnsiTheme="majorBidi" w:cstheme="majorBidi"/>
          <w:i/>
          <w:iCs/>
          <w:color w:val="000000" w:themeColor="text1"/>
        </w:rPr>
        <w:t>Academy of Management Journal, 38</w:t>
      </w:r>
      <w:r w:rsidRPr="002F49CF">
        <w:rPr>
          <w:rFonts w:asciiTheme="majorBidi" w:hAnsiTheme="majorBidi" w:cstheme="majorBidi"/>
          <w:color w:val="000000" w:themeColor="text1"/>
        </w:rPr>
        <w:t xml:space="preserve">(2), 341–363. </w:t>
      </w:r>
      <w:hyperlink r:id="rId69" w:history="1">
        <w:r w:rsidRPr="002F49CF">
          <w:rPr>
            <w:rFonts w:asciiTheme="majorBidi" w:hAnsiTheme="majorBidi" w:cstheme="majorBidi"/>
            <w:color w:val="000000" w:themeColor="text1"/>
            <w:u w:val="single"/>
          </w:rPr>
          <w:t>https://journals.aom.org/doi/10.5465/256683</w:t>
        </w:r>
      </w:hyperlink>
    </w:p>
    <w:p w14:paraId="13F1E314" w14:textId="77777777" w:rsidR="00142237" w:rsidRPr="002F49CF" w:rsidRDefault="00142237" w:rsidP="002F49CF">
      <w:pPr>
        <w:spacing w:before="100" w:beforeAutospacing="1" w:after="100" w:afterAutospacing="1" w:line="360" w:lineRule="auto"/>
        <w:rPr>
          <w:rFonts w:asciiTheme="majorBidi" w:hAnsiTheme="majorBidi" w:cstheme="majorBidi"/>
          <w:color w:val="000000" w:themeColor="text1"/>
        </w:rPr>
      </w:pPr>
      <w:r w:rsidRPr="002F49CF">
        <w:rPr>
          <w:rFonts w:asciiTheme="majorBidi" w:hAnsiTheme="majorBidi" w:cstheme="majorBidi"/>
          <w:color w:val="000000" w:themeColor="text1"/>
        </w:rPr>
        <w:t xml:space="preserve">Zhang, W., He, X., Wang, T., &amp; Wang, K. (2023). Institutional distance and the international market entry mode: A meta-analysis. </w:t>
      </w:r>
      <w:r w:rsidRPr="002F49CF">
        <w:rPr>
          <w:rFonts w:asciiTheme="majorBidi" w:hAnsiTheme="majorBidi" w:cstheme="majorBidi"/>
          <w:i/>
          <w:iCs/>
          <w:color w:val="000000" w:themeColor="text1"/>
        </w:rPr>
        <w:t>Journal of International Management, 29</w:t>
      </w:r>
      <w:r w:rsidRPr="002F49CF">
        <w:rPr>
          <w:rFonts w:asciiTheme="majorBidi" w:hAnsiTheme="majorBidi" w:cstheme="majorBidi"/>
          <w:color w:val="000000" w:themeColor="text1"/>
        </w:rPr>
        <w:t xml:space="preserve">(1), 100990. </w:t>
      </w:r>
      <w:hyperlink r:id="rId70" w:history="1">
        <w:r w:rsidRPr="002F49CF">
          <w:rPr>
            <w:rFonts w:asciiTheme="majorBidi" w:hAnsiTheme="majorBidi" w:cstheme="majorBidi"/>
            <w:color w:val="000000" w:themeColor="text1"/>
            <w:u w:val="single"/>
          </w:rPr>
          <w:t>https://www.sciencedirect.com/science/article/pii/S1075425322000655</w:t>
        </w:r>
      </w:hyperlink>
    </w:p>
    <w:p w14:paraId="5330E73C" w14:textId="77777777" w:rsidR="00142237" w:rsidRPr="002F49CF" w:rsidRDefault="00142237" w:rsidP="002F49CF">
      <w:pPr>
        <w:pStyle w:val="NoSpacing"/>
        <w:spacing w:line="360" w:lineRule="auto"/>
        <w:rPr>
          <w:rFonts w:asciiTheme="majorBidi" w:hAnsiTheme="majorBidi" w:cstheme="majorBidi"/>
          <w:color w:val="000000" w:themeColor="text1"/>
        </w:rPr>
      </w:pPr>
    </w:p>
    <w:sectPr w:rsidR="00142237" w:rsidRPr="002F49CF" w:rsidSect="00261D9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030E"/>
    <w:multiLevelType w:val="multilevel"/>
    <w:tmpl w:val="B630C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572D2E"/>
    <w:multiLevelType w:val="multilevel"/>
    <w:tmpl w:val="8CDE93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C513B60"/>
    <w:multiLevelType w:val="multilevel"/>
    <w:tmpl w:val="0898F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1557077">
    <w:abstractNumId w:val="1"/>
  </w:num>
  <w:num w:numId="2" w16cid:durableId="587925635">
    <w:abstractNumId w:val="1"/>
  </w:num>
  <w:num w:numId="3" w16cid:durableId="2088573940">
    <w:abstractNumId w:val="1"/>
  </w:num>
  <w:num w:numId="4" w16cid:durableId="600187561">
    <w:abstractNumId w:val="1"/>
  </w:num>
  <w:num w:numId="5" w16cid:durableId="518474757">
    <w:abstractNumId w:val="1"/>
  </w:num>
  <w:num w:numId="6" w16cid:durableId="1643927294">
    <w:abstractNumId w:val="1"/>
  </w:num>
  <w:num w:numId="7" w16cid:durableId="192498940">
    <w:abstractNumId w:val="1"/>
  </w:num>
  <w:num w:numId="8" w16cid:durableId="527377854">
    <w:abstractNumId w:val="1"/>
  </w:num>
  <w:num w:numId="9" w16cid:durableId="925382905">
    <w:abstractNumId w:val="1"/>
  </w:num>
  <w:num w:numId="10" w16cid:durableId="605503870">
    <w:abstractNumId w:val="1"/>
  </w:num>
  <w:num w:numId="11" w16cid:durableId="743602503">
    <w:abstractNumId w:val="0"/>
  </w:num>
  <w:num w:numId="12" w16cid:durableId="12695070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D96"/>
    <w:rsid w:val="000859CB"/>
    <w:rsid w:val="00142237"/>
    <w:rsid w:val="00261D96"/>
    <w:rsid w:val="002F49CF"/>
    <w:rsid w:val="00324258"/>
    <w:rsid w:val="005E6C83"/>
    <w:rsid w:val="006B3300"/>
    <w:rsid w:val="007C377E"/>
    <w:rsid w:val="00822527"/>
    <w:rsid w:val="00830094"/>
    <w:rsid w:val="0089347B"/>
    <w:rsid w:val="00AC4FEF"/>
    <w:rsid w:val="00B343D7"/>
    <w:rsid w:val="00CA2406"/>
    <w:rsid w:val="00D07369"/>
    <w:rsid w:val="00D93ECD"/>
    <w:rsid w:val="00E16879"/>
    <w:rsid w:val="00F87EB0"/>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04B10"/>
  <w15:chartTrackingRefBased/>
  <w15:docId w15:val="{6A1B5EE4-5F78-4D4D-AB39-C8642F017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237"/>
    <w:pPr>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61D96"/>
    <w:pPr>
      <w:numPr>
        <w:numId w:val="10"/>
      </w:numPr>
      <w:pBdr>
        <w:bottom w:val="single" w:sz="12" w:space="1" w:color="2F5496" w:themeColor="accent1" w:themeShade="BF"/>
      </w:pBdr>
      <w:spacing w:before="600" w:after="80" w:line="360" w:lineRule="auto"/>
      <w:jc w:val="both"/>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261D96"/>
    <w:pPr>
      <w:numPr>
        <w:ilvl w:val="1"/>
        <w:numId w:val="10"/>
      </w:numPr>
      <w:pBdr>
        <w:bottom w:val="single" w:sz="8" w:space="1" w:color="4472C4" w:themeColor="accent1"/>
      </w:pBdr>
      <w:spacing w:before="200" w:after="80"/>
      <w:outlineLvl w:val="1"/>
    </w:pPr>
    <w:rPr>
      <w:rFonts w:asciiTheme="majorBidi" w:eastAsiaTheme="majorEastAsia" w:hAnsiTheme="majorBidi" w:cstheme="majorBidi"/>
      <w:b/>
      <w:bCs/>
      <w:color w:val="000000" w:themeColor="text1"/>
    </w:rPr>
  </w:style>
  <w:style w:type="paragraph" w:styleId="Heading3">
    <w:name w:val="heading 3"/>
    <w:basedOn w:val="Normal"/>
    <w:next w:val="Normal"/>
    <w:link w:val="Heading3Char"/>
    <w:uiPriority w:val="9"/>
    <w:unhideWhenUsed/>
    <w:qFormat/>
    <w:rsid w:val="00261D96"/>
    <w:pPr>
      <w:numPr>
        <w:ilvl w:val="2"/>
        <w:numId w:val="10"/>
      </w:numPr>
      <w:pBdr>
        <w:bottom w:val="single" w:sz="4" w:space="1" w:color="8EAADB" w:themeColor="accent1" w:themeTint="99"/>
      </w:pBdr>
      <w:spacing w:before="200" w:after="80"/>
      <w:outlineLvl w:val="2"/>
    </w:pPr>
    <w:rPr>
      <w:rFonts w:asciiTheme="majorBidi" w:eastAsiaTheme="majorEastAsia" w:hAnsiTheme="majorBidi" w:cstheme="majorBidi"/>
      <w:i/>
      <w:iCs/>
      <w:color w:val="000000" w:themeColor="text1"/>
    </w:rPr>
  </w:style>
  <w:style w:type="paragraph" w:styleId="Heading4">
    <w:name w:val="heading 4"/>
    <w:basedOn w:val="Normal"/>
    <w:next w:val="Normal"/>
    <w:link w:val="Heading4Char"/>
    <w:uiPriority w:val="9"/>
    <w:semiHidden/>
    <w:unhideWhenUsed/>
    <w:qFormat/>
    <w:rsid w:val="00261D96"/>
    <w:pPr>
      <w:numPr>
        <w:ilvl w:val="3"/>
        <w:numId w:val="10"/>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rPr>
  </w:style>
  <w:style w:type="paragraph" w:styleId="Heading5">
    <w:name w:val="heading 5"/>
    <w:basedOn w:val="Normal"/>
    <w:next w:val="Normal"/>
    <w:link w:val="Heading5Char"/>
    <w:uiPriority w:val="9"/>
    <w:semiHidden/>
    <w:unhideWhenUsed/>
    <w:qFormat/>
    <w:rsid w:val="00261D96"/>
    <w:pPr>
      <w:numPr>
        <w:ilvl w:val="4"/>
        <w:numId w:val="10"/>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261D96"/>
    <w:pPr>
      <w:numPr>
        <w:ilvl w:val="5"/>
        <w:numId w:val="10"/>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261D96"/>
    <w:pPr>
      <w:numPr>
        <w:ilvl w:val="6"/>
        <w:numId w:val="10"/>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261D96"/>
    <w:pPr>
      <w:numPr>
        <w:ilvl w:val="7"/>
        <w:numId w:val="10"/>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261D96"/>
    <w:pPr>
      <w:numPr>
        <w:ilvl w:val="8"/>
        <w:numId w:val="10"/>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D96"/>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261D96"/>
    <w:rPr>
      <w:rFonts w:asciiTheme="majorBidi" w:eastAsiaTheme="majorEastAsia" w:hAnsiTheme="majorBidi" w:cstheme="majorBidi"/>
      <w:b/>
      <w:bCs/>
      <w:color w:val="000000" w:themeColor="text1"/>
      <w:sz w:val="24"/>
      <w:szCs w:val="24"/>
    </w:rPr>
  </w:style>
  <w:style w:type="character" w:customStyle="1" w:styleId="Heading3Char">
    <w:name w:val="Heading 3 Char"/>
    <w:basedOn w:val="DefaultParagraphFont"/>
    <w:link w:val="Heading3"/>
    <w:uiPriority w:val="9"/>
    <w:rsid w:val="00261D96"/>
    <w:rPr>
      <w:rFonts w:asciiTheme="majorBidi" w:eastAsiaTheme="majorEastAsia" w:hAnsiTheme="majorBidi" w:cstheme="majorBidi"/>
      <w:i/>
      <w:iCs/>
      <w:color w:val="000000" w:themeColor="text1"/>
      <w:sz w:val="24"/>
      <w:szCs w:val="24"/>
    </w:rPr>
  </w:style>
  <w:style w:type="character" w:customStyle="1" w:styleId="Heading4Char">
    <w:name w:val="Heading 4 Char"/>
    <w:basedOn w:val="DefaultParagraphFont"/>
    <w:link w:val="Heading4"/>
    <w:uiPriority w:val="9"/>
    <w:semiHidden/>
    <w:rsid w:val="00261D96"/>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261D96"/>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261D96"/>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261D96"/>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261D96"/>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261D96"/>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261D96"/>
    <w:pPr>
      <w:pBdr>
        <w:top w:val="single" w:sz="8" w:space="10" w:color="A1B8E1" w:themeColor="accent1" w:themeTint="7F"/>
        <w:bottom w:val="single" w:sz="24" w:space="15" w:color="A5A5A5" w:themeColor="accent3"/>
      </w:pBdr>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261D96"/>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261D96"/>
    <w:pPr>
      <w:spacing w:before="200" w:after="900"/>
      <w:jc w:val="right"/>
    </w:pPr>
    <w:rPr>
      <w:i/>
      <w:iCs/>
    </w:rPr>
  </w:style>
  <w:style w:type="character" w:customStyle="1" w:styleId="SubtitleChar">
    <w:name w:val="Subtitle Char"/>
    <w:basedOn w:val="DefaultParagraphFont"/>
    <w:link w:val="Subtitle"/>
    <w:uiPriority w:val="11"/>
    <w:rsid w:val="00261D96"/>
    <w:rPr>
      <w:i/>
      <w:iCs/>
      <w:sz w:val="24"/>
      <w:szCs w:val="24"/>
    </w:rPr>
  </w:style>
  <w:style w:type="paragraph" w:styleId="Quote">
    <w:name w:val="Quote"/>
    <w:basedOn w:val="Normal"/>
    <w:next w:val="Normal"/>
    <w:link w:val="QuoteChar"/>
    <w:uiPriority w:val="29"/>
    <w:qFormat/>
    <w:rsid w:val="00261D96"/>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261D96"/>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261D96"/>
    <w:pPr>
      <w:ind w:left="720"/>
      <w:contextualSpacing/>
    </w:pPr>
  </w:style>
  <w:style w:type="character" w:styleId="IntenseEmphasis">
    <w:name w:val="Intense Emphasis"/>
    <w:uiPriority w:val="21"/>
    <w:qFormat/>
    <w:rsid w:val="00261D96"/>
    <w:rPr>
      <w:b/>
      <w:bCs/>
      <w:i/>
      <w:iCs/>
      <w:color w:val="4472C4" w:themeColor="accent1"/>
      <w:sz w:val="22"/>
      <w:szCs w:val="22"/>
    </w:rPr>
  </w:style>
  <w:style w:type="paragraph" w:styleId="IntenseQuote">
    <w:name w:val="Intense Quote"/>
    <w:basedOn w:val="Normal"/>
    <w:next w:val="Normal"/>
    <w:link w:val="IntenseQuoteChar"/>
    <w:uiPriority w:val="30"/>
    <w:qFormat/>
    <w:rsid w:val="00261D96"/>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rPr>
  </w:style>
  <w:style w:type="character" w:customStyle="1" w:styleId="IntenseQuoteChar">
    <w:name w:val="Intense Quote Char"/>
    <w:basedOn w:val="DefaultParagraphFont"/>
    <w:link w:val="IntenseQuote"/>
    <w:uiPriority w:val="30"/>
    <w:rsid w:val="00261D96"/>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261D96"/>
    <w:rPr>
      <w:b/>
      <w:bCs/>
      <w:color w:val="7B7B7B" w:themeColor="accent3" w:themeShade="BF"/>
      <w:u w:val="single" w:color="A5A5A5" w:themeColor="accent3"/>
    </w:rPr>
  </w:style>
  <w:style w:type="paragraph" w:styleId="Caption">
    <w:name w:val="caption"/>
    <w:basedOn w:val="Normal"/>
    <w:next w:val="Normal"/>
    <w:uiPriority w:val="35"/>
    <w:semiHidden/>
    <w:unhideWhenUsed/>
    <w:qFormat/>
    <w:rsid w:val="00261D96"/>
    <w:rPr>
      <w:b/>
      <w:bCs/>
      <w:sz w:val="18"/>
      <w:szCs w:val="18"/>
    </w:rPr>
  </w:style>
  <w:style w:type="character" w:styleId="Strong">
    <w:name w:val="Strong"/>
    <w:basedOn w:val="DefaultParagraphFont"/>
    <w:uiPriority w:val="22"/>
    <w:qFormat/>
    <w:rsid w:val="00261D96"/>
    <w:rPr>
      <w:b/>
      <w:bCs/>
      <w:spacing w:val="0"/>
    </w:rPr>
  </w:style>
  <w:style w:type="character" w:styleId="Emphasis">
    <w:name w:val="Emphasis"/>
    <w:uiPriority w:val="20"/>
    <w:qFormat/>
    <w:rsid w:val="00261D96"/>
    <w:rPr>
      <w:b/>
      <w:bCs/>
      <w:i/>
      <w:iCs/>
      <w:color w:val="5A5A5A" w:themeColor="text1" w:themeTint="A5"/>
    </w:rPr>
  </w:style>
  <w:style w:type="paragraph" w:styleId="NoSpacing">
    <w:name w:val="No Spacing"/>
    <w:basedOn w:val="Normal"/>
    <w:link w:val="NoSpacingChar"/>
    <w:uiPriority w:val="1"/>
    <w:qFormat/>
    <w:rsid w:val="00261D96"/>
  </w:style>
  <w:style w:type="character" w:customStyle="1" w:styleId="NoSpacingChar">
    <w:name w:val="No Spacing Char"/>
    <w:basedOn w:val="DefaultParagraphFont"/>
    <w:link w:val="NoSpacing"/>
    <w:uiPriority w:val="1"/>
    <w:rsid w:val="00261D96"/>
  </w:style>
  <w:style w:type="character" w:styleId="SubtleEmphasis">
    <w:name w:val="Subtle Emphasis"/>
    <w:uiPriority w:val="19"/>
    <w:qFormat/>
    <w:rsid w:val="00261D96"/>
    <w:rPr>
      <w:i/>
      <w:iCs/>
      <w:color w:val="5A5A5A" w:themeColor="text1" w:themeTint="A5"/>
    </w:rPr>
  </w:style>
  <w:style w:type="character" w:styleId="SubtleReference">
    <w:name w:val="Subtle Reference"/>
    <w:uiPriority w:val="31"/>
    <w:qFormat/>
    <w:rsid w:val="00261D96"/>
    <w:rPr>
      <w:color w:val="auto"/>
      <w:u w:val="single" w:color="A5A5A5" w:themeColor="accent3"/>
    </w:rPr>
  </w:style>
  <w:style w:type="character" w:styleId="BookTitle">
    <w:name w:val="Book Title"/>
    <w:basedOn w:val="DefaultParagraphFont"/>
    <w:uiPriority w:val="33"/>
    <w:qFormat/>
    <w:rsid w:val="00261D96"/>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261D96"/>
    <w:pPr>
      <w:outlineLvl w:val="9"/>
    </w:pPr>
  </w:style>
  <w:style w:type="paragraph" w:styleId="NormalWeb">
    <w:name w:val="Normal (Web)"/>
    <w:basedOn w:val="Normal"/>
    <w:uiPriority w:val="99"/>
    <w:semiHidden/>
    <w:unhideWhenUsed/>
    <w:rsid w:val="00142237"/>
    <w:pPr>
      <w:spacing w:before="100" w:beforeAutospacing="1" w:after="100" w:afterAutospacing="1"/>
    </w:pPr>
  </w:style>
  <w:style w:type="character" w:customStyle="1" w:styleId="text-token-text-primary">
    <w:name w:val="text-token-text-primary"/>
    <w:basedOn w:val="DefaultParagraphFont"/>
    <w:rsid w:val="00142237"/>
  </w:style>
  <w:style w:type="paragraph" w:styleId="HTMLPreformatted">
    <w:name w:val="HTML Preformatted"/>
    <w:basedOn w:val="Normal"/>
    <w:link w:val="HTMLPreformattedChar"/>
    <w:uiPriority w:val="99"/>
    <w:semiHidden/>
    <w:unhideWhenUsed/>
    <w:rsid w:val="001422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4223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142237"/>
    <w:rPr>
      <w:rFonts w:ascii="Courier New" w:eastAsia="Times New Roman" w:hAnsi="Courier New" w:cs="Courier New"/>
      <w:sz w:val="20"/>
      <w:szCs w:val="20"/>
    </w:rPr>
  </w:style>
  <w:style w:type="character" w:styleId="Hyperlink">
    <w:name w:val="Hyperlink"/>
    <w:basedOn w:val="DefaultParagraphFont"/>
    <w:uiPriority w:val="99"/>
    <w:unhideWhenUsed/>
    <w:rsid w:val="00142237"/>
    <w:rPr>
      <w:color w:val="0000FF"/>
      <w:u w:val="single"/>
    </w:rPr>
  </w:style>
  <w:style w:type="paragraph" w:styleId="TOC1">
    <w:name w:val="toc 1"/>
    <w:basedOn w:val="Normal"/>
    <w:next w:val="Normal"/>
    <w:autoRedefine/>
    <w:uiPriority w:val="39"/>
    <w:unhideWhenUsed/>
    <w:rsid w:val="00142237"/>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142237"/>
    <w:pPr>
      <w:spacing w:before="120"/>
      <w:ind w:left="240"/>
    </w:pPr>
    <w:rPr>
      <w:rFonts w:asciiTheme="minorHAnsi" w:hAnsiTheme="minorHAnsi" w:cstheme="minorHAnsi"/>
      <w:b/>
      <w:bCs/>
      <w:sz w:val="22"/>
      <w:szCs w:val="26"/>
    </w:rPr>
  </w:style>
  <w:style w:type="paragraph" w:styleId="TOC3">
    <w:name w:val="toc 3"/>
    <w:basedOn w:val="Normal"/>
    <w:next w:val="Normal"/>
    <w:autoRedefine/>
    <w:uiPriority w:val="39"/>
    <w:unhideWhenUsed/>
    <w:rsid w:val="00142237"/>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142237"/>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142237"/>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142237"/>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142237"/>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142237"/>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142237"/>
    <w:pPr>
      <w:ind w:left="1920"/>
    </w:pPr>
    <w:rPr>
      <w:rFonts w:asciiTheme="minorHAnsi" w:hAnsiTheme="minorHAnsi" w:cstheme="minorHAnsi"/>
      <w:sz w:val="20"/>
    </w:rPr>
  </w:style>
  <w:style w:type="table" w:styleId="GridTable4-Accent5">
    <w:name w:val="Grid Table 4 Accent 5"/>
    <w:basedOn w:val="TableNormal"/>
    <w:uiPriority w:val="49"/>
    <w:rsid w:val="00142237"/>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142237"/>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142237"/>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 /><Relationship Id="rId18" Type="http://schemas.openxmlformats.org/officeDocument/2006/relationships/hyperlink" Target="https://www.tandfonline.com/doi/full/10.1080/10253866.2023.2185233" TargetMode="External" /><Relationship Id="rId26" Type="http://schemas.openxmlformats.org/officeDocument/2006/relationships/hyperlink" Target="https://www.sciencedirect.com/science/article/pii/S0275531924003982" TargetMode="External" /><Relationship Id="rId39" Type="http://schemas.openxmlformats.org/officeDocument/2006/relationships/hyperlink" Target="https://www.trade.gov/country-commercial-guides/brazil-import-tariffs" TargetMode="External" /><Relationship Id="rId21" Type="http://schemas.openxmlformats.org/officeDocument/2006/relationships/hyperlink" Target="https://www.gov.br/mre/pt-br/consulado-los-angeles/setor-de-promocao-comercial-secom/invest-in-brazil-safely-and-efficiently-1" TargetMode="External" /><Relationship Id="rId34" Type="http://schemas.openxmlformats.org/officeDocument/2006/relationships/hyperlink" Target="https://www.sciencedirect.com/science/article/pii/S0148296326001670" TargetMode="External" /><Relationship Id="rId42" Type="http://schemas.openxmlformats.org/officeDocument/2006/relationships/hyperlink" Target="https://link.springer.com/article/10.1057/s41267-020-00304-2" TargetMode="External" /><Relationship Id="rId47" Type="http://schemas.openxmlformats.org/officeDocument/2006/relationships/hyperlink" Target="https://www.tandfonline.com/doi/abs/10.1080/23311975.2023.2272374" TargetMode="External" /><Relationship Id="rId50" Type="http://schemas.openxmlformats.org/officeDocument/2006/relationships/hyperlink" Target="https://link.springer.com/article/10.1057/s41267-019-00262-4" TargetMode="External" /><Relationship Id="rId55" Type="http://schemas.openxmlformats.org/officeDocument/2006/relationships/hyperlink" Target="https://www.gov.br/receitafederal/pt-br/acesso-a-informacao/acoes-e-programas/programas-e-atividades/reforma-tributaria-do-consumo/orientacoes-2026" TargetMode="External" /><Relationship Id="rId63" Type="http://schemas.openxmlformats.org/officeDocument/2006/relationships/hyperlink" Target="https://www.titancompany.in/investors/subsidiaries" TargetMode="External" /><Relationship Id="rId68" Type="http://schemas.openxmlformats.org/officeDocument/2006/relationships/hyperlink" Target="https://www.sciencedirect.com/science/article/abs/pii/S1049007824000125" TargetMode="External" /><Relationship Id="rId7" Type="http://schemas.openxmlformats.org/officeDocument/2006/relationships/image" Target="media/image2.png" /><Relationship Id="rId71"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link.springer.com/article/10.1057/s41267-019-00243-7" TargetMode="External" /><Relationship Id="rId29" Type="http://schemas.openxmlformats.org/officeDocument/2006/relationships/hyperlink" Target="https://www.marketresearch.com/Euromonitor-International-v746/Traditional-Connected-Watches-Brazil-44050834/"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link.springer.com/article/10.1057/palgrave.jibs.8490372" TargetMode="External" /><Relationship Id="rId32" Type="http://schemas.openxmlformats.org/officeDocument/2006/relationships/hyperlink" Target="https://link.springer.com/article/10.1057/s41267-019-00256-2" TargetMode="External" /><Relationship Id="rId37" Type="http://schemas.openxmlformats.org/officeDocument/2006/relationships/hyperlink" Target="https://www.gov.br/inmetro/pt-br/acesso-a-informacao/perguntas-frequentes/avaliacao-da-conformidade/bijuterias-e-joias/qual-a-regulamentacao-para-a-comercializacao-de-bijuterias-e-joias" TargetMode="External" /><Relationship Id="rId40" Type="http://schemas.openxmlformats.org/officeDocument/2006/relationships/hyperlink" Target="https://www.tandfonline.com/doi/abs/10.1080/20932685.2023.2165130" TargetMode="External" /><Relationship Id="rId45" Type="http://schemas.openxmlformats.org/officeDocument/2006/relationships/hyperlink" Target="https://www.sciencedirect.com/science/article/pii/S1925209924006004" TargetMode="External" /><Relationship Id="rId53" Type="http://schemas.openxmlformats.org/officeDocument/2006/relationships/hyperlink" Target="https://www.sciencedirect.com/science/article/pii/S0969593125001131" TargetMode="External" /><Relationship Id="rId58" Type="http://schemas.openxmlformats.org/officeDocument/2006/relationships/hyperlink" Target="https://link.springer.com/article/10.1007/s11575-023-00517-1" TargetMode="External" /><Relationship Id="rId66" Type="http://schemas.openxmlformats.org/officeDocument/2006/relationships/hyperlink" Target="https://www.tandfonline.com/doi/full/10.1080/08961530.2024.2333756" TargetMode="External" /><Relationship Id="rId5" Type="http://schemas.openxmlformats.org/officeDocument/2006/relationships/webSettings" Target="webSettings.xml" /><Relationship Id="rId15" Type="http://schemas.openxmlformats.org/officeDocument/2006/relationships/hyperlink" Target="https://onlinelibrary.wiley.com/doi/10.1002/gsj.1396" TargetMode="External" /><Relationship Id="rId23" Type="http://schemas.openxmlformats.org/officeDocument/2006/relationships/hyperlink" Target="https://link.springer.com/article/10.1057/s41267-023-00647-6" TargetMode="External" /><Relationship Id="rId28" Type="http://schemas.openxmlformats.org/officeDocument/2006/relationships/hyperlink" Target="https://www.marketresearch.com/Euromonitor-International-v746/Jewellery-Brazil-44050819/" TargetMode="External" /><Relationship Id="rId36" Type="http://schemas.openxmlformats.org/officeDocument/2006/relationships/hyperlink" Target="https://www.ibge.gov.br/en/indicators.html" TargetMode="External" /><Relationship Id="rId49" Type="http://schemas.openxmlformats.org/officeDocument/2006/relationships/hyperlink" Target="https://www.tandfonline.com/doi/full/10.1080/0965254X.2022.2030391" TargetMode="External" /><Relationship Id="rId57" Type="http://schemas.openxmlformats.org/officeDocument/2006/relationships/hyperlink" Target="https://www.reuters.com/world/india/indian-jeweller-titan-misses-quarterly-profit-estimates-costs-bite-2026-05-08/" TargetMode="External" /><Relationship Id="rId61" Type="http://schemas.openxmlformats.org/officeDocument/2006/relationships/hyperlink" Target="https://www.sciencedirect.com/science/article/pii/S0148296323007646" TargetMode="External" /><Relationship Id="rId10" Type="http://schemas.openxmlformats.org/officeDocument/2006/relationships/image" Target="media/image5.png" /><Relationship Id="rId19" Type="http://schemas.openxmlformats.org/officeDocument/2006/relationships/hyperlink" Target="https://journals.sagepub.com/doi/10.1177/0149206317729027" TargetMode="External" /><Relationship Id="rId31" Type="http://schemas.openxmlformats.org/officeDocument/2006/relationships/hyperlink" Target="https://www.sciencedirect.com/science/article/pii/S096959312400091X" TargetMode="External" /><Relationship Id="rId44" Type="http://schemas.openxmlformats.org/officeDocument/2006/relationships/hyperlink" Target="https://www.sciencedirect.com/science/article/pii/S0148296324000432" TargetMode="External" /><Relationship Id="rId52" Type="http://schemas.openxmlformats.org/officeDocument/2006/relationships/hyperlink" Target="https://www.tandfonline.com/doi/full/10.1080/20932685.2024.2434870" TargetMode="External" /><Relationship Id="rId60" Type="http://schemas.openxmlformats.org/officeDocument/2006/relationships/hyperlink" Target="https://www.sciencedirect.com/science/article/pii/S0148296322004763" TargetMode="External" /><Relationship Id="rId65" Type="http://schemas.openxmlformats.org/officeDocument/2006/relationships/hyperlink" Target="https://link.springer.com/article/10.1057/s41267-017-0107-7"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tandfonline.com/doi/full/10.1080/23311975.2023.2285815" TargetMode="External" /><Relationship Id="rId22" Type="http://schemas.openxmlformats.org/officeDocument/2006/relationships/hyperlink" Target="https://link.springer.com/article/10.1057/s41267-018-0176-2" TargetMode="External" /><Relationship Id="rId27" Type="http://schemas.openxmlformats.org/officeDocument/2006/relationships/hyperlink" Target="https://www.euromonitor.com/luxury-goods-in-brazil/report" TargetMode="External" /><Relationship Id="rId30" Type="http://schemas.openxmlformats.org/officeDocument/2006/relationships/hyperlink" Target="https://thoughtsmostlyaboutlearning.files.wordpress.com/2015/12/learning-by-doing-graham-gibbs.pdf" TargetMode="External" /><Relationship Id="rId35" Type="http://schemas.openxmlformats.org/officeDocument/2006/relationships/hyperlink" Target="https://www.ibge.gov.br/en/novoportal-institutional.html" TargetMode="External" /><Relationship Id="rId43" Type="http://schemas.openxmlformats.org/officeDocument/2006/relationships/hyperlink" Target="https://link.springer.com/article/10.1057/s41267-019-00294-w" TargetMode="External" /><Relationship Id="rId48" Type="http://schemas.openxmlformats.org/officeDocument/2006/relationships/hyperlink" Target="https://link.springer.com/article/10.1057/s41267-017-0114-8" TargetMode="External" /><Relationship Id="rId56" Type="http://schemas.openxmlformats.org/officeDocument/2006/relationships/hyperlink" Target="https://www.sciencedirect.com/science/article/pii/S2950524024000222" TargetMode="External" /><Relationship Id="rId64" Type="http://schemas.openxmlformats.org/officeDocument/2006/relationships/hyperlink" Target="https://www.tandfonline.com/doi/full/10.1080/0965254X.2023.2275134" TargetMode="External" /><Relationship Id="rId69" Type="http://schemas.openxmlformats.org/officeDocument/2006/relationships/hyperlink" Target="https://journals.aom.org/doi/10.5465/256683" TargetMode="External" /><Relationship Id="rId8" Type="http://schemas.openxmlformats.org/officeDocument/2006/relationships/image" Target="media/image3.jpeg" /><Relationship Id="rId51" Type="http://schemas.openxmlformats.org/officeDocument/2006/relationships/hyperlink" Target="https://www.tandfonline.com/doi/abs/10.1080/02650487.2022.2084265" TargetMode="External" /><Relationship Id="rId72" Type="http://schemas.openxmlformats.org/officeDocument/2006/relationships/theme" Target="theme/theme1.xml" /><Relationship Id="rId3" Type="http://schemas.openxmlformats.org/officeDocument/2006/relationships/styles" Target="styles.xml" /><Relationship Id="rId12" Type="http://schemas.openxmlformats.org/officeDocument/2006/relationships/image" Target="media/image7.png" /><Relationship Id="rId17" Type="http://schemas.openxmlformats.org/officeDocument/2006/relationships/hyperlink" Target="https://www.hbs.edu/faculty/Pages/item.aspx?num=161" TargetMode="External" /><Relationship Id="rId25" Type="http://schemas.openxmlformats.org/officeDocument/2006/relationships/hyperlink" Target="https://link.springer.com/article/10.1057/s41267-022-00580-0" TargetMode="External" /><Relationship Id="rId33" Type="http://schemas.openxmlformats.org/officeDocument/2006/relationships/hyperlink" Target="https://www.sciencedirect.com/science/article/pii/S014829632500270X" TargetMode="External" /><Relationship Id="rId38" Type="http://schemas.openxmlformats.org/officeDocument/2006/relationships/hyperlink" Target="https://www.trade.gov/country-commercial-guides/brazil-investment-climate-statement" TargetMode="External" /><Relationship Id="rId46" Type="http://schemas.openxmlformats.org/officeDocument/2006/relationships/hyperlink" Target="https://link.springer.com/article/10.1007/s12525-021-00511-1" TargetMode="External" /><Relationship Id="rId59" Type="http://schemas.openxmlformats.org/officeDocument/2006/relationships/hyperlink" Target="https://www.tandfonline.com/doi/abs/10.1080/13527266.2023.2248999" TargetMode="External" /><Relationship Id="rId67" Type="http://schemas.openxmlformats.org/officeDocument/2006/relationships/hyperlink" Target="https://link.springer.com/article/10.1007/s11301-022-00281-w" TargetMode="External" /><Relationship Id="rId20" Type="http://schemas.openxmlformats.org/officeDocument/2006/relationships/hyperlink" Target="https://www.sciencedirect.com/science/article/pii/S0301420724007347" TargetMode="External" /><Relationship Id="rId41" Type="http://schemas.openxmlformats.org/officeDocument/2006/relationships/hyperlink" Target="https://link.springer.com/article/10.1057/jibs.2009.24" TargetMode="External" /><Relationship Id="rId54" Type="http://schemas.openxmlformats.org/officeDocument/2006/relationships/hyperlink" Target="https://www.gov.br/receitafederal/pt-br/assuntos/aduana-e-comercio-exterior/manuais/remessas-postal-e-expressa/topicos/tributacao" TargetMode="External" /><Relationship Id="rId62" Type="http://schemas.openxmlformats.org/officeDocument/2006/relationships/hyperlink" Target="https://www.titancompany.in/news/titan-FY26-results" TargetMode="External" /><Relationship Id="rId70" Type="http://schemas.openxmlformats.org/officeDocument/2006/relationships/hyperlink" Target="https://www.sciencedirect.com/science/article/pii/S10754253220006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E54F6-2939-524B-9A31-19F8CE35A6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10160</Words>
  <Characters>57917</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Ram modhavadiya</cp:lastModifiedBy>
  <cp:revision>2</cp:revision>
  <dcterms:created xsi:type="dcterms:W3CDTF">2026-07-31T09:30:00Z</dcterms:created>
  <dcterms:modified xsi:type="dcterms:W3CDTF">2026-07-31T09:30:00Z</dcterms:modified>
</cp:coreProperties>
</file>