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5A05" w:rsidRPr="003F5A05" w:rsidRDefault="003F5A05" w:rsidP="003F5A05">
      <w:pPr>
        <w:rPr>
          <w:rFonts w:ascii="Arial" w:eastAsia="Times New Roman" w:hAnsi="Arial" w:cs="Arial"/>
          <w:b/>
          <w:sz w:val="24"/>
          <w:szCs w:val="24"/>
          <w:u w:val="single"/>
        </w:rPr>
      </w:pPr>
      <w:r w:rsidRPr="003F5A05">
        <w:rPr>
          <w:rFonts w:ascii="Arial" w:eastAsia="Times New Roman" w:hAnsi="Arial" w:cs="Arial"/>
          <w:b/>
          <w:sz w:val="24"/>
          <w:szCs w:val="24"/>
          <w:u w:val="single"/>
        </w:rPr>
        <w:t xml:space="preserve">Chapter 1: Introduction </w:t>
      </w:r>
    </w:p>
    <w:p w:rsidR="003F5A05" w:rsidRPr="003F5A05" w:rsidRDefault="003F5A05" w:rsidP="003F5A05">
      <w:pPr>
        <w:jc w:val="both"/>
        <w:rPr>
          <w:rFonts w:ascii="Arial" w:eastAsia="Times New Roman" w:hAnsi="Arial" w:cs="Arial"/>
          <w:b/>
          <w:sz w:val="24"/>
          <w:szCs w:val="24"/>
          <w:u w:val="single"/>
        </w:rPr>
      </w:pP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This Applied Research Project will explore the question; can Youth Work help change young people’s views and attitudes towards substance misuse through the use of informal education. This chapter will include and introduction to the field of study, and will include a summary of the contents and the main arguments within the study.</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This research project will focus on substance misuse and youth work methods of educating young people on substance misuse. The researcher has identified this subject as a need through personally observing the devastating effects of substance misuse and through researching literature, such as among 16-24 year olds, 1 in 5 have used an illicit drug in the last year (Home Office, 2017).  In order to meet the aim, the researcher proposes to answer the following questions;</w:t>
      </w:r>
    </w:p>
    <w:p w:rsidR="003F5A05" w:rsidRPr="003F5A05" w:rsidRDefault="003F5A05" w:rsidP="003F5A05">
      <w:pPr>
        <w:numPr>
          <w:ilvl w:val="0"/>
          <w:numId w:val="1"/>
        </w:numPr>
        <w:spacing w:line="480" w:lineRule="auto"/>
        <w:contextualSpacing/>
        <w:jc w:val="both"/>
        <w:rPr>
          <w:rFonts w:ascii="Arial" w:eastAsia="Times New Roman" w:hAnsi="Arial" w:cs="Arial"/>
          <w:sz w:val="24"/>
          <w:szCs w:val="24"/>
        </w:rPr>
      </w:pPr>
      <w:r w:rsidRPr="003F5A05">
        <w:rPr>
          <w:rFonts w:ascii="Arial" w:eastAsia="Times New Roman" w:hAnsi="Arial" w:cs="Arial"/>
          <w:sz w:val="24"/>
          <w:szCs w:val="24"/>
        </w:rPr>
        <w:t>Is informal education and effective tool to educate and engage young people on issues that affect their lives?</w:t>
      </w:r>
    </w:p>
    <w:p w:rsidR="003F5A05" w:rsidRPr="003F5A05" w:rsidRDefault="003F5A05" w:rsidP="003F5A05">
      <w:pPr>
        <w:numPr>
          <w:ilvl w:val="0"/>
          <w:numId w:val="1"/>
        </w:numPr>
        <w:spacing w:line="480" w:lineRule="auto"/>
        <w:contextualSpacing/>
        <w:jc w:val="both"/>
        <w:rPr>
          <w:rFonts w:ascii="Arial" w:eastAsia="Times New Roman" w:hAnsi="Arial" w:cs="Arial"/>
          <w:sz w:val="24"/>
          <w:szCs w:val="24"/>
        </w:rPr>
      </w:pPr>
      <w:r w:rsidRPr="003F5A05">
        <w:rPr>
          <w:rFonts w:ascii="Arial" w:eastAsia="Times New Roman" w:hAnsi="Arial" w:cs="Arial"/>
          <w:sz w:val="24"/>
          <w:szCs w:val="24"/>
        </w:rPr>
        <w:t xml:space="preserve">Does educating young people on the potential risks and dangers of substances deter them from using them? </w:t>
      </w:r>
    </w:p>
    <w:p w:rsidR="003F5A05" w:rsidRPr="003F5A05" w:rsidRDefault="003F5A05" w:rsidP="003F5A05">
      <w:pPr>
        <w:numPr>
          <w:ilvl w:val="0"/>
          <w:numId w:val="1"/>
        </w:numPr>
        <w:spacing w:line="480" w:lineRule="auto"/>
        <w:contextualSpacing/>
        <w:jc w:val="both"/>
        <w:rPr>
          <w:rFonts w:ascii="Arial" w:eastAsia="Times New Roman" w:hAnsi="Arial" w:cs="Arial"/>
          <w:sz w:val="24"/>
          <w:szCs w:val="24"/>
        </w:rPr>
      </w:pPr>
      <w:r w:rsidRPr="003F5A05">
        <w:rPr>
          <w:rFonts w:ascii="Arial" w:eastAsia="Times New Roman" w:hAnsi="Arial" w:cs="Arial"/>
          <w:sz w:val="24"/>
          <w:szCs w:val="24"/>
        </w:rPr>
        <w:t>Is there more that can be done to educate young people on substance misuse that enables them to make informed choices about using substances?</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It is expected that while engaging in this study, it will inform the researchers practice as well as being an important subject to explore. The study will firstly begin by undertaking a literature review to explore the literature written about the subject and the Youth Work characteristics, while enabling the author to identify any gaps in research. </w:t>
      </w:r>
    </w:p>
    <w:p w:rsidR="003F5A05" w:rsidRPr="003F5A05" w:rsidRDefault="003F5A05" w:rsidP="003F5A05">
      <w:pPr>
        <w:spacing w:line="480" w:lineRule="auto"/>
        <w:jc w:val="both"/>
        <w:rPr>
          <w:rFonts w:ascii="Arial" w:eastAsia="Times New Roman" w:hAnsi="Arial" w:cs="Arial"/>
          <w:i/>
          <w:iCs/>
          <w:sz w:val="24"/>
          <w:szCs w:val="24"/>
        </w:rPr>
      </w:pPr>
      <w:r w:rsidRPr="003F5A05">
        <w:rPr>
          <w:rFonts w:ascii="Arial" w:eastAsia="Times New Roman" w:hAnsi="Arial" w:cs="Arial"/>
          <w:sz w:val="24"/>
          <w:szCs w:val="24"/>
        </w:rPr>
        <w:t xml:space="preserve">The third chapter of this study will focus on the methodological approach to the research that will enable the question to be answered in a robust and reliable way that </w:t>
      </w:r>
      <w:r w:rsidRPr="003F5A05">
        <w:rPr>
          <w:rFonts w:ascii="Arial" w:eastAsia="Times New Roman" w:hAnsi="Arial" w:cs="Arial"/>
          <w:sz w:val="24"/>
          <w:szCs w:val="24"/>
        </w:rPr>
        <w:lastRenderedPageBreak/>
        <w:t>is ethical. The author will engage in an informal participatory workshop with two focus groups and an interview with a qualified youth worker</w:t>
      </w:r>
      <w:r w:rsidRPr="003F5A05">
        <w:rPr>
          <w:rFonts w:ascii="Arial" w:eastAsia="Times New Roman" w:hAnsi="Arial" w:cs="Arial"/>
          <w:i/>
          <w:iCs/>
          <w:sz w:val="24"/>
          <w:szCs w:val="24"/>
        </w:rPr>
        <w:t>.</w:t>
      </w:r>
    </w:p>
    <w:p w:rsidR="003F5A05" w:rsidRPr="003F5A05" w:rsidRDefault="003F5A05" w:rsidP="003F5A05">
      <w:pPr>
        <w:spacing w:line="480" w:lineRule="auto"/>
        <w:jc w:val="both"/>
        <w:rPr>
          <w:rFonts w:ascii="Arial" w:eastAsia="Times New Roman" w:hAnsi="Arial" w:cs="Arial"/>
          <w:iCs/>
          <w:sz w:val="24"/>
          <w:szCs w:val="24"/>
        </w:rPr>
      </w:pPr>
      <w:r w:rsidRPr="003F5A05">
        <w:rPr>
          <w:rFonts w:ascii="Arial" w:eastAsia="Times New Roman" w:hAnsi="Arial" w:cs="Arial"/>
          <w:iCs/>
          <w:sz w:val="24"/>
          <w:szCs w:val="24"/>
        </w:rPr>
        <w:t xml:space="preserve">The fourth chapter will include the data gathered from the methods used and will be presented in a clear and legible way by using charts and photographs. This will enable the author to identify any themes or patters emerged through the process.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iCs/>
          <w:sz w:val="24"/>
          <w:szCs w:val="24"/>
        </w:rPr>
        <w:t>The fifth chapter in this research paper will discuss and interpret the data, making links to the literature review and other relevant literature. The applied research project will display a conclusion in a summary of the main finding, and attempt to answer; C</w:t>
      </w:r>
      <w:r w:rsidRPr="003F5A05">
        <w:rPr>
          <w:rFonts w:ascii="Arial" w:eastAsia="Times New Roman" w:hAnsi="Arial" w:cs="Arial"/>
          <w:sz w:val="24"/>
          <w:szCs w:val="24"/>
        </w:rPr>
        <w:t>an Youth Work help change young people’s views and attitudes towards substance misuse through the use of informal education.</w:t>
      </w:r>
    </w:p>
    <w:p w:rsidR="003F5A05" w:rsidRPr="003F5A05" w:rsidRDefault="003F5A05" w:rsidP="003F5A05">
      <w:pPr>
        <w:spacing w:line="480" w:lineRule="auto"/>
        <w:jc w:val="both"/>
        <w:rPr>
          <w:rFonts w:ascii="Arial" w:eastAsia="Times New Roman" w:hAnsi="Arial" w:cs="Arial"/>
          <w:iCs/>
          <w:sz w:val="24"/>
          <w:szCs w:val="24"/>
        </w:rPr>
      </w:pPr>
      <w:r w:rsidRPr="003F5A05">
        <w:rPr>
          <w:rFonts w:ascii="Arial" w:eastAsia="Times New Roman" w:hAnsi="Arial" w:cs="Arial"/>
          <w:iCs/>
          <w:sz w:val="24"/>
          <w:szCs w:val="24"/>
        </w:rPr>
        <w:t>The sixth and final chapter will draw conclusions and recommendations for future practice while providing directions for further research.</w:t>
      </w:r>
    </w:p>
    <w:p w:rsidR="003F5A05" w:rsidRPr="003F5A05" w:rsidRDefault="003F5A05" w:rsidP="003F5A05">
      <w:pPr>
        <w:spacing w:line="480" w:lineRule="auto"/>
        <w:jc w:val="both"/>
        <w:rPr>
          <w:rFonts w:ascii="Arial" w:eastAsia="Times New Roman" w:hAnsi="Arial" w:cs="Arial"/>
          <w:iCs/>
          <w:sz w:val="24"/>
          <w:szCs w:val="24"/>
        </w:rPr>
      </w:pPr>
      <w:r w:rsidRPr="003F5A05">
        <w:rPr>
          <w:rFonts w:ascii="Arial" w:eastAsia="Times New Roman" w:hAnsi="Arial" w:cs="Arial"/>
          <w:iCs/>
          <w:sz w:val="24"/>
          <w:szCs w:val="24"/>
        </w:rPr>
        <w:t>The researcher will now review current and past literature on youth work and substance misuse.</w:t>
      </w:r>
    </w:p>
    <w:p w:rsidR="003F5A05" w:rsidRPr="003F5A05" w:rsidRDefault="003F5A05" w:rsidP="003F5A05">
      <w:pPr>
        <w:spacing w:line="480" w:lineRule="auto"/>
        <w:jc w:val="both"/>
        <w:rPr>
          <w:rFonts w:ascii="Arial" w:eastAsia="Times New Roman" w:hAnsi="Arial" w:cs="Arial"/>
          <w:b/>
          <w:sz w:val="24"/>
          <w:szCs w:val="24"/>
          <w:u w:val="single"/>
        </w:rPr>
      </w:pPr>
      <w:r w:rsidRPr="003F5A05">
        <w:rPr>
          <w:rFonts w:ascii="Arial" w:eastAsia="Times New Roman" w:hAnsi="Arial" w:cs="Arial"/>
          <w:b/>
          <w:sz w:val="24"/>
          <w:szCs w:val="24"/>
          <w:u w:val="single"/>
        </w:rPr>
        <w:t>Chapter 2: Literature Review</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This chapter uses literature to define substance misuse, its risks to health and wellbeing and demonstrates the importance of prevention and interventions. This section will discuss the literature of youth work and demonstrates how its distinctive characteristics may help the process of prevention and intervention with substance misuse and young people.</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Substance misuse is the use of psychoactive and intoxicant substances such as drugs and alcohol at a level that can be harmful and problematic (Drugwise.org.uk, no date). These substances can have various effects on the body, long-term and short-term </w:t>
      </w:r>
      <w:r w:rsidRPr="003F5A05">
        <w:rPr>
          <w:rFonts w:ascii="Arial" w:eastAsia="Times New Roman" w:hAnsi="Arial" w:cs="Arial"/>
          <w:sz w:val="24"/>
          <w:szCs w:val="24"/>
        </w:rPr>
        <w:lastRenderedPageBreak/>
        <w:t xml:space="preserve">(drugabuse.gov, 2017). The short-term effects can range from change in appetite, heart rate, blood pressure to more serious and fatal effects such as heart attack, stroke, psychosis, overdose and death (drugabuse.gov, 2017). In addition to the severity of these effects, drugabuse.gov (2017) states that these health effects can occur after just one usage of a substance. This suggests that even by experimenting a substance once can be fatal. The long-term effects of substance misuse include heart or lung disease, cancer, mental illness, hepatitis, HIV/AIDS and addiction (Drugabuse.org, 2017). Although not everyone becomes addicted, the long-term use of a drug can change the way in which the brain works. These brain changes can interfere with the way these people experience normal life pleasures such as food and sex, their ability to control stress, decision-making, the ability to learn and their memory (Drugabuse.org, 2017). This literature suggests that the effects of substance misuse can have life threatening and fatal to the health of an individual and prevention and intervention should be taken seriously.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Although the effects of substance misuse are serious, many young people who use substances have already researched the potential risks involved to manage their usage and make it as safe and enjoyable as possible. However, there are still many young people who use substance misuse to a stage where it becomes problematic (Aynsley, Bradley, Buchanan, Burrows and Bush, no date).</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Substance misuse is a form of risk-taking behaviour amongst young people that can also be a sign of underlying trauma, dealing with adversity and/or experimenting with their identities. This risk-taking behaviour can be used to self-medicate these factors to erase invasive memories or make experiences tolerable (Aynsley </w:t>
      </w:r>
      <w:r w:rsidRPr="003F5A05">
        <w:rPr>
          <w:rFonts w:ascii="Arial" w:eastAsia="Times New Roman" w:hAnsi="Arial" w:cs="Arial"/>
          <w:i/>
          <w:sz w:val="24"/>
          <w:szCs w:val="24"/>
        </w:rPr>
        <w:t>et al,</w:t>
      </w:r>
      <w:r w:rsidRPr="003F5A05">
        <w:rPr>
          <w:rFonts w:ascii="Arial" w:eastAsia="Times New Roman" w:hAnsi="Arial" w:cs="Arial"/>
          <w:sz w:val="24"/>
          <w:szCs w:val="24"/>
        </w:rPr>
        <w:t xml:space="preserve"> no date). The Home Office Development and Practice report (2007) states that resilience is a method that young people use to decide to say no to drugs, even if it has been exposed </w:t>
      </w:r>
      <w:r w:rsidRPr="003F5A05">
        <w:rPr>
          <w:rFonts w:ascii="Arial" w:eastAsia="Times New Roman" w:hAnsi="Arial" w:cs="Arial"/>
          <w:sz w:val="24"/>
          <w:szCs w:val="24"/>
        </w:rPr>
        <w:lastRenderedPageBreak/>
        <w:t xml:space="preserve">to them. One aspect of resilience that prompted young people’s decisions towards refusing drug use came from the views they had of the drugs and reasons to why people use them (The Home Office Development and Practice report, 2007). This suggests that young people need to be more resilient towards using substances and should receive help and support to do so. This leads to researching whether youth work can be a helpful tool to allow young people to make informed choices in support of their future well-being.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Youth work is a way of working with young people using distinctive ways to approach them and respond to them in order to develop their personal, social and educational development (Davies, 2010 and LSIS, 2012). These distinctive characteristics follow;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A fundamental aspect of youth work is that the young people should choose to engage whenever they feel is necessary (Welsh Government, WG, 2014). Voluntary participation defines youth work and differentiates it from almost all other services provided for young people (Jeffs, 2001, p.156 </w:t>
      </w:r>
      <w:r w:rsidRPr="003F5A05">
        <w:rPr>
          <w:rFonts w:ascii="Arial" w:eastAsia="Times New Roman" w:hAnsi="Arial" w:cs="Arial"/>
          <w:i/>
          <w:sz w:val="24"/>
          <w:szCs w:val="24"/>
        </w:rPr>
        <w:t xml:space="preserve">cited in </w:t>
      </w:r>
      <w:r w:rsidRPr="003F5A05">
        <w:rPr>
          <w:rFonts w:ascii="Arial" w:eastAsia="Times New Roman" w:hAnsi="Arial" w:cs="Arial"/>
          <w:sz w:val="24"/>
          <w:szCs w:val="24"/>
        </w:rPr>
        <w:t xml:space="preserve">Jeffs and Smith, 2010). Traditionally, young people have been able to freely enter relationships with youth workers and to end them when they want, this has implications to the way in which youth work operates and the approaches that are used to engage young people (Jeffs and Smith, 2010).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Youth work is considered to use non-formal and informal education that provides young people with active interventions with an aim to provide an environment in which young people can learn and develop (Welsh Government, 2016). The use of informal and non-formal education supports wider learning for young people and participation in society (WG, 2014). Youth work in Wales offers young people the opportunity to </w:t>
      </w:r>
      <w:r w:rsidRPr="003F5A05">
        <w:rPr>
          <w:rFonts w:ascii="Arial" w:eastAsia="Times New Roman" w:hAnsi="Arial" w:cs="Arial"/>
          <w:sz w:val="24"/>
          <w:szCs w:val="24"/>
        </w:rPr>
        <w:lastRenderedPageBreak/>
        <w:t>learn in ways that are educative, expressive, participative, inclusive and empowering (Welsh Government, 2016).</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Youth work recognises that everyone has different learning styles, therefore, youth workers also use experiential learning to assist the learning and development of young people and provide them with concrete experiences. This learning theory was recognised by Kolb, who states that “Learning is the process whereby knowledge is created through the transformation of experience” (Kolb, 1984, p.38 </w:t>
      </w:r>
      <w:r w:rsidRPr="003F5A05">
        <w:rPr>
          <w:rFonts w:ascii="Arial" w:eastAsia="Times New Roman" w:hAnsi="Arial" w:cs="Arial"/>
          <w:i/>
          <w:sz w:val="24"/>
          <w:szCs w:val="24"/>
        </w:rPr>
        <w:t xml:space="preserve">cited in </w:t>
      </w:r>
      <w:r w:rsidRPr="003F5A05">
        <w:rPr>
          <w:rFonts w:ascii="Arial" w:eastAsia="Times New Roman" w:hAnsi="Arial" w:cs="Arial"/>
          <w:sz w:val="24"/>
          <w:szCs w:val="24"/>
        </w:rPr>
        <w:t>McLeod, 2010, p.1).</w:t>
      </w:r>
      <w:r w:rsidRPr="003F5A05">
        <w:rPr>
          <w:rFonts w:ascii="Arial" w:eastAsia="Times New Roman" w:hAnsi="Arial" w:cs="Arial"/>
          <w:i/>
          <w:sz w:val="24"/>
          <w:szCs w:val="24"/>
        </w:rPr>
        <w:t xml:space="preserve"> </w:t>
      </w:r>
      <w:r w:rsidRPr="003F5A05">
        <w:rPr>
          <w:rFonts w:ascii="Arial" w:eastAsia="Times New Roman" w:hAnsi="Arial" w:cs="Arial"/>
          <w:sz w:val="24"/>
          <w:szCs w:val="24"/>
        </w:rPr>
        <w:t xml:space="preserve"> This suggests that people learn better while they are experiencing and reflecting.</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Youth work is also committed to work in a participative way that enables young people to become equal partners in their learning processes and decision making (WG, 2014). Working in this way encourages young people to take responsibility for their progression and their own development. The use of this approach enables young people to engage with the personal, social and political issues as well as involving them and empowering them to become independent during their transitions (WG, 2014).</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These characteristics can be used to help young people with a range of issues, including substance misuse. For example, Youth work is a voluntary, and young people should choose to engage whenever they feel is necessary (WG, 2014). This suggests that youth workers must make their work appealing and go to where the young people are at. In terms of substance misuse, this would suggest that young people who need the support on substance misuse will receive it and it will be accessible to them. In addition to this the use of informal education will provide active interventions and an environment in which young people can learn and develop </w:t>
      </w:r>
      <w:r w:rsidRPr="003F5A05">
        <w:rPr>
          <w:rFonts w:ascii="Arial" w:eastAsia="Times New Roman" w:hAnsi="Arial" w:cs="Arial"/>
          <w:sz w:val="24"/>
          <w:szCs w:val="24"/>
        </w:rPr>
        <w:lastRenderedPageBreak/>
        <w:t>(Welsh Government, 2016). By using these approaches, the programmes should be interesting to young people and engaging.</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While researching, it has come apparent that giving information alone is not enough to influence a young person’s behaviour on substances and is more effective when it is applied (Cahill, 2003). This suggests that using participation and experiential learning could be more beneficial to young people’s development. This would enable the young people to take charge of their own learning and learn from concrete applied experiences. Using these youth work approaches could make the learning more realistic and memorable to better their future experiences.</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Supporting young people to develop life skills and resilience is another role of a youth worker (WG, 2014) that may assist young people to make better decisions. By helping young people to develop resilience, they will be more inclined to take other routes to deal with issues rather than use substances.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While researching current literature, it has become apparent to the author that there is not an up to date strategy by the Welsh Government to tackle substance misuse. Reviewing the literature on substance misuse and Youth Work itself has shown that aspects of youth work may be able to change young people’s attitudes towards substance misuse and improve their future well-being. However, it is important to note that more information is to be carried out to come to a definite conclusion. It is apparent that substance misuse should be taken seriously, and its effects are potentially dangerous. Therefore, preventions and interventions are required. The characteristics of youth work in relation to substance misuse will be explored further within this study and strategies that may be more successful with be discovered. </w:t>
      </w:r>
    </w:p>
    <w:p w:rsidR="003F5A05" w:rsidRPr="003F5A05" w:rsidRDefault="003F5A05" w:rsidP="003F5A05">
      <w:pPr>
        <w:spacing w:before="100" w:beforeAutospacing="1" w:after="100" w:afterAutospacing="1" w:line="480" w:lineRule="auto"/>
        <w:jc w:val="both"/>
        <w:rPr>
          <w:rFonts w:ascii="Arial" w:eastAsia="Times New Roman" w:hAnsi="Arial" w:cs="Arial"/>
          <w:color w:val="000000"/>
          <w:sz w:val="24"/>
          <w:szCs w:val="24"/>
          <w:lang w:eastAsia="en-GB"/>
        </w:rPr>
      </w:pPr>
      <w:r w:rsidRPr="003F5A05">
        <w:rPr>
          <w:rFonts w:ascii="Arial" w:eastAsia="Times New Roman" w:hAnsi="Arial" w:cs="Arial"/>
          <w:sz w:val="24"/>
          <w:szCs w:val="24"/>
          <w:lang w:eastAsia="en-GB"/>
        </w:rPr>
        <w:lastRenderedPageBreak/>
        <w:t xml:space="preserve">In order to explore this Applied Research Project question further, the next chapter will consider the methodology, research design and methods that will be utilised to undertake research with young people and youth workers to explore </w:t>
      </w:r>
      <w:r w:rsidRPr="003F5A05">
        <w:rPr>
          <w:rFonts w:ascii="Arial" w:eastAsia="Times New Roman" w:hAnsi="Arial" w:cs="Arial"/>
          <w:color w:val="000000"/>
          <w:sz w:val="24"/>
          <w:szCs w:val="24"/>
          <w:lang w:eastAsia="en-GB"/>
        </w:rPr>
        <w:t>whether Youth Work can help change young people’s views and attitudes towards substance misuse through the use of informal education.</w:t>
      </w: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b/>
          <w:color w:val="000000"/>
          <w:sz w:val="24"/>
          <w:szCs w:val="24"/>
          <w:u w:val="single"/>
          <w:lang w:eastAsia="en-GB"/>
        </w:rPr>
      </w:pPr>
      <w:r w:rsidRPr="003F5A05">
        <w:rPr>
          <w:rFonts w:ascii="Arial" w:eastAsia="Times New Roman" w:hAnsi="Arial" w:cs="Arial"/>
          <w:b/>
          <w:color w:val="000000"/>
          <w:sz w:val="24"/>
          <w:szCs w:val="24"/>
          <w:u w:val="single"/>
          <w:lang w:eastAsia="en-GB"/>
        </w:rPr>
        <w:lastRenderedPageBreak/>
        <w:t xml:space="preserve">Chapter 3: Methodology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This APR will attempt to answer the question of Can Youth Work help change young people’s views and attitudes towards substance misuse through the use of informal education. This chapter will focus on the methodology, which is the overarching approach to the research (Cottrell, 2014). The objective of this chapter is to discuss the methodological approach to the research to ensure that the question is answered in a robust and reliable way that is ethical. Research methodology is crucial to the research process and provides the researcher with legitimisation for knowledge production (O’Leary, 2010). This process enables the researcher to determine the research approach, which according to Creswell (2014, p. 3) are the “plans and procedures for research that span the steps from broad assumptions to detailed methods of data collection, analysis and interpretation” (Creswell, 2014, p. 3).  </w:t>
      </w:r>
      <w:r w:rsidRPr="003F5A05">
        <w:rPr>
          <w:rFonts w:ascii="Arial" w:eastAsia="Times New Roman" w:hAnsi="Arial" w:cs="Arial"/>
          <w:color w:val="000000"/>
          <w:sz w:val="24"/>
          <w:szCs w:val="24"/>
          <w:lang w:eastAsia="en-GB"/>
        </w:rPr>
        <w:t xml:space="preserve">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color w:val="000000"/>
          <w:sz w:val="24"/>
          <w:szCs w:val="24"/>
          <w:lang w:eastAsia="en-GB"/>
        </w:rPr>
        <w:t xml:space="preserve">Through reviewing current </w:t>
      </w:r>
      <w:r w:rsidRPr="003F5A05">
        <w:rPr>
          <w:rFonts w:ascii="Arial" w:eastAsia="Times New Roman" w:hAnsi="Arial" w:cs="Arial"/>
          <w:sz w:val="24"/>
          <w:szCs w:val="24"/>
          <w:lang w:eastAsia="en-GB"/>
        </w:rPr>
        <w:t xml:space="preserve">and past literature, it is apparent that substance misuse is an important subject regarding the severity of the short-term and long-term effects (drugabuse.gov, 2017). However, the researcher has noticed a lack of up to date Welsh Government strategies to support this issue of substance misuse. Due to this, the researcher has decided that this subject has a need to be researched and would like to determine whether Youth Work can do more to support substance misuse.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u w:val="single"/>
          <w:lang w:eastAsia="en-GB"/>
        </w:rPr>
      </w:pPr>
      <w:r w:rsidRPr="003F5A05">
        <w:rPr>
          <w:rFonts w:ascii="Arial" w:eastAsia="Times New Roman" w:hAnsi="Arial" w:cs="Arial"/>
          <w:sz w:val="24"/>
          <w:szCs w:val="24"/>
          <w:u w:val="single"/>
          <w:lang w:eastAsia="en-GB"/>
        </w:rPr>
        <w:t>Methodological approach</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There are considerations to make while deciding on what approaches to use. This is seen by looking at qualitative and quantitative paradigms, and what they have to offer.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Quantitative research focuses on data that is presented through using numbers and is analysed through using statistics (O’Leary, 2010). This paradigm is an effective </w:t>
      </w:r>
      <w:r w:rsidRPr="003F5A05">
        <w:rPr>
          <w:rFonts w:ascii="Arial" w:eastAsia="Times New Roman" w:hAnsi="Arial" w:cs="Arial"/>
          <w:sz w:val="24"/>
          <w:szCs w:val="24"/>
          <w:lang w:eastAsia="en-GB"/>
        </w:rPr>
        <w:lastRenderedPageBreak/>
        <w:t xml:space="preserve">approach that is considered to have a realistic perspective, validity and generalisability (Mujis, 2011). Although this approach is effective, it does not meet with the research topic aim of finding out can Youth Work change young people’s attitudes towards substance misuse through out the use of informal education. This aim intends to provide robust research that determines how Youth Work approaches can assist and educate young people on substance misuse using their views. The researcher believes that data and statistics will not be suitable to present this evidence.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The qualitative approach is one that consists of data represented through words, pictures and icons rather than statistics (O’Leary, 2010). This research method seeks to gather research that is not quantifiable and based on ‘constructivist perspectives’ such as individual experiences (O’Leary, 2010, pp. 104-105 and Creswell, 2003, p. 8). Qualitative research has a range of different focuses, some of these include to explain, explore, to clarify situations, feelings, perceptions, beliefs and experiences of a group of people (Kumar, 2014, p. 132). This approach works in accordance with the research aim and enables the experiences and views of the young people to be collected to answer the question of; can Youth Work change young people’s views and attitudes towards substance misuse through the use of informal education.</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After researching the different approaches, it is evident that the qualitative method is to be used though out this project. However, choosing this methodology requires the researcher to encounter the vast range of research designs that are available under the qualitative approach. The next section of this chapter will explore the different research designs and which one the researcher will need to adapt in order to meet the aim.</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u w:val="single"/>
          <w:lang w:eastAsia="en-GB"/>
        </w:rPr>
      </w:pPr>
      <w:r w:rsidRPr="003F5A05">
        <w:rPr>
          <w:rFonts w:ascii="Arial" w:eastAsia="Times New Roman" w:hAnsi="Arial" w:cs="Arial"/>
          <w:sz w:val="24"/>
          <w:szCs w:val="24"/>
          <w:u w:val="single"/>
          <w:lang w:eastAsia="en-GB"/>
        </w:rPr>
        <w:t>Research design</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lastRenderedPageBreak/>
        <w:t>Qualitative research has many designs that are used to achieve different outcomes and are universally used (Kumar, 2014). These designs include case study, oral history, participatory research, action research and many more (Kumar, 2014). The researcher has recognised that this qualitative study will follow an action research design, which, as noted by O’Leary (2010, p. 146) is:</w:t>
      </w:r>
    </w:p>
    <w:p w:rsidR="003F5A05" w:rsidRPr="003F5A05" w:rsidRDefault="003F5A05" w:rsidP="003F5A05">
      <w:pPr>
        <w:spacing w:before="100" w:beforeAutospacing="1" w:after="100" w:afterAutospacing="1" w:line="240" w:lineRule="auto"/>
        <w:ind w:left="567" w:right="567"/>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Research strategies that tackle real-world problems in participatory and collaborative ways in order to produce action and knowledge in an integrated fashion through a cyclical process. In action research, process, outcome, and application are inextricably linked.</w:t>
      </w:r>
    </w:p>
    <w:p w:rsidR="003F5A05" w:rsidRPr="003F5A05" w:rsidRDefault="003F5A05" w:rsidP="003F5A05">
      <w:pPr>
        <w:spacing w:before="100" w:beforeAutospacing="1" w:after="100" w:afterAutospacing="1" w:line="240" w:lineRule="auto"/>
        <w:jc w:val="right"/>
        <w:rPr>
          <w:rFonts w:ascii="Arial" w:eastAsia="Times New Roman" w:hAnsi="Arial" w:cs="Arial"/>
          <w:sz w:val="24"/>
          <w:szCs w:val="24"/>
          <w:lang w:eastAsia="en-GB"/>
        </w:rPr>
      </w:pPr>
      <w:r w:rsidRPr="003F5A05">
        <w:rPr>
          <w:rFonts w:ascii="Arial" w:eastAsia="Times New Roman" w:hAnsi="Arial" w:cs="Arial"/>
          <w:sz w:val="24"/>
          <w:szCs w:val="24"/>
          <w:lang w:eastAsia="en-GB"/>
        </w:rPr>
        <w:t>(O’Leary, 2010, p. 146)</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The researcher has decided on the action research design as a problem has been identified regarding substance misuse, as mentioned previously. Following this identification, the researcher has an aim to identify whether Youth Work can change young people’s views and attitudes towards substance misuse through the use of informal education, and throughout this discover recommendations that may work better, to be applied to future practice. This suggests that the researcher has identified a problem and wants to improve or take action to deal with the issue (Kumar, 2014). According to O’Brien (2001, p.1), action research is also “learning by doing”, suggesting that while using this design a problem is identified, something is done to resolve it and depending on how successful it is, it is done again (O’Brien, 2001, p.1). The researcher follows this method and will continue to research recommendations for Youth Work approaches to support young people regarding substance misuse if at the beginning it is unsuccessful.</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Having chosen this methodology requires responsibility to decide on an appropriate method that is reliable and relevant to the study (Silverman, 2000). The chapter will now discuss the methods that will be used during the research project.</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u w:val="single"/>
          <w:lang w:eastAsia="en-GB"/>
        </w:rPr>
        <w:lastRenderedPageBreak/>
        <w:t>Methods</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The first method that was identified to assist the research is an interview. An interview is a purposeful conversation where a person asks prepared questions in order to gather information from an individual (Frey and Oishi, 1995). The researcher interviewed a qualified Youth and Community Worker who works for a Youth Health Team, and is experienced in the supporting and delivery of substance misuse work with young people. The questions posed to the participant were open-ended questions that encouraged the participant to express their experiences (Edwards and Holland, 2013). A draft of the questions asked can be found in appendix 1.</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This method was chosen to gather in-depth qualitative data about the use of youth work approaches and whether they are effective (O’Leary, 2010). However, digging for depth can create misinterpretations (O’Leary, 2010). To avoid this, the researcher responded by ensuring the participant understood the questions being asked and respectively wrote down what was said, and referred the information back to the participant.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The second method that was used is an informal participatory method using a work shop and evaluation techniques with young people. Using this method enabled the researcher to gather research on lived experiences, and the true views and opinions of the young people about youth work approaches (Birch and miller, 2002). The researcher, being a practicing youth worker, agrees that “young people should be empowered partners in the processes and opportunities that youth organisations provide” (WLGA, 2013). The researcher developed and delivered a Youth Work session with the supervision of two qualified youth workers on substance misuse, focusing on cannabis and synthetic cannabinoids. Before the session the young </w:t>
      </w:r>
      <w:r w:rsidRPr="003F5A05">
        <w:rPr>
          <w:rFonts w:ascii="Arial" w:eastAsia="Times New Roman" w:hAnsi="Arial" w:cs="Arial"/>
          <w:sz w:val="24"/>
          <w:szCs w:val="24"/>
          <w:lang w:eastAsia="en-GB"/>
        </w:rPr>
        <w:lastRenderedPageBreak/>
        <w:t>people noted where they were at with their knowledge on substance misuse and did the same after the session. This provided the researcher with evidence on whether the Youth Work approaches used, enabled them to develop knowledge on the subject. The young people then participated in an evaluation, where they were able to say what they think about the approaches in the session. A session plan and evaluation questions can be found in appendix 3.</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This method was very informal because it followed suit with the youth work characteristics (WG, 2014). In addition to this, informal techniques were used to test their effectiveness. While carrying out research with participants, it is considered unethical to collect data without informed consent (Kumar, 2014), the writer recognised this and ensured that before conducting research with the young people voluntary informed and parental consent was given, and anonymity was kept . The right to withdraw at any time was also discussed.  See appendix 2 for consent forms and letters. The next section will explore more of the considerations made before carrying out the research.</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u w:val="single"/>
          <w:lang w:eastAsia="en-GB"/>
        </w:rPr>
      </w:pPr>
      <w:r w:rsidRPr="003F5A05">
        <w:rPr>
          <w:rFonts w:ascii="Arial" w:eastAsia="Times New Roman" w:hAnsi="Arial" w:cs="Arial"/>
          <w:sz w:val="24"/>
          <w:szCs w:val="24"/>
          <w:u w:val="single"/>
          <w:lang w:eastAsia="en-GB"/>
        </w:rPr>
        <w:t>Research Considerations</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Considerations were made by the researcher regarding the research process before it took place. The first theme of considerations was the ethical issues. Prior to carrying out research, the researcher needed to obtain ethical approval from University of Wales Trinity Saint David’s ethics committee. This was done through an ethics form that can be found in appendix 4 that contains information on ethical issues that could occur during the research. Ethical Guidelines for Educational Research (BERA, 2011) suggests that researchers should work within an ethic of respect for the participants involved in the research (BERA, 2011). In order to respect the participants and keep </w:t>
      </w:r>
      <w:r w:rsidRPr="003F5A05">
        <w:rPr>
          <w:rFonts w:ascii="Arial" w:eastAsia="Times New Roman" w:hAnsi="Arial" w:cs="Arial"/>
          <w:sz w:val="24"/>
          <w:szCs w:val="24"/>
          <w:lang w:eastAsia="en-GB"/>
        </w:rPr>
        <w:lastRenderedPageBreak/>
        <w:t>them safe from harm, the researcher has ensured that participants engage on a voluntary basis, informed of the purpose of the research and what is expected, identity of participants will remain anonymous and data collected will only be kept for the purpose of the project and no longer after it is completed.</w:t>
      </w:r>
    </w:p>
    <w:p w:rsidR="003F5A05" w:rsidRPr="003F5A05" w:rsidRDefault="003F5A05" w:rsidP="003F5A05">
      <w:pPr>
        <w:spacing w:before="100" w:beforeAutospacing="1" w:after="100" w:afterAutospacing="1" w:line="480" w:lineRule="auto"/>
        <w:jc w:val="both"/>
        <w:rPr>
          <w:rFonts w:ascii="Arial" w:eastAsia="Times New Roman" w:hAnsi="Arial" w:cs="Arial"/>
          <w:color w:val="FF0000"/>
          <w:sz w:val="24"/>
          <w:szCs w:val="24"/>
          <w:lang w:eastAsia="en-GB"/>
        </w:rPr>
      </w:pPr>
      <w:r w:rsidRPr="003F5A05">
        <w:rPr>
          <w:rFonts w:ascii="Arial" w:eastAsia="Times New Roman" w:hAnsi="Arial" w:cs="Arial"/>
          <w:sz w:val="24"/>
          <w:szCs w:val="24"/>
          <w:lang w:eastAsia="en-GB"/>
        </w:rPr>
        <w:t xml:space="preserve">The second subject that was considered was the scale of the research. As identified previously, the research will entail an interview with a Youth and Community worker and a participatory research method with young people. This participatory method will contain approximately ten young people. The researcher recognises this is a small-scale data collection for a small-scale research project.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u w:val="single"/>
          <w:lang w:eastAsia="en-GB"/>
        </w:rPr>
      </w:pPr>
      <w:r w:rsidRPr="003F5A05">
        <w:rPr>
          <w:rFonts w:ascii="Arial" w:eastAsia="Times New Roman" w:hAnsi="Arial" w:cs="Arial"/>
          <w:sz w:val="24"/>
          <w:szCs w:val="24"/>
          <w:u w:val="single"/>
          <w:lang w:eastAsia="en-GB"/>
        </w:rPr>
        <w:t>Research Limitations</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The first limitation the researcher experienced was time. The participatory session took longer than expected, however this can also be recognised as a strength in the field of youth work as it enables the youth worker to be fluid within the work and be continually prepared, for instance the researcher included a backup method in case the session fell short of time. Nevertheless, this limitation resulted in researcher having to meet with the young people on another occasion. This resulted in less young people turning up for the second session due to other commitments. The second limitation was the finding a location with the necessary resources to carry out the session. This proved difficult, however planning early prevented it effecting the process.</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The author will now move on to present the data collected by using the methods discussed previously.</w:t>
      </w:r>
    </w:p>
    <w:p w:rsidR="003F5A05" w:rsidRDefault="003F5A05" w:rsidP="003F5A05">
      <w:pPr>
        <w:spacing w:before="100" w:beforeAutospacing="1" w:after="100" w:afterAutospacing="1" w:line="480" w:lineRule="auto"/>
        <w:jc w:val="both"/>
        <w:rPr>
          <w:rFonts w:ascii="Arial" w:eastAsia="Times New Roman" w:hAnsi="Arial" w:cs="Arial"/>
          <w:b/>
          <w:sz w:val="24"/>
          <w:szCs w:val="24"/>
          <w:u w:val="single"/>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b/>
          <w:sz w:val="24"/>
          <w:szCs w:val="24"/>
          <w:u w:val="single"/>
          <w:lang w:eastAsia="en-GB"/>
        </w:rPr>
      </w:pPr>
      <w:r w:rsidRPr="003F5A05">
        <w:rPr>
          <w:rFonts w:ascii="Arial" w:eastAsia="Times New Roman" w:hAnsi="Arial" w:cs="Arial"/>
          <w:b/>
          <w:sz w:val="24"/>
          <w:szCs w:val="24"/>
          <w:u w:val="single"/>
          <w:lang w:eastAsia="en-GB"/>
        </w:rPr>
        <w:lastRenderedPageBreak/>
        <w:t xml:space="preserve">Chapter 4: Presentation of data.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This chapter provides an outline of the results found whilst engaging in research with young people and a youth and community worker. These results will look to determine can Youth Work help change young people’s view and attitudes towards substance misuse through the use of informal education. The first section of this chapter will discover the results from the participatory work shop with young people, and the interview method results will follow.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u w:val="single"/>
          <w:lang w:eastAsia="en-GB"/>
        </w:rPr>
        <w:t>Participatory method – Workshop</w:t>
      </w:r>
      <w:r w:rsidRPr="003F5A05">
        <w:rPr>
          <w:rFonts w:ascii="Arial" w:eastAsia="Times New Roman" w:hAnsi="Arial" w:cs="Arial"/>
          <w:sz w:val="24"/>
          <w:szCs w:val="24"/>
          <w:lang w:eastAsia="en-GB"/>
        </w:rPr>
        <w:t>.</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To begin, the researcher will provide information on the total number of young people that participated in the session, followed by picture results from the session and lastly, the views and opinions of the young people gathered through evaluation.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Number of young people participated:</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noProof/>
          <w:sz w:val="24"/>
          <w:szCs w:val="24"/>
          <w:lang w:eastAsia="en-GB"/>
        </w:rPr>
        <w:drawing>
          <wp:inline distT="0" distB="0" distL="0" distR="0" wp14:anchorId="7385790E" wp14:editId="62820658">
            <wp:extent cx="5234473" cy="2976465"/>
            <wp:effectExtent l="0" t="0" r="4445"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lastRenderedPageBreak/>
        <w:t>The ‘learnometers’ provide information on the knowledge the young people think they had before and after the session.</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Learnometer from focus group 1: </w:t>
      </w:r>
    </w:p>
    <w:p w:rsidR="003F5A05" w:rsidRPr="003F5A05" w:rsidRDefault="003F5A05" w:rsidP="003F5A05">
      <w:pPr>
        <w:spacing w:before="100" w:beforeAutospacing="1" w:after="100" w:afterAutospacing="1" w:line="240" w:lineRule="auto"/>
        <w:jc w:val="both"/>
        <w:rPr>
          <w:rFonts w:ascii="Arial" w:eastAsia="Times New Roman" w:hAnsi="Arial" w:cs="Arial"/>
          <w:sz w:val="24"/>
          <w:szCs w:val="24"/>
          <w:lang w:eastAsia="en-GB"/>
        </w:rPr>
      </w:pPr>
      <w:r w:rsidRPr="003F5A05">
        <w:rPr>
          <w:rFonts w:ascii="Arial" w:eastAsia="Times New Roman" w:hAnsi="Arial" w:cs="Arial"/>
          <w:noProof/>
          <w:sz w:val="24"/>
          <w:szCs w:val="24"/>
          <w:lang w:eastAsia="en-GB"/>
        </w:rPr>
        <w:drawing>
          <wp:anchor distT="0" distB="0" distL="114300" distR="114300" simplePos="0" relativeHeight="251659264" behindDoc="0" locked="0" layoutInCell="1" allowOverlap="1" wp14:anchorId="313A4C57" wp14:editId="248F6E70">
            <wp:simplePos x="0" y="0"/>
            <wp:positionH relativeFrom="column">
              <wp:posOffset>20955</wp:posOffset>
            </wp:positionH>
            <wp:positionV relativeFrom="paragraph">
              <wp:posOffset>212090</wp:posOffset>
            </wp:positionV>
            <wp:extent cx="2816860" cy="3806190"/>
            <wp:effectExtent l="0" t="0" r="254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080" t="5080" r="5170" b="3998"/>
                    <a:stretch/>
                  </pic:blipFill>
                  <pic:spPr bwMode="auto">
                    <a:xfrm>
                      <a:off x="0" y="0"/>
                      <a:ext cx="2816860" cy="3806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5A05">
        <w:rPr>
          <w:rFonts w:ascii="Arial" w:eastAsia="Times New Roman" w:hAnsi="Arial" w:cs="Arial"/>
          <w:sz w:val="24"/>
          <w:szCs w:val="24"/>
          <w:lang w:eastAsia="en-GB"/>
        </w:rPr>
        <w:t xml:space="preserve">                                                                     </w:t>
      </w:r>
    </w:p>
    <w:p w:rsidR="003F5A05" w:rsidRPr="003F5A05" w:rsidRDefault="003F5A05" w:rsidP="003F5A05">
      <w:pPr>
        <w:spacing w:before="100" w:beforeAutospacing="1" w:after="100" w:afterAutospacing="1" w:line="24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Blue stickers = Before the session</w:t>
      </w:r>
    </w:p>
    <w:p w:rsidR="003F5A05" w:rsidRPr="003F5A05" w:rsidRDefault="003F5A05" w:rsidP="003F5A05">
      <w:pPr>
        <w:spacing w:before="100" w:beforeAutospacing="1" w:after="100" w:afterAutospacing="1" w:line="24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 xml:space="preserve">Yellow stickers = After the session </w:t>
      </w: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color w:val="FF0000"/>
          <w:sz w:val="24"/>
          <w:szCs w:val="24"/>
          <w:u w:val="single"/>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p>
    <w:p w:rsidR="003F5A05" w:rsidRPr="003F5A05" w:rsidRDefault="003F5A05" w:rsidP="003F5A05">
      <w:pPr>
        <w:spacing w:before="100" w:beforeAutospacing="1" w:after="100" w:afterAutospacing="1" w:line="480" w:lineRule="auto"/>
        <w:jc w:val="both"/>
        <w:rPr>
          <w:rFonts w:ascii="Arial" w:eastAsia="Times New Roman" w:hAnsi="Arial" w:cs="Arial"/>
          <w:sz w:val="24"/>
          <w:szCs w:val="24"/>
          <w:lang w:eastAsia="en-GB"/>
        </w:rPr>
      </w:pP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noProof/>
          <w:sz w:val="24"/>
          <w:szCs w:val="24"/>
          <w:lang w:eastAsia="en-GB"/>
        </w:rPr>
        <w:lastRenderedPageBreak/>
        <w:drawing>
          <wp:anchor distT="0" distB="0" distL="114300" distR="114300" simplePos="0" relativeHeight="251660288" behindDoc="0" locked="0" layoutInCell="1" allowOverlap="1" wp14:anchorId="2D8C8772" wp14:editId="0334E235">
            <wp:simplePos x="0" y="0"/>
            <wp:positionH relativeFrom="margin">
              <wp:posOffset>-42545</wp:posOffset>
            </wp:positionH>
            <wp:positionV relativeFrom="paragraph">
              <wp:posOffset>438150</wp:posOffset>
            </wp:positionV>
            <wp:extent cx="2894330" cy="3902075"/>
            <wp:effectExtent l="0" t="0" r="1270" b="3175"/>
            <wp:wrapSquare wrapText="bothSides"/>
            <wp:docPr id="4" name="Picture 4" descr="https://scontent.fbhx1-1.fna.fbcdn.net/v/t34.0-12/26803587_10213248698629619_1394936543_n.jpg?oh=e169ba83db1a17b3b1415fcebb600125&amp;oe=5A5A9F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bhx1-1.fna.fbcdn.net/v/t34.0-12/26803587_10213248698629619_1394936543_n.jpg?oh=e169ba83db1a17b3b1415fcebb600125&amp;oe=5A5A9F37"/>
                    <pic:cNvPicPr>
                      <a:picLocks noChangeAspect="1" noChangeArrowheads="1"/>
                    </pic:cNvPicPr>
                  </pic:nvPicPr>
                  <pic:blipFill rotWithShape="1">
                    <a:blip r:embed="rId7">
                      <a:extLst>
                        <a:ext uri="{28A0092B-C50C-407E-A947-70E740481C1C}">
                          <a14:useLocalDpi xmlns:a14="http://schemas.microsoft.com/office/drawing/2010/main" val="0"/>
                        </a:ext>
                      </a:extLst>
                    </a:blip>
                    <a:srcRect l="14416" t="8383" r="3520" b="8642"/>
                    <a:stretch/>
                  </pic:blipFill>
                  <pic:spPr bwMode="auto">
                    <a:xfrm>
                      <a:off x="0" y="0"/>
                      <a:ext cx="2894330" cy="3902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5A05">
        <w:rPr>
          <w:rFonts w:ascii="Arial" w:eastAsia="Times New Roman" w:hAnsi="Arial" w:cs="Arial"/>
          <w:sz w:val="24"/>
          <w:szCs w:val="24"/>
        </w:rPr>
        <w:t>Learnometer from focus group 2:</w:t>
      </w:r>
    </w:p>
    <w:p w:rsidR="003F5A05" w:rsidRPr="003F5A05" w:rsidRDefault="003F5A05" w:rsidP="003F5A05">
      <w:pPr>
        <w:spacing w:line="480" w:lineRule="auto"/>
        <w:jc w:val="both"/>
        <w:rPr>
          <w:rFonts w:ascii="Arial" w:eastAsia="Times New Roman" w:hAnsi="Arial" w:cs="Arial"/>
          <w:noProof/>
          <w:sz w:val="24"/>
          <w:szCs w:val="24"/>
        </w:rPr>
      </w:pP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Orange stickers = Before the session</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Green stickers = After the session</w:t>
      </w:r>
    </w:p>
    <w:p w:rsidR="003F5A05" w:rsidRPr="003F5A05" w:rsidRDefault="003F5A05" w:rsidP="003F5A05">
      <w:pPr>
        <w:spacing w:line="480" w:lineRule="auto"/>
        <w:jc w:val="both"/>
        <w:rPr>
          <w:rFonts w:ascii="Arial" w:eastAsia="Times New Roman" w:hAnsi="Arial" w:cs="Arial"/>
          <w:b/>
          <w:sz w:val="24"/>
          <w:szCs w:val="24"/>
          <w:u w:val="single"/>
        </w:rPr>
      </w:pPr>
    </w:p>
    <w:p w:rsidR="003F5A05" w:rsidRPr="003F5A05" w:rsidRDefault="003F5A05" w:rsidP="003F5A05">
      <w:pPr>
        <w:spacing w:line="480" w:lineRule="auto"/>
        <w:jc w:val="both"/>
        <w:rPr>
          <w:rFonts w:ascii="Arial" w:eastAsia="Times New Roman" w:hAnsi="Arial" w:cs="Arial"/>
          <w:b/>
          <w:sz w:val="24"/>
          <w:szCs w:val="24"/>
          <w:u w:val="single"/>
        </w:rPr>
      </w:pPr>
    </w:p>
    <w:p w:rsidR="003F5A05" w:rsidRPr="003F5A05" w:rsidRDefault="003F5A05" w:rsidP="003F5A05">
      <w:pPr>
        <w:spacing w:line="480" w:lineRule="auto"/>
        <w:jc w:val="both"/>
        <w:rPr>
          <w:rFonts w:ascii="Arial" w:eastAsia="Times New Roman" w:hAnsi="Arial" w:cs="Arial"/>
          <w:b/>
          <w:sz w:val="24"/>
          <w:szCs w:val="24"/>
          <w:u w:val="single"/>
        </w:rPr>
      </w:pPr>
    </w:p>
    <w:p w:rsidR="003F5A05" w:rsidRPr="003F5A05" w:rsidRDefault="003F5A05" w:rsidP="003F5A05">
      <w:pPr>
        <w:shd w:val="clear" w:color="auto" w:fill="FFFFFF"/>
        <w:spacing w:after="225" w:line="240" w:lineRule="auto"/>
        <w:rPr>
          <w:rFonts w:ascii="Arial" w:eastAsia="Times New Roman" w:hAnsi="Arial" w:cs="Arial"/>
          <w:color w:val="333333"/>
          <w:sz w:val="24"/>
          <w:szCs w:val="24"/>
          <w:lang w:eastAsia="en-GB"/>
        </w:rPr>
      </w:pPr>
    </w:p>
    <w:p w:rsidR="003F5A05" w:rsidRPr="003F5A05" w:rsidRDefault="003F5A05" w:rsidP="003F5A05">
      <w:pPr>
        <w:shd w:val="clear" w:color="auto" w:fill="F2F2F2"/>
        <w:spacing w:after="225" w:line="240" w:lineRule="auto"/>
        <w:rPr>
          <w:rFonts w:ascii="Arial" w:eastAsia="Times New Roman" w:hAnsi="Arial" w:cs="Arial"/>
          <w:color w:val="333333"/>
          <w:sz w:val="24"/>
          <w:szCs w:val="24"/>
          <w:lang w:eastAsia="en-GB"/>
        </w:rPr>
      </w:pPr>
    </w:p>
    <w:p w:rsidR="003F5A05" w:rsidRPr="003F5A05" w:rsidRDefault="003F5A05" w:rsidP="003F5A05">
      <w:pPr>
        <w:rPr>
          <w:rFonts w:ascii="Arial" w:eastAsia="Times New Roman" w:hAnsi="Arial" w:cs="Arial"/>
          <w:b/>
          <w:sz w:val="24"/>
          <w:szCs w:val="24"/>
          <w:u w:val="single"/>
        </w:rPr>
      </w:pPr>
    </w:p>
    <w:p w:rsidR="003F5A05" w:rsidRPr="003F5A05" w:rsidRDefault="003F5A05" w:rsidP="003F5A05">
      <w:pPr>
        <w:rPr>
          <w:rFonts w:ascii="Arial" w:eastAsia="Times New Roman" w:hAnsi="Arial" w:cs="Arial"/>
          <w:b/>
          <w:sz w:val="24"/>
          <w:szCs w:val="24"/>
          <w:u w:val="single"/>
        </w:rPr>
      </w:pPr>
    </w:p>
    <w:p w:rsidR="003F5A05" w:rsidRPr="003F5A05" w:rsidRDefault="003F5A05" w:rsidP="003F5A05">
      <w:pPr>
        <w:rPr>
          <w:rFonts w:ascii="Arial" w:eastAsia="Times New Roman" w:hAnsi="Arial" w:cs="Arial"/>
          <w:b/>
          <w:sz w:val="24"/>
          <w:szCs w:val="24"/>
          <w:u w:val="single"/>
        </w:rPr>
      </w:pP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The next section will display results from an evaluation of the session carried out with young people. The young people were asked to evaluate the session by answering the questions. While doing this, they were encouraged to consider the methods used throughout the session and whether they were beneficial to assist their learning. As mentioned in the previous chapter, the session had to be conducted over two sessions, where the participants dropped to ten.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Evaluation research results:</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noProof/>
          <w:sz w:val="24"/>
          <w:szCs w:val="24"/>
          <w:lang w:eastAsia="en-GB"/>
        </w:rPr>
        <w:lastRenderedPageBreak/>
        <w:drawing>
          <wp:inline distT="0" distB="0" distL="0" distR="0" wp14:anchorId="1ED6AACD" wp14:editId="2C634003">
            <wp:extent cx="5281127" cy="3041780"/>
            <wp:effectExtent l="0" t="0" r="15240"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noProof/>
          <w:sz w:val="24"/>
          <w:szCs w:val="24"/>
          <w:lang w:eastAsia="en-GB"/>
        </w:rPr>
        <w:drawing>
          <wp:inline distT="0" distB="0" distL="0" distR="0" wp14:anchorId="769B6CC8" wp14:editId="43A92F9D">
            <wp:extent cx="5253135" cy="2827176"/>
            <wp:effectExtent l="0" t="0" r="5080" b="114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F5A05" w:rsidRPr="003F5A05" w:rsidRDefault="003F5A05" w:rsidP="003F5A05">
      <w:pPr>
        <w:rPr>
          <w:rFonts w:ascii="Arial" w:eastAsia="Times New Roman" w:hAnsi="Arial" w:cs="Arial"/>
          <w:b/>
          <w:sz w:val="24"/>
          <w:szCs w:val="24"/>
          <w:u w:val="single"/>
        </w:rPr>
      </w:pPr>
      <w:r w:rsidRPr="003F5A05">
        <w:rPr>
          <w:rFonts w:ascii="Arial" w:eastAsia="Times New Roman" w:hAnsi="Arial" w:cs="Arial"/>
          <w:b/>
          <w:noProof/>
          <w:sz w:val="24"/>
          <w:szCs w:val="24"/>
          <w:u w:val="single"/>
          <w:lang w:eastAsia="en-GB"/>
        </w:rPr>
        <w:lastRenderedPageBreak/>
        <w:drawing>
          <wp:inline distT="0" distB="0" distL="0" distR="0" wp14:anchorId="4C9476B9" wp14:editId="769B6521">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F5A05" w:rsidRPr="003F5A05" w:rsidRDefault="003F5A05" w:rsidP="003F5A05">
      <w:pPr>
        <w:rPr>
          <w:rFonts w:ascii="Arial" w:eastAsia="Times New Roman" w:hAnsi="Arial" w:cs="Arial"/>
          <w:b/>
          <w:sz w:val="24"/>
          <w:szCs w:val="24"/>
          <w:u w:val="single"/>
        </w:rPr>
      </w:pPr>
    </w:p>
    <w:p w:rsidR="003F5A05" w:rsidRPr="003F5A05" w:rsidRDefault="003F5A05" w:rsidP="003F5A05">
      <w:pPr>
        <w:rPr>
          <w:rFonts w:ascii="Arial" w:eastAsia="Times New Roman" w:hAnsi="Arial" w:cs="Arial"/>
          <w:sz w:val="24"/>
          <w:szCs w:val="24"/>
          <w:u w:val="single"/>
        </w:rPr>
      </w:pPr>
      <w:r w:rsidRPr="003F5A05">
        <w:rPr>
          <w:rFonts w:ascii="Arial" w:eastAsia="Times New Roman" w:hAnsi="Arial" w:cs="Arial"/>
          <w:sz w:val="24"/>
          <w:szCs w:val="24"/>
          <w:u w:val="single"/>
        </w:rPr>
        <w:t>Interview Method:</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This next section displays the answers received through the interview method.</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b/>
          <w:sz w:val="24"/>
          <w:szCs w:val="24"/>
        </w:rPr>
        <w:t>Question1:</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b/>
          <w:sz w:val="24"/>
          <w:szCs w:val="24"/>
        </w:rPr>
        <w:t>Youth worker:</w:t>
      </w:r>
      <w:r w:rsidRPr="003F5A05">
        <w:rPr>
          <w:rFonts w:ascii="Arial" w:eastAsia="Times New Roman" w:hAnsi="Arial" w:cs="Arial"/>
          <w:sz w:val="24"/>
          <w:szCs w:val="24"/>
        </w:rPr>
        <w:t xml:space="preserve"> “Youth workers are able to build effective relationships on trust making it an effective way to provide information through meaningful discussion on issues that are effecting their lives. When a youth worker has a good rapport with a young person a mutual respect is developed which can facilitate the learning process”</w:t>
      </w:r>
    </w:p>
    <w:p w:rsidR="003F5A05" w:rsidRPr="003F5A05" w:rsidRDefault="003F5A05" w:rsidP="003F5A05">
      <w:pPr>
        <w:spacing w:line="480" w:lineRule="auto"/>
        <w:jc w:val="both"/>
        <w:rPr>
          <w:rFonts w:ascii="Arial" w:eastAsia="Times New Roman" w:hAnsi="Arial" w:cs="Arial"/>
          <w:b/>
          <w:sz w:val="24"/>
          <w:szCs w:val="24"/>
        </w:rPr>
      </w:pPr>
      <w:r w:rsidRPr="003F5A05">
        <w:rPr>
          <w:rFonts w:ascii="Arial" w:eastAsia="Times New Roman" w:hAnsi="Arial" w:cs="Arial"/>
          <w:b/>
          <w:sz w:val="24"/>
          <w:szCs w:val="24"/>
        </w:rPr>
        <w:t>Question 2:</w:t>
      </w:r>
    </w:p>
    <w:p w:rsidR="003F5A05" w:rsidRPr="003F5A05" w:rsidRDefault="003F5A05" w:rsidP="003F5A05">
      <w:pPr>
        <w:spacing w:line="480" w:lineRule="auto"/>
        <w:jc w:val="both"/>
        <w:rPr>
          <w:rFonts w:ascii="Arial" w:eastAsia="Times New Roman" w:hAnsi="Arial" w:cs="Arial"/>
          <w:color w:val="000000"/>
          <w:sz w:val="24"/>
          <w:szCs w:val="24"/>
          <w:lang w:eastAsia="en-GB"/>
        </w:rPr>
      </w:pPr>
      <w:r w:rsidRPr="003F5A05">
        <w:rPr>
          <w:rFonts w:ascii="Arial" w:eastAsia="Times New Roman" w:hAnsi="Arial" w:cs="Arial"/>
          <w:b/>
          <w:sz w:val="24"/>
          <w:szCs w:val="24"/>
        </w:rPr>
        <w:t>Youth Worker: “</w:t>
      </w:r>
      <w:r w:rsidRPr="003F5A05">
        <w:rPr>
          <w:rFonts w:ascii="Arial" w:eastAsia="Times New Roman" w:hAnsi="Arial" w:cs="Arial"/>
          <w:color w:val="000000"/>
          <w:sz w:val="24"/>
          <w:szCs w:val="24"/>
          <w:lang w:eastAsia="en-GB"/>
        </w:rPr>
        <w:t xml:space="preserve">it’s important to remember that all young people have different learning needs. I find it useful to get to know my group or young person before attempting to deliver health education sessions. The most effective methods of learning need to include group work (if appropriate) and participative sessions that can include role play and visual aids. Visual aids make a difference in keeping the young people interested. </w:t>
      </w:r>
    </w:p>
    <w:p w:rsidR="003F5A05" w:rsidRPr="003F5A05" w:rsidRDefault="003F5A05" w:rsidP="003F5A05">
      <w:pPr>
        <w:spacing w:line="480" w:lineRule="auto"/>
        <w:jc w:val="both"/>
        <w:rPr>
          <w:rFonts w:ascii="Arial" w:eastAsia="Times New Roman" w:hAnsi="Arial" w:cs="Arial"/>
          <w:b/>
          <w:sz w:val="24"/>
          <w:szCs w:val="24"/>
        </w:rPr>
      </w:pPr>
      <w:r w:rsidRPr="003F5A05">
        <w:rPr>
          <w:rFonts w:ascii="Arial" w:eastAsia="Times New Roman" w:hAnsi="Arial" w:cs="Arial"/>
          <w:b/>
          <w:sz w:val="24"/>
          <w:szCs w:val="24"/>
        </w:rPr>
        <w:lastRenderedPageBreak/>
        <w:t xml:space="preserve">Question 3: </w:t>
      </w:r>
    </w:p>
    <w:p w:rsidR="003F5A05" w:rsidRPr="003F5A05" w:rsidRDefault="003F5A05" w:rsidP="003F5A05">
      <w:pPr>
        <w:spacing w:line="480" w:lineRule="auto"/>
        <w:jc w:val="both"/>
        <w:rPr>
          <w:rFonts w:ascii="Arial" w:eastAsia="Times New Roman" w:hAnsi="Arial" w:cs="Arial"/>
          <w:b/>
          <w:sz w:val="24"/>
          <w:szCs w:val="24"/>
        </w:rPr>
      </w:pPr>
      <w:r w:rsidRPr="003F5A05">
        <w:rPr>
          <w:rFonts w:ascii="Arial" w:eastAsia="Times New Roman" w:hAnsi="Arial" w:cs="Arial"/>
          <w:b/>
          <w:sz w:val="24"/>
          <w:szCs w:val="24"/>
        </w:rPr>
        <w:t>Youth Worker:</w:t>
      </w:r>
      <w:r w:rsidRPr="003F5A05">
        <w:rPr>
          <w:rFonts w:ascii="Arial" w:eastAsia="Times New Roman" w:hAnsi="Arial" w:cs="Arial"/>
          <w:sz w:val="24"/>
          <w:szCs w:val="24"/>
        </w:rPr>
        <w:t xml:space="preserve"> “</w:t>
      </w:r>
      <w:r w:rsidRPr="003F5A05">
        <w:rPr>
          <w:rFonts w:ascii="Arial" w:eastAsia="Times New Roman" w:hAnsi="Arial" w:cs="Arial"/>
          <w:sz w:val="24"/>
          <w:szCs w:val="24"/>
          <w:lang w:eastAsia="en-GB"/>
        </w:rPr>
        <w:t>It is difficult to determine whether these methods work with all young people. Sometimes a young person’s culture and upbringing can influence the choices that they make and their resilience”</w:t>
      </w:r>
    </w:p>
    <w:p w:rsidR="003F5A05" w:rsidRPr="003F5A05" w:rsidRDefault="003F5A05" w:rsidP="003F5A05">
      <w:pPr>
        <w:spacing w:line="480" w:lineRule="auto"/>
        <w:jc w:val="both"/>
        <w:rPr>
          <w:rFonts w:ascii="Arial" w:eastAsia="Times New Roman" w:hAnsi="Arial" w:cs="Arial"/>
          <w:b/>
          <w:sz w:val="24"/>
          <w:szCs w:val="24"/>
        </w:rPr>
      </w:pPr>
      <w:r w:rsidRPr="003F5A05">
        <w:rPr>
          <w:rFonts w:ascii="Arial" w:eastAsia="Times New Roman" w:hAnsi="Arial" w:cs="Arial"/>
          <w:b/>
          <w:sz w:val="24"/>
          <w:szCs w:val="24"/>
        </w:rPr>
        <w:t>Question 4:</w:t>
      </w:r>
    </w:p>
    <w:p w:rsidR="003F5A05" w:rsidRPr="003F5A05" w:rsidRDefault="003F5A05" w:rsidP="003F5A05">
      <w:pPr>
        <w:spacing w:line="480" w:lineRule="auto"/>
        <w:jc w:val="both"/>
        <w:rPr>
          <w:rFonts w:ascii="Arial" w:eastAsia="Times New Roman" w:hAnsi="Arial" w:cs="Arial"/>
          <w:color w:val="000000"/>
          <w:sz w:val="24"/>
          <w:szCs w:val="24"/>
        </w:rPr>
      </w:pPr>
      <w:r w:rsidRPr="003F5A05">
        <w:rPr>
          <w:rFonts w:ascii="Arial" w:eastAsia="Times New Roman" w:hAnsi="Arial" w:cs="Arial"/>
          <w:b/>
          <w:sz w:val="24"/>
          <w:szCs w:val="24"/>
        </w:rPr>
        <w:t>Youth Worker: “</w:t>
      </w:r>
      <w:r w:rsidRPr="003F5A05">
        <w:rPr>
          <w:rFonts w:ascii="Arial" w:eastAsia="Times New Roman" w:hAnsi="Arial" w:cs="Arial"/>
          <w:color w:val="000000"/>
          <w:sz w:val="24"/>
          <w:szCs w:val="24"/>
        </w:rPr>
        <w:t>In order to carry out my role as Health Issues Youth Worker effectively it is important that I reflect on each session to make sure that what I am delivering suits the young people’s needs, and change it to suit them better next time. I regularly use evaluations with the young people to see what they thought of the session and how they would change things for the next time”</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The researcher will now move on to the text chapter to interpret this data collected.</w:t>
      </w: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Default="003F5A05" w:rsidP="003F5A05">
      <w:pPr>
        <w:rPr>
          <w:rFonts w:ascii="Arial" w:eastAsia="Times New Roman" w:hAnsi="Arial" w:cs="Arial"/>
          <w:b/>
          <w:sz w:val="24"/>
          <w:szCs w:val="24"/>
          <w:u w:val="single"/>
        </w:rPr>
      </w:pPr>
    </w:p>
    <w:p w:rsidR="003F5A05" w:rsidRPr="003F5A05" w:rsidRDefault="003F5A05" w:rsidP="003F5A05">
      <w:pPr>
        <w:rPr>
          <w:rFonts w:ascii="Arial" w:eastAsia="Times New Roman" w:hAnsi="Arial" w:cs="Arial"/>
          <w:b/>
          <w:sz w:val="24"/>
          <w:szCs w:val="24"/>
          <w:u w:val="single"/>
        </w:rPr>
      </w:pPr>
      <w:r w:rsidRPr="003F5A05">
        <w:rPr>
          <w:rFonts w:ascii="Arial" w:eastAsia="Times New Roman" w:hAnsi="Arial" w:cs="Arial"/>
          <w:b/>
          <w:sz w:val="24"/>
          <w:szCs w:val="24"/>
          <w:u w:val="single"/>
        </w:rPr>
        <w:lastRenderedPageBreak/>
        <w:t>Chapter 5: Discussion, Critical Reflection, Conclusions of the Data.</w:t>
      </w:r>
    </w:p>
    <w:p w:rsidR="003F5A05" w:rsidRPr="003F5A05" w:rsidRDefault="003F5A05" w:rsidP="003F5A05">
      <w:pPr>
        <w:rPr>
          <w:rFonts w:ascii="Arial" w:eastAsia="Times New Roman" w:hAnsi="Arial" w:cs="Arial"/>
          <w:b/>
          <w:sz w:val="24"/>
          <w:szCs w:val="24"/>
          <w:u w:val="single"/>
        </w:rPr>
      </w:pP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This chapter will explore and interpret the results from the data collected. This chapter will explore any themes and patterns emerged and how they link to literature identified in the literature review. Furthermore, this chapter is intended to accomplish the aim of the research project and answer; can Youth Work help change the views and attitudes of young people towards substance misuse through the use of informal education.</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The author has refrained from identifying the themes in the previous chapter due to the complexity, and the themes being intertwined. In order to present the themes clearly, the author has decided to present them within this chapter to benefit the reader as well as themselves. The main theme that emerged was informal education, however, within this umbrella theme, the themes of experiential learning, participation and voluntary engagement arose.  The researcher recognises that these themes are all youth work characteristics that have been discussed in the literature review. These themes are explored further following this chapter.</w:t>
      </w:r>
    </w:p>
    <w:p w:rsidR="003F5A05" w:rsidRPr="003F5A05" w:rsidRDefault="003F5A05" w:rsidP="003F5A05">
      <w:pPr>
        <w:spacing w:line="480" w:lineRule="auto"/>
        <w:jc w:val="both"/>
        <w:rPr>
          <w:rFonts w:ascii="Arial" w:eastAsia="Times New Roman" w:hAnsi="Arial" w:cs="Arial"/>
          <w:sz w:val="24"/>
          <w:szCs w:val="24"/>
          <w:u w:val="single"/>
        </w:rPr>
      </w:pPr>
      <w:r w:rsidRPr="003F5A05">
        <w:rPr>
          <w:rFonts w:ascii="Arial" w:eastAsia="Times New Roman" w:hAnsi="Arial" w:cs="Arial"/>
          <w:sz w:val="24"/>
          <w:szCs w:val="24"/>
          <w:u w:val="single"/>
        </w:rPr>
        <w:t>Informal education</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Pictures of the learnometers, from the focus groups, presents to the researcher that the young people think they have learned from the informal workshop and it was successful. Referring to informal education in the literature review, this data confirms to the researcher informal education has in fact provided the young people with active interventions and provided them with an environment in which they can learn (Welsh Government, 2016). This theme has also emerged with young people from the focus groups suggesting that they have ‘learned loads about drugs’ through question 1 in the previous chapter.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lastRenderedPageBreak/>
        <w:t>The remaining results are hoped to explain why the young people think they have learned through using informal educational methods. These methods, that have emerged as themes will be explained further.</w:t>
      </w:r>
    </w:p>
    <w:p w:rsidR="003F5A05" w:rsidRPr="003F5A05" w:rsidRDefault="003F5A05" w:rsidP="003F5A05">
      <w:pPr>
        <w:spacing w:line="480" w:lineRule="auto"/>
        <w:jc w:val="both"/>
        <w:rPr>
          <w:rFonts w:ascii="Arial" w:eastAsia="Times New Roman" w:hAnsi="Arial" w:cs="Arial"/>
          <w:sz w:val="24"/>
          <w:szCs w:val="24"/>
          <w:u w:val="single"/>
        </w:rPr>
      </w:pPr>
      <w:r w:rsidRPr="003F5A05">
        <w:rPr>
          <w:rFonts w:ascii="Arial" w:eastAsia="Times New Roman" w:hAnsi="Arial" w:cs="Arial"/>
          <w:sz w:val="24"/>
          <w:szCs w:val="24"/>
          <w:u w:val="single"/>
        </w:rPr>
        <w:t>Experiential learning</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As mentioned previously in the literature review, experiential learning was recognised by Kolb (1984)  who suggests that experiential learning is knowledge created through reflection or experiences (McLeod, 2010). This theme has emerged through the youth worker suggesting that “</w:t>
      </w:r>
      <w:r w:rsidRPr="003F5A05">
        <w:rPr>
          <w:rFonts w:ascii="Arial" w:eastAsia="Times New Roman" w:hAnsi="Arial" w:cs="Arial"/>
          <w:color w:val="000000"/>
          <w:sz w:val="24"/>
          <w:szCs w:val="24"/>
          <w:lang w:eastAsia="en-GB"/>
        </w:rPr>
        <w:t xml:space="preserve">visual aids make a difference in keeping the young people interested”, to confirm this </w:t>
      </w:r>
      <w:r w:rsidRPr="003F5A05">
        <w:rPr>
          <w:rFonts w:ascii="Arial" w:eastAsia="Times New Roman" w:hAnsi="Arial" w:cs="Arial"/>
          <w:sz w:val="24"/>
          <w:szCs w:val="24"/>
        </w:rPr>
        <w:t>the young people suggested that visual aids such as the pictures and the video was ‘top’ in the session. These methods may have presented to be successful because they provided the young people with real life evidence on the reality of substance misuse, making the information more believable. This method has also been proven to be effective with young people suggesting in question 2, that they would prefer more visual aids if the session was to change. This suggest that experiential learning is a key tool within youth work, and is successful when using informal education techniques (Hanbury, Lee and Batsleer, 2010).</w:t>
      </w:r>
    </w:p>
    <w:p w:rsidR="003F5A05" w:rsidRPr="003F5A05" w:rsidRDefault="003F5A05" w:rsidP="003F5A05">
      <w:pPr>
        <w:spacing w:line="480" w:lineRule="auto"/>
        <w:jc w:val="both"/>
        <w:rPr>
          <w:rFonts w:ascii="Arial" w:eastAsia="Times New Roman" w:hAnsi="Arial" w:cs="Arial"/>
          <w:sz w:val="24"/>
          <w:szCs w:val="24"/>
          <w:u w:val="single"/>
        </w:rPr>
      </w:pPr>
      <w:r w:rsidRPr="003F5A05">
        <w:rPr>
          <w:rFonts w:ascii="Arial" w:eastAsia="Times New Roman" w:hAnsi="Arial" w:cs="Arial"/>
          <w:sz w:val="24"/>
          <w:szCs w:val="24"/>
          <w:u w:val="single"/>
        </w:rPr>
        <w:t>Participation</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This theme is another method of informal education, and as referred to in the literature review is a method used that enables young people to become equal partners in their learning process (WG, 2014). Participation can be used to engage young people and be effective to responding to young people’s issues (Podd, 2010). This method is seen to be effective with young people suggesting that the practical activity was ‘top’ in the session and an additional four young people suggesting that the session would have </w:t>
      </w:r>
      <w:r w:rsidRPr="003F5A05">
        <w:rPr>
          <w:rFonts w:ascii="Arial" w:eastAsia="Times New Roman" w:hAnsi="Arial" w:cs="Arial"/>
          <w:sz w:val="24"/>
          <w:szCs w:val="24"/>
        </w:rPr>
        <w:lastRenderedPageBreak/>
        <w:t>been better with more activities. This method may have been effective due to it being engaging, enjoyable and enables the young people to take part.</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Participation stems from article 12 of the UNCRC, suggesting that parties should assure that young people can form their own views and opinions, and allow them to express them freely (Podd, 2010 and Unicef, 1989). The interview youth worker said “I regularly use </w:t>
      </w:r>
      <w:r w:rsidRPr="003F5A05">
        <w:rPr>
          <w:rFonts w:ascii="Arial" w:eastAsia="Times New Roman" w:hAnsi="Arial" w:cs="Arial"/>
          <w:color w:val="000000"/>
          <w:sz w:val="24"/>
          <w:szCs w:val="24"/>
        </w:rPr>
        <w:t>evaluations with the young people to see what they thought of the session and how they would change things for the next time” this suggests that this method is useful to educate young people.</w:t>
      </w:r>
    </w:p>
    <w:p w:rsidR="003F5A05" w:rsidRPr="003F5A05" w:rsidRDefault="003F5A05" w:rsidP="003F5A05">
      <w:pPr>
        <w:spacing w:line="480" w:lineRule="auto"/>
        <w:jc w:val="both"/>
        <w:rPr>
          <w:rFonts w:ascii="Arial" w:eastAsia="Times New Roman" w:hAnsi="Arial" w:cs="Arial"/>
          <w:sz w:val="24"/>
          <w:szCs w:val="24"/>
          <w:u w:val="single"/>
        </w:rPr>
      </w:pPr>
      <w:r w:rsidRPr="003F5A05">
        <w:rPr>
          <w:rFonts w:ascii="Arial" w:eastAsia="Times New Roman" w:hAnsi="Arial" w:cs="Arial"/>
          <w:sz w:val="24"/>
          <w:szCs w:val="24"/>
          <w:u w:val="single"/>
        </w:rPr>
        <w:t xml:space="preserve">Voluntary engagement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This theme, as mentioned in the literature review is a fundamental aspect of youth work and differentiates it from other service providers (WG, 2014 and Jeffs and Smith, 2010). Using this characteristic in youth work mean that the approaches must be specifically chosen in a way that encourages young people to engage (Jeffs and Smith, 2010). This theme has emerged through a young person stating that the session was ‘fun’ (WG, 2014).  In addition to this, when the young people were asked what they thought was ‘pants’ about the session, seven of them said ‘nothing’, two said ‘I liked it all’ and the remaining young person said ‘I don’t know’. This suggests to the author that the session was enjoyable and engaging with no points of improvement.</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 xml:space="preserve">In addition to the evaluation answers given to the researcher, it is also evident that the young people did not withdraw before the session, during the session and came back for another session. The researcher believes this down to the relationship built with the young people during the process. To support this belief, the youth worker stated that “When a youth worker has a good rapport with a young person a mutual respect </w:t>
      </w:r>
      <w:r w:rsidRPr="003F5A05">
        <w:rPr>
          <w:rFonts w:ascii="Arial" w:eastAsia="Times New Roman" w:hAnsi="Arial" w:cs="Arial"/>
          <w:sz w:val="24"/>
          <w:szCs w:val="24"/>
        </w:rPr>
        <w:lastRenderedPageBreak/>
        <w:t xml:space="preserve">is developed which can facilitate the learning process”. This suggests that the researcher has built a meaningful relationship with the young people that enabled them to learn (LSIS, 2012). </w:t>
      </w:r>
    </w:p>
    <w:p w:rsidR="003F5A05" w:rsidRPr="003F5A05" w:rsidRDefault="003F5A05" w:rsidP="003F5A05">
      <w:pPr>
        <w:spacing w:line="480" w:lineRule="auto"/>
        <w:jc w:val="both"/>
        <w:rPr>
          <w:rFonts w:ascii="Arial" w:eastAsia="Times New Roman" w:hAnsi="Arial" w:cs="Arial"/>
          <w:sz w:val="24"/>
          <w:szCs w:val="24"/>
        </w:rPr>
      </w:pPr>
      <w:r w:rsidRPr="003F5A05">
        <w:rPr>
          <w:rFonts w:ascii="Arial" w:eastAsia="Times New Roman" w:hAnsi="Arial" w:cs="Arial"/>
          <w:sz w:val="24"/>
          <w:szCs w:val="24"/>
        </w:rPr>
        <w:t>The author will now move on to produce a summary of the main findings and the recommendations for practice.</w:t>
      </w: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Default="003F5A05" w:rsidP="003F5A05">
      <w:pPr>
        <w:spacing w:line="480" w:lineRule="auto"/>
        <w:jc w:val="both"/>
        <w:rPr>
          <w:rFonts w:ascii="Arial" w:eastAsia="Times New Roman" w:hAnsi="Arial" w:cs="Arial"/>
          <w:b/>
          <w:sz w:val="24"/>
          <w:szCs w:val="24"/>
          <w:u w:val="single"/>
        </w:rPr>
      </w:pPr>
    </w:p>
    <w:p w:rsidR="003F5A05" w:rsidRPr="003F5A05" w:rsidRDefault="003F5A05" w:rsidP="003F5A05">
      <w:pPr>
        <w:spacing w:line="480" w:lineRule="auto"/>
        <w:jc w:val="both"/>
        <w:rPr>
          <w:rFonts w:ascii="Arial" w:eastAsia="Times New Roman" w:hAnsi="Arial" w:cs="Arial"/>
          <w:b/>
          <w:sz w:val="24"/>
          <w:szCs w:val="24"/>
          <w:u w:val="single"/>
        </w:rPr>
      </w:pPr>
      <w:r w:rsidRPr="003F5A05">
        <w:rPr>
          <w:rFonts w:ascii="Arial" w:eastAsia="Times New Roman" w:hAnsi="Arial" w:cs="Arial"/>
          <w:b/>
          <w:sz w:val="24"/>
          <w:szCs w:val="24"/>
          <w:u w:val="single"/>
        </w:rPr>
        <w:lastRenderedPageBreak/>
        <w:t>Chapter 6 - Recommendations for Practice</w:t>
      </w:r>
    </w:p>
    <w:p w:rsidR="003F5A05" w:rsidRPr="003F5A05" w:rsidRDefault="003F5A05" w:rsidP="003F5A05">
      <w:pPr>
        <w:spacing w:line="480" w:lineRule="auto"/>
        <w:jc w:val="both"/>
        <w:rPr>
          <w:rFonts w:ascii="Arial" w:eastAsia="Times New Roman" w:hAnsi="Arial" w:cs="Arial"/>
          <w:sz w:val="24"/>
          <w:szCs w:val="24"/>
          <w:lang w:eastAsia="en-GB"/>
        </w:rPr>
      </w:pPr>
      <w:r w:rsidRPr="003F5A05">
        <w:rPr>
          <w:rFonts w:ascii="Arial" w:eastAsia="Times New Roman" w:hAnsi="Arial" w:cs="Arial"/>
          <w:sz w:val="24"/>
          <w:szCs w:val="24"/>
        </w:rPr>
        <w:t>The previous data presents to the researcher that informal education can be helpful to assist young people’s learning and enable them to make informed choices about substance misuse, however, all young people are different and according to the youth worker “</w:t>
      </w:r>
      <w:r w:rsidRPr="003F5A05">
        <w:rPr>
          <w:rFonts w:ascii="Arial" w:eastAsia="Times New Roman" w:hAnsi="Arial" w:cs="Arial"/>
          <w:sz w:val="24"/>
          <w:szCs w:val="24"/>
          <w:lang w:eastAsia="en-GB"/>
        </w:rPr>
        <w:t>sometimes a young person’s culture and upbringing can influence the choices that they make and their resilience”. Although this can mean it is difficult to engage and change young people’s attitudes and beliefs, if youth workers continue to reflect on their practice and use evaluation techniques, then they can adapt their methods to meet the needs of any individual. The researcher is confident that the aim of this research has been met and youth work can be used to help change young people’s views and attitudes towards substance misuse, using informal education methods.</w:t>
      </w:r>
    </w:p>
    <w:p w:rsidR="003F5A05" w:rsidRPr="003F5A05" w:rsidRDefault="003F5A05" w:rsidP="003F5A05">
      <w:pPr>
        <w:spacing w:line="480" w:lineRule="auto"/>
        <w:jc w:val="both"/>
        <w:rPr>
          <w:rFonts w:ascii="Arial" w:eastAsia="Times New Roman" w:hAnsi="Arial" w:cs="Arial"/>
          <w:sz w:val="24"/>
          <w:szCs w:val="24"/>
          <w:lang w:eastAsia="en-GB"/>
        </w:rPr>
      </w:pPr>
      <w:r w:rsidRPr="003F5A05">
        <w:rPr>
          <w:rFonts w:ascii="Arial" w:eastAsia="Times New Roman" w:hAnsi="Arial" w:cs="Arial"/>
          <w:sz w:val="24"/>
          <w:szCs w:val="24"/>
          <w:lang w:eastAsia="en-GB"/>
        </w:rPr>
        <w:t>The researcher recommends that youth workers recognise the strength and value of their work, and use their informal learning techniques to educate more young people on substance misuse, to enable them to make informed choices. This will lower the amount of young people using substances from the outset rather than when it may be too late.</w:t>
      </w:r>
    </w:p>
    <w:p w:rsidR="003F5A05" w:rsidRPr="003F5A05" w:rsidRDefault="003F5A05" w:rsidP="003F5A05">
      <w:pPr>
        <w:spacing w:line="480" w:lineRule="auto"/>
        <w:jc w:val="both"/>
        <w:rPr>
          <w:rFonts w:ascii="Arial" w:eastAsia="Times New Roman" w:hAnsi="Arial" w:cs="Arial"/>
          <w:sz w:val="24"/>
          <w:szCs w:val="24"/>
          <w:lang w:eastAsia="en-GB"/>
        </w:rPr>
      </w:pPr>
      <w:r w:rsidRPr="003F5A05">
        <w:rPr>
          <w:rFonts w:ascii="Arial" w:eastAsia="Times New Roman" w:hAnsi="Arial" w:cs="Arial"/>
          <w:sz w:val="24"/>
          <w:szCs w:val="24"/>
        </w:rPr>
        <w:t xml:space="preserve">The researcher also recommends that </w:t>
      </w:r>
      <w:r w:rsidRPr="003F5A05">
        <w:rPr>
          <w:rFonts w:ascii="Arial" w:eastAsia="Times New Roman" w:hAnsi="Arial" w:cs="Arial"/>
          <w:sz w:val="24"/>
          <w:szCs w:val="24"/>
          <w:lang w:eastAsia="en-GB"/>
        </w:rPr>
        <w:t>more youth workers are trained to deliver work on substance misuse and become more proactive, rather than focusing on targeted work with young people (WG, 2014). This would support young people and act before issues have occurred, rather than after.</w:t>
      </w:r>
    </w:p>
    <w:p w:rsidR="003F5A05" w:rsidRPr="003F5A05" w:rsidRDefault="003F5A05" w:rsidP="003F5A05">
      <w:pPr>
        <w:spacing w:line="480" w:lineRule="auto"/>
        <w:jc w:val="both"/>
        <w:rPr>
          <w:rFonts w:ascii="Arial" w:eastAsia="Times New Roman" w:hAnsi="Arial" w:cs="Arial"/>
          <w:sz w:val="24"/>
          <w:szCs w:val="24"/>
          <w:lang w:eastAsia="en-GB"/>
        </w:rPr>
      </w:pPr>
      <w:r w:rsidRPr="003F5A05">
        <w:rPr>
          <w:rFonts w:ascii="Arial" w:eastAsia="Times New Roman" w:hAnsi="Arial" w:cs="Arial"/>
          <w:sz w:val="24"/>
          <w:szCs w:val="24"/>
        </w:rPr>
        <w:t xml:space="preserve">The researcher lastly recommends that the Welsh Government update their substance misuse strategy and do more to support young people. This can result in the government saving money, and it being used for positive experiences. </w:t>
      </w:r>
    </w:p>
    <w:p w:rsidR="003F5A05" w:rsidRDefault="003F5A05" w:rsidP="003F5A05">
      <w:pPr>
        <w:rPr>
          <w:rFonts w:ascii="Arial" w:eastAsia="Times New Roman" w:hAnsi="Arial" w:cs="Arial"/>
          <w:b/>
          <w:sz w:val="24"/>
          <w:szCs w:val="24"/>
          <w:u w:val="single"/>
        </w:rPr>
      </w:pPr>
    </w:p>
    <w:p w:rsidR="003F5A05" w:rsidRPr="003F5A05" w:rsidRDefault="003F5A05" w:rsidP="003F5A05">
      <w:pPr>
        <w:rPr>
          <w:rFonts w:ascii="Arial" w:eastAsia="Times New Roman" w:hAnsi="Arial" w:cs="Arial"/>
          <w:b/>
          <w:sz w:val="24"/>
          <w:szCs w:val="24"/>
          <w:u w:val="single"/>
        </w:rPr>
      </w:pPr>
      <w:bookmarkStart w:id="0" w:name="_GoBack"/>
      <w:bookmarkEnd w:id="0"/>
      <w:r w:rsidRPr="003F5A05">
        <w:rPr>
          <w:rFonts w:ascii="Arial" w:eastAsia="Times New Roman" w:hAnsi="Arial" w:cs="Arial"/>
          <w:b/>
          <w:sz w:val="24"/>
          <w:szCs w:val="24"/>
          <w:u w:val="single"/>
        </w:rPr>
        <w:lastRenderedPageBreak/>
        <w:t>References</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Aynsley, A, Bradley, R, Buchanan, L, Burrows, N and Bush, M. (no date) </w:t>
      </w:r>
      <w:r w:rsidRPr="003F5A05">
        <w:rPr>
          <w:rFonts w:ascii="Arial" w:eastAsia="Times New Roman" w:hAnsi="Arial" w:cs="Arial"/>
          <w:i/>
          <w:sz w:val="24"/>
          <w:szCs w:val="24"/>
        </w:rPr>
        <w:t xml:space="preserve">Childhood adversity, substance misuse and young people’s mental health. </w:t>
      </w:r>
      <w:r w:rsidRPr="003F5A05">
        <w:rPr>
          <w:rFonts w:ascii="Arial" w:eastAsia="Times New Roman" w:hAnsi="Arial" w:cs="Arial"/>
          <w:sz w:val="24"/>
          <w:szCs w:val="24"/>
        </w:rPr>
        <w:t xml:space="preserve">Available at: </w:t>
      </w:r>
      <w:hyperlink r:id="rId11" w:history="1">
        <w:r w:rsidRPr="003F5A05">
          <w:rPr>
            <w:rFonts w:ascii="Arial" w:eastAsia="Times New Roman" w:hAnsi="Arial" w:cs="Arial"/>
            <w:sz w:val="24"/>
            <w:szCs w:val="24"/>
            <w:u w:val="single"/>
          </w:rPr>
          <w:t>https://youngminds.org.uk/media/1547/ym-addaction-briefing.pdf</w:t>
        </w:r>
      </w:hyperlink>
      <w:r w:rsidRPr="003F5A05">
        <w:rPr>
          <w:rFonts w:ascii="Arial" w:eastAsia="Times New Roman" w:hAnsi="Arial" w:cs="Arial"/>
          <w:sz w:val="24"/>
          <w:szCs w:val="24"/>
        </w:rPr>
        <w:t>. (Accessed 26</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November 2017)</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BERA. (2011).</w:t>
      </w:r>
      <w:r w:rsidRPr="003F5A05">
        <w:rPr>
          <w:rFonts w:ascii="Arial" w:eastAsia="Times New Roman" w:hAnsi="Arial" w:cs="Arial"/>
          <w:i/>
          <w:sz w:val="24"/>
          <w:szCs w:val="24"/>
        </w:rPr>
        <w:t xml:space="preserve"> Ethical Guidelines for Educational Research</w:t>
      </w:r>
      <w:r w:rsidRPr="003F5A05">
        <w:rPr>
          <w:rFonts w:ascii="Arial" w:eastAsia="Times New Roman" w:hAnsi="Arial" w:cs="Arial"/>
          <w:sz w:val="24"/>
          <w:szCs w:val="24"/>
        </w:rPr>
        <w:t>. BERA</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Birch, M. and Miller, T. (2002) ‘Encouraging Participation: Ethics and Responsibilities’, in M. Mauthner., M. Birch., J. Jessop., and T. Miller (eds.) </w:t>
      </w:r>
      <w:r w:rsidRPr="003F5A05">
        <w:rPr>
          <w:rFonts w:ascii="Arial" w:eastAsia="Times New Roman" w:hAnsi="Arial" w:cs="Arial"/>
          <w:i/>
          <w:sz w:val="24"/>
          <w:szCs w:val="24"/>
        </w:rPr>
        <w:t xml:space="preserve">Ethics in qualitative research. </w:t>
      </w:r>
      <w:r w:rsidRPr="003F5A05">
        <w:rPr>
          <w:rFonts w:ascii="Arial" w:eastAsia="Times New Roman" w:hAnsi="Arial" w:cs="Arial"/>
          <w:sz w:val="24"/>
          <w:szCs w:val="24"/>
        </w:rPr>
        <w:t>London: SAGE, pp. 91-106.</w:t>
      </w:r>
    </w:p>
    <w:p w:rsidR="003F5A05" w:rsidRPr="003F5A05" w:rsidRDefault="003F5A05" w:rsidP="003F5A05">
      <w:pPr>
        <w:rPr>
          <w:rFonts w:ascii="Arial" w:eastAsia="Times New Roman" w:hAnsi="Arial" w:cs="Arial"/>
          <w:sz w:val="24"/>
          <w:szCs w:val="24"/>
          <w:shd w:val="clear" w:color="auto" w:fill="FFFFFF"/>
        </w:rPr>
      </w:pPr>
      <w:r w:rsidRPr="003F5A05">
        <w:rPr>
          <w:rFonts w:ascii="Arial" w:eastAsia="Times New Roman" w:hAnsi="Arial" w:cs="Arial"/>
          <w:sz w:val="24"/>
          <w:szCs w:val="24"/>
          <w:shd w:val="clear" w:color="auto" w:fill="FFFFFF"/>
        </w:rPr>
        <w:t xml:space="preserve">Cahill, H. (2003) </w:t>
      </w:r>
      <w:r w:rsidRPr="003F5A05">
        <w:rPr>
          <w:rFonts w:ascii="Arial" w:eastAsia="Times New Roman" w:hAnsi="Arial" w:cs="Arial"/>
          <w:i/>
          <w:sz w:val="24"/>
          <w:szCs w:val="24"/>
        </w:rPr>
        <w:t xml:space="preserve">TAKING AN EVIDENCE-BASED APPROACH TO CLASSROOM DRUG EDUCATION. </w:t>
      </w:r>
      <w:r w:rsidRPr="003F5A05">
        <w:rPr>
          <w:rFonts w:ascii="Arial" w:eastAsia="Times New Roman" w:hAnsi="Arial" w:cs="Arial"/>
          <w:sz w:val="24"/>
          <w:szCs w:val="24"/>
        </w:rPr>
        <w:t xml:space="preserve">Available at: </w:t>
      </w:r>
      <w:hyperlink r:id="rId12" w:history="1">
        <w:r w:rsidRPr="003F5A05">
          <w:rPr>
            <w:rFonts w:ascii="Arial" w:eastAsia="Times New Roman" w:hAnsi="Arial" w:cs="Arial"/>
            <w:sz w:val="24"/>
            <w:szCs w:val="24"/>
            <w:u w:val="single"/>
          </w:rPr>
          <w:t>https://scholar.google.co.uk/scholar?q=TAKING+AN+EVIDENCE-BASED+APPROACH+TO+CLASSROOM+DRUG+EDUCATION&amp;hl=en&amp;as_sdt=0&amp;as_vis=1&amp;oi=scholart&amp;sa=X&amp;ved=0ahUKEwib9e_SysrYAhWLB8AKHaJcCA8QgQMIJTAA</w:t>
        </w:r>
      </w:hyperlink>
      <w:r w:rsidRPr="003F5A05">
        <w:rPr>
          <w:rFonts w:ascii="Arial" w:eastAsia="Times New Roman" w:hAnsi="Arial" w:cs="Arial"/>
          <w:sz w:val="24"/>
          <w:szCs w:val="24"/>
        </w:rPr>
        <w:t>. (Accessed: 20</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November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Cottrell, S. (2014) </w:t>
      </w:r>
      <w:r w:rsidRPr="003F5A05">
        <w:rPr>
          <w:rFonts w:ascii="Arial" w:eastAsia="Times New Roman" w:hAnsi="Arial" w:cs="Arial"/>
          <w:i/>
          <w:sz w:val="24"/>
          <w:szCs w:val="24"/>
        </w:rPr>
        <w:t xml:space="preserve">Dissertations and project reports: A step by step guide. </w:t>
      </w:r>
      <w:r w:rsidRPr="003F5A05">
        <w:rPr>
          <w:rFonts w:ascii="Arial" w:eastAsia="Times New Roman" w:hAnsi="Arial" w:cs="Arial"/>
          <w:sz w:val="24"/>
          <w:szCs w:val="24"/>
        </w:rPr>
        <w:t>London: Palgrave Macmillan.</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Creswell, J.W. (2003) </w:t>
      </w:r>
      <w:r w:rsidRPr="003F5A05">
        <w:rPr>
          <w:rFonts w:ascii="Arial" w:eastAsia="Times New Roman" w:hAnsi="Arial" w:cs="Arial"/>
          <w:i/>
          <w:iCs/>
          <w:sz w:val="24"/>
          <w:szCs w:val="24"/>
        </w:rPr>
        <w:t>Research Design: Qualitative, Quantitative &amp; Mixed Methods Approaches. 2</w:t>
      </w:r>
      <w:r w:rsidRPr="003F5A05">
        <w:rPr>
          <w:rFonts w:ascii="Arial" w:eastAsia="Times New Roman" w:hAnsi="Arial" w:cs="Arial"/>
          <w:i/>
          <w:iCs/>
          <w:sz w:val="24"/>
          <w:szCs w:val="24"/>
          <w:vertAlign w:val="superscript"/>
        </w:rPr>
        <w:t>nd</w:t>
      </w:r>
      <w:r w:rsidRPr="003F5A05">
        <w:rPr>
          <w:rFonts w:ascii="Arial" w:eastAsia="Times New Roman" w:hAnsi="Arial" w:cs="Arial"/>
          <w:i/>
          <w:iCs/>
          <w:sz w:val="24"/>
          <w:szCs w:val="24"/>
        </w:rPr>
        <w:t xml:space="preserve"> edn. </w:t>
      </w:r>
      <w:r w:rsidRPr="003F5A05">
        <w:rPr>
          <w:rFonts w:ascii="Arial" w:eastAsia="Times New Roman" w:hAnsi="Arial" w:cs="Arial"/>
          <w:sz w:val="24"/>
          <w:szCs w:val="24"/>
        </w:rPr>
        <w:t xml:space="preserve">London: Sage Publications. [Online] Available at: </w:t>
      </w:r>
      <w:hyperlink r:id="rId13" w:history="1">
        <w:r w:rsidRPr="003F5A05">
          <w:rPr>
            <w:rFonts w:ascii="Arial" w:eastAsia="Times New Roman" w:hAnsi="Arial" w:cs="Arial"/>
            <w:sz w:val="24"/>
            <w:szCs w:val="24"/>
            <w:u w:val="single"/>
          </w:rPr>
          <w:t>https://pdfs.semanticscholar.org/73b7/18e508fa943dfb22a9cb5fb17f888239ad0e.pdf</w:t>
        </w:r>
      </w:hyperlink>
      <w:r w:rsidRPr="003F5A05">
        <w:rPr>
          <w:rFonts w:ascii="Arial" w:eastAsia="Times New Roman" w:hAnsi="Arial" w:cs="Arial"/>
          <w:sz w:val="24"/>
          <w:szCs w:val="24"/>
        </w:rPr>
        <w:t>. (Accessed: 10</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Creswell, J.W. (2014) </w:t>
      </w:r>
      <w:r w:rsidRPr="003F5A05">
        <w:rPr>
          <w:rFonts w:ascii="Arial" w:eastAsia="Times New Roman" w:hAnsi="Arial" w:cs="Arial"/>
          <w:i/>
          <w:iCs/>
          <w:sz w:val="24"/>
          <w:szCs w:val="24"/>
        </w:rPr>
        <w:t>Research Design.</w:t>
      </w:r>
      <w:r w:rsidRPr="003F5A05">
        <w:rPr>
          <w:rFonts w:ascii="Arial" w:eastAsia="Times New Roman" w:hAnsi="Arial" w:cs="Arial"/>
          <w:sz w:val="24"/>
          <w:szCs w:val="24"/>
        </w:rPr>
        <w:t xml:space="preserve"> 4</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edn. London: Sage Publications.</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Davies, B. (2010) ‘What do we mean by youth work?’, in J. Batsleer., and B. Davies (eds.) </w:t>
      </w:r>
      <w:r w:rsidRPr="003F5A05">
        <w:rPr>
          <w:rFonts w:ascii="Arial" w:eastAsia="Times New Roman" w:hAnsi="Arial" w:cs="Arial"/>
          <w:i/>
          <w:sz w:val="24"/>
          <w:szCs w:val="24"/>
        </w:rPr>
        <w:t xml:space="preserve">What is youth work?. </w:t>
      </w:r>
      <w:r w:rsidRPr="003F5A05">
        <w:rPr>
          <w:rFonts w:ascii="Arial" w:eastAsia="Times New Roman" w:hAnsi="Arial" w:cs="Arial"/>
          <w:sz w:val="24"/>
          <w:szCs w:val="24"/>
        </w:rPr>
        <w:t>Exeter: Learning Matters Ltd, pp.1-6.</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Drugabuse.gov. (2017) Health Consequences of Drug Misuse. Available at: https://www.drugabuse.gov/related-topics/health-consequences-drug-misuse. (Accessed 16th November 2017)</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Drugwise.org.uk. (no date) </w:t>
      </w:r>
      <w:r w:rsidRPr="003F5A05">
        <w:rPr>
          <w:rFonts w:ascii="Arial" w:eastAsia="Times New Roman" w:hAnsi="Arial" w:cs="Arial"/>
          <w:i/>
          <w:sz w:val="24"/>
          <w:szCs w:val="24"/>
        </w:rPr>
        <w:t>Mental health and substance misuse.</w:t>
      </w:r>
      <w:r w:rsidRPr="003F5A05">
        <w:rPr>
          <w:rFonts w:ascii="Arial" w:eastAsia="Times New Roman" w:hAnsi="Arial" w:cs="Arial"/>
          <w:sz w:val="24"/>
          <w:szCs w:val="24"/>
        </w:rPr>
        <w:t xml:space="preserve"> Available at: </w:t>
      </w:r>
      <w:hyperlink r:id="rId14" w:history="1">
        <w:r w:rsidRPr="003F5A05">
          <w:rPr>
            <w:rFonts w:ascii="Arial" w:eastAsia="Times New Roman" w:hAnsi="Arial" w:cs="Arial"/>
            <w:sz w:val="24"/>
            <w:szCs w:val="24"/>
          </w:rPr>
          <w:t>http://www.drugwise.org.uk/wp-content/uploads/CoexisitingMHandSMfull.pdf</w:t>
        </w:r>
      </w:hyperlink>
      <w:r w:rsidRPr="003F5A05">
        <w:rPr>
          <w:rFonts w:ascii="Arial" w:eastAsia="Times New Roman" w:hAnsi="Arial" w:cs="Arial"/>
          <w:sz w:val="24"/>
          <w:szCs w:val="24"/>
        </w:rPr>
        <w:t>. (Accessed:16</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November 2017)</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Edwards, R. and Holland, J. (2013) </w:t>
      </w:r>
      <w:r w:rsidRPr="003F5A05">
        <w:rPr>
          <w:rFonts w:ascii="Arial" w:eastAsia="Times New Roman" w:hAnsi="Arial" w:cs="Arial"/>
          <w:i/>
          <w:sz w:val="24"/>
          <w:szCs w:val="24"/>
        </w:rPr>
        <w:t>What is qualitative interviewing?</w:t>
      </w:r>
      <w:r w:rsidRPr="003F5A05">
        <w:rPr>
          <w:rFonts w:ascii="Arial" w:eastAsia="Times New Roman" w:hAnsi="Arial" w:cs="Arial"/>
          <w:sz w:val="24"/>
          <w:szCs w:val="24"/>
        </w:rPr>
        <w:t xml:space="preserve"> London: Bloomsbury Publishing Plc. [Online] Available at: </w:t>
      </w:r>
      <w:hyperlink r:id="rId15" w:history="1">
        <w:r w:rsidRPr="003F5A05">
          <w:rPr>
            <w:rFonts w:ascii="Arial" w:eastAsia="Times New Roman" w:hAnsi="Arial" w:cs="Arial"/>
            <w:sz w:val="24"/>
            <w:szCs w:val="24"/>
            <w:u w:val="single"/>
          </w:rPr>
          <w:t>http://eprints.ncrm.ac.uk/3276/1/complete_proofs.pdf</w:t>
        </w:r>
      </w:hyperlink>
      <w:r w:rsidRPr="003F5A05">
        <w:rPr>
          <w:rFonts w:ascii="Arial" w:eastAsia="Times New Roman" w:hAnsi="Arial" w:cs="Arial"/>
          <w:sz w:val="24"/>
          <w:szCs w:val="24"/>
        </w:rPr>
        <w:t>. (Accessed: 10</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Hanbury, A., Lee, A., and Batsleer, J. (2010) ‘Youth work with girls: a feminist perspective’, in J. Batsleer, and B. Davies (eds.) </w:t>
      </w:r>
      <w:r w:rsidRPr="003F5A05">
        <w:rPr>
          <w:rFonts w:ascii="Arial" w:eastAsia="Times New Roman" w:hAnsi="Arial" w:cs="Arial"/>
          <w:i/>
          <w:sz w:val="24"/>
          <w:szCs w:val="24"/>
        </w:rPr>
        <w:t xml:space="preserve">What is Youth Work?. </w:t>
      </w:r>
      <w:r w:rsidRPr="003F5A05">
        <w:rPr>
          <w:rFonts w:ascii="Arial" w:eastAsia="Times New Roman" w:hAnsi="Arial" w:cs="Arial"/>
          <w:sz w:val="24"/>
          <w:szCs w:val="24"/>
        </w:rPr>
        <w:t>Exeter: Learning Matters Ltd, pp. 116- 128.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Home Office (2017) </w:t>
      </w:r>
      <w:r w:rsidRPr="003F5A05">
        <w:rPr>
          <w:rFonts w:ascii="Arial" w:eastAsia="Times New Roman" w:hAnsi="Arial" w:cs="Arial"/>
          <w:i/>
          <w:sz w:val="24"/>
          <w:szCs w:val="24"/>
        </w:rPr>
        <w:t xml:space="preserve">Drug misuse: findings from the 2016 to 2017 CSEW. </w:t>
      </w:r>
      <w:r w:rsidRPr="003F5A05">
        <w:rPr>
          <w:rFonts w:ascii="Arial" w:eastAsia="Times New Roman" w:hAnsi="Arial" w:cs="Arial"/>
          <w:sz w:val="24"/>
          <w:szCs w:val="24"/>
        </w:rPr>
        <w:t xml:space="preserve">Available at: </w:t>
      </w:r>
      <w:hyperlink r:id="rId16" w:history="1">
        <w:r w:rsidRPr="003F5A05">
          <w:rPr>
            <w:rFonts w:ascii="Arial" w:eastAsia="Times New Roman" w:hAnsi="Arial" w:cs="Arial"/>
            <w:sz w:val="24"/>
            <w:szCs w:val="24"/>
            <w:u w:val="single"/>
          </w:rPr>
          <w:t>https://www.gov.uk/government/statistics/drug-misuse-findings-from-the-2016-to-2017-csew</w:t>
        </w:r>
      </w:hyperlink>
      <w:r w:rsidRPr="003F5A05">
        <w:rPr>
          <w:rFonts w:ascii="Arial" w:eastAsia="Times New Roman" w:hAnsi="Arial" w:cs="Arial"/>
          <w:sz w:val="24"/>
          <w:szCs w:val="24"/>
        </w:rPr>
        <w:t>. (Accessed: 16</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lastRenderedPageBreak/>
        <w:t xml:space="preserve">Home Office Development and Practice Report (2007) </w:t>
      </w:r>
      <w:r w:rsidRPr="003F5A05">
        <w:rPr>
          <w:rFonts w:ascii="Arial" w:eastAsia="Times New Roman" w:hAnsi="Arial" w:cs="Arial"/>
          <w:i/>
          <w:sz w:val="24"/>
          <w:szCs w:val="24"/>
        </w:rPr>
        <w:t xml:space="preserve">Identifying and exploring young people’s experiences of risk, protective factors and resilience to drug use. </w:t>
      </w:r>
      <w:r w:rsidRPr="003F5A05">
        <w:rPr>
          <w:rFonts w:ascii="Arial" w:eastAsia="Times New Roman" w:hAnsi="Arial" w:cs="Arial"/>
          <w:sz w:val="24"/>
          <w:szCs w:val="24"/>
        </w:rPr>
        <w:t>Available at: http://dera.ioe.ac.uk/6904/1/dpr47.pdf . (Accessed 26</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November 2017)</w:t>
      </w:r>
    </w:p>
    <w:p w:rsidR="003F5A05" w:rsidRPr="003F5A05" w:rsidRDefault="003F5A05" w:rsidP="003F5A05">
      <w:pPr>
        <w:rPr>
          <w:rFonts w:ascii="Arial" w:eastAsia="Times New Roman" w:hAnsi="Arial" w:cs="Arial"/>
          <w:sz w:val="24"/>
          <w:szCs w:val="24"/>
          <w:shd w:val="clear" w:color="auto" w:fill="FFFFFF"/>
        </w:rPr>
      </w:pPr>
      <w:r w:rsidRPr="003F5A05">
        <w:rPr>
          <w:rFonts w:ascii="Arial" w:eastAsia="Times New Roman" w:hAnsi="Arial" w:cs="Arial"/>
          <w:sz w:val="24"/>
          <w:szCs w:val="24"/>
          <w:shd w:val="clear" w:color="auto" w:fill="FFFFFF"/>
        </w:rPr>
        <w:t>Jeffs, T. and Smith, M. K. (eds.) (2010) </w:t>
      </w:r>
      <w:r w:rsidRPr="003F5A05">
        <w:rPr>
          <w:rFonts w:ascii="Arial" w:eastAsia="Times New Roman" w:hAnsi="Arial" w:cs="Arial"/>
          <w:i/>
          <w:iCs/>
          <w:sz w:val="24"/>
          <w:szCs w:val="24"/>
          <w:bdr w:val="none" w:sz="0" w:space="0" w:color="auto" w:frame="1"/>
          <w:shd w:val="clear" w:color="auto" w:fill="FFFFFF"/>
        </w:rPr>
        <w:t>Youth work practice</w:t>
      </w:r>
      <w:r w:rsidRPr="003F5A05">
        <w:rPr>
          <w:rFonts w:ascii="Arial" w:eastAsia="Times New Roman" w:hAnsi="Arial" w:cs="Arial"/>
          <w:sz w:val="24"/>
          <w:szCs w:val="24"/>
          <w:shd w:val="clear" w:color="auto" w:fill="FFFFFF"/>
        </w:rPr>
        <w:t>. Basingstoke: Palgrave Macmillan</w:t>
      </w:r>
    </w:p>
    <w:p w:rsidR="003F5A05" w:rsidRPr="003F5A05" w:rsidRDefault="003F5A05" w:rsidP="003F5A05">
      <w:pPr>
        <w:rPr>
          <w:rFonts w:ascii="Arial" w:eastAsia="Times New Roman" w:hAnsi="Arial" w:cs="Arial"/>
          <w:sz w:val="24"/>
          <w:szCs w:val="24"/>
          <w:shd w:val="clear" w:color="auto" w:fill="FFFFFF"/>
        </w:rPr>
      </w:pPr>
      <w:r w:rsidRPr="003F5A05">
        <w:rPr>
          <w:rFonts w:ascii="Arial" w:eastAsia="Times New Roman" w:hAnsi="Arial" w:cs="Arial"/>
          <w:sz w:val="24"/>
          <w:szCs w:val="24"/>
          <w:shd w:val="clear" w:color="auto" w:fill="FFFFFF"/>
        </w:rPr>
        <w:t>Learning and Skills Improvement Service (2012). </w:t>
      </w:r>
      <w:r w:rsidRPr="003F5A05">
        <w:rPr>
          <w:rFonts w:ascii="Arial" w:eastAsia="Times New Roman" w:hAnsi="Arial" w:cs="Arial"/>
          <w:i/>
          <w:iCs/>
          <w:sz w:val="24"/>
          <w:szCs w:val="24"/>
          <w:shd w:val="clear" w:color="auto" w:fill="FFFFFF"/>
        </w:rPr>
        <w:t>National Occupational Standards for Youth Work. </w:t>
      </w:r>
      <w:r w:rsidRPr="003F5A05">
        <w:rPr>
          <w:rFonts w:ascii="Arial" w:eastAsia="Times New Roman" w:hAnsi="Arial" w:cs="Arial"/>
          <w:sz w:val="24"/>
          <w:szCs w:val="24"/>
          <w:shd w:val="clear" w:color="auto" w:fill="FFFFFF"/>
        </w:rPr>
        <w:t>Coventry: LSIS </w:t>
      </w:r>
    </w:p>
    <w:p w:rsidR="003F5A05" w:rsidRPr="003F5A05" w:rsidRDefault="003F5A05" w:rsidP="003F5A05">
      <w:pPr>
        <w:rPr>
          <w:rFonts w:ascii="Arial" w:eastAsia="Times New Roman" w:hAnsi="Arial" w:cs="Arial"/>
          <w:sz w:val="24"/>
          <w:szCs w:val="24"/>
          <w:shd w:val="clear" w:color="auto" w:fill="FFFFFF"/>
        </w:rPr>
      </w:pPr>
      <w:r w:rsidRPr="003F5A05">
        <w:rPr>
          <w:rFonts w:ascii="Arial" w:eastAsia="Times New Roman" w:hAnsi="Arial" w:cs="Arial"/>
          <w:sz w:val="24"/>
          <w:szCs w:val="24"/>
          <w:shd w:val="clear" w:color="auto" w:fill="FFFFFF"/>
        </w:rPr>
        <w:t xml:space="preserve">McLeod, S. A. (2013). </w:t>
      </w:r>
      <w:r w:rsidRPr="003F5A05">
        <w:rPr>
          <w:rFonts w:ascii="Arial" w:eastAsia="Times New Roman" w:hAnsi="Arial" w:cs="Arial"/>
          <w:i/>
          <w:sz w:val="24"/>
          <w:szCs w:val="24"/>
          <w:shd w:val="clear" w:color="auto" w:fill="FFFFFF"/>
        </w:rPr>
        <w:t>Kolb - learning styles</w:t>
      </w:r>
      <w:r w:rsidRPr="003F5A05">
        <w:rPr>
          <w:rFonts w:ascii="Arial" w:eastAsia="Times New Roman" w:hAnsi="Arial" w:cs="Arial"/>
          <w:sz w:val="24"/>
          <w:szCs w:val="24"/>
          <w:shd w:val="clear" w:color="auto" w:fill="FFFFFF"/>
        </w:rPr>
        <w:t xml:space="preserve">. Available at: </w:t>
      </w:r>
      <w:hyperlink r:id="rId17" w:history="1">
        <w:r w:rsidRPr="003F5A05">
          <w:rPr>
            <w:rFonts w:ascii="Arial" w:eastAsia="Times New Roman" w:hAnsi="Arial" w:cs="Arial"/>
            <w:sz w:val="24"/>
            <w:szCs w:val="24"/>
            <w:u w:val="single"/>
            <w:shd w:val="clear" w:color="auto" w:fill="FFFFFF"/>
          </w:rPr>
          <w:t>www.simplypsychology.org/learning-kolb.html</w:t>
        </w:r>
      </w:hyperlink>
      <w:r w:rsidRPr="003F5A05">
        <w:rPr>
          <w:rFonts w:ascii="Arial" w:eastAsia="Times New Roman" w:hAnsi="Arial" w:cs="Arial"/>
          <w:sz w:val="24"/>
          <w:szCs w:val="24"/>
          <w:shd w:val="clear" w:color="auto" w:fill="FFFFFF"/>
        </w:rPr>
        <w:t>. (Accessed: 25</w:t>
      </w:r>
      <w:r w:rsidRPr="003F5A05">
        <w:rPr>
          <w:rFonts w:ascii="Arial" w:eastAsia="Times New Roman" w:hAnsi="Arial" w:cs="Arial"/>
          <w:sz w:val="24"/>
          <w:szCs w:val="24"/>
          <w:shd w:val="clear" w:color="auto" w:fill="FFFFFF"/>
          <w:vertAlign w:val="superscript"/>
        </w:rPr>
        <w:t>th</w:t>
      </w:r>
      <w:r w:rsidRPr="003F5A05">
        <w:rPr>
          <w:rFonts w:ascii="Arial" w:eastAsia="Times New Roman" w:hAnsi="Arial" w:cs="Arial"/>
          <w:sz w:val="24"/>
          <w:szCs w:val="24"/>
          <w:shd w:val="clear" w:color="auto" w:fill="FFFFFF"/>
        </w:rPr>
        <w:t xml:space="preserve"> November 2017)</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Medina, S. (2010) </w:t>
      </w:r>
      <w:r w:rsidRPr="003F5A05">
        <w:rPr>
          <w:rFonts w:ascii="Arial" w:eastAsia="Times New Roman" w:hAnsi="Arial" w:cs="Arial"/>
          <w:i/>
          <w:sz w:val="24"/>
          <w:szCs w:val="24"/>
        </w:rPr>
        <w:t xml:space="preserve">Know the fact about drugs. </w:t>
      </w:r>
      <w:r w:rsidRPr="003F5A05">
        <w:rPr>
          <w:rFonts w:ascii="Arial" w:eastAsia="Times New Roman" w:hAnsi="Arial" w:cs="Arial"/>
          <w:sz w:val="24"/>
          <w:szCs w:val="24"/>
        </w:rPr>
        <w:t>New York: The Rosen Publishing Group, Inc.</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Mujis, D. (2011). </w:t>
      </w:r>
      <w:r w:rsidRPr="003F5A05">
        <w:rPr>
          <w:rFonts w:ascii="Arial" w:eastAsia="Times New Roman" w:hAnsi="Arial" w:cs="Arial"/>
          <w:i/>
          <w:sz w:val="24"/>
          <w:szCs w:val="24"/>
        </w:rPr>
        <w:t>Doing Quantitative Research in Education with SPSS</w:t>
      </w:r>
      <w:r w:rsidRPr="003F5A05">
        <w:rPr>
          <w:rFonts w:ascii="Arial" w:eastAsia="Times New Roman" w:hAnsi="Arial" w:cs="Arial"/>
          <w:sz w:val="24"/>
          <w:szCs w:val="24"/>
        </w:rPr>
        <w:t xml:space="preserve">. London: SAGE Publications Ltd. [e-book]. Available at: </w:t>
      </w:r>
      <w:hyperlink r:id="rId18" w:history="1">
        <w:r w:rsidRPr="003F5A05">
          <w:rPr>
            <w:rFonts w:ascii="Arial" w:eastAsia="Times New Roman" w:hAnsi="Arial" w:cs="Arial"/>
            <w:sz w:val="24"/>
            <w:szCs w:val="24"/>
            <w:u w:val="single"/>
          </w:rPr>
          <w:t>https://www-dawsonera-com.ezproxy.uwtsd.ac.uk/readonline/9781446210147</w:t>
        </w:r>
      </w:hyperlink>
      <w:r w:rsidRPr="003F5A05">
        <w:rPr>
          <w:rFonts w:ascii="Arial" w:eastAsia="Times New Roman" w:hAnsi="Arial" w:cs="Arial"/>
          <w:sz w:val="24"/>
          <w:szCs w:val="24"/>
        </w:rPr>
        <w:t>. (Accessed: 10</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O’Brien, R. (2001) </w:t>
      </w:r>
      <w:r w:rsidRPr="003F5A05">
        <w:rPr>
          <w:rFonts w:ascii="Arial" w:eastAsia="Times New Roman" w:hAnsi="Arial" w:cs="Arial"/>
          <w:i/>
          <w:sz w:val="24"/>
          <w:szCs w:val="24"/>
        </w:rPr>
        <w:t xml:space="preserve">An Overview of the Methodological Approach of Action Research. </w:t>
      </w:r>
      <w:r w:rsidRPr="003F5A05">
        <w:rPr>
          <w:rFonts w:ascii="Arial" w:eastAsia="Times New Roman" w:hAnsi="Arial" w:cs="Arial"/>
          <w:sz w:val="24"/>
          <w:szCs w:val="24"/>
        </w:rPr>
        <w:t xml:space="preserve">Available at: </w:t>
      </w:r>
      <w:hyperlink r:id="rId19" w:history="1">
        <w:r w:rsidRPr="003F5A05">
          <w:rPr>
            <w:rFonts w:ascii="Arial" w:eastAsia="Times New Roman" w:hAnsi="Arial" w:cs="Arial"/>
            <w:sz w:val="24"/>
            <w:szCs w:val="24"/>
            <w:u w:val="single"/>
          </w:rPr>
          <w:t>http://www.web.ca/~robrien/papers/arfinal.html</w:t>
        </w:r>
      </w:hyperlink>
      <w:r w:rsidRPr="003F5A05">
        <w:rPr>
          <w:rFonts w:ascii="Arial" w:eastAsia="Times New Roman" w:hAnsi="Arial" w:cs="Arial"/>
          <w:sz w:val="24"/>
          <w:szCs w:val="24"/>
        </w:rPr>
        <w:t>. (Accessed: 10</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O’Leary, Z. (2010) </w:t>
      </w:r>
      <w:r w:rsidRPr="003F5A05">
        <w:rPr>
          <w:rFonts w:ascii="Arial" w:eastAsia="Times New Roman" w:hAnsi="Arial" w:cs="Arial"/>
          <w:i/>
          <w:iCs/>
          <w:sz w:val="24"/>
          <w:szCs w:val="24"/>
        </w:rPr>
        <w:t xml:space="preserve">The Essential Guide to Doing your Research Project. </w:t>
      </w:r>
      <w:r w:rsidRPr="003F5A05">
        <w:rPr>
          <w:rFonts w:ascii="Arial" w:eastAsia="Times New Roman" w:hAnsi="Arial" w:cs="Arial"/>
          <w:sz w:val="24"/>
          <w:szCs w:val="24"/>
        </w:rPr>
        <w:t>London: Sage publications.</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Podd, W. (2010) ‘Participation’, in J. Batsleer, and B. Davies (eds.) </w:t>
      </w:r>
      <w:r w:rsidRPr="003F5A05">
        <w:rPr>
          <w:rFonts w:ascii="Arial" w:eastAsia="Times New Roman" w:hAnsi="Arial" w:cs="Arial"/>
          <w:i/>
          <w:sz w:val="24"/>
          <w:szCs w:val="24"/>
        </w:rPr>
        <w:t xml:space="preserve">What is Youth Work?. </w:t>
      </w:r>
      <w:r w:rsidRPr="003F5A05">
        <w:rPr>
          <w:rFonts w:ascii="Arial" w:eastAsia="Times New Roman" w:hAnsi="Arial" w:cs="Arial"/>
          <w:sz w:val="24"/>
          <w:szCs w:val="24"/>
        </w:rPr>
        <w:t xml:space="preserve">Exeter: Learning Matters Ltd, pp. 20 – 32. </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Silverman, D. (2000)</w:t>
      </w:r>
      <w:r w:rsidRPr="003F5A05">
        <w:rPr>
          <w:rFonts w:ascii="Arial" w:eastAsia="Times New Roman" w:hAnsi="Arial" w:cs="Arial"/>
          <w:i/>
          <w:sz w:val="24"/>
          <w:szCs w:val="24"/>
        </w:rPr>
        <w:t xml:space="preserve"> Doing Qualitative Research: A Practical Handbook. </w:t>
      </w:r>
      <w:r w:rsidRPr="003F5A05">
        <w:rPr>
          <w:rFonts w:ascii="Arial" w:eastAsia="Times New Roman" w:hAnsi="Arial" w:cs="Arial"/>
          <w:sz w:val="24"/>
          <w:szCs w:val="24"/>
        </w:rPr>
        <w:t>London: SAGE Publications Ltd.</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The Youth Work in Wales Review Group, WLGA. (2013) </w:t>
      </w:r>
      <w:r w:rsidRPr="003F5A05">
        <w:rPr>
          <w:rFonts w:ascii="Arial" w:eastAsia="Times New Roman" w:hAnsi="Arial" w:cs="Arial"/>
          <w:i/>
          <w:sz w:val="24"/>
          <w:szCs w:val="24"/>
        </w:rPr>
        <w:t>Youth Work in Wales: Principles and Purposes</w:t>
      </w:r>
      <w:r w:rsidRPr="003F5A05">
        <w:rPr>
          <w:rFonts w:ascii="Arial" w:eastAsia="Times New Roman" w:hAnsi="Arial" w:cs="Arial"/>
          <w:sz w:val="24"/>
          <w:szCs w:val="24"/>
        </w:rPr>
        <w:t>. [Online] Available at: http://www.cwvys.org.uk/wp-content/uploads/2014/06/Youth-Work-in-Wales-Principles-and-Purposes-March-2014.pdf Accessed: 11</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Arial" w:eastAsia="Times New Roman" w:hAnsi="Arial" w:cs="Arial"/>
          <w:sz w:val="24"/>
          <w:szCs w:val="24"/>
        </w:rPr>
      </w:pPr>
      <w:r w:rsidRPr="003F5A05">
        <w:rPr>
          <w:rFonts w:ascii="Arial" w:eastAsia="Times New Roman" w:hAnsi="Arial" w:cs="Arial"/>
          <w:sz w:val="24"/>
          <w:szCs w:val="24"/>
        </w:rPr>
        <w:t xml:space="preserve">Unicef (1989). </w:t>
      </w:r>
      <w:r w:rsidRPr="003F5A05">
        <w:rPr>
          <w:rFonts w:ascii="Arial" w:eastAsia="Times New Roman" w:hAnsi="Arial" w:cs="Arial"/>
          <w:i/>
          <w:sz w:val="24"/>
          <w:szCs w:val="24"/>
        </w:rPr>
        <w:t xml:space="preserve">The United Nations Convention on the Rights of the Child. </w:t>
      </w:r>
      <w:r w:rsidRPr="003F5A05">
        <w:rPr>
          <w:rFonts w:ascii="Arial" w:eastAsia="Times New Roman" w:hAnsi="Arial" w:cs="Arial"/>
          <w:sz w:val="24"/>
          <w:szCs w:val="24"/>
        </w:rPr>
        <w:t xml:space="preserve">Available at: </w:t>
      </w:r>
      <w:hyperlink r:id="rId20" w:history="1">
        <w:r w:rsidRPr="003F5A05">
          <w:rPr>
            <w:rFonts w:ascii="Arial" w:eastAsia="Times New Roman" w:hAnsi="Arial" w:cs="Arial"/>
            <w:sz w:val="24"/>
            <w:szCs w:val="24"/>
            <w:u w:val="single"/>
          </w:rPr>
          <w:t>https://downloads.unicef.org.uk/wp-content/uploads/2010/05/UNCRC_PRESS200910web.pdf?_ga=2.80375761.796399612.1516103340-658692861.1516103340</w:t>
        </w:r>
      </w:hyperlink>
      <w:r w:rsidRPr="003F5A05">
        <w:rPr>
          <w:rFonts w:ascii="Arial" w:eastAsia="Times New Roman" w:hAnsi="Arial" w:cs="Arial"/>
          <w:sz w:val="24"/>
          <w:szCs w:val="24"/>
        </w:rPr>
        <w:t>. (Accessed: 16</w:t>
      </w:r>
      <w:r w:rsidRPr="003F5A05">
        <w:rPr>
          <w:rFonts w:ascii="Arial" w:eastAsia="Times New Roman" w:hAnsi="Arial" w:cs="Arial"/>
          <w:sz w:val="24"/>
          <w:szCs w:val="24"/>
          <w:vertAlign w:val="superscript"/>
        </w:rPr>
        <w:t>th</w:t>
      </w:r>
      <w:r w:rsidRPr="003F5A05">
        <w:rPr>
          <w:rFonts w:ascii="Arial" w:eastAsia="Times New Roman" w:hAnsi="Arial" w:cs="Arial"/>
          <w:sz w:val="24"/>
          <w:szCs w:val="24"/>
        </w:rPr>
        <w:t xml:space="preserve"> January 2018)</w:t>
      </w:r>
    </w:p>
    <w:p w:rsidR="003F5A05" w:rsidRPr="003F5A05" w:rsidRDefault="003F5A05" w:rsidP="003F5A05">
      <w:pPr>
        <w:rPr>
          <w:rFonts w:ascii="Calibri" w:eastAsia="Times New Roman" w:hAnsi="Calibri" w:cs="Times New Roman"/>
          <w:spacing w:val="-12"/>
        </w:rPr>
      </w:pPr>
      <w:r w:rsidRPr="003F5A05">
        <w:rPr>
          <w:rFonts w:ascii="Calibri" w:eastAsia="Times New Roman" w:hAnsi="Calibri" w:cs="Times New Roman"/>
        </w:rPr>
        <w:t xml:space="preserve">Welsh Government. (2016) </w:t>
      </w:r>
      <w:r w:rsidRPr="003F5A05">
        <w:rPr>
          <w:rFonts w:ascii="Calibri" w:eastAsia="Times New Roman" w:hAnsi="Calibri" w:cs="Times New Roman"/>
          <w:i/>
          <w:spacing w:val="-12"/>
        </w:rPr>
        <w:t xml:space="preserve">Youth work. </w:t>
      </w:r>
      <w:hyperlink r:id="rId21" w:history="1">
        <w:r w:rsidRPr="003F5A05">
          <w:rPr>
            <w:rFonts w:ascii="Arial" w:eastAsia="Times New Roman" w:hAnsi="Arial" w:cs="Arial"/>
            <w:sz w:val="24"/>
            <w:szCs w:val="24"/>
          </w:rPr>
          <w:t>http://gov.wales/topics/educationandskills/skillsandtraining/youth-work/?lang=en</w:t>
        </w:r>
      </w:hyperlink>
      <w:r w:rsidRPr="003F5A05">
        <w:rPr>
          <w:rFonts w:ascii="Calibri" w:eastAsia="Times New Roman" w:hAnsi="Calibri" w:cs="Times New Roman"/>
        </w:rPr>
        <w:t xml:space="preserve"> (Accessed:17</w:t>
      </w:r>
      <w:r w:rsidRPr="003F5A05">
        <w:rPr>
          <w:rFonts w:ascii="Calibri" w:eastAsia="Times New Roman" w:hAnsi="Calibri" w:cs="Times New Roman"/>
          <w:vertAlign w:val="superscript"/>
        </w:rPr>
        <w:t>th</w:t>
      </w:r>
      <w:r w:rsidRPr="003F5A05">
        <w:rPr>
          <w:rFonts w:ascii="Calibri" w:eastAsia="Times New Roman" w:hAnsi="Calibri" w:cs="Times New Roman"/>
        </w:rPr>
        <w:t xml:space="preserve"> November 2017)</w:t>
      </w:r>
    </w:p>
    <w:p w:rsidR="00ED6865" w:rsidRDefault="003F5A05" w:rsidP="003F5A05">
      <w:r w:rsidRPr="003F5A05">
        <w:rPr>
          <w:rFonts w:ascii="Arial" w:eastAsia="Times New Roman" w:hAnsi="Arial" w:cs="Arial"/>
          <w:sz w:val="24"/>
          <w:szCs w:val="24"/>
        </w:rPr>
        <w:t xml:space="preserve">WG. (2014). </w:t>
      </w:r>
      <w:r w:rsidRPr="003F5A05">
        <w:rPr>
          <w:rFonts w:ascii="Arial" w:eastAsia="Times New Roman" w:hAnsi="Arial" w:cs="Arial"/>
          <w:i/>
          <w:sz w:val="24"/>
          <w:szCs w:val="24"/>
        </w:rPr>
        <w:t>The National Youth Work Strategy for Wales 2014-2018: Supporting young people to reach their potential and live fulfilled lives</w:t>
      </w:r>
      <w:r w:rsidRPr="003F5A05">
        <w:rPr>
          <w:rFonts w:ascii="Arial" w:eastAsia="Times New Roman" w:hAnsi="Arial" w:cs="Arial"/>
          <w:sz w:val="24"/>
          <w:szCs w:val="24"/>
        </w:rPr>
        <w:t>. Llandudno: Welsh Government.</w:t>
      </w:r>
    </w:p>
    <w:sectPr w:rsidR="00ED6865">
      <w:footerReference w:type="default" r:id="rI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5535057"/>
      <w:docPartObj>
        <w:docPartGallery w:val="Page Numbers (Bottom of Page)"/>
        <w:docPartUnique/>
      </w:docPartObj>
    </w:sdtPr>
    <w:sdtEndPr>
      <w:rPr>
        <w:noProof/>
      </w:rPr>
    </w:sdtEndPr>
    <w:sdtContent>
      <w:p w:rsidR="00213DD8" w:rsidRDefault="003F5A05">
        <w:pPr>
          <w:pStyle w:val="Footer"/>
          <w:jc w:val="right"/>
        </w:pPr>
        <w:r>
          <w:fldChar w:fldCharType="begin"/>
        </w:r>
        <w:r>
          <w:instrText xml:space="preserve"> PAGE   \* MERGEFORMAT </w:instrText>
        </w:r>
        <w:r>
          <w:fldChar w:fldCharType="separate"/>
        </w:r>
        <w:r>
          <w:rPr>
            <w:noProof/>
          </w:rPr>
          <w:t>26</w:t>
        </w:r>
        <w:r>
          <w:rPr>
            <w:noProof/>
          </w:rPr>
          <w:fldChar w:fldCharType="end"/>
        </w:r>
      </w:p>
    </w:sdtContent>
  </w:sdt>
  <w:p w:rsidR="00213DD8" w:rsidRDefault="003F5A0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3A5697"/>
    <w:multiLevelType w:val="hybridMultilevel"/>
    <w:tmpl w:val="CE201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A05"/>
    <w:rsid w:val="00257533"/>
    <w:rsid w:val="003F5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2B8C2"/>
  <w15:chartTrackingRefBased/>
  <w15:docId w15:val="{5D0AFC0D-37FA-4684-9BC6-9DB0AB01C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F5A0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F5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pdfs.semanticscholar.org/73b7/18e508fa943dfb22a9cb5fb17f888239ad0e.pdf" TargetMode="External"/><Relationship Id="rId18" Type="http://schemas.openxmlformats.org/officeDocument/2006/relationships/hyperlink" Target="https://www-dawsonera-com.ezproxy.uwtsd.ac.uk/readonline/9781446210147" TargetMode="External"/><Relationship Id="rId3" Type="http://schemas.openxmlformats.org/officeDocument/2006/relationships/settings" Target="settings.xml"/><Relationship Id="rId21" Type="http://schemas.openxmlformats.org/officeDocument/2006/relationships/hyperlink" Target="http://gov.wales/topics/educationandskills/skillsandtraining/youth-work/?lang=en" TargetMode="External"/><Relationship Id="rId7" Type="http://schemas.openxmlformats.org/officeDocument/2006/relationships/image" Target="media/image2.jpeg"/><Relationship Id="rId12" Type="http://schemas.openxmlformats.org/officeDocument/2006/relationships/hyperlink" Target="https://scholar.google.co.uk/scholar?q=TAKING+AN+EVIDENCE-BASED+APPROACH+TO+CLASSROOM+DRUG+EDUCATION&amp;hl=en&amp;as_sdt=0&amp;as_vis=1&amp;oi=scholart&amp;sa=X&amp;ved=0ahUKEwib9e_SysrYAhWLB8AKHaJcCA8QgQMIJTAA" TargetMode="External"/><Relationship Id="rId17" Type="http://schemas.openxmlformats.org/officeDocument/2006/relationships/hyperlink" Target="http://www.simplypsychology.org/learning-kolb.html" TargetMode="External"/><Relationship Id="rId2" Type="http://schemas.openxmlformats.org/officeDocument/2006/relationships/styles" Target="styles.xml"/><Relationship Id="rId16" Type="http://schemas.openxmlformats.org/officeDocument/2006/relationships/hyperlink" Target="https://www.gov.uk/government/statistics/drug-misuse-findings-from-the-2016-to-2017-csew" TargetMode="External"/><Relationship Id="rId20" Type="http://schemas.openxmlformats.org/officeDocument/2006/relationships/hyperlink" Target="https://downloads.unicef.org.uk/wp-content/uploads/2010/05/UNCRC_PRESS200910web.pdf?_ga=2.80375761.796399612.1516103340-658692861.1516103340"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youngminds.org.uk/media/1547/ym-addaction-briefing.pdf" TargetMode="External"/><Relationship Id="rId24" Type="http://schemas.openxmlformats.org/officeDocument/2006/relationships/theme" Target="theme/theme1.xml"/><Relationship Id="rId5" Type="http://schemas.openxmlformats.org/officeDocument/2006/relationships/chart" Target="charts/chart1.xml"/><Relationship Id="rId15" Type="http://schemas.openxmlformats.org/officeDocument/2006/relationships/hyperlink" Target="http://eprints.ncrm.ac.uk/3276/1/complete_proofs.pdf" TargetMode="External"/><Relationship Id="rId23"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hyperlink" Target="http://www.web.ca/~robrien/papers/arfinal.html"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www.drugwise.org.uk/wp-content/uploads/CoexisitingMHandSMfull.pdf"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number of participants</a:t>
            </a:r>
            <a:endParaRPr lang="en-US"/>
          </a:p>
        </c:rich>
      </c:tx>
      <c:layout>
        <c:manualLayout>
          <c:xMode val="edge"/>
          <c:yMode val="edge"/>
          <c:x val="0.28603583406240884"/>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Young people</c:v>
                </c:pt>
              </c:strCache>
            </c:strRef>
          </c:tx>
          <c:spPr>
            <a:solidFill>
              <a:schemeClr val="accent1"/>
            </a:solidFill>
            <a:ln>
              <a:noFill/>
            </a:ln>
            <a:effectLst/>
          </c:spPr>
          <c:invertIfNegative val="0"/>
          <c:cat>
            <c:strRef>
              <c:f>Sheet1!$A$2:$A$3</c:f>
              <c:strCache>
                <c:ptCount val="2"/>
                <c:pt idx="0">
                  <c:v>Focus group 1</c:v>
                </c:pt>
                <c:pt idx="1">
                  <c:v>Focus Group 2</c:v>
                </c:pt>
              </c:strCache>
            </c:strRef>
          </c:cat>
          <c:val>
            <c:numRef>
              <c:f>Sheet1!$B$2:$B$3</c:f>
              <c:numCache>
                <c:formatCode>General</c:formatCode>
                <c:ptCount val="2"/>
                <c:pt idx="0">
                  <c:v>7</c:v>
                </c:pt>
                <c:pt idx="1">
                  <c:v>6</c:v>
                </c:pt>
              </c:numCache>
            </c:numRef>
          </c:val>
          <c:extLst>
            <c:ext xmlns:c16="http://schemas.microsoft.com/office/drawing/2014/chart" uri="{C3380CC4-5D6E-409C-BE32-E72D297353CC}">
              <c16:uniqueId val="{00000000-89FA-42C6-970C-FA8EA601D260}"/>
            </c:ext>
          </c:extLst>
        </c:ser>
        <c:dLbls>
          <c:showLegendKey val="0"/>
          <c:showVal val="0"/>
          <c:showCatName val="0"/>
          <c:showSerName val="0"/>
          <c:showPercent val="0"/>
          <c:showBubbleSize val="0"/>
        </c:dLbls>
        <c:gapWidth val="219"/>
        <c:overlap val="-27"/>
        <c:axId val="678157592"/>
        <c:axId val="678158576"/>
      </c:barChart>
      <c:catAx>
        <c:axId val="678157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Group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58576"/>
        <c:crosses val="autoZero"/>
        <c:auto val="1"/>
        <c:lblAlgn val="ctr"/>
        <c:lblOffset val="100"/>
        <c:noMultiLvlLbl val="0"/>
      </c:catAx>
      <c:valAx>
        <c:axId val="678158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young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57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 What</a:t>
            </a:r>
            <a:r>
              <a:rPr lang="en-GB" baseline="0"/>
              <a:t> do you think was "Top" about this session?</a:t>
            </a:r>
            <a:endParaRPr lang="en-GB"/>
          </a:p>
        </c:rich>
      </c:tx>
      <c:layout>
        <c:manualLayout>
          <c:xMode val="edge"/>
          <c:yMode val="edge"/>
          <c:x val="0.17673611111111109"/>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Visual aids e.g videos &amp; pictures</c:v>
                </c:pt>
              </c:strCache>
            </c:strRef>
          </c:tx>
          <c:spPr>
            <a:solidFill>
              <a:schemeClr val="accent1"/>
            </a:solidFill>
            <a:ln>
              <a:noFill/>
            </a:ln>
            <a:effectLst/>
          </c:spPr>
          <c:invertIfNegative val="0"/>
          <c:cat>
            <c:strRef>
              <c:f>Sheet1!$A$2:$A$3</c:f>
              <c:strCache>
                <c:ptCount val="2"/>
                <c:pt idx="0">
                  <c:v>Focus Group 1</c:v>
                </c:pt>
                <c:pt idx="1">
                  <c:v>Focus Group 2</c:v>
                </c:pt>
              </c:strCache>
            </c:strRef>
          </c:cat>
          <c:val>
            <c:numRef>
              <c:f>Sheet1!$B$2:$B$3</c:f>
              <c:numCache>
                <c:formatCode>General</c:formatCode>
                <c:ptCount val="2"/>
                <c:pt idx="0">
                  <c:v>2</c:v>
                </c:pt>
                <c:pt idx="1">
                  <c:v>1</c:v>
                </c:pt>
              </c:numCache>
            </c:numRef>
          </c:val>
          <c:extLst>
            <c:ext xmlns:c16="http://schemas.microsoft.com/office/drawing/2014/chart" uri="{C3380CC4-5D6E-409C-BE32-E72D297353CC}">
              <c16:uniqueId val="{00000000-37EA-4278-B6EF-DA43B405A286}"/>
            </c:ext>
          </c:extLst>
        </c:ser>
        <c:ser>
          <c:idx val="1"/>
          <c:order val="1"/>
          <c:tx>
            <c:strRef>
              <c:f>Sheet1!$C$1</c:f>
              <c:strCache>
                <c:ptCount val="1"/>
                <c:pt idx="0">
                  <c:v>Practical activity</c:v>
                </c:pt>
              </c:strCache>
            </c:strRef>
          </c:tx>
          <c:spPr>
            <a:solidFill>
              <a:schemeClr val="accent2"/>
            </a:solidFill>
            <a:ln>
              <a:noFill/>
            </a:ln>
            <a:effectLst/>
          </c:spPr>
          <c:invertIfNegative val="0"/>
          <c:cat>
            <c:strRef>
              <c:f>Sheet1!$A$2:$A$3</c:f>
              <c:strCache>
                <c:ptCount val="2"/>
                <c:pt idx="0">
                  <c:v>Focus Group 1</c:v>
                </c:pt>
                <c:pt idx="1">
                  <c:v>Focus Group 2</c:v>
                </c:pt>
              </c:strCache>
            </c:strRef>
          </c:cat>
          <c:val>
            <c:numRef>
              <c:f>Sheet1!$C$2:$C$3</c:f>
              <c:numCache>
                <c:formatCode>General</c:formatCode>
                <c:ptCount val="2"/>
                <c:pt idx="0">
                  <c:v>1</c:v>
                </c:pt>
                <c:pt idx="1">
                  <c:v>2</c:v>
                </c:pt>
              </c:numCache>
            </c:numRef>
          </c:val>
          <c:extLst>
            <c:ext xmlns:c16="http://schemas.microsoft.com/office/drawing/2014/chart" uri="{C3380CC4-5D6E-409C-BE32-E72D297353CC}">
              <c16:uniqueId val="{00000001-37EA-4278-B6EF-DA43B405A286}"/>
            </c:ext>
          </c:extLst>
        </c:ser>
        <c:ser>
          <c:idx val="2"/>
          <c:order val="2"/>
          <c:tx>
            <c:strRef>
              <c:f>Sheet1!$D$1</c:f>
              <c:strCache>
                <c:ptCount val="1"/>
                <c:pt idx="0">
                  <c:v>It was fun </c:v>
                </c:pt>
              </c:strCache>
            </c:strRef>
          </c:tx>
          <c:spPr>
            <a:solidFill>
              <a:schemeClr val="accent3"/>
            </a:solidFill>
            <a:ln>
              <a:noFill/>
            </a:ln>
            <a:effectLst/>
          </c:spPr>
          <c:invertIfNegative val="0"/>
          <c:cat>
            <c:strRef>
              <c:f>Sheet1!$A$2:$A$3</c:f>
              <c:strCache>
                <c:ptCount val="2"/>
                <c:pt idx="0">
                  <c:v>Focus Group 1</c:v>
                </c:pt>
                <c:pt idx="1">
                  <c:v>Focus Group 2</c:v>
                </c:pt>
              </c:strCache>
            </c:strRef>
          </c:cat>
          <c:val>
            <c:numRef>
              <c:f>Sheet1!$D$2:$D$3</c:f>
              <c:numCache>
                <c:formatCode>General</c:formatCode>
                <c:ptCount val="2"/>
                <c:pt idx="0">
                  <c:v>1</c:v>
                </c:pt>
                <c:pt idx="1">
                  <c:v>0</c:v>
                </c:pt>
              </c:numCache>
            </c:numRef>
          </c:val>
          <c:extLst>
            <c:ext xmlns:c16="http://schemas.microsoft.com/office/drawing/2014/chart" uri="{C3380CC4-5D6E-409C-BE32-E72D297353CC}">
              <c16:uniqueId val="{00000002-37EA-4278-B6EF-DA43B405A286}"/>
            </c:ext>
          </c:extLst>
        </c:ser>
        <c:ser>
          <c:idx val="3"/>
          <c:order val="3"/>
          <c:tx>
            <c:strRef>
              <c:f>Sheet1!$E$1</c:f>
              <c:strCache>
                <c:ptCount val="1"/>
                <c:pt idx="0">
                  <c:v>Learned loads about drugs</c:v>
                </c:pt>
              </c:strCache>
            </c:strRef>
          </c:tx>
          <c:spPr>
            <a:solidFill>
              <a:schemeClr val="accent4"/>
            </a:solidFill>
            <a:ln>
              <a:noFill/>
            </a:ln>
            <a:effectLst/>
          </c:spPr>
          <c:invertIfNegative val="0"/>
          <c:cat>
            <c:strRef>
              <c:f>Sheet1!$A$2:$A$3</c:f>
              <c:strCache>
                <c:ptCount val="2"/>
                <c:pt idx="0">
                  <c:v>Focus Group 1</c:v>
                </c:pt>
                <c:pt idx="1">
                  <c:v>Focus Group 2</c:v>
                </c:pt>
              </c:strCache>
            </c:strRef>
          </c:cat>
          <c:val>
            <c:numRef>
              <c:f>Sheet1!$E$2:$E$3</c:f>
              <c:numCache>
                <c:formatCode>General</c:formatCode>
                <c:ptCount val="2"/>
                <c:pt idx="0">
                  <c:v>1</c:v>
                </c:pt>
                <c:pt idx="1">
                  <c:v>2</c:v>
                </c:pt>
              </c:numCache>
            </c:numRef>
          </c:val>
          <c:extLst>
            <c:ext xmlns:c16="http://schemas.microsoft.com/office/drawing/2014/chart" uri="{C3380CC4-5D6E-409C-BE32-E72D297353CC}">
              <c16:uniqueId val="{00000003-37EA-4278-B6EF-DA43B405A286}"/>
            </c:ext>
          </c:extLst>
        </c:ser>
        <c:dLbls>
          <c:showLegendKey val="0"/>
          <c:showVal val="0"/>
          <c:showCatName val="0"/>
          <c:showSerName val="0"/>
          <c:showPercent val="0"/>
          <c:showBubbleSize val="0"/>
        </c:dLbls>
        <c:gapWidth val="219"/>
        <c:overlap val="-27"/>
        <c:axId val="568879024"/>
        <c:axId val="568879352"/>
      </c:barChart>
      <c:catAx>
        <c:axId val="568879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Group</a:t>
                </a:r>
                <a:r>
                  <a:rPr lang="en-GB" baseline="0"/>
                  <a:t> no.</a:t>
                </a:r>
                <a:endParaRPr lang="en-GB"/>
              </a:p>
            </c:rich>
          </c:tx>
          <c:layout>
            <c:manualLayout>
              <c:xMode val="edge"/>
              <c:yMode val="edge"/>
              <c:x val="0.48859915237867996"/>
              <c:y val="0.7950724113556786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879352"/>
        <c:crosses val="autoZero"/>
        <c:auto val="1"/>
        <c:lblAlgn val="ctr"/>
        <c:lblOffset val="100"/>
        <c:noMultiLvlLbl val="0"/>
      </c:catAx>
      <c:valAx>
        <c:axId val="568879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Frequency</a:t>
                </a:r>
              </a:p>
            </c:rich>
          </c:tx>
          <c:layout>
            <c:manualLayout>
              <c:xMode val="edge"/>
              <c:yMode val="edge"/>
              <c:x val="1.3888888888888888E-2"/>
              <c:y val="0.3913920134983127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879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What</a:t>
            </a:r>
            <a:r>
              <a:rPr lang="en-GB" baseline="0"/>
              <a:t> do you think was "pants" about the session?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Nothing</c:v>
                </c:pt>
              </c:strCache>
            </c:strRef>
          </c:tx>
          <c:spPr>
            <a:solidFill>
              <a:schemeClr val="accent1"/>
            </a:solidFill>
            <a:ln>
              <a:noFill/>
            </a:ln>
            <a:effectLst/>
          </c:spPr>
          <c:invertIfNegative val="0"/>
          <c:cat>
            <c:strRef>
              <c:f>Sheet1!$A$2:$A$3</c:f>
              <c:strCache>
                <c:ptCount val="2"/>
                <c:pt idx="0">
                  <c:v>Focus Group 1</c:v>
                </c:pt>
                <c:pt idx="1">
                  <c:v>Focus Group 2</c:v>
                </c:pt>
              </c:strCache>
            </c:strRef>
          </c:cat>
          <c:val>
            <c:numRef>
              <c:f>Sheet1!$B$2:$B$3</c:f>
              <c:numCache>
                <c:formatCode>General</c:formatCode>
                <c:ptCount val="2"/>
                <c:pt idx="0">
                  <c:v>3</c:v>
                </c:pt>
                <c:pt idx="1">
                  <c:v>4</c:v>
                </c:pt>
              </c:numCache>
            </c:numRef>
          </c:val>
          <c:extLst>
            <c:ext xmlns:c16="http://schemas.microsoft.com/office/drawing/2014/chart" uri="{C3380CC4-5D6E-409C-BE32-E72D297353CC}">
              <c16:uniqueId val="{00000000-1946-498D-A8AF-A27B040D7870}"/>
            </c:ext>
          </c:extLst>
        </c:ser>
        <c:ser>
          <c:idx val="1"/>
          <c:order val="1"/>
          <c:tx>
            <c:strRef>
              <c:f>Sheet1!$C$1</c:f>
              <c:strCache>
                <c:ptCount val="1"/>
                <c:pt idx="0">
                  <c:v>I liked it all</c:v>
                </c:pt>
              </c:strCache>
            </c:strRef>
          </c:tx>
          <c:spPr>
            <a:solidFill>
              <a:schemeClr val="accent2"/>
            </a:solidFill>
            <a:ln>
              <a:noFill/>
            </a:ln>
            <a:effectLst/>
          </c:spPr>
          <c:invertIfNegative val="0"/>
          <c:cat>
            <c:strRef>
              <c:f>Sheet1!$A$2:$A$3</c:f>
              <c:strCache>
                <c:ptCount val="2"/>
                <c:pt idx="0">
                  <c:v>Focus Group 1</c:v>
                </c:pt>
                <c:pt idx="1">
                  <c:v>Focus Group 2</c:v>
                </c:pt>
              </c:strCache>
            </c:strRef>
          </c:cat>
          <c:val>
            <c:numRef>
              <c:f>Sheet1!$C$2:$C$3</c:f>
              <c:numCache>
                <c:formatCode>General</c:formatCode>
                <c:ptCount val="2"/>
                <c:pt idx="0">
                  <c:v>1</c:v>
                </c:pt>
                <c:pt idx="1">
                  <c:v>1</c:v>
                </c:pt>
              </c:numCache>
            </c:numRef>
          </c:val>
          <c:extLst>
            <c:ext xmlns:c16="http://schemas.microsoft.com/office/drawing/2014/chart" uri="{C3380CC4-5D6E-409C-BE32-E72D297353CC}">
              <c16:uniqueId val="{00000001-1946-498D-A8AF-A27B040D7870}"/>
            </c:ext>
          </c:extLst>
        </c:ser>
        <c:ser>
          <c:idx val="2"/>
          <c:order val="2"/>
          <c:tx>
            <c:strRef>
              <c:f>Sheet1!$D$1</c:f>
              <c:strCache>
                <c:ptCount val="1"/>
                <c:pt idx="0">
                  <c:v>I Don't Know</c:v>
                </c:pt>
              </c:strCache>
            </c:strRef>
          </c:tx>
          <c:spPr>
            <a:solidFill>
              <a:schemeClr val="accent3"/>
            </a:solidFill>
            <a:ln>
              <a:noFill/>
            </a:ln>
            <a:effectLst/>
          </c:spPr>
          <c:invertIfNegative val="0"/>
          <c:cat>
            <c:strRef>
              <c:f>Sheet1!$A$2:$A$3</c:f>
              <c:strCache>
                <c:ptCount val="2"/>
                <c:pt idx="0">
                  <c:v>Focus Group 1</c:v>
                </c:pt>
                <c:pt idx="1">
                  <c:v>Focus Group 2</c:v>
                </c:pt>
              </c:strCache>
            </c:strRef>
          </c:cat>
          <c:val>
            <c:numRef>
              <c:f>Sheet1!$D$2:$D$3</c:f>
              <c:numCache>
                <c:formatCode>General</c:formatCode>
                <c:ptCount val="2"/>
                <c:pt idx="0">
                  <c:v>1</c:v>
                </c:pt>
                <c:pt idx="1">
                  <c:v>0</c:v>
                </c:pt>
              </c:numCache>
            </c:numRef>
          </c:val>
          <c:extLst>
            <c:ext xmlns:c16="http://schemas.microsoft.com/office/drawing/2014/chart" uri="{C3380CC4-5D6E-409C-BE32-E72D297353CC}">
              <c16:uniqueId val="{00000002-1946-498D-A8AF-A27B040D7870}"/>
            </c:ext>
          </c:extLst>
        </c:ser>
        <c:dLbls>
          <c:showLegendKey val="0"/>
          <c:showVal val="0"/>
          <c:showCatName val="0"/>
          <c:showSerName val="0"/>
          <c:showPercent val="0"/>
          <c:showBubbleSize val="0"/>
        </c:dLbls>
        <c:gapWidth val="219"/>
        <c:overlap val="-27"/>
        <c:axId val="728351688"/>
        <c:axId val="728350048"/>
      </c:barChart>
      <c:catAx>
        <c:axId val="728351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Group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350048"/>
        <c:crosses val="autoZero"/>
        <c:auto val="1"/>
        <c:lblAlgn val="ctr"/>
        <c:lblOffset val="100"/>
        <c:noMultiLvlLbl val="0"/>
      </c:catAx>
      <c:valAx>
        <c:axId val="728350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Frequency</a:t>
                </a:r>
              </a:p>
            </c:rich>
          </c:tx>
          <c:layout>
            <c:manualLayout>
              <c:xMode val="edge"/>
              <c:yMode val="edge"/>
              <c:x val="1.4506769825918761E-2"/>
              <c:y val="0.3950170143826361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351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 What</a:t>
            </a:r>
            <a:r>
              <a:rPr lang="en-GB" baseline="0"/>
              <a:t> would you change about the session?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Nothing</c:v>
                </c:pt>
              </c:strCache>
            </c:strRef>
          </c:tx>
          <c:spPr>
            <a:solidFill>
              <a:schemeClr val="accent1"/>
            </a:solidFill>
            <a:ln>
              <a:noFill/>
            </a:ln>
            <a:effectLst/>
          </c:spPr>
          <c:invertIfNegative val="0"/>
          <c:cat>
            <c:strRef>
              <c:f>Sheet1!$A$2:$A$3</c:f>
              <c:strCache>
                <c:ptCount val="2"/>
                <c:pt idx="0">
                  <c:v>Focus Group 1</c:v>
                </c:pt>
                <c:pt idx="1">
                  <c:v>Focus Group 2</c:v>
                </c:pt>
              </c:strCache>
            </c:strRef>
          </c:cat>
          <c:val>
            <c:numRef>
              <c:f>Sheet1!$B$2:$B$3</c:f>
              <c:numCache>
                <c:formatCode>General</c:formatCode>
                <c:ptCount val="2"/>
                <c:pt idx="0">
                  <c:v>2</c:v>
                </c:pt>
                <c:pt idx="1">
                  <c:v>2</c:v>
                </c:pt>
              </c:numCache>
            </c:numRef>
          </c:val>
          <c:extLst>
            <c:ext xmlns:c16="http://schemas.microsoft.com/office/drawing/2014/chart" uri="{C3380CC4-5D6E-409C-BE32-E72D297353CC}">
              <c16:uniqueId val="{00000000-2210-433A-A1DD-EDA87EC372BC}"/>
            </c:ext>
          </c:extLst>
        </c:ser>
        <c:ser>
          <c:idx val="1"/>
          <c:order val="1"/>
          <c:tx>
            <c:strRef>
              <c:f>Sheet1!$C$1</c:f>
              <c:strCache>
                <c:ptCount val="1"/>
                <c:pt idx="0">
                  <c:v>Less talking</c:v>
                </c:pt>
              </c:strCache>
            </c:strRef>
          </c:tx>
          <c:spPr>
            <a:solidFill>
              <a:schemeClr val="accent2"/>
            </a:solidFill>
            <a:ln>
              <a:noFill/>
            </a:ln>
            <a:effectLst/>
          </c:spPr>
          <c:invertIfNegative val="0"/>
          <c:cat>
            <c:strRef>
              <c:f>Sheet1!$A$2:$A$3</c:f>
              <c:strCache>
                <c:ptCount val="2"/>
                <c:pt idx="0">
                  <c:v>Focus Group 1</c:v>
                </c:pt>
                <c:pt idx="1">
                  <c:v>Focus Group 2</c:v>
                </c:pt>
              </c:strCache>
            </c:strRef>
          </c:cat>
          <c:val>
            <c:numRef>
              <c:f>Sheet1!$C$2:$C$3</c:f>
              <c:numCache>
                <c:formatCode>General</c:formatCode>
                <c:ptCount val="2"/>
                <c:pt idx="0">
                  <c:v>1</c:v>
                </c:pt>
                <c:pt idx="1">
                  <c:v>0</c:v>
                </c:pt>
              </c:numCache>
            </c:numRef>
          </c:val>
          <c:extLst>
            <c:ext xmlns:c16="http://schemas.microsoft.com/office/drawing/2014/chart" uri="{C3380CC4-5D6E-409C-BE32-E72D297353CC}">
              <c16:uniqueId val="{00000001-2210-433A-A1DD-EDA87EC372BC}"/>
            </c:ext>
          </c:extLst>
        </c:ser>
        <c:ser>
          <c:idx val="2"/>
          <c:order val="2"/>
          <c:tx>
            <c:strRef>
              <c:f>Sheet1!$D$1</c:f>
              <c:strCache>
                <c:ptCount val="1"/>
                <c:pt idx="0">
                  <c:v>More visual aids e.g videos &amp; pictures</c:v>
                </c:pt>
              </c:strCache>
            </c:strRef>
          </c:tx>
          <c:spPr>
            <a:solidFill>
              <a:schemeClr val="accent3"/>
            </a:solidFill>
            <a:ln>
              <a:noFill/>
            </a:ln>
            <a:effectLst/>
          </c:spPr>
          <c:invertIfNegative val="0"/>
          <c:cat>
            <c:strRef>
              <c:f>Sheet1!$A$2:$A$3</c:f>
              <c:strCache>
                <c:ptCount val="2"/>
                <c:pt idx="0">
                  <c:v>Focus Group 1</c:v>
                </c:pt>
                <c:pt idx="1">
                  <c:v>Focus Group 2</c:v>
                </c:pt>
              </c:strCache>
            </c:strRef>
          </c:cat>
          <c:val>
            <c:numRef>
              <c:f>Sheet1!$D$2:$D$3</c:f>
              <c:numCache>
                <c:formatCode>General</c:formatCode>
                <c:ptCount val="2"/>
                <c:pt idx="0">
                  <c:v>1</c:v>
                </c:pt>
                <c:pt idx="1">
                  <c:v>3</c:v>
                </c:pt>
              </c:numCache>
            </c:numRef>
          </c:val>
          <c:extLst>
            <c:ext xmlns:c16="http://schemas.microsoft.com/office/drawing/2014/chart" uri="{C3380CC4-5D6E-409C-BE32-E72D297353CC}">
              <c16:uniqueId val="{00000002-2210-433A-A1DD-EDA87EC372BC}"/>
            </c:ext>
          </c:extLst>
        </c:ser>
        <c:ser>
          <c:idx val="3"/>
          <c:order val="3"/>
          <c:tx>
            <c:strRef>
              <c:f>Sheet1!$E$1</c:f>
              <c:strCache>
                <c:ptCount val="1"/>
                <c:pt idx="0">
                  <c:v>More Activities</c:v>
                </c:pt>
              </c:strCache>
            </c:strRef>
          </c:tx>
          <c:spPr>
            <a:solidFill>
              <a:schemeClr val="accent4"/>
            </a:solidFill>
            <a:ln>
              <a:noFill/>
            </a:ln>
            <a:effectLst/>
          </c:spPr>
          <c:invertIfNegative val="0"/>
          <c:cat>
            <c:strRef>
              <c:f>Sheet1!$A$2:$A$3</c:f>
              <c:strCache>
                <c:ptCount val="2"/>
                <c:pt idx="0">
                  <c:v>Focus Group 1</c:v>
                </c:pt>
                <c:pt idx="1">
                  <c:v>Focus Group 2</c:v>
                </c:pt>
              </c:strCache>
            </c:strRef>
          </c:cat>
          <c:val>
            <c:numRef>
              <c:f>Sheet1!$E$2:$E$3</c:f>
              <c:numCache>
                <c:formatCode>General</c:formatCode>
                <c:ptCount val="2"/>
                <c:pt idx="0">
                  <c:v>1</c:v>
                </c:pt>
                <c:pt idx="1">
                  <c:v>0</c:v>
                </c:pt>
              </c:numCache>
            </c:numRef>
          </c:val>
          <c:extLst>
            <c:ext xmlns:c16="http://schemas.microsoft.com/office/drawing/2014/chart" uri="{C3380CC4-5D6E-409C-BE32-E72D297353CC}">
              <c16:uniqueId val="{00000003-2210-433A-A1DD-EDA87EC372BC}"/>
            </c:ext>
          </c:extLst>
        </c:ser>
        <c:dLbls>
          <c:showLegendKey val="0"/>
          <c:showVal val="0"/>
          <c:showCatName val="0"/>
          <c:showSerName val="0"/>
          <c:showPercent val="0"/>
          <c:showBubbleSize val="0"/>
        </c:dLbls>
        <c:gapWidth val="219"/>
        <c:overlap val="-27"/>
        <c:axId val="688766288"/>
        <c:axId val="688769240"/>
      </c:barChart>
      <c:catAx>
        <c:axId val="688766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Group</a:t>
                </a:r>
                <a:r>
                  <a:rPr lang="en-GB" baseline="0"/>
                  <a:t> no.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769240"/>
        <c:crosses val="autoZero"/>
        <c:auto val="1"/>
        <c:lblAlgn val="ctr"/>
        <c:lblOffset val="100"/>
        <c:noMultiLvlLbl val="0"/>
      </c:catAx>
      <c:valAx>
        <c:axId val="688769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766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26</Pages>
  <Words>5722</Words>
  <Characters>32617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Matthews (1500869)</dc:creator>
  <cp:keywords/>
  <dc:description/>
  <cp:lastModifiedBy>Cari Matthews (1500869)</cp:lastModifiedBy>
  <cp:revision>1</cp:revision>
  <dcterms:created xsi:type="dcterms:W3CDTF">2018-01-18T12:18:00Z</dcterms:created>
  <dcterms:modified xsi:type="dcterms:W3CDTF">2018-01-18T12:20:00Z</dcterms:modified>
</cp:coreProperties>
</file>