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CE8A6D" w14:textId="77777777" w:rsidR="00742278" w:rsidRPr="00742278" w:rsidRDefault="00742278" w:rsidP="00742278">
      <w:r w:rsidRPr="00742278">
        <w:rPr>
          <w:b/>
          <w:bCs/>
          <w:i/>
          <w:iCs/>
          <w:u w:val="single"/>
        </w:rPr>
        <w:t>4.0. Analysis of results</w:t>
      </w:r>
    </w:p>
    <w:p w14:paraId="51A12DC5" w14:textId="400E6C79" w:rsidR="00742278" w:rsidRPr="00742278" w:rsidRDefault="00742278" w:rsidP="00742278">
      <w:r w:rsidRPr="00742278">
        <w:t xml:space="preserve">This study adopts a mixed-method approach, combining quantitative survey data with existing literature to examine the mental health realities of frontline police officers within South Wales Police. The findings are analysed in relation to key themes identified in the literature, including occupational stress, trauma exposure, organisational </w:t>
      </w:r>
      <w:r w:rsidRPr="00742278">
        <w:t>culture,</w:t>
      </w:r>
      <w:r w:rsidRPr="00742278">
        <w:t xml:space="preserve"> and barriers to seeking support. </w:t>
      </w:r>
    </w:p>
    <w:p w14:paraId="6E4049DA" w14:textId="5CE6D066" w:rsidR="00742278" w:rsidRPr="00742278" w:rsidRDefault="00742278" w:rsidP="00742278">
      <w:r w:rsidRPr="00742278">
        <w:t>The data presented in this section is derived from a survey distributed to frontline officers within South Wales Police (see Appendix A for the full questionnaire).</w:t>
      </w:r>
    </w:p>
    <w:p w14:paraId="335E3246" w14:textId="77777777" w:rsidR="00742278" w:rsidRPr="00742278" w:rsidRDefault="00742278" w:rsidP="00742278">
      <w:r w:rsidRPr="00742278">
        <w:rPr>
          <w:b/>
          <w:bCs/>
          <w:i/>
          <w:iCs/>
          <w:u w:val="single"/>
        </w:rPr>
        <w:t>4.1. Rest and Fatigue</w:t>
      </w:r>
    </w:p>
    <w:p w14:paraId="3FBB677E" w14:textId="0AB0F245" w:rsidR="00742278" w:rsidRPr="00742278" w:rsidRDefault="00742278" w:rsidP="00742278">
      <w:pPr>
        <w:jc w:val="center"/>
      </w:pPr>
      <w:r>
        <w:rPr>
          <w:noProof/>
        </w:rPr>
        <w:drawing>
          <wp:inline distT="0" distB="0" distL="0" distR="0" wp14:anchorId="1D73C087" wp14:editId="414AE63B">
            <wp:extent cx="4572000" cy="2743200"/>
            <wp:effectExtent l="0" t="0" r="0" b="0"/>
            <wp:docPr id="1825759756" name="Chart 1">
              <a:extLst xmlns:a="http://schemas.openxmlformats.org/drawingml/2006/main">
                <a:ext uri="{FF2B5EF4-FFF2-40B4-BE49-F238E27FC236}">
                  <a16:creationId xmlns:a16="http://schemas.microsoft.com/office/drawing/2014/main" id="{B1E93944-3AD0-4623-95FD-E3EA05CFAD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6B59B2A9" w14:textId="1DD5BE49" w:rsidR="00742278" w:rsidRPr="00742278" w:rsidRDefault="00742278" w:rsidP="00742278">
      <w:r w:rsidRPr="00742278">
        <w:rPr>
          <w:i/>
          <w:iCs/>
        </w:rPr>
        <w:t>Figure 1: Frequency of adequate rest between shifts.</w:t>
      </w:r>
    </w:p>
    <w:p w14:paraId="6B27E432" w14:textId="63A34A49" w:rsidR="00742278" w:rsidRPr="00742278" w:rsidRDefault="00742278" w:rsidP="00742278">
      <w:r w:rsidRPr="00742278">
        <w:t xml:space="preserve">As illustrated in Figure 1, </w:t>
      </w:r>
      <w:r w:rsidRPr="00742278">
        <w:t>most</w:t>
      </w:r>
      <w:r w:rsidRPr="00742278">
        <w:t xml:space="preserve"> respondents (21) reported that they rarely get adequate rest between shifts. This compares to </w:t>
      </w:r>
      <w:r w:rsidRPr="00742278">
        <w:t>seven</w:t>
      </w:r>
      <w:r w:rsidRPr="00742278">
        <w:t xml:space="preserve"> respondents who reported “often,” 3 “never,” and only </w:t>
      </w:r>
      <w:r w:rsidRPr="00742278">
        <w:t>two</w:t>
      </w:r>
      <w:r w:rsidRPr="00742278">
        <w:t xml:space="preserve"> “always.” These findings indicate that insufficient rest is a common experience amongst frontline officers. This aligns with wider literature identifying policing as a high-demand occupation characterised by long hours, shift work, and operational pressures (Shane, 2020). Similarly, Porter and Gavin (2024) highlight the role of organisational and operational stressors in shaping officer wellbeing. These findings can also be understood through Karasek’s (1979) job demands–control model, which suggests that high job demands combined with low control increase stress levels. In this context, officers have limited control over shift patterns and recovery time, contributing to fatigue. The presence of respondents reporting “never” receiving adequate rest highlights the severity of the issue for some individuals.</w:t>
      </w:r>
    </w:p>
    <w:p w14:paraId="746A3418" w14:textId="2297EC26" w:rsidR="00742278" w:rsidRPr="00742278" w:rsidRDefault="00742278" w:rsidP="00742278">
      <w:r w:rsidRPr="00742278">
        <w:t xml:space="preserve">Fatigue has significant implications for both wellbeing and operational performance. Policing requires rapid decision-making in high-risk situations, and insufficient rest may </w:t>
      </w:r>
      <w:r w:rsidRPr="00742278">
        <w:lastRenderedPageBreak/>
        <w:t xml:space="preserve">impair cognitive functioning, </w:t>
      </w:r>
      <w:r w:rsidRPr="00742278">
        <w:t>increas</w:t>
      </w:r>
      <w:r>
        <w:t xml:space="preserve">ing </w:t>
      </w:r>
      <w:r w:rsidRPr="00742278">
        <w:t>the risk of errors and compromising public safety. This reinforces the idea that fatigue is not solely a wellbeing concern but also an operational issue.</w:t>
      </w:r>
    </w:p>
    <w:p w14:paraId="295D6625" w14:textId="752A1CB9" w:rsidR="00742278" w:rsidRPr="00742278" w:rsidRDefault="00742278" w:rsidP="00742278">
      <w:r w:rsidRPr="00742278">
        <w:t xml:space="preserve">However, it is important to acknowledge that these findings are based on self-reported perceptions of rest, which may be influenced by individual bias. Officers experiencing higher stress levels may be more likely to perceive their rest as inadequate. Additionally, the </w:t>
      </w:r>
      <w:r w:rsidRPr="00742278">
        <w:t>small</w:t>
      </w:r>
      <w:r w:rsidRPr="00742278">
        <w:t xml:space="preserve"> sample size (n = 33) limits the generalisability of these findings across the wider force.</w:t>
      </w:r>
    </w:p>
    <w:p w14:paraId="7F2462CB" w14:textId="77777777" w:rsidR="00742278" w:rsidRPr="00742278" w:rsidRDefault="00742278" w:rsidP="00742278"/>
    <w:p w14:paraId="31EEFF48" w14:textId="77777777" w:rsidR="00742278" w:rsidRPr="00742278" w:rsidRDefault="00742278" w:rsidP="00742278">
      <w:r w:rsidRPr="00742278">
        <w:rPr>
          <w:b/>
          <w:bCs/>
          <w:i/>
          <w:iCs/>
          <w:u w:val="single"/>
        </w:rPr>
        <w:t>4.2. Awareness of Mental Health Support</w:t>
      </w:r>
    </w:p>
    <w:p w14:paraId="38C4389C" w14:textId="1927B1E8" w:rsidR="00742278" w:rsidRPr="00742278" w:rsidRDefault="00742278" w:rsidP="00742278">
      <w:r w:rsidRPr="00742278">
        <mc:AlternateContent>
          <mc:Choice Requires="wps">
            <w:drawing>
              <wp:inline distT="0" distB="0" distL="0" distR="0" wp14:anchorId="6ED8678F" wp14:editId="207BEEE5">
                <wp:extent cx="304800" cy="304800"/>
                <wp:effectExtent l="0" t="0" r="0" b="0"/>
                <wp:docPr id="247158583"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6A393F" id="Rectangle 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22E0C775" wp14:editId="2450937F">
            <wp:extent cx="4572000" cy="2743200"/>
            <wp:effectExtent l="0" t="0" r="0" b="0"/>
            <wp:docPr id="2012214025" name="Chart 1">
              <a:extLst xmlns:a="http://schemas.openxmlformats.org/drawingml/2006/main">
                <a:ext uri="{FF2B5EF4-FFF2-40B4-BE49-F238E27FC236}">
                  <a16:creationId xmlns:a16="http://schemas.microsoft.com/office/drawing/2014/main" id="{68479243-ED2D-4430-5209-5D74970140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5ABC8F23" w14:textId="77777777" w:rsidR="00742278" w:rsidRPr="00742278" w:rsidRDefault="00742278" w:rsidP="00742278">
      <w:r w:rsidRPr="00742278">
        <w:rPr>
          <w:i/>
          <w:iCs/>
        </w:rPr>
        <w:t>Figure 2: Awareness of support available to officers.</w:t>
      </w:r>
    </w:p>
    <w:p w14:paraId="0ECC2316" w14:textId="77777777" w:rsidR="00742278" w:rsidRPr="00742278" w:rsidRDefault="00742278" w:rsidP="00742278">
      <w:r w:rsidRPr="00742278">
        <w:t>Figure 2 indicates that most respondents are aware of the support available within South Wales Police. However, a notable proportion reported that they are only “somewhat” aware of the support available to them, while a small minority expressed, they were not aware of the support available to them.</w:t>
      </w:r>
    </w:p>
    <w:p w14:paraId="486AAFA6" w14:textId="77777777" w:rsidR="00742278" w:rsidRPr="00742278" w:rsidRDefault="00742278" w:rsidP="00742278">
      <w:r w:rsidRPr="00742278">
        <w:t>This finding reflects themes identified within the literature review regarding organisational culture and stigma. While forces have increasingly introduced wellbeing initiatives, research by Newell et al. (2021) suggests that such programmes are often perceived as symbolic rather than practical. The presence of “somewhat” responses in this study supports this, indicating that awareness does not necessarily equate to understanding or confidence in accessing support.</w:t>
      </w:r>
    </w:p>
    <w:p w14:paraId="3FE15709" w14:textId="77777777" w:rsidR="00742278" w:rsidRPr="00742278" w:rsidRDefault="00742278" w:rsidP="00742278">
      <w:r w:rsidRPr="00742278">
        <w:t xml:space="preserve">Furthermore, stigma remains a significant barrier. Grupe (2023) highlights that officers may avoid seeking support due to fears of being perceived as weak, fears of judgement or negative career implications. This is reinforced by both Goerling’s (2012) description </w:t>
      </w:r>
      <w:r w:rsidRPr="00742278">
        <w:lastRenderedPageBreak/>
        <w:t>of policing culture as one that values toughness and emotional control, as well as responses to the question about if there is a stigma around mental health within south Wales police. Figure 3 demonstrates a scale of perceived stigma around mental health within South Wales police. Majority of respondents voted level 3, indicating there is a perceived stigma around mental health within South Wales Police. The overall mean was 3.6 from a group of 33 respondents.</w:t>
      </w:r>
    </w:p>
    <w:p w14:paraId="42D4C50B" w14:textId="4851C3BC" w:rsidR="00742278" w:rsidRPr="00742278" w:rsidRDefault="00742278" w:rsidP="00742278">
      <w:pPr>
        <w:jc w:val="center"/>
      </w:pPr>
      <w:r>
        <w:rPr>
          <w:noProof/>
        </w:rPr>
        <w:drawing>
          <wp:inline distT="0" distB="0" distL="0" distR="0" wp14:anchorId="51E36C82" wp14:editId="03CEF172">
            <wp:extent cx="4572000" cy="2508250"/>
            <wp:effectExtent l="0" t="0" r="0" b="6350"/>
            <wp:docPr id="712312750" name="Chart 1">
              <a:extLst xmlns:a="http://schemas.openxmlformats.org/drawingml/2006/main">
                <a:ext uri="{FF2B5EF4-FFF2-40B4-BE49-F238E27FC236}">
                  <a16:creationId xmlns:a16="http://schemas.microsoft.com/office/drawing/2014/main" id="{A58F94DC-A9B9-3752-DD13-48384DCEB6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798097D" w14:textId="77777777" w:rsidR="00742278" w:rsidRPr="00742278" w:rsidRDefault="00742278" w:rsidP="00742278">
      <w:r w:rsidRPr="00742278">
        <w:rPr>
          <w:i/>
          <w:iCs/>
        </w:rPr>
        <w:t>Figure 3: Perceived stigma surrounding Mental Health within South Wales police mean score (n = 33).</w:t>
      </w:r>
    </w:p>
    <w:p w14:paraId="1EB10017" w14:textId="77777777" w:rsidR="00742278" w:rsidRPr="00742278" w:rsidRDefault="00742278" w:rsidP="00742278">
      <w:r w:rsidRPr="00742278">
        <w:t>If officers lack confidence in leadership or organisational support, this may contribute to the lack of certainty in relation to seeking support in relation to seeking mental health support. Therefore, while awareness appears relatively high, the data in figure 3 suggest that there are barriers in relation to seeking that support as there is a strong perceived stigma surrounding mental health within South Wales Police.</w:t>
      </w:r>
    </w:p>
    <w:p w14:paraId="3EF498FF" w14:textId="77777777" w:rsidR="00742278" w:rsidRDefault="00742278" w:rsidP="00742278">
      <w:pPr>
        <w:rPr>
          <w:b/>
          <w:bCs/>
          <w:i/>
          <w:iCs/>
          <w:u w:val="single"/>
        </w:rPr>
      </w:pPr>
      <w:r w:rsidRPr="00D26378">
        <w:rPr>
          <w:i/>
          <w:iCs/>
          <w:noProof/>
        </w:rPr>
        <mc:AlternateContent>
          <mc:Choice Requires="wps">
            <w:drawing>
              <wp:anchor distT="45720" distB="45720" distL="114300" distR="114300" simplePos="0" relativeHeight="251659264" behindDoc="0" locked="0" layoutInCell="1" allowOverlap="1" wp14:anchorId="2E287097" wp14:editId="43B90603">
                <wp:simplePos x="0" y="0"/>
                <wp:positionH relativeFrom="page">
                  <wp:posOffset>5604095</wp:posOffset>
                </wp:positionH>
                <wp:positionV relativeFrom="page">
                  <wp:posOffset>7357009</wp:posOffset>
                </wp:positionV>
                <wp:extent cx="1695450" cy="1343025"/>
                <wp:effectExtent l="0" t="0" r="19050" b="28575"/>
                <wp:wrapSquare wrapText="bothSides"/>
                <wp:docPr id="577338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1343025"/>
                        </a:xfrm>
                        <a:prstGeom prst="rect">
                          <a:avLst/>
                        </a:prstGeom>
                        <a:solidFill>
                          <a:srgbClr val="FFFFFF"/>
                        </a:solidFill>
                        <a:ln w="9525">
                          <a:solidFill>
                            <a:srgbClr val="000000"/>
                          </a:solidFill>
                          <a:miter lim="800000"/>
                          <a:headEnd/>
                          <a:tailEnd/>
                        </a:ln>
                      </wps:spPr>
                      <wps:txbx>
                        <w:txbxContent>
                          <w:p w14:paraId="341CE189" w14:textId="77777777" w:rsidR="00742278" w:rsidRDefault="00742278" w:rsidP="00742278">
                            <w:r>
                              <w:t>Answer Scale:</w:t>
                            </w:r>
                          </w:p>
                          <w:tbl>
                            <w:tblPr>
                              <w:tblW w:w="2694" w:type="dxa"/>
                              <w:tblLook w:val="04A0" w:firstRow="1" w:lastRow="0" w:firstColumn="1" w:lastColumn="0" w:noHBand="0" w:noVBand="1"/>
                            </w:tblPr>
                            <w:tblGrid>
                              <w:gridCol w:w="2694"/>
                            </w:tblGrid>
                            <w:tr w:rsidR="00742278" w:rsidRPr="00D26378" w14:paraId="041B5360" w14:textId="77777777" w:rsidTr="0035728C">
                              <w:trPr>
                                <w:trHeight w:val="300"/>
                              </w:trPr>
                              <w:tc>
                                <w:tcPr>
                                  <w:tcW w:w="2694" w:type="dxa"/>
                                  <w:tcBorders>
                                    <w:top w:val="nil"/>
                                    <w:left w:val="nil"/>
                                    <w:bottom w:val="nil"/>
                                    <w:right w:val="nil"/>
                                  </w:tcBorders>
                                  <w:noWrap/>
                                  <w:vAlign w:val="bottom"/>
                                  <w:hideMark/>
                                </w:tcPr>
                                <w:p w14:paraId="53050EF3"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1 - Not at all</w:t>
                                  </w:r>
                                </w:p>
                              </w:tc>
                            </w:tr>
                            <w:tr w:rsidR="00742278" w:rsidRPr="00D26378" w14:paraId="4E773A45" w14:textId="77777777" w:rsidTr="0035728C">
                              <w:trPr>
                                <w:trHeight w:val="300"/>
                              </w:trPr>
                              <w:tc>
                                <w:tcPr>
                                  <w:tcW w:w="2694" w:type="dxa"/>
                                  <w:tcBorders>
                                    <w:top w:val="nil"/>
                                    <w:left w:val="nil"/>
                                    <w:bottom w:val="nil"/>
                                    <w:right w:val="nil"/>
                                  </w:tcBorders>
                                  <w:noWrap/>
                                  <w:vAlign w:val="bottom"/>
                                  <w:hideMark/>
                                </w:tcPr>
                                <w:p w14:paraId="275A4E36"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 xml:space="preserve">2 - No more than usual </w:t>
                                  </w:r>
                                </w:p>
                              </w:tc>
                            </w:tr>
                            <w:tr w:rsidR="00742278" w:rsidRPr="00D26378" w14:paraId="4A1F3BFB" w14:textId="77777777" w:rsidTr="0035728C">
                              <w:trPr>
                                <w:trHeight w:val="300"/>
                              </w:trPr>
                              <w:tc>
                                <w:tcPr>
                                  <w:tcW w:w="2694" w:type="dxa"/>
                                  <w:tcBorders>
                                    <w:top w:val="nil"/>
                                    <w:left w:val="nil"/>
                                    <w:bottom w:val="nil"/>
                                    <w:right w:val="nil"/>
                                  </w:tcBorders>
                                  <w:noWrap/>
                                  <w:vAlign w:val="bottom"/>
                                  <w:hideMark/>
                                </w:tcPr>
                                <w:p w14:paraId="4F033BF0"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 xml:space="preserve">3 - Rather more than usual </w:t>
                                  </w:r>
                                </w:p>
                              </w:tc>
                            </w:tr>
                            <w:tr w:rsidR="00742278" w:rsidRPr="00D26378" w14:paraId="4001A746" w14:textId="77777777" w:rsidTr="0035728C">
                              <w:trPr>
                                <w:trHeight w:val="300"/>
                              </w:trPr>
                              <w:tc>
                                <w:tcPr>
                                  <w:tcW w:w="2694" w:type="dxa"/>
                                  <w:tcBorders>
                                    <w:top w:val="nil"/>
                                    <w:left w:val="nil"/>
                                    <w:bottom w:val="nil"/>
                                    <w:right w:val="nil"/>
                                  </w:tcBorders>
                                  <w:noWrap/>
                                  <w:vAlign w:val="bottom"/>
                                  <w:hideMark/>
                                </w:tcPr>
                                <w:p w14:paraId="2B4CE533"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4 - Much more than usual</w:t>
                                  </w:r>
                                </w:p>
                              </w:tc>
                            </w:tr>
                          </w:tbl>
                          <w:p w14:paraId="1A7B08CA" w14:textId="77777777" w:rsidR="00742278" w:rsidRDefault="00742278" w:rsidP="0074227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287097" id="_x0000_t202" coordsize="21600,21600" o:spt="202" path="m,l,21600r21600,l21600,xe">
                <v:stroke joinstyle="miter"/>
                <v:path gradientshapeok="t" o:connecttype="rect"/>
              </v:shapetype>
              <v:shape id="Text Box 2" o:spid="_x0000_s1026" type="#_x0000_t202" style="position:absolute;margin-left:441.25pt;margin-top:579.3pt;width:133.5pt;height:105.7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">
                <v:textbox>
                  <w:txbxContent>
                    <w:p w14:paraId="341CE189" w14:textId="77777777" w:rsidR="00742278" w:rsidRDefault="00742278" w:rsidP="00742278">
                      <w:r>
                        <w:t>Answer Scale:</w:t>
                      </w:r>
                    </w:p>
                    <w:tbl>
                      <w:tblPr>
                        <w:tblW w:w="2694" w:type="dxa"/>
                        <w:tblLook w:val="04A0" w:firstRow="1" w:lastRow="0" w:firstColumn="1" w:lastColumn="0" w:noHBand="0" w:noVBand="1"/>
                      </w:tblPr>
                      <w:tblGrid>
                        <w:gridCol w:w="2694"/>
                      </w:tblGrid>
                      <w:tr w:rsidR="00742278" w:rsidRPr="00D26378" w14:paraId="041B5360" w14:textId="77777777" w:rsidTr="0035728C">
                        <w:trPr>
                          <w:trHeight w:val="300"/>
                        </w:trPr>
                        <w:tc>
                          <w:tcPr>
                            <w:tcW w:w="2694" w:type="dxa"/>
                            <w:tcBorders>
                              <w:top w:val="nil"/>
                              <w:left w:val="nil"/>
                              <w:bottom w:val="nil"/>
                              <w:right w:val="nil"/>
                            </w:tcBorders>
                            <w:noWrap/>
                            <w:vAlign w:val="bottom"/>
                            <w:hideMark/>
                          </w:tcPr>
                          <w:p w14:paraId="53050EF3"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1 - Not at all</w:t>
                            </w:r>
                          </w:p>
                        </w:tc>
                      </w:tr>
                      <w:tr w:rsidR="00742278" w:rsidRPr="00D26378" w14:paraId="4E773A45" w14:textId="77777777" w:rsidTr="0035728C">
                        <w:trPr>
                          <w:trHeight w:val="300"/>
                        </w:trPr>
                        <w:tc>
                          <w:tcPr>
                            <w:tcW w:w="2694" w:type="dxa"/>
                            <w:tcBorders>
                              <w:top w:val="nil"/>
                              <w:left w:val="nil"/>
                              <w:bottom w:val="nil"/>
                              <w:right w:val="nil"/>
                            </w:tcBorders>
                            <w:noWrap/>
                            <w:vAlign w:val="bottom"/>
                            <w:hideMark/>
                          </w:tcPr>
                          <w:p w14:paraId="275A4E36"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 xml:space="preserve">2 - No more than usual </w:t>
                            </w:r>
                          </w:p>
                        </w:tc>
                      </w:tr>
                      <w:tr w:rsidR="00742278" w:rsidRPr="00D26378" w14:paraId="4A1F3BFB" w14:textId="77777777" w:rsidTr="0035728C">
                        <w:trPr>
                          <w:trHeight w:val="300"/>
                        </w:trPr>
                        <w:tc>
                          <w:tcPr>
                            <w:tcW w:w="2694" w:type="dxa"/>
                            <w:tcBorders>
                              <w:top w:val="nil"/>
                              <w:left w:val="nil"/>
                              <w:bottom w:val="nil"/>
                              <w:right w:val="nil"/>
                            </w:tcBorders>
                            <w:noWrap/>
                            <w:vAlign w:val="bottom"/>
                            <w:hideMark/>
                          </w:tcPr>
                          <w:p w14:paraId="4F033BF0"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 xml:space="preserve">3 - Rather more than usual </w:t>
                            </w:r>
                          </w:p>
                        </w:tc>
                      </w:tr>
                      <w:tr w:rsidR="00742278" w:rsidRPr="00D26378" w14:paraId="4001A746" w14:textId="77777777" w:rsidTr="0035728C">
                        <w:trPr>
                          <w:trHeight w:val="300"/>
                        </w:trPr>
                        <w:tc>
                          <w:tcPr>
                            <w:tcW w:w="2694" w:type="dxa"/>
                            <w:tcBorders>
                              <w:top w:val="nil"/>
                              <w:left w:val="nil"/>
                              <w:bottom w:val="nil"/>
                              <w:right w:val="nil"/>
                            </w:tcBorders>
                            <w:noWrap/>
                            <w:vAlign w:val="bottom"/>
                            <w:hideMark/>
                          </w:tcPr>
                          <w:p w14:paraId="2B4CE533"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hAnsi="Aptos Narrow"/>
                                <w:color w:val="000000"/>
                                <w:sz w:val="22"/>
                                <w:szCs w:val="22"/>
                              </w:rPr>
                              <w:t>4 - Much more than usual</w:t>
                            </w:r>
                          </w:p>
                        </w:tc>
                      </w:tr>
                    </w:tbl>
                    <w:p w14:paraId="1A7B08CA" w14:textId="77777777" w:rsidR="00742278" w:rsidRDefault="00742278" w:rsidP="00742278"/>
                  </w:txbxContent>
                </v:textbox>
                <w10:wrap type="square" anchorx="page" anchory="page"/>
              </v:shape>
            </w:pict>
          </mc:Fallback>
        </mc:AlternateContent>
      </w:r>
      <w:r w:rsidRPr="00742278">
        <w:rPr>
          <w:b/>
          <w:bCs/>
          <w:i/>
          <w:iCs/>
          <w:u w:val="single"/>
        </w:rPr>
        <w:t>4.3. GHQ-12 and Perceived Stress Scale (PSS): Psychological wellbeing</w:t>
      </w:r>
    </w:p>
    <w:p w14:paraId="075D399E" w14:textId="469AE29E" w:rsidR="00742278" w:rsidRPr="00742278" w:rsidRDefault="00742278" w:rsidP="00742278">
      <w:r>
        <w:rPr>
          <w:noProof/>
        </w:rPr>
        <w:drawing>
          <wp:inline distT="0" distB="0" distL="0" distR="0" wp14:anchorId="035C3DF5" wp14:editId="04C1847F">
            <wp:extent cx="4436198" cy="2716040"/>
            <wp:effectExtent l="0" t="0" r="2540" b="8255"/>
            <wp:docPr id="527236726" name="Chart 1">
              <a:extLst xmlns:a="http://schemas.openxmlformats.org/drawingml/2006/main">
                <a:ext uri="{FF2B5EF4-FFF2-40B4-BE49-F238E27FC236}">
                  <a16:creationId xmlns:a16="http://schemas.microsoft.com/office/drawing/2014/main" id="{B6718368-3050-7917-0435-DDFFBACD7D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E780BE9" w14:textId="19A06436" w:rsidR="00742278" w:rsidRPr="00742278" w:rsidRDefault="00742278" w:rsidP="00742278">
      <w:r w:rsidRPr="00742278">
        <w:lastRenderedPageBreak/>
        <mc:AlternateContent>
          <mc:Choice Requires="wps">
            <w:drawing>
              <wp:inline distT="0" distB="0" distL="0" distR="0" wp14:anchorId="33647263" wp14:editId="2FF75296">
                <wp:extent cx="304800" cy="304800"/>
                <wp:effectExtent l="0" t="0" r="0" b="0"/>
                <wp:docPr id="246298188"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3770DC" id="Rectangl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t xml:space="preserve">  </w:t>
      </w:r>
    </w:p>
    <w:p w14:paraId="7E6DB53E" w14:textId="77777777" w:rsidR="00742278" w:rsidRPr="00742278" w:rsidRDefault="00742278" w:rsidP="00742278">
      <w:r w:rsidRPr="00742278">
        <w:rPr>
          <w:i/>
          <w:iCs/>
        </w:rPr>
        <w:t> </w:t>
      </w:r>
    </w:p>
    <w:p w14:paraId="51CF164A" w14:textId="77777777" w:rsidR="00742278" w:rsidRPr="00742278" w:rsidRDefault="00742278" w:rsidP="00742278">
      <w:r w:rsidRPr="00742278">
        <w:rPr>
          <w:i/>
          <w:iCs/>
        </w:rPr>
        <w:t>Figure 4: GHQ-12 Responses. Mean scores across all items (n = 33).</w:t>
      </w:r>
    </w:p>
    <w:p w14:paraId="1096FE03" w14:textId="77777777" w:rsidR="00742278" w:rsidRPr="00742278" w:rsidRDefault="00742278" w:rsidP="00742278">
      <w:r w:rsidRPr="00742278">
        <w:t>The GHQ-12 results (Figure 4) show that mean scores across all items fall predominantly between 2 and 3, indicating moderate levels of psychological distress amongst respondents. This suggests that officers are experiencing ongoing strain, even if not clinically severe levels.</w:t>
      </w:r>
    </w:p>
    <w:p w14:paraId="0B9B6680" w14:textId="77777777" w:rsidR="00742278" w:rsidRPr="00742278" w:rsidRDefault="00742278" w:rsidP="00742278">
      <w:r w:rsidRPr="00742278">
        <w:t>This supports the argument presented in the literature that mental health issues in policing are not always presented as acute conditions such as PTSD but also include distress and everyday psychological strain. As found in literature, many traditional models focus on clinical diagnosis’s, potentially overlooking the cumulative impact of ongoing everyday stress. This aligns with Brewin et al (2020), who introduced the idea that repeat exposure to stressors, rather than a single traumatic event contributes significantly to emotional distress and burnout.</w:t>
      </w:r>
    </w:p>
    <w:p w14:paraId="63B7F2D2" w14:textId="5A1D9B3E" w:rsidR="00742278" w:rsidRPr="00742278" w:rsidRDefault="00742278" w:rsidP="00742278">
      <w:r w:rsidRPr="00742278">
        <w:t>This highlights the importance of recognising the early signs of psychological strain before they develop into more severe conditions. The GHQ-12 provides valuable insight into the everyday mental health experiences of frontline police officers within South Wales Police.</w:t>
      </w:r>
    </w:p>
    <w:p w14:paraId="22EB5694" w14:textId="3CD97DEE" w:rsidR="00742278" w:rsidRPr="00742278" w:rsidRDefault="00742278" w:rsidP="00742278">
      <w:r w:rsidRPr="00D26378">
        <w:rPr>
          <w:i/>
          <w:iCs/>
          <w:noProof/>
        </w:rPr>
        <mc:AlternateContent>
          <mc:Choice Requires="wps">
            <w:drawing>
              <wp:anchor distT="45720" distB="45720" distL="114300" distR="114300" simplePos="0" relativeHeight="251661312" behindDoc="0" locked="0" layoutInCell="1" allowOverlap="1" wp14:anchorId="10884948" wp14:editId="64B30B7A">
                <wp:simplePos x="0" y="0"/>
                <wp:positionH relativeFrom="column">
                  <wp:posOffset>4888287</wp:posOffset>
                </wp:positionH>
                <wp:positionV relativeFrom="margin">
                  <wp:posOffset>5177890</wp:posOffset>
                </wp:positionV>
                <wp:extent cx="1257300" cy="13430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343025"/>
                        </a:xfrm>
                        <a:prstGeom prst="rect">
                          <a:avLst/>
                        </a:prstGeom>
                        <a:solidFill>
                          <a:srgbClr val="FFFFFF"/>
                        </a:solidFill>
                        <a:ln w="9525">
                          <a:solidFill>
                            <a:srgbClr val="000000"/>
                          </a:solidFill>
                          <a:miter lim="800000"/>
                          <a:headEnd/>
                          <a:tailEnd/>
                        </a:ln>
                      </wps:spPr>
                      <wps:txbx>
                        <w:txbxContent>
                          <w:p w14:paraId="0C284AFC" w14:textId="77777777" w:rsidR="00742278" w:rsidRDefault="00742278" w:rsidP="00742278">
                            <w:r>
                              <w:t>Answer Scale:</w:t>
                            </w:r>
                          </w:p>
                          <w:tbl>
                            <w:tblPr>
                              <w:tblW w:w="2694" w:type="dxa"/>
                              <w:tblLook w:val="04A0" w:firstRow="1" w:lastRow="0" w:firstColumn="1" w:lastColumn="0" w:noHBand="0" w:noVBand="1"/>
                            </w:tblPr>
                            <w:tblGrid>
                              <w:gridCol w:w="2694"/>
                            </w:tblGrid>
                            <w:tr w:rsidR="00742278" w:rsidRPr="00D26378" w14:paraId="4D868952" w14:textId="77777777" w:rsidTr="0035728C">
                              <w:trPr>
                                <w:trHeight w:val="300"/>
                              </w:trPr>
                              <w:tc>
                                <w:tcPr>
                                  <w:tcW w:w="2694" w:type="dxa"/>
                                  <w:tcBorders>
                                    <w:top w:val="nil"/>
                                    <w:left w:val="nil"/>
                                    <w:bottom w:val="nil"/>
                                    <w:right w:val="nil"/>
                                  </w:tcBorders>
                                  <w:noWrap/>
                                  <w:vAlign w:val="bottom"/>
                                  <w:hideMark/>
                                </w:tcPr>
                                <w:p w14:paraId="00D15727" w14:textId="77777777" w:rsidR="007422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0 - Never</w:t>
                                  </w:r>
                                </w:p>
                                <w:p w14:paraId="7A093015"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 xml:space="preserve">1 - Almost never </w:t>
                                  </w:r>
                                </w:p>
                              </w:tc>
                            </w:tr>
                            <w:tr w:rsidR="00742278" w:rsidRPr="00D26378" w14:paraId="15D50A75" w14:textId="77777777" w:rsidTr="0035728C">
                              <w:trPr>
                                <w:trHeight w:val="300"/>
                              </w:trPr>
                              <w:tc>
                                <w:tcPr>
                                  <w:tcW w:w="2694" w:type="dxa"/>
                                  <w:tcBorders>
                                    <w:top w:val="nil"/>
                                    <w:left w:val="nil"/>
                                    <w:bottom w:val="nil"/>
                                    <w:right w:val="nil"/>
                                  </w:tcBorders>
                                  <w:noWrap/>
                                  <w:vAlign w:val="bottom"/>
                                  <w:hideMark/>
                                </w:tcPr>
                                <w:p w14:paraId="3D4EDF30"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2 - Sometimes</w:t>
                                  </w:r>
                                </w:p>
                              </w:tc>
                            </w:tr>
                            <w:tr w:rsidR="00742278" w:rsidRPr="00D26378" w14:paraId="57991532" w14:textId="77777777" w:rsidTr="0035728C">
                              <w:trPr>
                                <w:trHeight w:val="300"/>
                              </w:trPr>
                              <w:tc>
                                <w:tcPr>
                                  <w:tcW w:w="2694" w:type="dxa"/>
                                  <w:tcBorders>
                                    <w:top w:val="nil"/>
                                    <w:left w:val="nil"/>
                                    <w:bottom w:val="nil"/>
                                    <w:right w:val="nil"/>
                                  </w:tcBorders>
                                  <w:noWrap/>
                                  <w:vAlign w:val="bottom"/>
                                  <w:hideMark/>
                                </w:tcPr>
                                <w:p w14:paraId="28FEF210"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3 - Fairly often</w:t>
                                  </w:r>
                                </w:p>
                              </w:tc>
                            </w:tr>
                            <w:tr w:rsidR="00742278" w:rsidRPr="00D26378" w14:paraId="6E589FD7" w14:textId="77777777" w:rsidTr="0035728C">
                              <w:trPr>
                                <w:trHeight w:val="300"/>
                              </w:trPr>
                              <w:tc>
                                <w:tcPr>
                                  <w:tcW w:w="2694" w:type="dxa"/>
                                  <w:tcBorders>
                                    <w:top w:val="nil"/>
                                    <w:left w:val="nil"/>
                                    <w:bottom w:val="nil"/>
                                    <w:right w:val="nil"/>
                                  </w:tcBorders>
                                  <w:noWrap/>
                                  <w:vAlign w:val="bottom"/>
                                  <w:hideMark/>
                                </w:tcPr>
                                <w:p w14:paraId="26CF00A6"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4 - Very often</w:t>
                                  </w:r>
                                </w:p>
                              </w:tc>
                            </w:tr>
                          </w:tbl>
                          <w:p w14:paraId="58F8FC81" w14:textId="77777777" w:rsidR="00742278" w:rsidRDefault="00742278" w:rsidP="0074227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884948" id="_x0000_s1027" type="#_x0000_t202" style="position:absolute;margin-left:384.9pt;margin-top:407.7pt;width:99pt;height:105.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">
                <v:textbox>
                  <w:txbxContent>
                    <w:p w14:paraId="0C284AFC" w14:textId="77777777" w:rsidR="00742278" w:rsidRDefault="00742278" w:rsidP="00742278">
                      <w:r>
                        <w:t>Answer Scale:</w:t>
                      </w:r>
                    </w:p>
                    <w:tbl>
                      <w:tblPr>
                        <w:tblW w:w="2694" w:type="dxa"/>
                        <w:tblLook w:val="04A0" w:firstRow="1" w:lastRow="0" w:firstColumn="1" w:lastColumn="0" w:noHBand="0" w:noVBand="1"/>
                      </w:tblPr>
                      <w:tblGrid>
                        <w:gridCol w:w="2694"/>
                      </w:tblGrid>
                      <w:tr w:rsidR="00742278" w:rsidRPr="00D26378" w14:paraId="4D868952" w14:textId="77777777" w:rsidTr="0035728C">
                        <w:trPr>
                          <w:trHeight w:val="300"/>
                        </w:trPr>
                        <w:tc>
                          <w:tcPr>
                            <w:tcW w:w="2694" w:type="dxa"/>
                            <w:tcBorders>
                              <w:top w:val="nil"/>
                              <w:left w:val="nil"/>
                              <w:bottom w:val="nil"/>
                              <w:right w:val="nil"/>
                            </w:tcBorders>
                            <w:noWrap/>
                            <w:vAlign w:val="bottom"/>
                            <w:hideMark/>
                          </w:tcPr>
                          <w:p w14:paraId="00D15727" w14:textId="77777777" w:rsidR="007422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0 - Never</w:t>
                            </w:r>
                          </w:p>
                          <w:p w14:paraId="7A093015"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 xml:space="preserve">1 - Almost never </w:t>
                            </w:r>
                          </w:p>
                        </w:tc>
                      </w:tr>
                      <w:tr w:rsidR="00742278" w:rsidRPr="00D26378" w14:paraId="15D50A75" w14:textId="77777777" w:rsidTr="0035728C">
                        <w:trPr>
                          <w:trHeight w:val="300"/>
                        </w:trPr>
                        <w:tc>
                          <w:tcPr>
                            <w:tcW w:w="2694" w:type="dxa"/>
                            <w:tcBorders>
                              <w:top w:val="nil"/>
                              <w:left w:val="nil"/>
                              <w:bottom w:val="nil"/>
                              <w:right w:val="nil"/>
                            </w:tcBorders>
                            <w:noWrap/>
                            <w:vAlign w:val="bottom"/>
                            <w:hideMark/>
                          </w:tcPr>
                          <w:p w14:paraId="3D4EDF30"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2 - Sometimes</w:t>
                            </w:r>
                          </w:p>
                        </w:tc>
                      </w:tr>
                      <w:tr w:rsidR="00742278" w:rsidRPr="00D26378" w14:paraId="57991532" w14:textId="77777777" w:rsidTr="0035728C">
                        <w:trPr>
                          <w:trHeight w:val="300"/>
                        </w:trPr>
                        <w:tc>
                          <w:tcPr>
                            <w:tcW w:w="2694" w:type="dxa"/>
                            <w:tcBorders>
                              <w:top w:val="nil"/>
                              <w:left w:val="nil"/>
                              <w:bottom w:val="nil"/>
                              <w:right w:val="nil"/>
                            </w:tcBorders>
                            <w:noWrap/>
                            <w:vAlign w:val="bottom"/>
                            <w:hideMark/>
                          </w:tcPr>
                          <w:p w14:paraId="28FEF210"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3 - Fairly often</w:t>
                            </w:r>
                          </w:p>
                        </w:tc>
                      </w:tr>
                      <w:tr w:rsidR="00742278" w:rsidRPr="00D26378" w14:paraId="6E589FD7" w14:textId="77777777" w:rsidTr="0035728C">
                        <w:trPr>
                          <w:trHeight w:val="300"/>
                        </w:trPr>
                        <w:tc>
                          <w:tcPr>
                            <w:tcW w:w="2694" w:type="dxa"/>
                            <w:tcBorders>
                              <w:top w:val="nil"/>
                              <w:left w:val="nil"/>
                              <w:bottom w:val="nil"/>
                              <w:right w:val="nil"/>
                            </w:tcBorders>
                            <w:noWrap/>
                            <w:vAlign w:val="bottom"/>
                            <w:hideMark/>
                          </w:tcPr>
                          <w:p w14:paraId="26CF00A6" w14:textId="77777777" w:rsidR="00742278" w:rsidRPr="00D26378" w:rsidRDefault="00742278" w:rsidP="00D26378">
                            <w:pPr>
                              <w:spacing w:after="0" w:line="240" w:lineRule="auto"/>
                              <w:rPr>
                                <w:rFonts w:ascii="Aptos Narrow" w:eastAsia="Times New Roman" w:hAnsi="Aptos Narrow" w:cs="Times New Roman"/>
                                <w:color w:val="000000"/>
                                <w:kern w:val="0"/>
                                <w:sz w:val="22"/>
                                <w:szCs w:val="22"/>
                                <w:lang w:eastAsia="en-GB"/>
                                <w14:ligatures w14:val="none"/>
                              </w:rPr>
                            </w:pPr>
                            <w:r w:rsidRPr="00D26378">
                              <w:rPr>
                                <w:rFonts w:ascii="Aptos Narrow" w:eastAsia="Times New Roman" w:hAnsi="Aptos Narrow" w:cs="Times New Roman"/>
                                <w:color w:val="000000"/>
                                <w:kern w:val="0"/>
                                <w:sz w:val="22"/>
                                <w:szCs w:val="22"/>
                                <w:lang w:eastAsia="en-GB"/>
                                <w14:ligatures w14:val="none"/>
                              </w:rPr>
                              <w:t>4 - Very often</w:t>
                            </w:r>
                          </w:p>
                        </w:tc>
                      </w:tr>
                    </w:tbl>
                    <w:p w14:paraId="58F8FC81" w14:textId="77777777" w:rsidR="00742278" w:rsidRDefault="00742278" w:rsidP="00742278"/>
                  </w:txbxContent>
                </v:textbox>
                <w10:wrap type="square" anchory="margin"/>
              </v:shape>
            </w:pict>
          </mc:Fallback>
        </mc:AlternateContent>
      </w:r>
      <w:r>
        <w:rPr>
          <w:noProof/>
        </w:rPr>
        <w:drawing>
          <wp:inline distT="0" distB="0" distL="0" distR="0" wp14:anchorId="04297FAE" wp14:editId="4713E6FD">
            <wp:extent cx="4572000" cy="2743200"/>
            <wp:effectExtent l="0" t="0" r="0" b="0"/>
            <wp:docPr id="1060942644" name="Chart 1">
              <a:extLst xmlns:a="http://schemas.openxmlformats.org/drawingml/2006/main">
                <a:ext uri="{FF2B5EF4-FFF2-40B4-BE49-F238E27FC236}">
                  <a16:creationId xmlns:a16="http://schemas.microsoft.com/office/drawing/2014/main" id="{C8BB4D2E-5FF4-232C-38F3-20D1C14C87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9654202" w14:textId="77777777" w:rsidR="00742278" w:rsidRPr="00742278" w:rsidRDefault="00742278" w:rsidP="00742278">
      <w:r w:rsidRPr="00742278">
        <w:rPr>
          <w:i/>
          <w:iCs/>
        </w:rPr>
        <w:t>Figure 5: Perceived Stress Scale (PSS) mean scores across all items (n = 33).</w:t>
      </w:r>
    </w:p>
    <w:p w14:paraId="7CA2232F" w14:textId="7B38A414" w:rsidR="00742278" w:rsidRPr="00742278" w:rsidRDefault="00742278" w:rsidP="00742278">
      <w:r w:rsidRPr="00742278">
        <w:t xml:space="preserve">The findings from the Perceived Stress Scale (Figure 5) further reinforce the presence of ongoing stress amongst respondents. Mean scores </w:t>
      </w:r>
      <w:r w:rsidRPr="00742278">
        <w:t>range</w:t>
      </w:r>
      <w:r w:rsidRPr="00742278">
        <w:t xml:space="preserve"> between “sometimes” and “fairly often</w:t>
      </w:r>
      <w:r w:rsidRPr="00742278">
        <w:t>,”</w:t>
      </w:r>
      <w:r w:rsidRPr="00742278">
        <w:t xml:space="preserve"> indicating that stress is a regular part of frontline officers’ experiences.</w:t>
      </w:r>
    </w:p>
    <w:p w14:paraId="732CC7D2" w14:textId="77777777" w:rsidR="00742278" w:rsidRPr="00742278" w:rsidRDefault="00742278" w:rsidP="00742278">
      <w:r w:rsidRPr="00742278">
        <w:lastRenderedPageBreak/>
        <w:t>This aligns with literature from DeVylder et al. (2018), repeated exposure to stressful and traumatic incidents contributes to long term psychological strain. The findings of this study support this, suggesting that stress is not occasional but embedded within the routine experiences of frontline officers.</w:t>
      </w:r>
    </w:p>
    <w:p w14:paraId="17FAA5F9" w14:textId="77777777" w:rsidR="00742278" w:rsidRPr="00742278" w:rsidRDefault="00742278" w:rsidP="00742278">
      <w:r w:rsidRPr="00742278">
        <w:t>Furthermore, the findings support the concept of emotional desensitisation identified by Porter and Gavin (2024). Officers who are frequently exposed to traumatic incidents may develop coping mechanisms that reduce emotional responsiveness, potentially causing longer term psychological strain and reduced wellbeing. The consistency between the GHQ-12 and PSS results strengthens the validity of the findings, as both measures indicate moderate but persistent levels of stress and distress amongst officers.</w:t>
      </w:r>
    </w:p>
    <w:p w14:paraId="05BDFD7A" w14:textId="77777777" w:rsidR="00742278" w:rsidRPr="00742278" w:rsidRDefault="00742278" w:rsidP="00742278">
      <w:r w:rsidRPr="00742278">
        <w:rPr>
          <w:b/>
          <w:bCs/>
          <w:i/>
          <w:iCs/>
          <w:u w:val="single"/>
        </w:rPr>
        <w:t>4.4. Conclusion of analysis</w:t>
      </w:r>
    </w:p>
    <w:p w14:paraId="64B1F7C0" w14:textId="77777777" w:rsidR="00742278" w:rsidRPr="00742278" w:rsidRDefault="00742278" w:rsidP="00742278">
      <w:r w:rsidRPr="00742278">
        <w:t>The findings in this study support that there is a clear relationship between fatigue, stress, and psychological wellbeing. These findings strongly support literature, which emphasises the cumulative nature of stress in policing. Although awareness of mental health support is relatively high, the data suggests barriers to utilisation of support remain. Organisational culture, stigma, and perceptions of support all appear to influence whether officers engage with available resources. This reflects the gap identified in the literature between the provision of support and its practical use.</w:t>
      </w:r>
    </w:p>
    <w:p w14:paraId="1A7A7710" w14:textId="316BE0BD" w:rsidR="00742278" w:rsidRPr="00742278" w:rsidRDefault="00742278" w:rsidP="00742278">
      <w:r w:rsidRPr="00742278">
        <w:t xml:space="preserve">The analysis indicates that frontline officers within South Wale Police experience limited rest, psychological </w:t>
      </w:r>
      <w:r w:rsidRPr="00742278">
        <w:t>distress,</w:t>
      </w:r>
      <w:r w:rsidRPr="00742278">
        <w:t xml:space="preserve"> and regular stress, despite </w:t>
      </w:r>
      <w:r w:rsidRPr="00742278">
        <w:t>elevated levels</w:t>
      </w:r>
      <w:r w:rsidRPr="00742278">
        <w:t xml:space="preserve"> of awareness in relation to support services. The findings support literature, whilst addressing gaps by providing force-specific insight into officer wellbeing. This study highlights the need for organisational changes that address the availability of support, and underlying causes of stress, including workload, </w:t>
      </w:r>
      <w:r w:rsidRPr="00742278">
        <w:t>fatigue,</w:t>
      </w:r>
      <w:r w:rsidRPr="00742278">
        <w:t xml:space="preserve"> and cultural barriers.</w:t>
      </w:r>
    </w:p>
    <w:p w14:paraId="67367362" w14:textId="77777777" w:rsidR="00742278" w:rsidRPr="00742278" w:rsidRDefault="00742278" w:rsidP="00742278">
      <w:r w:rsidRPr="00742278">
        <w:t> </w:t>
      </w:r>
    </w:p>
    <w:p w14:paraId="0A1B07E4" w14:textId="77777777" w:rsidR="008377CA" w:rsidRPr="00742278" w:rsidRDefault="008377CA" w:rsidP="00742278"/>
    <w:sectPr w:rsidR="008377CA" w:rsidRPr="007422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278"/>
    <w:rsid w:val="00571755"/>
    <w:rsid w:val="00742278"/>
    <w:rsid w:val="008377CA"/>
    <w:rsid w:val="00C97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151A9"/>
  <w15:chartTrackingRefBased/>
  <w15:docId w15:val="{49001CFE-2403-4A4A-9905-76031B9FC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2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2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2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2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2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2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2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2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2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2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22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22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22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2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2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2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2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278"/>
    <w:rPr>
      <w:rFonts w:eastAsiaTheme="majorEastAsia" w:cstheme="majorBidi"/>
      <w:color w:val="272727" w:themeColor="text1" w:themeTint="D8"/>
    </w:rPr>
  </w:style>
  <w:style w:type="paragraph" w:styleId="Title">
    <w:name w:val="Title"/>
    <w:basedOn w:val="Normal"/>
    <w:next w:val="Normal"/>
    <w:link w:val="TitleChar"/>
    <w:uiPriority w:val="10"/>
    <w:qFormat/>
    <w:rsid w:val="007422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2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2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2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278"/>
    <w:pPr>
      <w:spacing w:before="160"/>
      <w:jc w:val="center"/>
    </w:pPr>
    <w:rPr>
      <w:i/>
      <w:iCs/>
      <w:color w:val="404040" w:themeColor="text1" w:themeTint="BF"/>
    </w:rPr>
  </w:style>
  <w:style w:type="character" w:customStyle="1" w:styleId="QuoteChar">
    <w:name w:val="Quote Char"/>
    <w:basedOn w:val="DefaultParagraphFont"/>
    <w:link w:val="Quote"/>
    <w:uiPriority w:val="29"/>
    <w:rsid w:val="00742278"/>
    <w:rPr>
      <w:i/>
      <w:iCs/>
      <w:color w:val="404040" w:themeColor="text1" w:themeTint="BF"/>
    </w:rPr>
  </w:style>
  <w:style w:type="paragraph" w:styleId="ListParagraph">
    <w:name w:val="List Paragraph"/>
    <w:basedOn w:val="Normal"/>
    <w:uiPriority w:val="34"/>
    <w:qFormat/>
    <w:rsid w:val="00742278"/>
    <w:pPr>
      <w:ind w:left="720"/>
      <w:contextualSpacing/>
    </w:pPr>
  </w:style>
  <w:style w:type="character" w:styleId="IntenseEmphasis">
    <w:name w:val="Intense Emphasis"/>
    <w:basedOn w:val="DefaultParagraphFont"/>
    <w:uiPriority w:val="21"/>
    <w:qFormat/>
    <w:rsid w:val="00742278"/>
    <w:rPr>
      <w:i/>
      <w:iCs/>
      <w:color w:val="0F4761" w:themeColor="accent1" w:themeShade="BF"/>
    </w:rPr>
  </w:style>
  <w:style w:type="paragraph" w:styleId="IntenseQuote">
    <w:name w:val="Intense Quote"/>
    <w:basedOn w:val="Normal"/>
    <w:next w:val="Normal"/>
    <w:link w:val="IntenseQuoteChar"/>
    <w:uiPriority w:val="30"/>
    <w:qFormat/>
    <w:rsid w:val="007422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278"/>
    <w:rPr>
      <w:i/>
      <w:iCs/>
      <w:color w:val="0F4761" w:themeColor="accent1" w:themeShade="BF"/>
    </w:rPr>
  </w:style>
  <w:style w:type="character" w:styleId="IntenseReference">
    <w:name w:val="Intense Reference"/>
    <w:basedOn w:val="DefaultParagraphFont"/>
    <w:uiPriority w:val="32"/>
    <w:qFormat/>
    <w:rsid w:val="0074227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5.xml"/><Relationship Id="rId3" Type="http://schemas.openxmlformats.org/officeDocument/2006/relationships/webSettings" Target="webSettings.xml"/><Relationship Id="rId7" Type="http://schemas.openxmlformats.org/officeDocument/2006/relationships/chart" Target="charts/chart4.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3.xml"/><Relationship Id="rId5" Type="http://schemas.openxmlformats.org/officeDocument/2006/relationships/chart" Target="charts/chart2.xml"/><Relationship Id="rId10" Type="http://schemas.openxmlformats.org/officeDocument/2006/relationships/theme" Target="theme/theme1.xml"/><Relationship Id="rId4" Type="http://schemas.openxmlformats.org/officeDocument/2006/relationships/chart" Target="charts/chart1.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southwalespolice-my.sharepoint.com/personal/ellie-mae_donaldson1_south-wales_police_uk/Documents/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southwalespolice-my.sharepoint.com/personal/ellie-mae_donaldson1_south-wales_police_uk/Documents/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southwalespolice-my.sharepoint.com/personal/ellie-mae_donaldson1_south-wales_police_uk/Documents/Book1.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often do you get adeqaute rest between rest days?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Sheet1!$A$1:$A$4</c:f>
              <c:strCache>
                <c:ptCount val="4"/>
                <c:pt idx="0">
                  <c:v>Never </c:v>
                </c:pt>
                <c:pt idx="1">
                  <c:v>Rarely </c:v>
                </c:pt>
                <c:pt idx="2">
                  <c:v>Often</c:v>
                </c:pt>
                <c:pt idx="3">
                  <c:v>Always </c:v>
                </c:pt>
              </c:strCache>
            </c:strRef>
          </c:cat>
          <c:val>
            <c:numRef>
              <c:f>Sheet1!$B$1:$B$4</c:f>
              <c:numCache>
                <c:formatCode>General</c:formatCode>
                <c:ptCount val="4"/>
                <c:pt idx="0">
                  <c:v>3</c:v>
                </c:pt>
                <c:pt idx="1">
                  <c:v>21</c:v>
                </c:pt>
                <c:pt idx="2">
                  <c:v>7</c:v>
                </c:pt>
                <c:pt idx="3">
                  <c:v>2</c:v>
                </c:pt>
              </c:numCache>
            </c:numRef>
          </c:val>
          <c:extLst>
            <c:ext xmlns:c16="http://schemas.microsoft.com/office/drawing/2014/chart" uri="{C3380CC4-5D6E-409C-BE32-E72D297353CC}">
              <c16:uniqueId val="{00000000-80C7-4E4F-B177-15A46D168CDA}"/>
            </c:ext>
          </c:extLst>
        </c:ser>
        <c:dLbls>
          <c:dLblPos val="outEnd"/>
          <c:showLegendKey val="0"/>
          <c:showVal val="1"/>
          <c:showCatName val="0"/>
          <c:showSerName val="0"/>
          <c:showPercent val="0"/>
          <c:showBubbleSize val="0"/>
        </c:dLbls>
        <c:gapWidth val="219"/>
        <c:overlap val="-27"/>
        <c:axId val="1004128560"/>
        <c:axId val="1004131440"/>
      </c:barChart>
      <c:catAx>
        <c:axId val="1004128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131440"/>
        <c:crosses val="autoZero"/>
        <c:auto val="1"/>
        <c:lblAlgn val="ctr"/>
        <c:lblOffset val="100"/>
        <c:noMultiLvlLbl val="0"/>
      </c:catAx>
      <c:valAx>
        <c:axId val="1004131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 (33 participants)</a:t>
                </a:r>
              </a:p>
            </c:rich>
          </c:tx>
          <c:layout>
            <c:manualLayout>
              <c:xMode val="edge"/>
              <c:yMode val="edge"/>
              <c:x val="2.7777777777777776E-2"/>
              <c:y val="0.163125182268883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12856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Awareness of</a:t>
            </a:r>
            <a:r>
              <a:rPr lang="en-GB" baseline="0"/>
              <a:t> mental health support available within South Wales Police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9F1-43A4-B3DB-4CDA284E048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9F1-43A4-B3DB-4CDA284E048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9F1-43A4-B3DB-4CDA284E048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Sheet1!$A$6:$A$8</c:f>
              <c:strCache>
                <c:ptCount val="3"/>
                <c:pt idx="0">
                  <c:v>Yes</c:v>
                </c:pt>
                <c:pt idx="1">
                  <c:v>Somewhat </c:v>
                </c:pt>
                <c:pt idx="2">
                  <c:v>No</c:v>
                </c:pt>
              </c:strCache>
            </c:strRef>
          </c:cat>
          <c:val>
            <c:numRef>
              <c:f>Sheet1!$B$6:$B$8</c:f>
              <c:numCache>
                <c:formatCode>General</c:formatCode>
                <c:ptCount val="3"/>
                <c:pt idx="0">
                  <c:v>18</c:v>
                </c:pt>
                <c:pt idx="1">
                  <c:v>14</c:v>
                </c:pt>
                <c:pt idx="2">
                  <c:v>1</c:v>
                </c:pt>
              </c:numCache>
            </c:numRef>
          </c:val>
          <c:extLst>
            <c:ext xmlns:c16="http://schemas.microsoft.com/office/drawing/2014/chart" uri="{C3380CC4-5D6E-409C-BE32-E72D297353CC}">
              <c16:uniqueId val="{00000006-49F1-43A4-B3DB-4CDA284E0487}"/>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 stigma</a:t>
            </a:r>
            <a:r>
              <a:rPr lang="en-GB" baseline="0"/>
              <a:t> around Mental Health within South Wales Police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Sheet1!$A$173</c:f>
              <c:strCache>
                <c:ptCount val="1"/>
                <c:pt idx="0">
                  <c:v>L5 (Strongly agree)</c:v>
                </c:pt>
              </c:strCache>
            </c:strRef>
          </c:tx>
          <c:spPr>
            <a:solidFill>
              <a:schemeClr val="accent1"/>
            </a:solidFill>
            <a:ln>
              <a:noFill/>
            </a:ln>
            <a:effectLst/>
          </c:spPr>
          <c:invertIfNegative val="0"/>
          <c:val>
            <c:numRef>
              <c:f>Sheet1!$B$173</c:f>
              <c:numCache>
                <c:formatCode>General</c:formatCode>
                <c:ptCount val="1"/>
                <c:pt idx="0">
                  <c:v>9</c:v>
                </c:pt>
              </c:numCache>
            </c:numRef>
          </c:val>
          <c:extLst>
            <c:ext xmlns:c16="http://schemas.microsoft.com/office/drawing/2014/chart" uri="{C3380CC4-5D6E-409C-BE32-E72D297353CC}">
              <c16:uniqueId val="{00000000-7A2A-4198-8502-20D61D212B06}"/>
            </c:ext>
          </c:extLst>
        </c:ser>
        <c:ser>
          <c:idx val="1"/>
          <c:order val="1"/>
          <c:tx>
            <c:strRef>
              <c:f>Sheet1!$A$174</c:f>
              <c:strCache>
                <c:ptCount val="1"/>
                <c:pt idx="0">
                  <c:v>L4</c:v>
                </c:pt>
              </c:strCache>
            </c:strRef>
          </c:tx>
          <c:spPr>
            <a:solidFill>
              <a:schemeClr val="accent2"/>
            </a:solidFill>
            <a:ln>
              <a:noFill/>
            </a:ln>
            <a:effectLst/>
          </c:spPr>
          <c:invertIfNegative val="0"/>
          <c:val>
            <c:numRef>
              <c:f>Sheet1!$B$174</c:f>
              <c:numCache>
                <c:formatCode>General</c:formatCode>
                <c:ptCount val="1"/>
                <c:pt idx="0">
                  <c:v>6</c:v>
                </c:pt>
              </c:numCache>
            </c:numRef>
          </c:val>
          <c:extLst>
            <c:ext xmlns:c16="http://schemas.microsoft.com/office/drawing/2014/chart" uri="{C3380CC4-5D6E-409C-BE32-E72D297353CC}">
              <c16:uniqueId val="{00000001-7A2A-4198-8502-20D61D212B06}"/>
            </c:ext>
          </c:extLst>
        </c:ser>
        <c:ser>
          <c:idx val="2"/>
          <c:order val="2"/>
          <c:tx>
            <c:strRef>
              <c:f>Sheet1!$A$175</c:f>
              <c:strCache>
                <c:ptCount val="1"/>
                <c:pt idx="0">
                  <c:v>L3</c:v>
                </c:pt>
              </c:strCache>
            </c:strRef>
          </c:tx>
          <c:spPr>
            <a:solidFill>
              <a:schemeClr val="accent3"/>
            </a:solidFill>
            <a:ln>
              <a:noFill/>
            </a:ln>
            <a:effectLst/>
          </c:spPr>
          <c:invertIfNegative val="0"/>
          <c:val>
            <c:numRef>
              <c:f>Sheet1!$B$175</c:f>
              <c:numCache>
                <c:formatCode>General</c:formatCode>
                <c:ptCount val="1"/>
                <c:pt idx="0">
                  <c:v>14</c:v>
                </c:pt>
              </c:numCache>
            </c:numRef>
          </c:val>
          <c:extLst>
            <c:ext xmlns:c16="http://schemas.microsoft.com/office/drawing/2014/chart" uri="{C3380CC4-5D6E-409C-BE32-E72D297353CC}">
              <c16:uniqueId val="{00000002-7A2A-4198-8502-20D61D212B06}"/>
            </c:ext>
          </c:extLst>
        </c:ser>
        <c:ser>
          <c:idx val="3"/>
          <c:order val="3"/>
          <c:tx>
            <c:strRef>
              <c:f>Sheet1!$A$176</c:f>
              <c:strCache>
                <c:ptCount val="1"/>
                <c:pt idx="0">
                  <c:v>L2</c:v>
                </c:pt>
              </c:strCache>
            </c:strRef>
          </c:tx>
          <c:spPr>
            <a:solidFill>
              <a:schemeClr val="accent4"/>
            </a:solidFill>
            <a:ln>
              <a:noFill/>
            </a:ln>
            <a:effectLst/>
          </c:spPr>
          <c:invertIfNegative val="0"/>
          <c:val>
            <c:numRef>
              <c:f>Sheet1!$B$176</c:f>
              <c:numCache>
                <c:formatCode>General</c:formatCode>
                <c:ptCount val="1"/>
                <c:pt idx="0">
                  <c:v>3</c:v>
                </c:pt>
              </c:numCache>
            </c:numRef>
          </c:val>
          <c:extLst>
            <c:ext xmlns:c16="http://schemas.microsoft.com/office/drawing/2014/chart" uri="{C3380CC4-5D6E-409C-BE32-E72D297353CC}">
              <c16:uniqueId val="{00000003-7A2A-4198-8502-20D61D212B06}"/>
            </c:ext>
          </c:extLst>
        </c:ser>
        <c:ser>
          <c:idx val="4"/>
          <c:order val="4"/>
          <c:tx>
            <c:strRef>
              <c:f>Sheet1!$A$177</c:f>
              <c:strCache>
                <c:ptCount val="1"/>
                <c:pt idx="0">
                  <c:v>L1 (Strongly disagree)</c:v>
                </c:pt>
              </c:strCache>
            </c:strRef>
          </c:tx>
          <c:spPr>
            <a:solidFill>
              <a:schemeClr val="accent5"/>
            </a:solidFill>
            <a:ln>
              <a:noFill/>
            </a:ln>
            <a:effectLst/>
          </c:spPr>
          <c:invertIfNegative val="0"/>
          <c:val>
            <c:numRef>
              <c:f>Sheet1!$B$177</c:f>
              <c:numCache>
                <c:formatCode>General</c:formatCode>
                <c:ptCount val="1"/>
                <c:pt idx="0">
                  <c:v>1</c:v>
                </c:pt>
              </c:numCache>
            </c:numRef>
          </c:val>
          <c:extLst>
            <c:ext xmlns:c16="http://schemas.microsoft.com/office/drawing/2014/chart" uri="{C3380CC4-5D6E-409C-BE32-E72D297353CC}">
              <c16:uniqueId val="{00000004-7A2A-4198-8502-20D61D212B06}"/>
            </c:ext>
          </c:extLst>
        </c:ser>
        <c:dLbls>
          <c:showLegendKey val="0"/>
          <c:showVal val="0"/>
          <c:showCatName val="0"/>
          <c:showSerName val="0"/>
          <c:showPercent val="0"/>
          <c:showBubbleSize val="0"/>
        </c:dLbls>
        <c:gapWidth val="182"/>
        <c:axId val="2011943455"/>
        <c:axId val="2011951135"/>
      </c:barChart>
      <c:catAx>
        <c:axId val="2011943455"/>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Strongly</a:t>
                </a:r>
                <a:r>
                  <a:rPr lang="en-GB" baseline="0"/>
                  <a:t> agree </a:t>
                </a:r>
                <a:r>
                  <a:rPr lang="en-GB" baseline="0">
                    <a:solidFill>
                      <a:schemeClr val="bg1"/>
                    </a:solidFill>
                  </a:rPr>
                  <a:t>------------------------------------------------</a:t>
                </a:r>
                <a:r>
                  <a:rPr lang="en-GB" baseline="0"/>
                  <a:t>Strongly disagree</a:t>
                </a:r>
                <a:endParaRPr lang="en-GB"/>
              </a:p>
            </c:rich>
          </c:tx>
          <c:layout>
            <c:manualLayout>
              <c:xMode val="edge"/>
              <c:yMode val="edge"/>
              <c:x val="0.12796412948381455"/>
              <c:y val="0.7764577865266841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crossAx val="2011951135"/>
        <c:crosses val="autoZero"/>
        <c:auto val="1"/>
        <c:lblAlgn val="ctr"/>
        <c:lblOffset val="100"/>
        <c:noMultiLvlLbl val="0"/>
      </c:catAx>
      <c:valAx>
        <c:axId val="20119511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19434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GHQ-12</a:t>
            </a:r>
            <a:r>
              <a:rPr lang="en-GB" baseline="0"/>
              <a:t> Responses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chemeClr val="accent1"/>
            </a:solidFill>
            <a:ln>
              <a:noFill/>
            </a:ln>
            <a:effectLst/>
            <a:sp3d/>
          </c:spPr>
          <c:invertIfNegative val="0"/>
          <c:cat>
            <c:strRef>
              <c:f>Sheet1!$G$4:$G$15</c:f>
              <c:strCache>
                <c:ptCount val="12"/>
                <c:pt idx="0">
                  <c:v>Q1</c:v>
                </c:pt>
                <c:pt idx="1">
                  <c:v>Q 2</c:v>
                </c:pt>
                <c:pt idx="2">
                  <c:v>Q3</c:v>
                </c:pt>
                <c:pt idx="3">
                  <c:v>Q4</c:v>
                </c:pt>
                <c:pt idx="4">
                  <c:v>Q5</c:v>
                </c:pt>
                <c:pt idx="5">
                  <c:v>Q6</c:v>
                </c:pt>
                <c:pt idx="6">
                  <c:v>Q7</c:v>
                </c:pt>
                <c:pt idx="7">
                  <c:v>Q8</c:v>
                </c:pt>
                <c:pt idx="8">
                  <c:v>Q9</c:v>
                </c:pt>
                <c:pt idx="9">
                  <c:v>Q10</c:v>
                </c:pt>
                <c:pt idx="10">
                  <c:v>Q11</c:v>
                </c:pt>
                <c:pt idx="11">
                  <c:v>Q12</c:v>
                </c:pt>
              </c:strCache>
            </c:strRef>
          </c:cat>
          <c:val>
            <c:numRef>
              <c:f>Sheet1!$H$4:$H$15</c:f>
              <c:numCache>
                <c:formatCode>General</c:formatCode>
                <c:ptCount val="12"/>
                <c:pt idx="0">
                  <c:v>1.94</c:v>
                </c:pt>
                <c:pt idx="1">
                  <c:v>2.61</c:v>
                </c:pt>
                <c:pt idx="2">
                  <c:v>2.0299999999999998</c:v>
                </c:pt>
                <c:pt idx="3">
                  <c:v>2.36</c:v>
                </c:pt>
                <c:pt idx="4">
                  <c:v>2.84</c:v>
                </c:pt>
                <c:pt idx="5">
                  <c:v>2.36</c:v>
                </c:pt>
                <c:pt idx="6">
                  <c:v>1.97</c:v>
                </c:pt>
                <c:pt idx="7">
                  <c:v>2.2400000000000002</c:v>
                </c:pt>
                <c:pt idx="8">
                  <c:v>2.61</c:v>
                </c:pt>
                <c:pt idx="9">
                  <c:v>2.58</c:v>
                </c:pt>
                <c:pt idx="10">
                  <c:v>2.15</c:v>
                </c:pt>
                <c:pt idx="11">
                  <c:v>2.0299999999999998</c:v>
                </c:pt>
              </c:numCache>
            </c:numRef>
          </c:val>
          <c:extLst>
            <c:ext xmlns:c16="http://schemas.microsoft.com/office/drawing/2014/chart" uri="{C3380CC4-5D6E-409C-BE32-E72D297353CC}">
              <c16:uniqueId val="{00000000-2A8B-4D92-B741-95077CFDC5E3}"/>
            </c:ext>
          </c:extLst>
        </c:ser>
        <c:dLbls>
          <c:showLegendKey val="0"/>
          <c:showVal val="0"/>
          <c:showCatName val="0"/>
          <c:showSerName val="0"/>
          <c:showPercent val="0"/>
          <c:showBubbleSize val="0"/>
        </c:dLbls>
        <c:gapWidth val="150"/>
        <c:shape val="box"/>
        <c:axId val="1754719151"/>
        <c:axId val="1754714831"/>
        <c:axId val="83178367"/>
      </c:bar3DChart>
      <c:catAx>
        <c:axId val="17547191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4714831"/>
        <c:crosses val="autoZero"/>
        <c:auto val="1"/>
        <c:lblAlgn val="ctr"/>
        <c:lblOffset val="100"/>
        <c:noMultiLvlLbl val="0"/>
      </c:catAx>
      <c:valAx>
        <c:axId val="1754714831"/>
        <c:scaling>
          <c:orientation val="minMax"/>
          <c:max val="4"/>
          <c:min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score (n=33)</a:t>
                </a:r>
                <a:endParaRPr lang="en-GB"/>
              </a:p>
            </c:rich>
          </c:tx>
          <c:layout>
            <c:manualLayout>
              <c:xMode val="edge"/>
              <c:yMode val="edge"/>
              <c:x val="1.8734908136482945E-2"/>
              <c:y val="0.1717129629629629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4719151"/>
        <c:crosses val="autoZero"/>
        <c:crossBetween val="between"/>
      </c:valAx>
      <c:serAx>
        <c:axId val="83178367"/>
        <c:scaling>
          <c:orientation val="minMax"/>
        </c:scaling>
        <c:delete val="1"/>
        <c:axPos val="b"/>
        <c:majorTickMark val="out"/>
        <c:minorTickMark val="none"/>
        <c:tickLblPos val="nextTo"/>
        <c:crossAx val="1754714831"/>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a:t>
            </a:r>
            <a:r>
              <a:rPr lang="en-GB" baseline="0"/>
              <a:t> Stress Scale (PSS) Responses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Sheet1!$F$85:$F$95</c:f>
              <c:strCache>
                <c:ptCount val="11"/>
                <c:pt idx="0">
                  <c:v>Q 1 </c:v>
                </c:pt>
                <c:pt idx="1">
                  <c:v>Q 2 </c:v>
                </c:pt>
                <c:pt idx="2">
                  <c:v>Q 3 </c:v>
                </c:pt>
                <c:pt idx="3">
                  <c:v>Q 4</c:v>
                </c:pt>
                <c:pt idx="4">
                  <c:v>Q 5 </c:v>
                </c:pt>
                <c:pt idx="5">
                  <c:v>Q 6 </c:v>
                </c:pt>
                <c:pt idx="6">
                  <c:v>Q 7 </c:v>
                </c:pt>
                <c:pt idx="7">
                  <c:v>Q 8 </c:v>
                </c:pt>
                <c:pt idx="8">
                  <c:v>Q 9</c:v>
                </c:pt>
                <c:pt idx="9">
                  <c:v>Q 10</c:v>
                </c:pt>
                <c:pt idx="10">
                  <c:v>Q 11</c:v>
                </c:pt>
              </c:strCache>
            </c:strRef>
          </c:cat>
          <c:val>
            <c:numRef>
              <c:f>Sheet1!$G$85:$G$95</c:f>
              <c:numCache>
                <c:formatCode>General</c:formatCode>
                <c:ptCount val="11"/>
                <c:pt idx="0">
                  <c:v>1.88</c:v>
                </c:pt>
                <c:pt idx="1">
                  <c:v>1.88</c:v>
                </c:pt>
                <c:pt idx="2">
                  <c:v>2.2400000000000002</c:v>
                </c:pt>
                <c:pt idx="3">
                  <c:v>1.79</c:v>
                </c:pt>
                <c:pt idx="4">
                  <c:v>2.06</c:v>
                </c:pt>
                <c:pt idx="5">
                  <c:v>2.12</c:v>
                </c:pt>
                <c:pt idx="6">
                  <c:v>2.79</c:v>
                </c:pt>
                <c:pt idx="7">
                  <c:v>2</c:v>
                </c:pt>
                <c:pt idx="8">
                  <c:v>1.97</c:v>
                </c:pt>
                <c:pt idx="9">
                  <c:v>2.52</c:v>
                </c:pt>
                <c:pt idx="10">
                  <c:v>2.33</c:v>
                </c:pt>
              </c:numCache>
            </c:numRef>
          </c:val>
          <c:extLst>
            <c:ext xmlns:c16="http://schemas.microsoft.com/office/drawing/2014/chart" uri="{C3380CC4-5D6E-409C-BE32-E72D297353CC}">
              <c16:uniqueId val="{00000000-F6BB-4BCE-8499-6C7F1C467C4B}"/>
            </c:ext>
          </c:extLst>
        </c:ser>
        <c:dLbls>
          <c:showLegendKey val="0"/>
          <c:showVal val="0"/>
          <c:showCatName val="0"/>
          <c:showSerName val="0"/>
          <c:showPercent val="0"/>
          <c:showBubbleSize val="0"/>
        </c:dLbls>
        <c:gapWidth val="219"/>
        <c:overlap val="-27"/>
        <c:axId val="2080995103"/>
        <c:axId val="2080996063"/>
      </c:barChart>
      <c:catAx>
        <c:axId val="20809951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0996063"/>
        <c:crosses val="autoZero"/>
        <c:auto val="1"/>
        <c:lblAlgn val="ctr"/>
        <c:lblOffset val="100"/>
        <c:noMultiLvlLbl val="0"/>
      </c:catAx>
      <c:valAx>
        <c:axId val="2080996063"/>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score</a:t>
                </a:r>
                <a:r>
                  <a:rPr lang="en-GB" baseline="0"/>
                  <a:t> (n=33</a:t>
                </a:r>
                <a:r>
                  <a:rPr lang="en-GB"/>
                  <a: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0995103"/>
        <c:crosses val="autoZero"/>
        <c:crossBetween val="between"/>
        <c:majorUnit val="1"/>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1205</Words>
  <Characters>6870</Characters>
  <Application>Microsoft Office Word</Application>
  <DocSecurity>0</DocSecurity>
  <Lines>57</Lines>
  <Paragraphs>16</Paragraphs>
  <ScaleCrop>false</ScaleCrop>
  <Company>South Wales Police</Company>
  <LinksUpToDate>false</LinksUpToDate>
  <CharactersWithSpaces>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Donaldson,Ellie-Mae swp8767</dc:creator>
  <cp:keywords/>
  <dc:description/>
  <cp:lastModifiedBy>Donaldson,Ellie-Mae swp8767</cp:lastModifiedBy>
  <cp:revision>1</cp:revision>
  <dcterms:created xsi:type="dcterms:W3CDTF">2026-04-26T16:37:00Z</dcterms:created>
  <dcterms:modified xsi:type="dcterms:W3CDTF">2026-04-26T16:48:00Z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2026-04-26T16:48:09Z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4f8c40f5-410e-493a-9e4d-ee81c228f231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