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2D4369" w14:textId="3CC9B3E2" w:rsidR="458B0C04" w:rsidRDefault="458B0C04" w:rsidP="458B0C04">
      <w:pPr>
        <w:rPr>
          <w:rFonts w:asciiTheme="minorBidi" w:hAnsiTheme="minorBidi"/>
          <w:b/>
          <w:bCs/>
          <w:sz w:val="36"/>
          <w:szCs w:val="36"/>
        </w:rPr>
      </w:pPr>
    </w:p>
    <w:p w14:paraId="6BF94A46" w14:textId="7A5F7AFC" w:rsidR="00490CF9" w:rsidRPr="00490CF9" w:rsidRDefault="00490CF9" w:rsidP="00490CF9">
      <w:pPr>
        <w:rPr>
          <w:rFonts w:asciiTheme="minorBidi" w:hAnsiTheme="minorBidi"/>
          <w:sz w:val="36"/>
          <w:szCs w:val="36"/>
        </w:rPr>
      </w:pPr>
      <w:r w:rsidRPr="00490CF9">
        <w:rPr>
          <w:rFonts w:asciiTheme="minorBidi" w:hAnsiTheme="minorBidi"/>
          <w:b/>
          <w:bCs/>
          <w:sz w:val="36"/>
          <w:szCs w:val="36"/>
        </w:rPr>
        <w:t>Module Name:</w:t>
      </w:r>
      <w:r w:rsidRPr="00490CF9">
        <w:rPr>
          <w:rFonts w:asciiTheme="minorBidi" w:hAnsiTheme="minorBidi"/>
          <w:sz w:val="36"/>
          <w:szCs w:val="36"/>
        </w:rPr>
        <w:t>  </w:t>
      </w:r>
      <w:r w:rsidRPr="00490CF9">
        <w:rPr>
          <w:rFonts w:asciiTheme="minorBidi" w:hAnsiTheme="minorBidi"/>
          <w:color w:val="215E99" w:themeColor="text2" w:themeTint="BF"/>
          <w:sz w:val="36"/>
          <w:szCs w:val="36"/>
        </w:rPr>
        <w:t>Strategic Management for Business</w:t>
      </w:r>
    </w:p>
    <w:p w14:paraId="731ACF53" w14:textId="77777777" w:rsidR="00490CF9" w:rsidRPr="00490CF9" w:rsidRDefault="00490CF9" w:rsidP="00490CF9">
      <w:pPr>
        <w:rPr>
          <w:rFonts w:asciiTheme="minorBidi" w:hAnsiTheme="minorBidi"/>
          <w:sz w:val="36"/>
          <w:szCs w:val="36"/>
        </w:rPr>
      </w:pPr>
      <w:r w:rsidRPr="00490CF9">
        <w:rPr>
          <w:rFonts w:asciiTheme="minorBidi" w:hAnsiTheme="minorBidi"/>
          <w:b/>
          <w:bCs/>
          <w:sz w:val="36"/>
          <w:szCs w:val="36"/>
        </w:rPr>
        <w:t>Module Code:</w:t>
      </w:r>
      <w:r w:rsidRPr="00490CF9">
        <w:rPr>
          <w:rFonts w:asciiTheme="minorBidi" w:hAnsiTheme="minorBidi"/>
          <w:i/>
          <w:iCs/>
          <w:sz w:val="36"/>
          <w:szCs w:val="36"/>
        </w:rPr>
        <w:t> </w:t>
      </w:r>
      <w:r w:rsidRPr="00490CF9">
        <w:rPr>
          <w:rFonts w:asciiTheme="minorBidi" w:hAnsiTheme="minorBidi"/>
          <w:sz w:val="36"/>
          <w:szCs w:val="36"/>
        </w:rPr>
        <w:t> </w:t>
      </w:r>
      <w:r w:rsidRPr="00490CF9">
        <w:rPr>
          <w:rFonts w:asciiTheme="minorBidi" w:hAnsiTheme="minorBidi"/>
          <w:color w:val="215E99" w:themeColor="text2" w:themeTint="BF"/>
          <w:sz w:val="36"/>
          <w:szCs w:val="36"/>
        </w:rPr>
        <w:t>LCLM6001 </w:t>
      </w:r>
    </w:p>
    <w:p w14:paraId="6690A8AC" w14:textId="77777777" w:rsidR="00490CF9" w:rsidRPr="00490CF9" w:rsidRDefault="00490CF9" w:rsidP="00490CF9">
      <w:pPr>
        <w:rPr>
          <w:rFonts w:asciiTheme="minorBidi" w:hAnsiTheme="minorBidi"/>
          <w:sz w:val="36"/>
          <w:szCs w:val="36"/>
        </w:rPr>
      </w:pPr>
      <w:r w:rsidRPr="00490CF9">
        <w:rPr>
          <w:rFonts w:asciiTheme="minorBidi" w:hAnsiTheme="minorBidi"/>
          <w:sz w:val="36"/>
          <w:szCs w:val="36"/>
        </w:rPr>
        <w:t> </w:t>
      </w:r>
    </w:p>
    <w:p w14:paraId="56A3C2B2" w14:textId="77777777" w:rsidR="00490CF9" w:rsidRPr="00490CF9" w:rsidRDefault="00490CF9" w:rsidP="00490CF9">
      <w:pPr>
        <w:rPr>
          <w:rFonts w:asciiTheme="minorBidi" w:hAnsiTheme="minorBidi"/>
          <w:sz w:val="36"/>
          <w:szCs w:val="36"/>
        </w:rPr>
      </w:pPr>
      <w:r w:rsidRPr="00490CF9">
        <w:rPr>
          <w:rFonts w:asciiTheme="minorBidi" w:hAnsiTheme="minorBidi"/>
          <w:sz w:val="36"/>
          <w:szCs w:val="36"/>
        </w:rPr>
        <w:t>   </w:t>
      </w:r>
    </w:p>
    <w:p w14:paraId="0557968F" w14:textId="63180D3F" w:rsidR="00490CF9" w:rsidRPr="00490CF9" w:rsidRDefault="00490CF9" w:rsidP="00490CF9">
      <w:pPr>
        <w:rPr>
          <w:rFonts w:asciiTheme="minorBidi" w:hAnsiTheme="minorBidi"/>
          <w:sz w:val="36"/>
          <w:szCs w:val="36"/>
        </w:rPr>
      </w:pPr>
      <w:r w:rsidRPr="00490CF9">
        <w:rPr>
          <w:rFonts w:asciiTheme="minorBidi" w:hAnsiTheme="minorBidi"/>
          <w:sz w:val="36"/>
          <w:szCs w:val="36"/>
        </w:rPr>
        <w:t>   </w:t>
      </w:r>
    </w:p>
    <w:p w14:paraId="0C37A499" w14:textId="4FA026DE" w:rsidR="00490CF9" w:rsidRPr="00490CF9" w:rsidRDefault="00490CF9" w:rsidP="00490CF9">
      <w:pPr>
        <w:jc w:val="center"/>
        <w:rPr>
          <w:rFonts w:asciiTheme="minorBidi" w:hAnsiTheme="minorBidi"/>
          <w:b/>
          <w:bCs/>
          <w:sz w:val="36"/>
          <w:szCs w:val="36"/>
        </w:rPr>
      </w:pPr>
      <w:r w:rsidRPr="00490CF9">
        <w:rPr>
          <w:rFonts w:asciiTheme="minorBidi" w:hAnsiTheme="minorBidi"/>
          <w:b/>
          <w:bCs/>
          <w:sz w:val="36"/>
          <w:szCs w:val="36"/>
          <w:u w:val="single"/>
        </w:rPr>
        <w:t>Assignment Title:</w:t>
      </w:r>
    </w:p>
    <w:p w14:paraId="4DB24158" w14:textId="4E000450" w:rsidR="00490CF9" w:rsidRPr="00490CF9" w:rsidRDefault="00490CF9" w:rsidP="00490CF9">
      <w:pPr>
        <w:jc w:val="center"/>
        <w:rPr>
          <w:rFonts w:asciiTheme="minorBidi" w:hAnsiTheme="minorBidi"/>
          <w:b/>
          <w:bCs/>
          <w:color w:val="000000" w:themeColor="text1"/>
          <w:sz w:val="36"/>
          <w:szCs w:val="36"/>
        </w:rPr>
      </w:pPr>
      <w:r w:rsidRPr="00490CF9">
        <w:rPr>
          <w:rFonts w:asciiTheme="minorBidi" w:hAnsiTheme="minorBidi"/>
          <w:b/>
          <w:bCs/>
          <w:color w:val="000000" w:themeColor="text1"/>
          <w:sz w:val="36"/>
          <w:szCs w:val="36"/>
        </w:rPr>
        <w:t>Component 1- Report</w:t>
      </w:r>
    </w:p>
    <w:p w14:paraId="4E784B1B" w14:textId="77777777" w:rsidR="00490CF9" w:rsidRDefault="00490CF9" w:rsidP="00490CF9">
      <w:pPr>
        <w:jc w:val="center"/>
        <w:rPr>
          <w:rFonts w:asciiTheme="minorBidi" w:hAnsiTheme="minorBidi"/>
          <w:b/>
          <w:bCs/>
          <w:i/>
          <w:iCs/>
          <w:color w:val="215E99" w:themeColor="text2" w:themeTint="BF"/>
          <w:sz w:val="32"/>
          <w:szCs w:val="32"/>
        </w:rPr>
      </w:pPr>
      <w:r w:rsidRPr="00490CF9">
        <w:rPr>
          <w:rFonts w:asciiTheme="minorBidi" w:hAnsiTheme="minorBidi"/>
          <w:b/>
          <w:bCs/>
          <w:i/>
          <w:iCs/>
          <w:color w:val="215E99" w:themeColor="text2" w:themeTint="BF"/>
          <w:sz w:val="32"/>
          <w:szCs w:val="32"/>
        </w:rPr>
        <w:t>Developing a Sustainable Growth Strategy for</w:t>
      </w:r>
    </w:p>
    <w:p w14:paraId="085912F7" w14:textId="4A2026AB" w:rsidR="00490CF9" w:rsidRPr="00490CF9" w:rsidRDefault="00490CF9" w:rsidP="00490CF9">
      <w:pPr>
        <w:jc w:val="center"/>
        <w:rPr>
          <w:rFonts w:asciiTheme="minorBidi" w:hAnsiTheme="minorBidi"/>
          <w:b/>
          <w:bCs/>
          <w:i/>
          <w:iCs/>
          <w:color w:val="215E99" w:themeColor="text2" w:themeTint="BF"/>
          <w:sz w:val="32"/>
          <w:szCs w:val="32"/>
        </w:rPr>
      </w:pPr>
      <w:r w:rsidRPr="00490CF9">
        <w:rPr>
          <w:rFonts w:asciiTheme="minorBidi" w:hAnsiTheme="minorBidi"/>
          <w:b/>
          <w:bCs/>
          <w:i/>
          <w:iCs/>
          <w:color w:val="215E99" w:themeColor="text2" w:themeTint="BF"/>
          <w:sz w:val="32"/>
          <w:szCs w:val="32"/>
        </w:rPr>
        <w:t xml:space="preserve"> Innocent Drinks</w:t>
      </w:r>
    </w:p>
    <w:p w14:paraId="4A81BCE9" w14:textId="77777777" w:rsidR="00490CF9" w:rsidRPr="00490CF9" w:rsidRDefault="00490CF9" w:rsidP="00490CF9">
      <w:pPr>
        <w:rPr>
          <w:rFonts w:asciiTheme="minorBidi" w:hAnsiTheme="minorBidi"/>
          <w:sz w:val="36"/>
          <w:szCs w:val="36"/>
        </w:rPr>
      </w:pPr>
      <w:r w:rsidRPr="00490CF9">
        <w:rPr>
          <w:rFonts w:asciiTheme="minorBidi" w:hAnsiTheme="minorBidi"/>
          <w:sz w:val="36"/>
          <w:szCs w:val="36"/>
        </w:rPr>
        <w:t>   </w:t>
      </w:r>
    </w:p>
    <w:p w14:paraId="6E391EB8" w14:textId="77777777" w:rsidR="00490CF9" w:rsidRPr="00490CF9" w:rsidRDefault="00490CF9" w:rsidP="00490CF9">
      <w:pPr>
        <w:rPr>
          <w:rFonts w:asciiTheme="minorBidi" w:hAnsiTheme="minorBidi"/>
          <w:sz w:val="36"/>
          <w:szCs w:val="36"/>
        </w:rPr>
      </w:pPr>
      <w:r w:rsidRPr="00490CF9">
        <w:rPr>
          <w:rFonts w:asciiTheme="minorBidi" w:hAnsiTheme="minorBidi"/>
          <w:sz w:val="36"/>
          <w:szCs w:val="36"/>
        </w:rPr>
        <w:t> </w:t>
      </w:r>
    </w:p>
    <w:p w14:paraId="205C5E26" w14:textId="77777777" w:rsidR="00490CF9" w:rsidRPr="00490CF9" w:rsidRDefault="00490CF9" w:rsidP="00490CF9">
      <w:pPr>
        <w:rPr>
          <w:rFonts w:asciiTheme="minorBidi" w:hAnsiTheme="minorBidi"/>
          <w:sz w:val="36"/>
          <w:szCs w:val="36"/>
        </w:rPr>
      </w:pPr>
      <w:r w:rsidRPr="00490CF9">
        <w:rPr>
          <w:rFonts w:asciiTheme="minorBidi" w:hAnsiTheme="minorBidi"/>
          <w:b/>
          <w:bCs/>
          <w:sz w:val="36"/>
          <w:szCs w:val="36"/>
        </w:rPr>
        <w:t>Lecturer’s Name:</w:t>
      </w:r>
      <w:r w:rsidRPr="00490CF9">
        <w:rPr>
          <w:rFonts w:asciiTheme="minorBidi" w:hAnsiTheme="minorBidi"/>
          <w:sz w:val="36"/>
          <w:szCs w:val="36"/>
        </w:rPr>
        <w:t> </w:t>
      </w:r>
      <w:r w:rsidRPr="00490CF9">
        <w:rPr>
          <w:rFonts w:asciiTheme="minorBidi" w:hAnsiTheme="minorBidi"/>
          <w:color w:val="215E99" w:themeColor="text2" w:themeTint="BF"/>
          <w:sz w:val="36"/>
          <w:szCs w:val="36"/>
        </w:rPr>
        <w:t>Md Ashikul Khan </w:t>
      </w:r>
    </w:p>
    <w:p w14:paraId="1294A176" w14:textId="77777777" w:rsidR="00490CF9" w:rsidRPr="00490CF9" w:rsidRDefault="00490CF9" w:rsidP="00490CF9">
      <w:pPr>
        <w:rPr>
          <w:rFonts w:asciiTheme="minorBidi" w:hAnsiTheme="minorBidi"/>
          <w:sz w:val="36"/>
          <w:szCs w:val="36"/>
        </w:rPr>
      </w:pPr>
      <w:r w:rsidRPr="00490CF9">
        <w:rPr>
          <w:rFonts w:asciiTheme="minorBidi" w:hAnsiTheme="minorBidi"/>
          <w:b/>
          <w:bCs/>
          <w:sz w:val="36"/>
          <w:szCs w:val="36"/>
        </w:rPr>
        <w:t>Student Name:</w:t>
      </w:r>
      <w:r w:rsidRPr="00490CF9">
        <w:rPr>
          <w:rFonts w:asciiTheme="minorBidi" w:hAnsiTheme="minorBidi"/>
          <w:sz w:val="36"/>
          <w:szCs w:val="36"/>
        </w:rPr>
        <w:t> </w:t>
      </w:r>
      <w:r w:rsidRPr="00490CF9">
        <w:rPr>
          <w:rFonts w:asciiTheme="minorBidi" w:hAnsiTheme="minorBidi"/>
          <w:color w:val="215E99" w:themeColor="text2" w:themeTint="BF"/>
          <w:sz w:val="36"/>
          <w:szCs w:val="36"/>
        </w:rPr>
        <w:t>Pletea Bianca Mihaela  </w:t>
      </w:r>
    </w:p>
    <w:p w14:paraId="6B02F48C" w14:textId="77777777" w:rsidR="00490CF9" w:rsidRPr="00490CF9" w:rsidRDefault="00490CF9" w:rsidP="00490CF9">
      <w:pPr>
        <w:rPr>
          <w:rFonts w:asciiTheme="minorBidi" w:hAnsiTheme="minorBidi"/>
          <w:sz w:val="36"/>
          <w:szCs w:val="36"/>
        </w:rPr>
      </w:pPr>
      <w:r w:rsidRPr="00490CF9">
        <w:rPr>
          <w:rFonts w:asciiTheme="minorBidi" w:hAnsiTheme="minorBidi"/>
          <w:b/>
          <w:bCs/>
          <w:sz w:val="36"/>
          <w:szCs w:val="36"/>
          <w:lang w:val="fr-FR"/>
        </w:rPr>
        <w:t>Student ID Number:</w:t>
      </w:r>
      <w:r w:rsidRPr="00490CF9">
        <w:rPr>
          <w:rFonts w:asciiTheme="minorBidi" w:hAnsiTheme="minorBidi"/>
          <w:sz w:val="36"/>
          <w:szCs w:val="36"/>
          <w:lang w:val="fr-FR"/>
        </w:rPr>
        <w:t> </w:t>
      </w:r>
      <w:r w:rsidRPr="00490CF9">
        <w:rPr>
          <w:rFonts w:asciiTheme="minorBidi" w:hAnsiTheme="minorBidi"/>
          <w:color w:val="215E99" w:themeColor="text2" w:themeTint="BF"/>
          <w:sz w:val="36"/>
          <w:szCs w:val="36"/>
          <w:lang w:val="fr-FR"/>
        </w:rPr>
        <w:t>2323235 </w:t>
      </w:r>
      <w:r w:rsidRPr="00490CF9">
        <w:rPr>
          <w:rFonts w:asciiTheme="minorBidi" w:hAnsiTheme="minorBidi"/>
          <w:color w:val="215E99" w:themeColor="text2" w:themeTint="BF"/>
          <w:sz w:val="36"/>
          <w:szCs w:val="36"/>
        </w:rPr>
        <w:t> </w:t>
      </w:r>
    </w:p>
    <w:p w14:paraId="7C7E7180" w14:textId="77777777" w:rsidR="00C36A1F" w:rsidRPr="00C36A1F" w:rsidRDefault="00C36A1F" w:rsidP="00C36A1F">
      <w:pPr>
        <w:rPr>
          <w:rFonts w:asciiTheme="minorBidi" w:hAnsiTheme="minorBidi"/>
          <w:sz w:val="36"/>
          <w:szCs w:val="36"/>
        </w:rPr>
      </w:pPr>
      <w:r w:rsidRPr="00C36A1F">
        <w:rPr>
          <w:rFonts w:asciiTheme="minorBidi" w:hAnsiTheme="minorBidi"/>
          <w:sz w:val="36"/>
          <w:szCs w:val="36"/>
          <w:lang w:val="fr-FR"/>
        </w:rPr>
        <w:t>  </w:t>
      </w:r>
      <w:r w:rsidRPr="00C36A1F">
        <w:rPr>
          <w:rFonts w:asciiTheme="minorBidi" w:hAnsiTheme="minorBidi"/>
          <w:sz w:val="36"/>
          <w:szCs w:val="36"/>
        </w:rPr>
        <w:t> </w:t>
      </w:r>
    </w:p>
    <w:p w14:paraId="19D533EA" w14:textId="77777777" w:rsidR="00C36A1F" w:rsidRPr="00490CF9" w:rsidRDefault="00C36A1F" w:rsidP="00C36A1F">
      <w:pPr>
        <w:rPr>
          <w:rFonts w:asciiTheme="minorBidi" w:hAnsiTheme="minorBidi"/>
          <w:sz w:val="36"/>
          <w:szCs w:val="36"/>
        </w:rPr>
      </w:pPr>
      <w:r w:rsidRPr="00C36A1F">
        <w:rPr>
          <w:rFonts w:asciiTheme="minorBidi" w:hAnsiTheme="minorBidi"/>
          <w:sz w:val="36"/>
          <w:szCs w:val="36"/>
        </w:rPr>
        <w:t> </w:t>
      </w:r>
    </w:p>
    <w:p w14:paraId="08615BDA" w14:textId="77777777" w:rsidR="00C36A1F" w:rsidRDefault="00C36A1F" w:rsidP="00C36A1F"/>
    <w:p w14:paraId="0003D24D" w14:textId="77777777" w:rsidR="00C36A1F" w:rsidRPr="00C36A1F" w:rsidRDefault="00C36A1F" w:rsidP="00C36A1F"/>
    <w:p w14:paraId="385C9912" w14:textId="0093D05A" w:rsidR="00F5280E" w:rsidRDefault="00C36A1F" w:rsidP="00B70650">
      <w:r w:rsidRPr="00C36A1F">
        <w:rPr>
          <w:noProof/>
        </w:rPr>
        <w:drawing>
          <wp:inline distT="0" distB="0" distL="0" distR="0" wp14:anchorId="5B2F96D3" wp14:editId="448292EC">
            <wp:extent cx="6043567" cy="1390608"/>
            <wp:effectExtent l="0" t="0" r="0" b="0"/>
            <wp:docPr id="1073201579" name="Picture 2"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VO | Sandwell Council of Voluntary Organisa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1476" cy="1397030"/>
                    </a:xfrm>
                    <a:prstGeom prst="rect">
                      <a:avLst/>
                    </a:prstGeom>
                    <a:noFill/>
                    <a:ln>
                      <a:noFill/>
                    </a:ln>
                  </pic:spPr>
                </pic:pic>
              </a:graphicData>
            </a:graphic>
          </wp:inline>
        </w:drawing>
      </w:r>
    </w:p>
    <w:sdt>
      <w:sdtPr>
        <w:rPr>
          <w:rFonts w:asciiTheme="minorHAnsi" w:eastAsiaTheme="minorHAnsi" w:hAnsiTheme="minorHAnsi" w:cstheme="minorBidi"/>
          <w:color w:val="auto"/>
          <w:kern w:val="2"/>
          <w:sz w:val="24"/>
          <w:szCs w:val="24"/>
          <w:lang w:eastAsia="en-US"/>
          <w14:ligatures w14:val="standardContextual"/>
        </w:rPr>
        <w:id w:val="839573614"/>
        <w:docPartObj>
          <w:docPartGallery w:val="Table of Contents"/>
          <w:docPartUnique/>
        </w:docPartObj>
      </w:sdtPr>
      <w:sdtContent>
        <w:p w14:paraId="56ADB1AD" w14:textId="319D4FAA" w:rsidR="00F5280E" w:rsidRPr="00B70650" w:rsidRDefault="00F5280E" w:rsidP="307459A2">
          <w:pPr>
            <w:pStyle w:val="TOCHeading"/>
            <w:rPr>
              <w:rFonts w:asciiTheme="minorBidi" w:hAnsiTheme="minorBidi" w:cstheme="minorBidi"/>
              <w:b/>
              <w:bCs/>
              <w:sz w:val="36"/>
              <w:szCs w:val="36"/>
            </w:rPr>
          </w:pPr>
          <w:r w:rsidRPr="00B70650">
            <w:rPr>
              <w:rFonts w:asciiTheme="minorBidi" w:hAnsiTheme="minorBidi" w:cstheme="minorBidi"/>
              <w:b/>
              <w:bCs/>
              <w:sz w:val="36"/>
              <w:szCs w:val="36"/>
            </w:rPr>
            <w:t>Contents</w:t>
          </w:r>
        </w:p>
        <w:p w14:paraId="27C36E8C" w14:textId="77777777" w:rsidR="00A5289A" w:rsidRPr="00B70650" w:rsidRDefault="00A5289A" w:rsidP="00A5289A">
          <w:pPr>
            <w:rPr>
              <w:rFonts w:asciiTheme="minorBidi" w:hAnsiTheme="minorBidi"/>
              <w:lang w:eastAsia="zh-CN"/>
            </w:rPr>
          </w:pPr>
        </w:p>
        <w:p w14:paraId="70AA5A95" w14:textId="114A25EC" w:rsidR="00185A4C" w:rsidRDefault="00A5289A">
          <w:pPr>
            <w:pStyle w:val="TOC1"/>
            <w:tabs>
              <w:tab w:val="right" w:leader="dot" w:pos="9016"/>
            </w:tabs>
            <w:rPr>
              <w:rFonts w:eastAsiaTheme="minorEastAsia"/>
              <w:noProof/>
              <w:lang w:eastAsia="en-GB"/>
            </w:rPr>
          </w:pPr>
          <w:r w:rsidRPr="00B70650">
            <w:rPr>
              <w:rFonts w:asciiTheme="minorBidi" w:hAnsiTheme="minorBidi"/>
            </w:rPr>
            <w:fldChar w:fldCharType="begin"/>
          </w:r>
          <w:r w:rsidR="00F5280E" w:rsidRPr="00B70650">
            <w:rPr>
              <w:rFonts w:asciiTheme="minorBidi" w:hAnsiTheme="minorBidi"/>
            </w:rPr>
            <w:instrText>TOC \o "1-3" \z \u \h</w:instrText>
          </w:r>
          <w:r w:rsidRPr="00B70650">
            <w:rPr>
              <w:rFonts w:asciiTheme="minorBidi" w:hAnsiTheme="minorBidi"/>
            </w:rPr>
            <w:fldChar w:fldCharType="separate"/>
          </w:r>
          <w:hyperlink w:anchor="_Toc224157049" w:history="1">
            <w:r w:rsidR="00185A4C" w:rsidRPr="007C7D34">
              <w:rPr>
                <w:rStyle w:val="Hyperlink"/>
                <w:rFonts w:asciiTheme="minorBidi" w:hAnsiTheme="minorBidi"/>
                <w:b/>
                <w:bCs/>
                <w:noProof/>
              </w:rPr>
              <w:t>Executive Summary</w:t>
            </w:r>
            <w:r w:rsidR="00185A4C">
              <w:rPr>
                <w:noProof/>
                <w:webHidden/>
              </w:rPr>
              <w:tab/>
            </w:r>
            <w:r w:rsidR="00185A4C">
              <w:rPr>
                <w:noProof/>
                <w:webHidden/>
              </w:rPr>
              <w:fldChar w:fldCharType="begin"/>
            </w:r>
            <w:r w:rsidR="00185A4C">
              <w:rPr>
                <w:noProof/>
                <w:webHidden/>
              </w:rPr>
              <w:instrText xml:space="preserve"> PAGEREF _Toc224157049 \h </w:instrText>
            </w:r>
            <w:r w:rsidR="00185A4C">
              <w:rPr>
                <w:noProof/>
                <w:webHidden/>
              </w:rPr>
            </w:r>
            <w:r w:rsidR="00185A4C">
              <w:rPr>
                <w:noProof/>
                <w:webHidden/>
              </w:rPr>
              <w:fldChar w:fldCharType="separate"/>
            </w:r>
            <w:r w:rsidR="00185A4C">
              <w:rPr>
                <w:noProof/>
                <w:webHidden/>
              </w:rPr>
              <w:t>2</w:t>
            </w:r>
            <w:r w:rsidR="00185A4C">
              <w:rPr>
                <w:noProof/>
                <w:webHidden/>
              </w:rPr>
              <w:fldChar w:fldCharType="end"/>
            </w:r>
          </w:hyperlink>
        </w:p>
        <w:p w14:paraId="526204D5" w14:textId="08AD6DE6" w:rsidR="00185A4C" w:rsidRDefault="00185A4C">
          <w:pPr>
            <w:pStyle w:val="TOC1"/>
            <w:tabs>
              <w:tab w:val="left" w:pos="480"/>
              <w:tab w:val="right" w:leader="dot" w:pos="9016"/>
            </w:tabs>
            <w:rPr>
              <w:rFonts w:eastAsiaTheme="minorEastAsia"/>
              <w:noProof/>
              <w:lang w:eastAsia="en-GB"/>
            </w:rPr>
          </w:pPr>
          <w:hyperlink w:anchor="_Toc224157050" w:history="1">
            <w:r w:rsidRPr="007C7D34">
              <w:rPr>
                <w:rStyle w:val="Hyperlink"/>
                <w:rFonts w:asciiTheme="minorBidi" w:hAnsiTheme="minorBidi"/>
                <w:b/>
                <w:bCs/>
                <w:noProof/>
              </w:rPr>
              <w:t>1.</w:t>
            </w:r>
            <w:r>
              <w:rPr>
                <w:rFonts w:eastAsiaTheme="minorEastAsia"/>
                <w:noProof/>
                <w:lang w:eastAsia="en-GB"/>
              </w:rPr>
              <w:tab/>
            </w:r>
            <w:r w:rsidRPr="007C7D34">
              <w:rPr>
                <w:rStyle w:val="Hyperlink"/>
                <w:rFonts w:asciiTheme="minorBidi" w:hAnsiTheme="minorBidi"/>
                <w:b/>
                <w:bCs/>
                <w:noProof/>
              </w:rPr>
              <w:t>Introduction to Innocent Drinks</w:t>
            </w:r>
            <w:r>
              <w:rPr>
                <w:noProof/>
                <w:webHidden/>
              </w:rPr>
              <w:tab/>
            </w:r>
            <w:r>
              <w:rPr>
                <w:noProof/>
                <w:webHidden/>
              </w:rPr>
              <w:fldChar w:fldCharType="begin"/>
            </w:r>
            <w:r>
              <w:rPr>
                <w:noProof/>
                <w:webHidden/>
              </w:rPr>
              <w:instrText xml:space="preserve"> PAGEREF _Toc224157050 \h </w:instrText>
            </w:r>
            <w:r>
              <w:rPr>
                <w:noProof/>
                <w:webHidden/>
              </w:rPr>
            </w:r>
            <w:r>
              <w:rPr>
                <w:noProof/>
                <w:webHidden/>
              </w:rPr>
              <w:fldChar w:fldCharType="separate"/>
            </w:r>
            <w:r>
              <w:rPr>
                <w:noProof/>
                <w:webHidden/>
              </w:rPr>
              <w:t>3</w:t>
            </w:r>
            <w:r>
              <w:rPr>
                <w:noProof/>
                <w:webHidden/>
              </w:rPr>
              <w:fldChar w:fldCharType="end"/>
            </w:r>
          </w:hyperlink>
        </w:p>
        <w:p w14:paraId="15603F37" w14:textId="270B4608" w:rsidR="00185A4C" w:rsidRDefault="00185A4C">
          <w:pPr>
            <w:pStyle w:val="TOC1"/>
            <w:tabs>
              <w:tab w:val="right" w:leader="dot" w:pos="9016"/>
            </w:tabs>
            <w:rPr>
              <w:rFonts w:eastAsiaTheme="minorEastAsia"/>
              <w:noProof/>
              <w:lang w:eastAsia="en-GB"/>
            </w:rPr>
          </w:pPr>
          <w:hyperlink w:anchor="_Toc224157051" w:history="1">
            <w:r w:rsidRPr="007C7D34">
              <w:rPr>
                <w:rStyle w:val="Hyperlink"/>
                <w:rFonts w:asciiTheme="minorBidi" w:hAnsiTheme="minorBidi"/>
                <w:b/>
                <w:bCs/>
                <w:noProof/>
              </w:rPr>
              <w:t>2. Evaluation of the Current Market Situation</w:t>
            </w:r>
            <w:r>
              <w:rPr>
                <w:noProof/>
                <w:webHidden/>
              </w:rPr>
              <w:tab/>
            </w:r>
            <w:r>
              <w:rPr>
                <w:noProof/>
                <w:webHidden/>
              </w:rPr>
              <w:fldChar w:fldCharType="begin"/>
            </w:r>
            <w:r>
              <w:rPr>
                <w:noProof/>
                <w:webHidden/>
              </w:rPr>
              <w:instrText xml:space="preserve"> PAGEREF _Toc224157051 \h </w:instrText>
            </w:r>
            <w:r>
              <w:rPr>
                <w:noProof/>
                <w:webHidden/>
              </w:rPr>
            </w:r>
            <w:r>
              <w:rPr>
                <w:noProof/>
                <w:webHidden/>
              </w:rPr>
              <w:fldChar w:fldCharType="separate"/>
            </w:r>
            <w:r>
              <w:rPr>
                <w:noProof/>
                <w:webHidden/>
              </w:rPr>
              <w:t>4</w:t>
            </w:r>
            <w:r>
              <w:rPr>
                <w:noProof/>
                <w:webHidden/>
              </w:rPr>
              <w:fldChar w:fldCharType="end"/>
            </w:r>
          </w:hyperlink>
        </w:p>
        <w:p w14:paraId="2865E0AC" w14:textId="34BFC90E" w:rsidR="00185A4C" w:rsidRDefault="00185A4C">
          <w:pPr>
            <w:pStyle w:val="TOC2"/>
            <w:tabs>
              <w:tab w:val="right" w:leader="dot" w:pos="9016"/>
            </w:tabs>
            <w:rPr>
              <w:rFonts w:eastAsiaTheme="minorEastAsia"/>
              <w:noProof/>
              <w:lang w:eastAsia="en-GB"/>
            </w:rPr>
          </w:pPr>
          <w:hyperlink w:anchor="_Toc224157052" w:history="1">
            <w:r w:rsidRPr="007C7D34">
              <w:rPr>
                <w:rStyle w:val="Hyperlink"/>
                <w:rFonts w:ascii="Arial" w:eastAsia="Arial" w:hAnsi="Arial" w:cs="Arial"/>
                <w:noProof/>
              </w:rPr>
              <w:t>2.1 Background of the Market and Competitive Landscape</w:t>
            </w:r>
            <w:r>
              <w:rPr>
                <w:noProof/>
                <w:webHidden/>
              </w:rPr>
              <w:tab/>
            </w:r>
            <w:r>
              <w:rPr>
                <w:noProof/>
                <w:webHidden/>
              </w:rPr>
              <w:fldChar w:fldCharType="begin"/>
            </w:r>
            <w:r>
              <w:rPr>
                <w:noProof/>
                <w:webHidden/>
              </w:rPr>
              <w:instrText xml:space="preserve"> PAGEREF _Toc224157052 \h </w:instrText>
            </w:r>
            <w:r>
              <w:rPr>
                <w:noProof/>
                <w:webHidden/>
              </w:rPr>
            </w:r>
            <w:r>
              <w:rPr>
                <w:noProof/>
                <w:webHidden/>
              </w:rPr>
              <w:fldChar w:fldCharType="separate"/>
            </w:r>
            <w:r>
              <w:rPr>
                <w:noProof/>
                <w:webHidden/>
              </w:rPr>
              <w:t>4</w:t>
            </w:r>
            <w:r>
              <w:rPr>
                <w:noProof/>
                <w:webHidden/>
              </w:rPr>
              <w:fldChar w:fldCharType="end"/>
            </w:r>
          </w:hyperlink>
        </w:p>
        <w:p w14:paraId="6768E918" w14:textId="20D48D27" w:rsidR="00185A4C" w:rsidRDefault="00185A4C">
          <w:pPr>
            <w:pStyle w:val="TOC2"/>
            <w:tabs>
              <w:tab w:val="right" w:leader="dot" w:pos="9016"/>
            </w:tabs>
            <w:rPr>
              <w:rFonts w:eastAsiaTheme="minorEastAsia"/>
              <w:noProof/>
              <w:lang w:eastAsia="en-GB"/>
            </w:rPr>
          </w:pPr>
          <w:hyperlink w:anchor="_Toc224157053" w:history="1">
            <w:r w:rsidRPr="007C7D34">
              <w:rPr>
                <w:rStyle w:val="Hyperlink"/>
                <w:rFonts w:ascii="Arial" w:eastAsia="Arial" w:hAnsi="Arial" w:cs="Arial"/>
                <w:noProof/>
              </w:rPr>
              <w:t>2.2 PESTEL Analysis</w:t>
            </w:r>
            <w:r>
              <w:rPr>
                <w:noProof/>
                <w:webHidden/>
              </w:rPr>
              <w:tab/>
            </w:r>
            <w:r>
              <w:rPr>
                <w:noProof/>
                <w:webHidden/>
              </w:rPr>
              <w:fldChar w:fldCharType="begin"/>
            </w:r>
            <w:r>
              <w:rPr>
                <w:noProof/>
                <w:webHidden/>
              </w:rPr>
              <w:instrText xml:space="preserve"> PAGEREF _Toc224157053 \h </w:instrText>
            </w:r>
            <w:r>
              <w:rPr>
                <w:noProof/>
                <w:webHidden/>
              </w:rPr>
            </w:r>
            <w:r>
              <w:rPr>
                <w:noProof/>
                <w:webHidden/>
              </w:rPr>
              <w:fldChar w:fldCharType="separate"/>
            </w:r>
            <w:r>
              <w:rPr>
                <w:noProof/>
                <w:webHidden/>
              </w:rPr>
              <w:t>4</w:t>
            </w:r>
            <w:r>
              <w:rPr>
                <w:noProof/>
                <w:webHidden/>
              </w:rPr>
              <w:fldChar w:fldCharType="end"/>
            </w:r>
          </w:hyperlink>
        </w:p>
        <w:p w14:paraId="3EC329EA" w14:textId="176300E9" w:rsidR="00185A4C" w:rsidRDefault="00185A4C">
          <w:pPr>
            <w:pStyle w:val="TOC2"/>
            <w:tabs>
              <w:tab w:val="right" w:leader="dot" w:pos="9016"/>
            </w:tabs>
            <w:rPr>
              <w:rFonts w:eastAsiaTheme="minorEastAsia"/>
              <w:noProof/>
              <w:lang w:eastAsia="en-GB"/>
            </w:rPr>
          </w:pPr>
          <w:hyperlink w:anchor="_Toc224157054" w:history="1">
            <w:r w:rsidRPr="007C7D34">
              <w:rPr>
                <w:rStyle w:val="Hyperlink"/>
                <w:rFonts w:ascii="Arial" w:eastAsia="Arial" w:hAnsi="Arial" w:cs="Arial"/>
                <w:noProof/>
              </w:rPr>
              <w:t>2.3 Porter’s Five Forces Analysis</w:t>
            </w:r>
            <w:r>
              <w:rPr>
                <w:noProof/>
                <w:webHidden/>
              </w:rPr>
              <w:tab/>
            </w:r>
            <w:r>
              <w:rPr>
                <w:noProof/>
                <w:webHidden/>
              </w:rPr>
              <w:fldChar w:fldCharType="begin"/>
            </w:r>
            <w:r>
              <w:rPr>
                <w:noProof/>
                <w:webHidden/>
              </w:rPr>
              <w:instrText xml:space="preserve"> PAGEREF _Toc224157054 \h </w:instrText>
            </w:r>
            <w:r>
              <w:rPr>
                <w:noProof/>
                <w:webHidden/>
              </w:rPr>
            </w:r>
            <w:r>
              <w:rPr>
                <w:noProof/>
                <w:webHidden/>
              </w:rPr>
              <w:fldChar w:fldCharType="separate"/>
            </w:r>
            <w:r>
              <w:rPr>
                <w:noProof/>
                <w:webHidden/>
              </w:rPr>
              <w:t>6</w:t>
            </w:r>
            <w:r>
              <w:rPr>
                <w:noProof/>
                <w:webHidden/>
              </w:rPr>
              <w:fldChar w:fldCharType="end"/>
            </w:r>
          </w:hyperlink>
        </w:p>
        <w:p w14:paraId="602BDAEF" w14:textId="00E8D8CD" w:rsidR="00185A4C" w:rsidRDefault="00185A4C">
          <w:pPr>
            <w:pStyle w:val="TOC2"/>
            <w:tabs>
              <w:tab w:val="right" w:leader="dot" w:pos="9016"/>
            </w:tabs>
            <w:rPr>
              <w:rFonts w:eastAsiaTheme="minorEastAsia"/>
              <w:noProof/>
              <w:lang w:eastAsia="en-GB"/>
            </w:rPr>
          </w:pPr>
          <w:hyperlink w:anchor="_Toc224157055" w:history="1">
            <w:r w:rsidRPr="007C7D34">
              <w:rPr>
                <w:rStyle w:val="Hyperlink"/>
                <w:rFonts w:ascii="Arial" w:eastAsia="Arial" w:hAnsi="Arial" w:cs="Arial"/>
                <w:noProof/>
              </w:rPr>
              <w:t>2.4 SWOT Analysis</w:t>
            </w:r>
            <w:r>
              <w:rPr>
                <w:noProof/>
                <w:webHidden/>
              </w:rPr>
              <w:tab/>
            </w:r>
            <w:r>
              <w:rPr>
                <w:noProof/>
                <w:webHidden/>
              </w:rPr>
              <w:fldChar w:fldCharType="begin"/>
            </w:r>
            <w:r>
              <w:rPr>
                <w:noProof/>
                <w:webHidden/>
              </w:rPr>
              <w:instrText xml:space="preserve"> PAGEREF _Toc224157055 \h </w:instrText>
            </w:r>
            <w:r>
              <w:rPr>
                <w:noProof/>
                <w:webHidden/>
              </w:rPr>
            </w:r>
            <w:r>
              <w:rPr>
                <w:noProof/>
                <w:webHidden/>
              </w:rPr>
              <w:fldChar w:fldCharType="separate"/>
            </w:r>
            <w:r>
              <w:rPr>
                <w:noProof/>
                <w:webHidden/>
              </w:rPr>
              <w:t>8</w:t>
            </w:r>
            <w:r>
              <w:rPr>
                <w:noProof/>
                <w:webHidden/>
              </w:rPr>
              <w:fldChar w:fldCharType="end"/>
            </w:r>
          </w:hyperlink>
        </w:p>
        <w:p w14:paraId="0D7AF65E" w14:textId="2F8D90B2" w:rsidR="00185A4C" w:rsidRDefault="00185A4C">
          <w:pPr>
            <w:pStyle w:val="TOC2"/>
            <w:tabs>
              <w:tab w:val="right" w:leader="dot" w:pos="9016"/>
            </w:tabs>
            <w:rPr>
              <w:rFonts w:eastAsiaTheme="minorEastAsia"/>
              <w:noProof/>
              <w:lang w:eastAsia="en-GB"/>
            </w:rPr>
          </w:pPr>
          <w:hyperlink w:anchor="_Toc224157056" w:history="1">
            <w:r w:rsidRPr="007C7D34">
              <w:rPr>
                <w:rStyle w:val="Hyperlink"/>
                <w:rFonts w:ascii="Arial" w:eastAsia="Arial" w:hAnsi="Arial" w:cs="Arial"/>
                <w:noProof/>
              </w:rPr>
              <w:t>2.5 TOWS Matrix</w:t>
            </w:r>
            <w:r>
              <w:rPr>
                <w:noProof/>
                <w:webHidden/>
              </w:rPr>
              <w:tab/>
            </w:r>
            <w:r>
              <w:rPr>
                <w:noProof/>
                <w:webHidden/>
              </w:rPr>
              <w:fldChar w:fldCharType="begin"/>
            </w:r>
            <w:r>
              <w:rPr>
                <w:noProof/>
                <w:webHidden/>
              </w:rPr>
              <w:instrText xml:space="preserve"> PAGEREF _Toc224157056 \h </w:instrText>
            </w:r>
            <w:r>
              <w:rPr>
                <w:noProof/>
                <w:webHidden/>
              </w:rPr>
            </w:r>
            <w:r>
              <w:rPr>
                <w:noProof/>
                <w:webHidden/>
              </w:rPr>
              <w:fldChar w:fldCharType="separate"/>
            </w:r>
            <w:r>
              <w:rPr>
                <w:noProof/>
                <w:webHidden/>
              </w:rPr>
              <w:t>9</w:t>
            </w:r>
            <w:r>
              <w:rPr>
                <w:noProof/>
                <w:webHidden/>
              </w:rPr>
              <w:fldChar w:fldCharType="end"/>
            </w:r>
          </w:hyperlink>
        </w:p>
        <w:p w14:paraId="414A2B12" w14:textId="1FD024CC" w:rsidR="00185A4C" w:rsidRDefault="00185A4C">
          <w:pPr>
            <w:pStyle w:val="TOC2"/>
            <w:tabs>
              <w:tab w:val="right" w:leader="dot" w:pos="9016"/>
            </w:tabs>
            <w:rPr>
              <w:rFonts w:eastAsiaTheme="minorEastAsia"/>
              <w:noProof/>
              <w:lang w:eastAsia="en-GB"/>
            </w:rPr>
          </w:pPr>
          <w:hyperlink w:anchor="_Toc224157057" w:history="1">
            <w:r w:rsidRPr="007C7D34">
              <w:rPr>
                <w:rStyle w:val="Hyperlink"/>
                <w:rFonts w:ascii="Arial" w:eastAsia="Arial" w:hAnsi="Arial" w:cs="Arial"/>
                <w:noProof/>
              </w:rPr>
              <w:t>2.6 Porter’s Value Chain</w:t>
            </w:r>
            <w:r>
              <w:rPr>
                <w:noProof/>
                <w:webHidden/>
              </w:rPr>
              <w:tab/>
            </w:r>
            <w:r>
              <w:rPr>
                <w:noProof/>
                <w:webHidden/>
              </w:rPr>
              <w:fldChar w:fldCharType="begin"/>
            </w:r>
            <w:r>
              <w:rPr>
                <w:noProof/>
                <w:webHidden/>
              </w:rPr>
              <w:instrText xml:space="preserve"> PAGEREF _Toc224157057 \h </w:instrText>
            </w:r>
            <w:r>
              <w:rPr>
                <w:noProof/>
                <w:webHidden/>
              </w:rPr>
            </w:r>
            <w:r>
              <w:rPr>
                <w:noProof/>
                <w:webHidden/>
              </w:rPr>
              <w:fldChar w:fldCharType="separate"/>
            </w:r>
            <w:r>
              <w:rPr>
                <w:noProof/>
                <w:webHidden/>
              </w:rPr>
              <w:t>10</w:t>
            </w:r>
            <w:r>
              <w:rPr>
                <w:noProof/>
                <w:webHidden/>
              </w:rPr>
              <w:fldChar w:fldCharType="end"/>
            </w:r>
          </w:hyperlink>
        </w:p>
        <w:p w14:paraId="556330D9" w14:textId="684493B6" w:rsidR="00185A4C" w:rsidRDefault="00185A4C">
          <w:pPr>
            <w:pStyle w:val="TOC1"/>
            <w:tabs>
              <w:tab w:val="right" w:leader="dot" w:pos="9016"/>
            </w:tabs>
            <w:rPr>
              <w:rFonts w:eastAsiaTheme="minorEastAsia"/>
              <w:noProof/>
              <w:lang w:eastAsia="en-GB"/>
            </w:rPr>
          </w:pPr>
          <w:hyperlink w:anchor="_Toc224157058" w:history="1">
            <w:r w:rsidRPr="007C7D34">
              <w:rPr>
                <w:rStyle w:val="Hyperlink"/>
                <w:rFonts w:asciiTheme="minorBidi" w:hAnsiTheme="minorBidi"/>
                <w:b/>
                <w:bCs/>
                <w:noProof/>
              </w:rPr>
              <w:t>3. Strategic Growth Options and Proposed Strategy</w:t>
            </w:r>
            <w:r>
              <w:rPr>
                <w:noProof/>
                <w:webHidden/>
              </w:rPr>
              <w:tab/>
            </w:r>
            <w:r>
              <w:rPr>
                <w:noProof/>
                <w:webHidden/>
              </w:rPr>
              <w:fldChar w:fldCharType="begin"/>
            </w:r>
            <w:r>
              <w:rPr>
                <w:noProof/>
                <w:webHidden/>
              </w:rPr>
              <w:instrText xml:space="preserve"> PAGEREF _Toc224157058 \h </w:instrText>
            </w:r>
            <w:r>
              <w:rPr>
                <w:noProof/>
                <w:webHidden/>
              </w:rPr>
            </w:r>
            <w:r>
              <w:rPr>
                <w:noProof/>
                <w:webHidden/>
              </w:rPr>
              <w:fldChar w:fldCharType="separate"/>
            </w:r>
            <w:r>
              <w:rPr>
                <w:noProof/>
                <w:webHidden/>
              </w:rPr>
              <w:t>12</w:t>
            </w:r>
            <w:r>
              <w:rPr>
                <w:noProof/>
                <w:webHidden/>
              </w:rPr>
              <w:fldChar w:fldCharType="end"/>
            </w:r>
          </w:hyperlink>
        </w:p>
        <w:p w14:paraId="5955D078" w14:textId="1D6EC09F" w:rsidR="00185A4C" w:rsidRDefault="00185A4C">
          <w:pPr>
            <w:pStyle w:val="TOC2"/>
            <w:tabs>
              <w:tab w:val="right" w:leader="dot" w:pos="9016"/>
            </w:tabs>
            <w:rPr>
              <w:rFonts w:eastAsiaTheme="minorEastAsia"/>
              <w:noProof/>
              <w:lang w:eastAsia="en-GB"/>
            </w:rPr>
          </w:pPr>
          <w:hyperlink w:anchor="_Toc224157059" w:history="1">
            <w:r w:rsidRPr="007C7D34">
              <w:rPr>
                <w:rStyle w:val="Hyperlink"/>
                <w:rFonts w:ascii="Arial" w:eastAsia="Arial" w:hAnsi="Arial" w:cs="Arial"/>
                <w:noProof/>
              </w:rPr>
              <w:t>3.1 Porter’s Generic Strategy</w:t>
            </w:r>
            <w:r>
              <w:rPr>
                <w:noProof/>
                <w:webHidden/>
              </w:rPr>
              <w:tab/>
            </w:r>
            <w:r>
              <w:rPr>
                <w:noProof/>
                <w:webHidden/>
              </w:rPr>
              <w:fldChar w:fldCharType="begin"/>
            </w:r>
            <w:r>
              <w:rPr>
                <w:noProof/>
                <w:webHidden/>
              </w:rPr>
              <w:instrText xml:space="preserve"> PAGEREF _Toc224157059 \h </w:instrText>
            </w:r>
            <w:r>
              <w:rPr>
                <w:noProof/>
                <w:webHidden/>
              </w:rPr>
            </w:r>
            <w:r>
              <w:rPr>
                <w:noProof/>
                <w:webHidden/>
              </w:rPr>
              <w:fldChar w:fldCharType="separate"/>
            </w:r>
            <w:r>
              <w:rPr>
                <w:noProof/>
                <w:webHidden/>
              </w:rPr>
              <w:t>12</w:t>
            </w:r>
            <w:r>
              <w:rPr>
                <w:noProof/>
                <w:webHidden/>
              </w:rPr>
              <w:fldChar w:fldCharType="end"/>
            </w:r>
          </w:hyperlink>
        </w:p>
        <w:p w14:paraId="4C2B6B0D" w14:textId="03983B25" w:rsidR="00185A4C" w:rsidRDefault="00185A4C">
          <w:pPr>
            <w:pStyle w:val="TOC2"/>
            <w:tabs>
              <w:tab w:val="right" w:leader="dot" w:pos="9016"/>
            </w:tabs>
            <w:rPr>
              <w:rFonts w:eastAsiaTheme="minorEastAsia"/>
              <w:noProof/>
              <w:lang w:eastAsia="en-GB"/>
            </w:rPr>
          </w:pPr>
          <w:hyperlink w:anchor="_Toc224157060" w:history="1">
            <w:r w:rsidRPr="007C7D34">
              <w:rPr>
                <w:rStyle w:val="Hyperlink"/>
                <w:rFonts w:ascii="Arial" w:eastAsia="Arial" w:hAnsi="Arial" w:cs="Arial"/>
                <w:noProof/>
              </w:rPr>
              <w:t>3.2 Ansoff Matrix</w:t>
            </w:r>
            <w:r>
              <w:rPr>
                <w:noProof/>
                <w:webHidden/>
              </w:rPr>
              <w:tab/>
            </w:r>
            <w:r>
              <w:rPr>
                <w:noProof/>
                <w:webHidden/>
              </w:rPr>
              <w:fldChar w:fldCharType="begin"/>
            </w:r>
            <w:r>
              <w:rPr>
                <w:noProof/>
                <w:webHidden/>
              </w:rPr>
              <w:instrText xml:space="preserve"> PAGEREF _Toc224157060 \h </w:instrText>
            </w:r>
            <w:r>
              <w:rPr>
                <w:noProof/>
                <w:webHidden/>
              </w:rPr>
            </w:r>
            <w:r>
              <w:rPr>
                <w:noProof/>
                <w:webHidden/>
              </w:rPr>
              <w:fldChar w:fldCharType="separate"/>
            </w:r>
            <w:r>
              <w:rPr>
                <w:noProof/>
                <w:webHidden/>
              </w:rPr>
              <w:t>13</w:t>
            </w:r>
            <w:r>
              <w:rPr>
                <w:noProof/>
                <w:webHidden/>
              </w:rPr>
              <w:fldChar w:fldCharType="end"/>
            </w:r>
          </w:hyperlink>
        </w:p>
        <w:p w14:paraId="38B6BB4C" w14:textId="629B10B6" w:rsidR="00185A4C" w:rsidRDefault="00185A4C">
          <w:pPr>
            <w:pStyle w:val="TOC1"/>
            <w:tabs>
              <w:tab w:val="right" w:leader="dot" w:pos="9016"/>
            </w:tabs>
            <w:rPr>
              <w:rFonts w:eastAsiaTheme="minorEastAsia"/>
              <w:noProof/>
              <w:lang w:eastAsia="en-GB"/>
            </w:rPr>
          </w:pPr>
          <w:hyperlink w:anchor="_Toc224157061" w:history="1">
            <w:r w:rsidRPr="007C7D34">
              <w:rPr>
                <w:rStyle w:val="Hyperlink"/>
                <w:rFonts w:asciiTheme="minorBidi" w:hAnsiTheme="minorBidi"/>
                <w:b/>
                <w:bCs/>
                <w:noProof/>
              </w:rPr>
              <w:t>4. Strategy Evaluation</w:t>
            </w:r>
            <w:r>
              <w:rPr>
                <w:noProof/>
                <w:webHidden/>
              </w:rPr>
              <w:tab/>
            </w:r>
            <w:r>
              <w:rPr>
                <w:noProof/>
                <w:webHidden/>
              </w:rPr>
              <w:fldChar w:fldCharType="begin"/>
            </w:r>
            <w:r>
              <w:rPr>
                <w:noProof/>
                <w:webHidden/>
              </w:rPr>
              <w:instrText xml:space="preserve"> PAGEREF _Toc224157061 \h </w:instrText>
            </w:r>
            <w:r>
              <w:rPr>
                <w:noProof/>
                <w:webHidden/>
              </w:rPr>
            </w:r>
            <w:r>
              <w:rPr>
                <w:noProof/>
                <w:webHidden/>
              </w:rPr>
              <w:fldChar w:fldCharType="separate"/>
            </w:r>
            <w:r>
              <w:rPr>
                <w:noProof/>
                <w:webHidden/>
              </w:rPr>
              <w:t>14</w:t>
            </w:r>
            <w:r>
              <w:rPr>
                <w:noProof/>
                <w:webHidden/>
              </w:rPr>
              <w:fldChar w:fldCharType="end"/>
            </w:r>
          </w:hyperlink>
        </w:p>
        <w:p w14:paraId="553C29D3" w14:textId="47584B5D" w:rsidR="00185A4C" w:rsidRDefault="00185A4C">
          <w:pPr>
            <w:pStyle w:val="TOC2"/>
            <w:tabs>
              <w:tab w:val="right" w:leader="dot" w:pos="9016"/>
            </w:tabs>
            <w:rPr>
              <w:rFonts w:eastAsiaTheme="minorEastAsia"/>
              <w:noProof/>
              <w:lang w:eastAsia="en-GB"/>
            </w:rPr>
          </w:pPr>
          <w:hyperlink w:anchor="_Toc224157062" w:history="1">
            <w:r w:rsidRPr="007C7D34">
              <w:rPr>
                <w:rStyle w:val="Hyperlink"/>
                <w:rFonts w:ascii="Arial" w:eastAsia="Arial" w:hAnsi="Arial" w:cs="Arial"/>
                <w:noProof/>
              </w:rPr>
              <w:t>4.1 SFA Matrix</w:t>
            </w:r>
            <w:r>
              <w:rPr>
                <w:noProof/>
                <w:webHidden/>
              </w:rPr>
              <w:tab/>
            </w:r>
            <w:r>
              <w:rPr>
                <w:noProof/>
                <w:webHidden/>
              </w:rPr>
              <w:fldChar w:fldCharType="begin"/>
            </w:r>
            <w:r>
              <w:rPr>
                <w:noProof/>
                <w:webHidden/>
              </w:rPr>
              <w:instrText xml:space="preserve"> PAGEREF _Toc224157062 \h </w:instrText>
            </w:r>
            <w:r>
              <w:rPr>
                <w:noProof/>
                <w:webHidden/>
              </w:rPr>
            </w:r>
            <w:r>
              <w:rPr>
                <w:noProof/>
                <w:webHidden/>
              </w:rPr>
              <w:fldChar w:fldCharType="separate"/>
            </w:r>
            <w:r>
              <w:rPr>
                <w:noProof/>
                <w:webHidden/>
              </w:rPr>
              <w:t>15</w:t>
            </w:r>
            <w:r>
              <w:rPr>
                <w:noProof/>
                <w:webHidden/>
              </w:rPr>
              <w:fldChar w:fldCharType="end"/>
            </w:r>
          </w:hyperlink>
        </w:p>
        <w:p w14:paraId="001D6DFB" w14:textId="16F76D55" w:rsidR="00185A4C" w:rsidRDefault="00185A4C">
          <w:pPr>
            <w:pStyle w:val="TOC1"/>
            <w:tabs>
              <w:tab w:val="right" w:leader="dot" w:pos="9016"/>
            </w:tabs>
            <w:rPr>
              <w:rFonts w:eastAsiaTheme="minorEastAsia"/>
              <w:noProof/>
              <w:lang w:eastAsia="en-GB"/>
            </w:rPr>
          </w:pPr>
          <w:hyperlink w:anchor="_Toc224157063" w:history="1">
            <w:r w:rsidRPr="007C7D34">
              <w:rPr>
                <w:rStyle w:val="Hyperlink"/>
                <w:rFonts w:asciiTheme="minorBidi" w:hAnsiTheme="minorBidi"/>
                <w:b/>
                <w:bCs/>
                <w:noProof/>
              </w:rPr>
              <w:t>5. Stakeholder Analysis</w:t>
            </w:r>
            <w:r>
              <w:rPr>
                <w:noProof/>
                <w:webHidden/>
              </w:rPr>
              <w:tab/>
            </w:r>
            <w:r>
              <w:rPr>
                <w:noProof/>
                <w:webHidden/>
              </w:rPr>
              <w:fldChar w:fldCharType="begin"/>
            </w:r>
            <w:r>
              <w:rPr>
                <w:noProof/>
                <w:webHidden/>
              </w:rPr>
              <w:instrText xml:space="preserve"> PAGEREF _Toc224157063 \h </w:instrText>
            </w:r>
            <w:r>
              <w:rPr>
                <w:noProof/>
                <w:webHidden/>
              </w:rPr>
            </w:r>
            <w:r>
              <w:rPr>
                <w:noProof/>
                <w:webHidden/>
              </w:rPr>
              <w:fldChar w:fldCharType="separate"/>
            </w:r>
            <w:r>
              <w:rPr>
                <w:noProof/>
                <w:webHidden/>
              </w:rPr>
              <w:t>16</w:t>
            </w:r>
            <w:r>
              <w:rPr>
                <w:noProof/>
                <w:webHidden/>
              </w:rPr>
              <w:fldChar w:fldCharType="end"/>
            </w:r>
          </w:hyperlink>
        </w:p>
        <w:p w14:paraId="0410DFFF" w14:textId="444210DD" w:rsidR="00185A4C" w:rsidRDefault="00185A4C">
          <w:pPr>
            <w:pStyle w:val="TOC2"/>
            <w:tabs>
              <w:tab w:val="right" w:leader="dot" w:pos="9016"/>
            </w:tabs>
            <w:rPr>
              <w:rFonts w:eastAsiaTheme="minorEastAsia"/>
              <w:noProof/>
              <w:lang w:eastAsia="en-GB"/>
            </w:rPr>
          </w:pPr>
          <w:hyperlink w:anchor="_Toc224157064" w:history="1">
            <w:r w:rsidRPr="007C7D34">
              <w:rPr>
                <w:rStyle w:val="Hyperlink"/>
                <w:rFonts w:ascii="Arial" w:eastAsia="Arial" w:hAnsi="Arial" w:cs="Arial"/>
                <w:noProof/>
              </w:rPr>
              <w:t>5.1 Mendelow’s Matrix</w:t>
            </w:r>
            <w:r>
              <w:rPr>
                <w:noProof/>
                <w:webHidden/>
              </w:rPr>
              <w:tab/>
            </w:r>
            <w:r>
              <w:rPr>
                <w:noProof/>
                <w:webHidden/>
              </w:rPr>
              <w:fldChar w:fldCharType="begin"/>
            </w:r>
            <w:r>
              <w:rPr>
                <w:noProof/>
                <w:webHidden/>
              </w:rPr>
              <w:instrText xml:space="preserve"> PAGEREF _Toc224157064 \h </w:instrText>
            </w:r>
            <w:r>
              <w:rPr>
                <w:noProof/>
                <w:webHidden/>
              </w:rPr>
            </w:r>
            <w:r>
              <w:rPr>
                <w:noProof/>
                <w:webHidden/>
              </w:rPr>
              <w:fldChar w:fldCharType="separate"/>
            </w:r>
            <w:r>
              <w:rPr>
                <w:noProof/>
                <w:webHidden/>
              </w:rPr>
              <w:t>17</w:t>
            </w:r>
            <w:r>
              <w:rPr>
                <w:noProof/>
                <w:webHidden/>
              </w:rPr>
              <w:fldChar w:fldCharType="end"/>
            </w:r>
          </w:hyperlink>
        </w:p>
        <w:p w14:paraId="166DFAC1" w14:textId="1B828274" w:rsidR="00185A4C" w:rsidRDefault="00185A4C">
          <w:pPr>
            <w:pStyle w:val="TOC2"/>
            <w:tabs>
              <w:tab w:val="right" w:leader="dot" w:pos="9016"/>
            </w:tabs>
            <w:rPr>
              <w:rFonts w:eastAsiaTheme="minorEastAsia"/>
              <w:noProof/>
              <w:lang w:eastAsia="en-GB"/>
            </w:rPr>
          </w:pPr>
          <w:hyperlink w:anchor="_Toc224157065" w:history="1">
            <w:r w:rsidRPr="007C7D34">
              <w:rPr>
                <w:rStyle w:val="Hyperlink"/>
                <w:rFonts w:ascii="Arial" w:eastAsia="Arial" w:hAnsi="Arial" w:cs="Arial"/>
                <w:noProof/>
              </w:rPr>
              <w:t>5.2 Stakeholder Engagement Plan</w:t>
            </w:r>
            <w:r>
              <w:rPr>
                <w:noProof/>
                <w:webHidden/>
              </w:rPr>
              <w:tab/>
            </w:r>
            <w:r>
              <w:rPr>
                <w:noProof/>
                <w:webHidden/>
              </w:rPr>
              <w:fldChar w:fldCharType="begin"/>
            </w:r>
            <w:r>
              <w:rPr>
                <w:noProof/>
                <w:webHidden/>
              </w:rPr>
              <w:instrText xml:space="preserve"> PAGEREF _Toc224157065 \h </w:instrText>
            </w:r>
            <w:r>
              <w:rPr>
                <w:noProof/>
                <w:webHidden/>
              </w:rPr>
            </w:r>
            <w:r>
              <w:rPr>
                <w:noProof/>
                <w:webHidden/>
              </w:rPr>
              <w:fldChar w:fldCharType="separate"/>
            </w:r>
            <w:r>
              <w:rPr>
                <w:noProof/>
                <w:webHidden/>
              </w:rPr>
              <w:t>18</w:t>
            </w:r>
            <w:r>
              <w:rPr>
                <w:noProof/>
                <w:webHidden/>
              </w:rPr>
              <w:fldChar w:fldCharType="end"/>
            </w:r>
          </w:hyperlink>
        </w:p>
        <w:p w14:paraId="14397A0B" w14:textId="613A08AF" w:rsidR="00185A4C" w:rsidRDefault="00185A4C">
          <w:pPr>
            <w:pStyle w:val="TOC1"/>
            <w:tabs>
              <w:tab w:val="right" w:leader="dot" w:pos="9016"/>
            </w:tabs>
            <w:rPr>
              <w:rFonts w:eastAsiaTheme="minorEastAsia"/>
              <w:noProof/>
              <w:lang w:eastAsia="en-GB"/>
            </w:rPr>
          </w:pPr>
          <w:hyperlink w:anchor="_Toc224157066" w:history="1">
            <w:r w:rsidRPr="007C7D34">
              <w:rPr>
                <w:rStyle w:val="Hyperlink"/>
                <w:rFonts w:asciiTheme="minorBidi" w:hAnsiTheme="minorBidi"/>
                <w:b/>
                <w:bCs/>
                <w:noProof/>
              </w:rPr>
              <w:t>6. Implementation and Monitoring</w:t>
            </w:r>
            <w:r>
              <w:rPr>
                <w:noProof/>
                <w:webHidden/>
              </w:rPr>
              <w:tab/>
            </w:r>
            <w:r>
              <w:rPr>
                <w:noProof/>
                <w:webHidden/>
              </w:rPr>
              <w:fldChar w:fldCharType="begin"/>
            </w:r>
            <w:r>
              <w:rPr>
                <w:noProof/>
                <w:webHidden/>
              </w:rPr>
              <w:instrText xml:space="preserve"> PAGEREF _Toc224157066 \h </w:instrText>
            </w:r>
            <w:r>
              <w:rPr>
                <w:noProof/>
                <w:webHidden/>
              </w:rPr>
            </w:r>
            <w:r>
              <w:rPr>
                <w:noProof/>
                <w:webHidden/>
              </w:rPr>
              <w:fldChar w:fldCharType="separate"/>
            </w:r>
            <w:r>
              <w:rPr>
                <w:noProof/>
                <w:webHidden/>
              </w:rPr>
              <w:t>19</w:t>
            </w:r>
            <w:r>
              <w:rPr>
                <w:noProof/>
                <w:webHidden/>
              </w:rPr>
              <w:fldChar w:fldCharType="end"/>
            </w:r>
          </w:hyperlink>
        </w:p>
        <w:p w14:paraId="7C0BC6EE" w14:textId="6F253A4F" w:rsidR="00185A4C" w:rsidRDefault="00185A4C">
          <w:pPr>
            <w:pStyle w:val="TOC2"/>
            <w:tabs>
              <w:tab w:val="right" w:leader="dot" w:pos="9016"/>
            </w:tabs>
            <w:rPr>
              <w:rFonts w:eastAsiaTheme="minorEastAsia"/>
              <w:noProof/>
              <w:lang w:eastAsia="en-GB"/>
            </w:rPr>
          </w:pPr>
          <w:hyperlink w:anchor="_Toc224157067" w:history="1">
            <w:r w:rsidRPr="007C7D34">
              <w:rPr>
                <w:rStyle w:val="Hyperlink"/>
                <w:rFonts w:ascii="Arial" w:eastAsia="Arial" w:hAnsi="Arial" w:cs="Arial"/>
                <w:noProof/>
              </w:rPr>
              <w:t>6.1 Balanced Scorecard Framework</w:t>
            </w:r>
            <w:r>
              <w:rPr>
                <w:noProof/>
                <w:webHidden/>
              </w:rPr>
              <w:tab/>
            </w:r>
            <w:r>
              <w:rPr>
                <w:noProof/>
                <w:webHidden/>
              </w:rPr>
              <w:fldChar w:fldCharType="begin"/>
            </w:r>
            <w:r>
              <w:rPr>
                <w:noProof/>
                <w:webHidden/>
              </w:rPr>
              <w:instrText xml:space="preserve"> PAGEREF _Toc224157067 \h </w:instrText>
            </w:r>
            <w:r>
              <w:rPr>
                <w:noProof/>
                <w:webHidden/>
              </w:rPr>
            </w:r>
            <w:r>
              <w:rPr>
                <w:noProof/>
                <w:webHidden/>
              </w:rPr>
              <w:fldChar w:fldCharType="separate"/>
            </w:r>
            <w:r>
              <w:rPr>
                <w:noProof/>
                <w:webHidden/>
              </w:rPr>
              <w:t>19</w:t>
            </w:r>
            <w:r>
              <w:rPr>
                <w:noProof/>
                <w:webHidden/>
              </w:rPr>
              <w:fldChar w:fldCharType="end"/>
            </w:r>
          </w:hyperlink>
        </w:p>
        <w:p w14:paraId="6ADB933B" w14:textId="2944F4D2" w:rsidR="00185A4C" w:rsidRDefault="00185A4C">
          <w:pPr>
            <w:pStyle w:val="TOC2"/>
            <w:tabs>
              <w:tab w:val="right" w:leader="dot" w:pos="9016"/>
            </w:tabs>
            <w:rPr>
              <w:rFonts w:eastAsiaTheme="minorEastAsia"/>
              <w:noProof/>
              <w:lang w:eastAsia="en-GB"/>
            </w:rPr>
          </w:pPr>
          <w:hyperlink w:anchor="_Toc224157068" w:history="1">
            <w:r w:rsidRPr="007C7D34">
              <w:rPr>
                <w:rStyle w:val="Hyperlink"/>
                <w:rFonts w:ascii="Arial" w:eastAsia="Arial" w:hAnsi="Arial" w:cs="Arial"/>
                <w:noProof/>
              </w:rPr>
              <w:t>6.2 Risk Assessment</w:t>
            </w:r>
            <w:r>
              <w:rPr>
                <w:noProof/>
                <w:webHidden/>
              </w:rPr>
              <w:tab/>
            </w:r>
            <w:r>
              <w:rPr>
                <w:noProof/>
                <w:webHidden/>
              </w:rPr>
              <w:fldChar w:fldCharType="begin"/>
            </w:r>
            <w:r>
              <w:rPr>
                <w:noProof/>
                <w:webHidden/>
              </w:rPr>
              <w:instrText xml:space="preserve"> PAGEREF _Toc224157068 \h </w:instrText>
            </w:r>
            <w:r>
              <w:rPr>
                <w:noProof/>
                <w:webHidden/>
              </w:rPr>
            </w:r>
            <w:r>
              <w:rPr>
                <w:noProof/>
                <w:webHidden/>
              </w:rPr>
              <w:fldChar w:fldCharType="separate"/>
            </w:r>
            <w:r>
              <w:rPr>
                <w:noProof/>
                <w:webHidden/>
              </w:rPr>
              <w:t>21</w:t>
            </w:r>
            <w:r>
              <w:rPr>
                <w:noProof/>
                <w:webHidden/>
              </w:rPr>
              <w:fldChar w:fldCharType="end"/>
            </w:r>
          </w:hyperlink>
        </w:p>
        <w:p w14:paraId="04AC1CEC" w14:textId="6882A577" w:rsidR="00185A4C" w:rsidRDefault="00185A4C">
          <w:pPr>
            <w:pStyle w:val="TOC1"/>
            <w:tabs>
              <w:tab w:val="right" w:leader="dot" w:pos="9016"/>
            </w:tabs>
            <w:rPr>
              <w:rFonts w:eastAsiaTheme="minorEastAsia"/>
              <w:noProof/>
              <w:lang w:eastAsia="en-GB"/>
            </w:rPr>
          </w:pPr>
          <w:hyperlink w:anchor="_Toc224157069" w:history="1">
            <w:r w:rsidRPr="007C7D34">
              <w:rPr>
                <w:rStyle w:val="Hyperlink"/>
                <w:rFonts w:asciiTheme="minorBidi" w:hAnsiTheme="minorBidi"/>
                <w:b/>
                <w:bCs/>
                <w:noProof/>
              </w:rPr>
              <w:t>7. Conclusion</w:t>
            </w:r>
            <w:r>
              <w:rPr>
                <w:noProof/>
                <w:webHidden/>
              </w:rPr>
              <w:tab/>
            </w:r>
            <w:r>
              <w:rPr>
                <w:noProof/>
                <w:webHidden/>
              </w:rPr>
              <w:fldChar w:fldCharType="begin"/>
            </w:r>
            <w:r>
              <w:rPr>
                <w:noProof/>
                <w:webHidden/>
              </w:rPr>
              <w:instrText xml:space="preserve"> PAGEREF _Toc224157069 \h </w:instrText>
            </w:r>
            <w:r>
              <w:rPr>
                <w:noProof/>
                <w:webHidden/>
              </w:rPr>
            </w:r>
            <w:r>
              <w:rPr>
                <w:noProof/>
                <w:webHidden/>
              </w:rPr>
              <w:fldChar w:fldCharType="separate"/>
            </w:r>
            <w:r>
              <w:rPr>
                <w:noProof/>
                <w:webHidden/>
              </w:rPr>
              <w:t>22</w:t>
            </w:r>
            <w:r>
              <w:rPr>
                <w:noProof/>
                <w:webHidden/>
              </w:rPr>
              <w:fldChar w:fldCharType="end"/>
            </w:r>
          </w:hyperlink>
        </w:p>
        <w:p w14:paraId="59DE3F28" w14:textId="22CCCA9B" w:rsidR="00185A4C" w:rsidRDefault="00185A4C">
          <w:pPr>
            <w:pStyle w:val="TOC1"/>
            <w:tabs>
              <w:tab w:val="right" w:leader="dot" w:pos="9016"/>
            </w:tabs>
            <w:rPr>
              <w:rFonts w:eastAsiaTheme="minorEastAsia"/>
              <w:noProof/>
              <w:lang w:eastAsia="en-GB"/>
            </w:rPr>
          </w:pPr>
          <w:hyperlink w:anchor="_Toc224157070" w:history="1">
            <w:r w:rsidRPr="007C7D34">
              <w:rPr>
                <w:rStyle w:val="Hyperlink"/>
                <w:rFonts w:asciiTheme="minorBidi" w:hAnsiTheme="minorBidi"/>
                <w:b/>
                <w:bCs/>
                <w:noProof/>
              </w:rPr>
              <w:t>8. References</w:t>
            </w:r>
            <w:r>
              <w:rPr>
                <w:noProof/>
                <w:webHidden/>
              </w:rPr>
              <w:tab/>
            </w:r>
            <w:r>
              <w:rPr>
                <w:noProof/>
                <w:webHidden/>
              </w:rPr>
              <w:fldChar w:fldCharType="begin"/>
            </w:r>
            <w:r>
              <w:rPr>
                <w:noProof/>
                <w:webHidden/>
              </w:rPr>
              <w:instrText xml:space="preserve"> PAGEREF _Toc224157070 \h </w:instrText>
            </w:r>
            <w:r>
              <w:rPr>
                <w:noProof/>
                <w:webHidden/>
              </w:rPr>
            </w:r>
            <w:r>
              <w:rPr>
                <w:noProof/>
                <w:webHidden/>
              </w:rPr>
              <w:fldChar w:fldCharType="separate"/>
            </w:r>
            <w:r>
              <w:rPr>
                <w:noProof/>
                <w:webHidden/>
              </w:rPr>
              <w:t>23</w:t>
            </w:r>
            <w:r>
              <w:rPr>
                <w:noProof/>
                <w:webHidden/>
              </w:rPr>
              <w:fldChar w:fldCharType="end"/>
            </w:r>
          </w:hyperlink>
        </w:p>
        <w:p w14:paraId="024BDE3C" w14:textId="3E29CEED" w:rsidR="00A5289A" w:rsidRDefault="00A5289A" w:rsidP="307459A2">
          <w:pPr>
            <w:pStyle w:val="TOC1"/>
            <w:tabs>
              <w:tab w:val="right" w:leader="dot" w:pos="9015"/>
            </w:tabs>
            <w:rPr>
              <w:rStyle w:val="Hyperlink"/>
              <w:noProof/>
              <w:lang w:eastAsia="en-GB"/>
            </w:rPr>
          </w:pPr>
          <w:r w:rsidRPr="00B70650">
            <w:rPr>
              <w:rFonts w:asciiTheme="minorBidi" w:hAnsiTheme="minorBidi"/>
            </w:rPr>
            <w:fldChar w:fldCharType="end"/>
          </w:r>
        </w:p>
      </w:sdtContent>
    </w:sdt>
    <w:p w14:paraId="60862EE2" w14:textId="3399594C" w:rsidR="00F5280E" w:rsidRDefault="00F5280E"/>
    <w:p w14:paraId="00A8B524" w14:textId="77777777" w:rsidR="00F5280E" w:rsidRDefault="00F5280E" w:rsidP="000A7A2C">
      <w:pPr>
        <w:pStyle w:val="Heading1"/>
      </w:pPr>
    </w:p>
    <w:p w14:paraId="06C28C70" w14:textId="77777777" w:rsidR="00F5280E" w:rsidRDefault="00F5280E" w:rsidP="000A7A2C">
      <w:pPr>
        <w:pStyle w:val="Heading1"/>
      </w:pPr>
    </w:p>
    <w:p w14:paraId="6FE455CD" w14:textId="77777777" w:rsidR="00563F2C" w:rsidRPr="00563F2C" w:rsidRDefault="00563F2C" w:rsidP="00563F2C"/>
    <w:p w14:paraId="122EE07B" w14:textId="23017258" w:rsidR="00B70650" w:rsidRDefault="00563F2C" w:rsidP="00E40813">
      <w:pPr>
        <w:pStyle w:val="Heading1"/>
        <w:rPr>
          <w:rFonts w:asciiTheme="minorBidi" w:hAnsiTheme="minorBidi" w:cstheme="minorBidi"/>
          <w:b/>
          <w:bCs/>
          <w:sz w:val="36"/>
          <w:szCs w:val="36"/>
        </w:rPr>
      </w:pPr>
      <w:bookmarkStart w:id="0" w:name="_Toc224157049"/>
      <w:r w:rsidRPr="307459A2">
        <w:rPr>
          <w:rFonts w:asciiTheme="minorBidi" w:hAnsiTheme="minorBidi" w:cstheme="minorBidi"/>
          <w:b/>
          <w:bCs/>
          <w:sz w:val="36"/>
          <w:szCs w:val="36"/>
        </w:rPr>
        <w:lastRenderedPageBreak/>
        <w:t>Executive Summary</w:t>
      </w:r>
      <w:bookmarkEnd w:id="0"/>
    </w:p>
    <w:p w14:paraId="550BB96E" w14:textId="77777777" w:rsidR="003B0E1A" w:rsidRPr="003B0E1A" w:rsidRDefault="003B0E1A" w:rsidP="003B0E1A"/>
    <w:p w14:paraId="748404DE" w14:textId="25BC7F27" w:rsidR="00563F2C" w:rsidRPr="00A5289A" w:rsidRDefault="00563F2C" w:rsidP="00A5289A">
      <w:pPr>
        <w:spacing w:line="360" w:lineRule="auto"/>
        <w:jc w:val="both"/>
        <w:rPr>
          <w:rFonts w:asciiTheme="minorBidi" w:hAnsiTheme="minorBidi"/>
          <w:sz w:val="22"/>
          <w:szCs w:val="22"/>
        </w:rPr>
      </w:pPr>
      <w:r w:rsidRPr="00A5289A">
        <w:rPr>
          <w:rFonts w:asciiTheme="minorBidi" w:hAnsiTheme="minorBidi"/>
          <w:sz w:val="22"/>
          <w:szCs w:val="22"/>
        </w:rPr>
        <w:t>This report evaluates the strategic position of Innocent Drinks and identifies an appropriate growth direction that supports both commercial expansion and the company’s sustainability-led mission. The current market environment is analysed using strategic frameworks including PESTEL, Porter’s Five Forces, SWOT, TOWS and Porter’s Value Chain. The analysis demonstrates that Innocent operates within a mature and highly competitive beverage market shaped by retailer bargaining power, regulatory pressures and supply chain uncertainty. At the same time, increasing consumer demand for plant-based and health-oriented products creates significant opportunities for brands positioned around natural ingredients and sustainability.</w:t>
      </w:r>
    </w:p>
    <w:p w14:paraId="458D2D84" w14:textId="4B66C160" w:rsidR="00563F2C" w:rsidRPr="00A5289A" w:rsidRDefault="00563F2C" w:rsidP="00A5289A">
      <w:pPr>
        <w:spacing w:line="360" w:lineRule="auto"/>
        <w:jc w:val="both"/>
        <w:rPr>
          <w:rFonts w:asciiTheme="minorBidi" w:hAnsiTheme="minorBidi"/>
          <w:sz w:val="22"/>
          <w:szCs w:val="22"/>
        </w:rPr>
      </w:pPr>
      <w:r w:rsidRPr="00A5289A">
        <w:rPr>
          <w:rFonts w:asciiTheme="minorBidi" w:hAnsiTheme="minorBidi"/>
          <w:sz w:val="22"/>
          <w:szCs w:val="22"/>
        </w:rPr>
        <w:t>Building on this assessment, strategic growth options are examined using Porter’s Generic Strategies and the Ansoff Matrix. The analysis confirms that Innocent’s competitive advantage lies in differentiation rather than cost leadership. The company’s ethical sourcing practices, sustainability commitments and strong brand identity allow it to compete through value creation and authenticity instead of price competition.</w:t>
      </w:r>
    </w:p>
    <w:p w14:paraId="34930B39" w14:textId="40156148" w:rsidR="00563F2C" w:rsidRPr="00A5289A" w:rsidRDefault="00563F2C" w:rsidP="00A5289A">
      <w:pPr>
        <w:spacing w:line="360" w:lineRule="auto"/>
        <w:jc w:val="both"/>
        <w:rPr>
          <w:rFonts w:asciiTheme="minorBidi" w:hAnsiTheme="minorBidi"/>
          <w:sz w:val="22"/>
          <w:szCs w:val="22"/>
        </w:rPr>
      </w:pPr>
      <w:r w:rsidRPr="00A5289A">
        <w:rPr>
          <w:rFonts w:asciiTheme="minorBidi" w:hAnsiTheme="minorBidi"/>
          <w:sz w:val="22"/>
          <w:szCs w:val="22"/>
        </w:rPr>
        <w:t>Based on these findings, the report proposes a hybrid strategy combining product development with selective market development. Expanding into adjacent plant-based or functional product categories while entering carefully selected international markets would diversify revenue streams and reduce reliance on the domestic market.</w:t>
      </w:r>
    </w:p>
    <w:p w14:paraId="2ACD5DF9" w14:textId="0F41E618" w:rsidR="00563F2C" w:rsidRPr="00A5289A" w:rsidRDefault="00563F2C" w:rsidP="00A5289A">
      <w:pPr>
        <w:spacing w:line="360" w:lineRule="auto"/>
        <w:jc w:val="both"/>
        <w:rPr>
          <w:rFonts w:asciiTheme="minorBidi" w:hAnsiTheme="minorBidi"/>
          <w:sz w:val="22"/>
          <w:szCs w:val="22"/>
        </w:rPr>
      </w:pPr>
      <w:r w:rsidRPr="00A5289A">
        <w:rPr>
          <w:rFonts w:asciiTheme="minorBidi" w:hAnsiTheme="minorBidi"/>
          <w:sz w:val="22"/>
          <w:szCs w:val="22"/>
        </w:rPr>
        <w:t>The strategy is evaluated using the Suitability, Feasibility and Acceptability framework, which indicates that the hybrid approach provides the most balanced strategic option for Innocent.</w:t>
      </w:r>
    </w:p>
    <w:p w14:paraId="7A5C75BE" w14:textId="239ADB19" w:rsidR="00563F2C" w:rsidRPr="00A5289A" w:rsidRDefault="00563F2C" w:rsidP="00A5289A">
      <w:pPr>
        <w:spacing w:line="360" w:lineRule="auto"/>
        <w:jc w:val="both"/>
        <w:rPr>
          <w:rFonts w:asciiTheme="minorBidi" w:hAnsiTheme="minorBidi"/>
          <w:sz w:val="22"/>
          <w:szCs w:val="22"/>
        </w:rPr>
      </w:pPr>
      <w:r w:rsidRPr="307459A2">
        <w:rPr>
          <w:rFonts w:asciiTheme="minorBidi" w:hAnsiTheme="minorBidi"/>
          <w:sz w:val="22"/>
          <w:szCs w:val="22"/>
        </w:rPr>
        <w:t>Finally, stakeholder implications and implementation are considered using Mendelow’s Matrix, supported by a Balanced Scorecard and risk assessment framework to ensure effective execution and monitoring.</w:t>
      </w:r>
    </w:p>
    <w:p w14:paraId="36D8AF23" w14:textId="65778411" w:rsidR="307459A2" w:rsidRDefault="307459A2" w:rsidP="307459A2">
      <w:pPr>
        <w:spacing w:line="360" w:lineRule="auto"/>
        <w:jc w:val="both"/>
        <w:rPr>
          <w:rFonts w:asciiTheme="minorBidi" w:hAnsiTheme="minorBidi"/>
          <w:sz w:val="22"/>
          <w:szCs w:val="22"/>
        </w:rPr>
      </w:pPr>
    </w:p>
    <w:p w14:paraId="7EF9FDE8" w14:textId="18CF4A03" w:rsidR="307459A2" w:rsidRDefault="307459A2" w:rsidP="307459A2">
      <w:pPr>
        <w:spacing w:line="360" w:lineRule="auto"/>
        <w:jc w:val="both"/>
        <w:rPr>
          <w:rFonts w:asciiTheme="minorBidi" w:hAnsiTheme="minorBidi"/>
          <w:sz w:val="22"/>
          <w:szCs w:val="22"/>
        </w:rPr>
      </w:pPr>
    </w:p>
    <w:p w14:paraId="341B49FC" w14:textId="739E0B91" w:rsidR="307459A2" w:rsidRDefault="307459A2" w:rsidP="307459A2">
      <w:pPr>
        <w:spacing w:line="360" w:lineRule="auto"/>
        <w:jc w:val="both"/>
        <w:rPr>
          <w:rFonts w:asciiTheme="minorBidi" w:hAnsiTheme="minorBidi"/>
          <w:sz w:val="22"/>
          <w:szCs w:val="22"/>
        </w:rPr>
      </w:pPr>
    </w:p>
    <w:p w14:paraId="691FB7ED" w14:textId="423E46B6" w:rsidR="307459A2" w:rsidRDefault="307459A2" w:rsidP="307459A2">
      <w:pPr>
        <w:spacing w:line="360" w:lineRule="auto"/>
        <w:jc w:val="both"/>
        <w:rPr>
          <w:rFonts w:asciiTheme="minorBidi" w:hAnsiTheme="minorBidi"/>
          <w:sz w:val="22"/>
          <w:szCs w:val="22"/>
        </w:rPr>
      </w:pPr>
    </w:p>
    <w:p w14:paraId="2ACB7AE6" w14:textId="1282C683" w:rsidR="307459A2" w:rsidRDefault="307459A2" w:rsidP="307459A2">
      <w:pPr>
        <w:spacing w:line="360" w:lineRule="auto"/>
        <w:jc w:val="both"/>
        <w:rPr>
          <w:rFonts w:asciiTheme="minorBidi" w:hAnsiTheme="minorBidi"/>
          <w:sz w:val="22"/>
          <w:szCs w:val="22"/>
        </w:rPr>
      </w:pPr>
    </w:p>
    <w:p w14:paraId="1FFCDD51" w14:textId="3CB6AE93" w:rsidR="307459A2" w:rsidRDefault="307459A2" w:rsidP="307459A2">
      <w:pPr>
        <w:spacing w:line="360" w:lineRule="auto"/>
        <w:jc w:val="both"/>
        <w:rPr>
          <w:rFonts w:asciiTheme="minorBidi" w:hAnsiTheme="minorBidi"/>
          <w:sz w:val="22"/>
          <w:szCs w:val="22"/>
        </w:rPr>
      </w:pPr>
    </w:p>
    <w:p w14:paraId="1853FCC8" w14:textId="42DF06B5" w:rsidR="00B70650" w:rsidRPr="00E40813" w:rsidRDefault="00602670" w:rsidP="00E40813">
      <w:pPr>
        <w:pStyle w:val="Heading1"/>
        <w:numPr>
          <w:ilvl w:val="0"/>
          <w:numId w:val="10"/>
        </w:numPr>
        <w:rPr>
          <w:rFonts w:asciiTheme="minorBidi" w:hAnsiTheme="minorBidi" w:cstheme="minorBidi"/>
          <w:b/>
          <w:bCs/>
          <w:sz w:val="36"/>
          <w:szCs w:val="36"/>
        </w:rPr>
      </w:pPr>
      <w:bookmarkStart w:id="1" w:name="_Toc224157050"/>
      <w:r w:rsidRPr="307459A2">
        <w:rPr>
          <w:rFonts w:asciiTheme="minorBidi" w:hAnsiTheme="minorBidi" w:cstheme="minorBidi"/>
          <w:b/>
          <w:bCs/>
          <w:sz w:val="36"/>
          <w:szCs w:val="36"/>
        </w:rPr>
        <w:lastRenderedPageBreak/>
        <w:t>Introduction to Innocent Drinks</w:t>
      </w:r>
      <w:bookmarkEnd w:id="1"/>
    </w:p>
    <w:p w14:paraId="14409F04" w14:textId="4E56C3B6" w:rsidR="00602670" w:rsidRPr="00602670" w:rsidRDefault="7671793C" w:rsidP="002B5191">
      <w:pPr>
        <w:spacing w:line="360" w:lineRule="auto"/>
        <w:jc w:val="both"/>
        <w:rPr>
          <w:rFonts w:asciiTheme="minorBidi" w:hAnsiTheme="minorBidi"/>
          <w:sz w:val="22"/>
          <w:szCs w:val="22"/>
        </w:rPr>
      </w:pPr>
      <w:r w:rsidRPr="135E4E45">
        <w:rPr>
          <w:rFonts w:asciiTheme="minorBidi" w:hAnsiTheme="minorBidi"/>
          <w:sz w:val="22"/>
          <w:szCs w:val="22"/>
        </w:rPr>
        <w:t xml:space="preserve">Innocent Drinks was founded in London in 1999 with the aim of producing natural smoothies made entirely from fruit, without artificial additives or preservatives. From a small start-up, the company has grown into one of Europe’s leading premium smoothie and plant-based beverage brands. Although now </w:t>
      </w:r>
      <w:r w:rsidR="516EBBD5" w:rsidRPr="135E4E45">
        <w:rPr>
          <w:rFonts w:asciiTheme="minorBidi" w:hAnsiTheme="minorBidi"/>
          <w:sz w:val="22"/>
          <w:szCs w:val="22"/>
        </w:rPr>
        <w:t>majority owned</w:t>
      </w:r>
      <w:r w:rsidRPr="135E4E45">
        <w:rPr>
          <w:rFonts w:asciiTheme="minorBidi" w:hAnsiTheme="minorBidi"/>
          <w:sz w:val="22"/>
          <w:szCs w:val="22"/>
        </w:rPr>
        <w:t xml:space="preserve"> by The Coca-Cola Company, Innocent maintains a distinct brand identity centred on ethical sourcing, transparency, and environmental responsibility </w:t>
      </w:r>
      <w:r w:rsidR="002B5191" w:rsidRPr="002B5191">
        <w:rPr>
          <w:rFonts w:asciiTheme="minorBidi" w:hAnsiTheme="minorBidi"/>
          <w:sz w:val="22"/>
          <w:szCs w:val="22"/>
        </w:rPr>
        <w:t>(Innocent Drinks, 2026)</w:t>
      </w:r>
      <w:r w:rsidR="002B5191">
        <w:rPr>
          <w:rFonts w:asciiTheme="minorBidi" w:hAnsiTheme="minorBidi"/>
          <w:sz w:val="22"/>
          <w:szCs w:val="22"/>
        </w:rPr>
        <w:t>.</w:t>
      </w:r>
    </w:p>
    <w:p w14:paraId="0E211F38" w14:textId="77777777" w:rsidR="00602670" w:rsidRPr="00602670" w:rsidRDefault="00602670" w:rsidP="000A7A2C">
      <w:pPr>
        <w:spacing w:line="360" w:lineRule="auto"/>
        <w:jc w:val="both"/>
        <w:rPr>
          <w:rFonts w:asciiTheme="minorBidi" w:hAnsiTheme="minorBidi"/>
          <w:sz w:val="22"/>
          <w:szCs w:val="22"/>
        </w:rPr>
      </w:pPr>
      <w:r w:rsidRPr="00602670">
        <w:rPr>
          <w:rFonts w:asciiTheme="minorBidi" w:hAnsiTheme="minorBidi"/>
          <w:sz w:val="22"/>
          <w:szCs w:val="22"/>
        </w:rPr>
        <w:t xml:space="preserve">The company’s mission is </w:t>
      </w:r>
      <w:r w:rsidRPr="00602670">
        <w:rPr>
          <w:rFonts w:asciiTheme="minorBidi" w:hAnsiTheme="minorBidi"/>
          <w:i/>
          <w:iCs/>
          <w:sz w:val="22"/>
          <w:szCs w:val="22"/>
        </w:rPr>
        <w:t>“to make natural, delicious food and drink that helps people live well and die old.”</w:t>
      </w:r>
      <w:r w:rsidRPr="00602670">
        <w:rPr>
          <w:rFonts w:asciiTheme="minorBidi" w:hAnsiTheme="minorBidi"/>
          <w:sz w:val="22"/>
          <w:szCs w:val="22"/>
        </w:rPr>
        <w:t xml:space="preserve"> This statement reflects a commitment to long-term health and responsible nutrition rather than short-term consumption trends. It emphasises simplicity, natural ingredients, and consumer wellbeing.</w:t>
      </w:r>
    </w:p>
    <w:p w14:paraId="27B754C1" w14:textId="76D444E1" w:rsidR="00602670" w:rsidRPr="00602670" w:rsidRDefault="00602670" w:rsidP="002B5191">
      <w:pPr>
        <w:spacing w:line="360" w:lineRule="auto"/>
        <w:jc w:val="both"/>
        <w:rPr>
          <w:rFonts w:asciiTheme="minorBidi" w:hAnsiTheme="minorBidi"/>
          <w:sz w:val="22"/>
          <w:szCs w:val="22"/>
        </w:rPr>
      </w:pPr>
      <w:r w:rsidRPr="00602670">
        <w:rPr>
          <w:rFonts w:asciiTheme="minorBidi" w:hAnsiTheme="minorBidi"/>
          <w:sz w:val="22"/>
          <w:szCs w:val="22"/>
        </w:rPr>
        <w:t xml:space="preserve">Innocent’s vision </w:t>
      </w:r>
      <w:r w:rsidRPr="00602670">
        <w:rPr>
          <w:rFonts w:asciiTheme="minorBidi" w:hAnsiTheme="minorBidi"/>
          <w:i/>
          <w:iCs/>
          <w:sz w:val="22"/>
          <w:szCs w:val="22"/>
        </w:rPr>
        <w:t>“to leave things better than we found them”</w:t>
      </w:r>
      <w:r w:rsidRPr="00602670">
        <w:rPr>
          <w:rFonts w:asciiTheme="minorBidi" w:hAnsiTheme="minorBidi"/>
          <w:sz w:val="22"/>
          <w:szCs w:val="22"/>
        </w:rPr>
        <w:t xml:space="preserve"> extends this responsibility to environmental and social impact. It implies that commercial success must be achieved alongside improvements in sustainability and ethical practice. The organisation reinforces this vision through its certification as a B Corporation, meeting independently verified standards of social and environmental performance </w:t>
      </w:r>
      <w:r w:rsidR="002B5191" w:rsidRPr="002B5191">
        <w:rPr>
          <w:rFonts w:asciiTheme="minorBidi" w:hAnsiTheme="minorBidi"/>
          <w:sz w:val="22"/>
          <w:szCs w:val="22"/>
        </w:rPr>
        <w:t>(B Lab, 2026).</w:t>
      </w:r>
    </w:p>
    <w:p w14:paraId="679C3439" w14:textId="77777777" w:rsidR="00BE7019" w:rsidRDefault="00BE7019" w:rsidP="00BE7019">
      <w:pPr>
        <w:spacing w:line="360" w:lineRule="auto"/>
        <w:jc w:val="both"/>
        <w:rPr>
          <w:rFonts w:asciiTheme="minorBidi" w:hAnsiTheme="minorBidi"/>
          <w:sz w:val="22"/>
          <w:szCs w:val="22"/>
        </w:rPr>
      </w:pPr>
      <w:r w:rsidRPr="00BE7019">
        <w:rPr>
          <w:rFonts w:asciiTheme="minorBidi" w:hAnsiTheme="minorBidi"/>
          <w:sz w:val="22"/>
          <w:szCs w:val="22"/>
        </w:rPr>
        <w:t>Core values such as sustainability, authenticity, transparency and social responsibility guide sourcing decisions, packaging innovation and carbon reduction commitments, reflecting the wider business case for corporate social responsibility (Carroll and Shabana, 2010). As a purpose-driven business, Innocent must ensure that any proposed growth strategy strengthens, rather than compromises, these principles.</w:t>
      </w:r>
    </w:p>
    <w:p w14:paraId="6001AB98" w14:textId="18D2BCA8" w:rsidR="00464EB1" w:rsidRDefault="009D7FC8" w:rsidP="00BE7019">
      <w:pPr>
        <w:spacing w:line="360" w:lineRule="auto"/>
        <w:jc w:val="both"/>
        <w:rPr>
          <w:rFonts w:asciiTheme="minorBidi" w:hAnsiTheme="minorBidi"/>
          <w:sz w:val="22"/>
          <w:szCs w:val="22"/>
        </w:rPr>
      </w:pPr>
      <w:r w:rsidRPr="009D7FC8">
        <w:rPr>
          <w:rFonts w:asciiTheme="minorBidi" w:hAnsiTheme="minorBidi"/>
          <w:sz w:val="22"/>
          <w:szCs w:val="22"/>
        </w:rPr>
        <w:t>The 4Vs framework is therefore applied to outline Innocent’s operational scale, product diversity, demand fluctuations and overall market positioning (Slack and Lewis, 2017).</w:t>
      </w:r>
      <w:r w:rsidR="00A60C73">
        <w:rPr>
          <w:noProof/>
        </w:rPr>
        <w:drawing>
          <wp:inline distT="0" distB="0" distL="0" distR="0" wp14:anchorId="23C186A3" wp14:editId="32CAA690">
            <wp:extent cx="5638662" cy="2393878"/>
            <wp:effectExtent l="0" t="0" r="635" b="6985"/>
            <wp:docPr id="221172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172520" name=""/>
                    <pic:cNvPicPr/>
                  </pic:nvPicPr>
                  <pic:blipFill>
                    <a:blip r:embed="rId12"/>
                    <a:stretch>
                      <a:fillRect/>
                    </a:stretch>
                  </pic:blipFill>
                  <pic:spPr>
                    <a:xfrm>
                      <a:off x="0" y="0"/>
                      <a:ext cx="5778291" cy="2453157"/>
                    </a:xfrm>
                    <a:prstGeom prst="rect">
                      <a:avLst/>
                    </a:prstGeom>
                  </pic:spPr>
                </pic:pic>
              </a:graphicData>
            </a:graphic>
          </wp:inline>
        </w:drawing>
      </w:r>
    </w:p>
    <w:p w14:paraId="3CC51FC5" w14:textId="1A210623" w:rsidR="009D7FC8" w:rsidRPr="009D7FC8" w:rsidRDefault="009D7FC8" w:rsidP="009D7FC8">
      <w:pPr>
        <w:spacing w:line="360" w:lineRule="auto"/>
        <w:jc w:val="center"/>
        <w:rPr>
          <w:rFonts w:asciiTheme="minorBidi" w:hAnsiTheme="minorBidi"/>
          <w:i/>
          <w:iCs/>
          <w:sz w:val="22"/>
          <w:szCs w:val="22"/>
        </w:rPr>
      </w:pPr>
      <w:r w:rsidRPr="009D7FC8">
        <w:rPr>
          <w:rFonts w:asciiTheme="minorBidi" w:hAnsiTheme="minorBidi"/>
          <w:i/>
          <w:iCs/>
          <w:sz w:val="22"/>
          <w:szCs w:val="22"/>
        </w:rPr>
        <w:t>Figure 1: 4Vs Operational Positioning of Innocent Drinks</w:t>
      </w:r>
    </w:p>
    <w:p w14:paraId="3F3B2670" w14:textId="7196AF04" w:rsidR="00602670" w:rsidRPr="000A7A2C" w:rsidRDefault="00602670" w:rsidP="000A7A2C">
      <w:pPr>
        <w:spacing w:line="360" w:lineRule="auto"/>
        <w:jc w:val="both"/>
        <w:rPr>
          <w:rFonts w:asciiTheme="minorBidi" w:hAnsiTheme="minorBidi"/>
          <w:sz w:val="22"/>
          <w:szCs w:val="22"/>
        </w:rPr>
      </w:pPr>
      <w:r w:rsidRPr="00602670">
        <w:rPr>
          <w:rFonts w:asciiTheme="minorBidi" w:hAnsiTheme="minorBidi"/>
          <w:sz w:val="22"/>
          <w:szCs w:val="22"/>
        </w:rPr>
        <w:lastRenderedPageBreak/>
        <w:t>The following section evaluates the current market environment to inform the development of a strategically and ethically aligned growth direction.</w:t>
      </w:r>
    </w:p>
    <w:p w14:paraId="7F5141E3" w14:textId="657D40EB" w:rsidR="007A430F" w:rsidRPr="00A5289A" w:rsidRDefault="54409B1C" w:rsidP="307459A2">
      <w:pPr>
        <w:pStyle w:val="Heading1"/>
        <w:rPr>
          <w:rFonts w:asciiTheme="minorBidi" w:hAnsiTheme="minorBidi" w:cstheme="minorBidi"/>
          <w:b/>
          <w:bCs/>
          <w:sz w:val="36"/>
          <w:szCs w:val="36"/>
        </w:rPr>
      </w:pPr>
      <w:bookmarkStart w:id="2" w:name="_Toc224157051"/>
      <w:r w:rsidRPr="307459A2">
        <w:rPr>
          <w:rFonts w:asciiTheme="minorBidi" w:hAnsiTheme="minorBidi" w:cstheme="minorBidi"/>
          <w:b/>
          <w:bCs/>
          <w:sz w:val="36"/>
          <w:szCs w:val="36"/>
        </w:rPr>
        <w:t>2</w:t>
      </w:r>
      <w:r w:rsidR="007A430F" w:rsidRPr="307459A2">
        <w:rPr>
          <w:rFonts w:asciiTheme="minorBidi" w:hAnsiTheme="minorBidi" w:cstheme="minorBidi"/>
          <w:b/>
          <w:bCs/>
          <w:sz w:val="36"/>
          <w:szCs w:val="36"/>
        </w:rPr>
        <w:t>. Evaluation of the Current Market Situation</w:t>
      </w:r>
      <w:bookmarkEnd w:id="2"/>
    </w:p>
    <w:p w14:paraId="65F58D63" w14:textId="2364ADEB" w:rsidR="007A430F" w:rsidRPr="000A7A2C" w:rsidRDefault="007A430F" w:rsidP="00E40813">
      <w:pPr>
        <w:spacing w:line="360" w:lineRule="auto"/>
        <w:jc w:val="both"/>
        <w:rPr>
          <w:rFonts w:asciiTheme="minorBidi" w:hAnsiTheme="minorBidi"/>
          <w:sz w:val="22"/>
          <w:szCs w:val="22"/>
        </w:rPr>
      </w:pPr>
      <w:r w:rsidRPr="000A7A2C">
        <w:rPr>
          <w:rFonts w:asciiTheme="minorBidi" w:hAnsiTheme="minorBidi"/>
          <w:sz w:val="22"/>
          <w:szCs w:val="22"/>
        </w:rPr>
        <w:t>Before formulating an appropriate growth strategy, it is essential to assess the current market environment in which Innocent Drinks operates. This section provides a structured evaluation of the external and internal factors influencing the company’s strategic position. The analysis begins with an overview of the market context and competitive landscape, followed by the application of established strategic frameworks, including PESTEL, Porter’s Five Forces, SWOT, TOWS, and Porter’s Value Chain. Together, these tools provide a comprehensive understanding of the opportunities and constraints shaping Innocent’s future direction.</w:t>
      </w:r>
    </w:p>
    <w:p w14:paraId="25923736" w14:textId="3CE6FC00" w:rsidR="000A7A2C" w:rsidRPr="000A7A2C" w:rsidRDefault="2764FFD1" w:rsidP="307459A2">
      <w:pPr>
        <w:pStyle w:val="Heading2"/>
        <w:rPr>
          <w:rFonts w:ascii="Arial" w:eastAsia="Arial" w:hAnsi="Arial" w:cs="Arial"/>
        </w:rPr>
      </w:pPr>
      <w:bookmarkStart w:id="3" w:name="_Toc224157052"/>
      <w:r w:rsidRPr="307459A2">
        <w:rPr>
          <w:rFonts w:ascii="Arial" w:eastAsia="Arial" w:hAnsi="Arial" w:cs="Arial"/>
        </w:rPr>
        <w:t>2</w:t>
      </w:r>
      <w:r w:rsidR="007A430F" w:rsidRPr="307459A2">
        <w:rPr>
          <w:rFonts w:ascii="Arial" w:eastAsia="Arial" w:hAnsi="Arial" w:cs="Arial"/>
        </w:rPr>
        <w:t>.1 Background of the Market and Competitive Landscape</w:t>
      </w:r>
      <w:bookmarkEnd w:id="3"/>
    </w:p>
    <w:p w14:paraId="2AF1ADF7" w14:textId="642CC3A1" w:rsidR="007A430F" w:rsidRPr="000A7A2C" w:rsidRDefault="007A430F" w:rsidP="000A7A2C">
      <w:pPr>
        <w:spacing w:line="360" w:lineRule="auto"/>
        <w:jc w:val="both"/>
        <w:rPr>
          <w:rFonts w:asciiTheme="minorBidi" w:hAnsiTheme="minorBidi"/>
          <w:sz w:val="22"/>
          <w:szCs w:val="22"/>
        </w:rPr>
      </w:pPr>
      <w:r w:rsidRPr="000A7A2C">
        <w:rPr>
          <w:rFonts w:asciiTheme="minorBidi" w:hAnsiTheme="minorBidi"/>
          <w:sz w:val="22"/>
          <w:szCs w:val="22"/>
        </w:rPr>
        <w:t>Innocent Drinks operates within the UK and European non-alcoholic beverage sector, specifically in the premium smoothie and plant-based drinks segment. The UK soft drinks market is mature and highly competitive, with growth increasingly concentrated in health-oriented and low-sugar categories (Mintel, 2023).</w:t>
      </w:r>
    </w:p>
    <w:p w14:paraId="1AB5CEA5" w14:textId="755CEA0E" w:rsidR="007A430F" w:rsidRPr="000A7A2C" w:rsidRDefault="007A430F" w:rsidP="000A7A2C">
      <w:pPr>
        <w:spacing w:line="360" w:lineRule="auto"/>
        <w:jc w:val="both"/>
        <w:rPr>
          <w:rFonts w:asciiTheme="minorBidi" w:hAnsiTheme="minorBidi"/>
          <w:sz w:val="22"/>
          <w:szCs w:val="22"/>
        </w:rPr>
      </w:pPr>
      <w:r w:rsidRPr="000A7A2C">
        <w:rPr>
          <w:rFonts w:asciiTheme="minorBidi" w:hAnsiTheme="minorBidi"/>
          <w:sz w:val="22"/>
          <w:szCs w:val="22"/>
        </w:rPr>
        <w:t>Key competitors include Tropicana and Naked Juice (PepsiCo), Alpro in the plant-based category, and supermarket private-label brands offering lower-cost alternatives. Major retailers such as Tesco and Sainsbury’s exert significant bargaining power due to market concentration (Euromonitor, 2023). Consequently, Innocent must compete primarily through brand differentiation and sustainability positioning rather than price.</w:t>
      </w:r>
    </w:p>
    <w:p w14:paraId="48DD4EA5" w14:textId="6870CE69" w:rsidR="307459A2" w:rsidRDefault="007A430F" w:rsidP="00E40813">
      <w:pPr>
        <w:spacing w:line="360" w:lineRule="auto"/>
        <w:jc w:val="both"/>
        <w:rPr>
          <w:rFonts w:asciiTheme="minorBidi" w:hAnsiTheme="minorBidi"/>
          <w:sz w:val="22"/>
          <w:szCs w:val="22"/>
        </w:rPr>
      </w:pPr>
      <w:r w:rsidRPr="307459A2">
        <w:rPr>
          <w:rFonts w:asciiTheme="minorBidi" w:hAnsiTheme="minorBidi"/>
          <w:sz w:val="22"/>
          <w:szCs w:val="22"/>
        </w:rPr>
        <w:t>To further understand the broader forces shaping this competitive environment, a structured macro-environmental analysis is presented below.</w:t>
      </w:r>
    </w:p>
    <w:p w14:paraId="27468B40" w14:textId="7543CAD6" w:rsidR="00202B41" w:rsidRPr="0045717B" w:rsidRDefault="5D9F5EBA" w:rsidP="307459A2">
      <w:pPr>
        <w:pStyle w:val="Heading2"/>
        <w:rPr>
          <w:rFonts w:ascii="Arial" w:eastAsia="Arial" w:hAnsi="Arial" w:cs="Arial"/>
        </w:rPr>
      </w:pPr>
      <w:bookmarkStart w:id="4" w:name="_Toc224157053"/>
      <w:r w:rsidRPr="307459A2">
        <w:rPr>
          <w:rFonts w:ascii="Arial" w:eastAsia="Arial" w:hAnsi="Arial" w:cs="Arial"/>
        </w:rPr>
        <w:t>2</w:t>
      </w:r>
      <w:r w:rsidR="00202B41" w:rsidRPr="307459A2">
        <w:rPr>
          <w:rFonts w:ascii="Arial" w:eastAsia="Arial" w:hAnsi="Arial" w:cs="Arial"/>
        </w:rPr>
        <w:t>.2 PESTEL Analysis</w:t>
      </w:r>
      <w:bookmarkEnd w:id="4"/>
    </w:p>
    <w:p w14:paraId="5858CBF9" w14:textId="2082CA8D" w:rsidR="00202B41" w:rsidRPr="000A7A2C" w:rsidRDefault="00202B41" w:rsidP="00A22763">
      <w:pPr>
        <w:spacing w:line="360" w:lineRule="auto"/>
        <w:jc w:val="both"/>
        <w:rPr>
          <w:rFonts w:asciiTheme="minorBidi" w:hAnsiTheme="minorBidi"/>
          <w:sz w:val="22"/>
          <w:szCs w:val="22"/>
        </w:rPr>
      </w:pPr>
      <w:r w:rsidRPr="000A7A2C">
        <w:rPr>
          <w:rFonts w:asciiTheme="minorBidi" w:hAnsiTheme="minorBidi"/>
          <w:sz w:val="22"/>
          <w:szCs w:val="22"/>
        </w:rPr>
        <w:t xml:space="preserve">To evaluate the broader macro-environmental conditions influencing Innocent Drinks, the PESTEL framework is applied. The PESTEL model analyses Political, Economic, Social, Technological, Environmental, and Legal factors that may affect organisational performance but remain largely outside managerial control </w:t>
      </w:r>
      <w:r w:rsidR="00A22763" w:rsidRPr="00A22763">
        <w:rPr>
          <w:rFonts w:asciiTheme="minorBidi" w:hAnsiTheme="minorBidi"/>
          <w:sz w:val="22"/>
          <w:szCs w:val="22"/>
        </w:rPr>
        <w:t>(Johnson et al., 2022)</w:t>
      </w:r>
      <w:r w:rsidR="00A22763">
        <w:rPr>
          <w:rFonts w:asciiTheme="minorBidi" w:hAnsiTheme="minorBidi"/>
          <w:sz w:val="22"/>
          <w:szCs w:val="22"/>
        </w:rPr>
        <w:t xml:space="preserve">. </w:t>
      </w:r>
      <w:r w:rsidRPr="000A7A2C">
        <w:rPr>
          <w:rFonts w:asciiTheme="minorBidi" w:hAnsiTheme="minorBidi"/>
          <w:sz w:val="22"/>
          <w:szCs w:val="22"/>
        </w:rPr>
        <w:t>This framework is particularly useful for mission-driven organisations such as Innocent, where external sustainability and regulatory pressures significantly shape strategic choices.</w:t>
      </w:r>
    </w:p>
    <w:p w14:paraId="455CC669" w14:textId="77777777" w:rsidR="000C2B41" w:rsidRDefault="000C2B41" w:rsidP="00156C55">
      <w:pPr>
        <w:spacing w:line="360" w:lineRule="auto"/>
        <w:jc w:val="both"/>
        <w:rPr>
          <w:rFonts w:asciiTheme="minorBidi" w:hAnsiTheme="minorBidi"/>
          <w:sz w:val="22"/>
          <w:szCs w:val="22"/>
        </w:rPr>
      </w:pPr>
    </w:p>
    <w:p w14:paraId="059CBAD8" w14:textId="36A954BA" w:rsidR="000C2B41" w:rsidRDefault="000C2B41" w:rsidP="307459A2">
      <w:pPr>
        <w:spacing w:line="360" w:lineRule="auto"/>
        <w:jc w:val="center"/>
        <w:rPr>
          <w:rFonts w:asciiTheme="minorBidi" w:hAnsiTheme="minorBidi"/>
          <w:sz w:val="22"/>
          <w:szCs w:val="22"/>
        </w:rPr>
      </w:pPr>
      <w:r>
        <w:rPr>
          <w:noProof/>
        </w:rPr>
        <w:lastRenderedPageBreak/>
        <w:drawing>
          <wp:inline distT="0" distB="0" distL="0" distR="0" wp14:anchorId="293AC865" wp14:editId="1719D203">
            <wp:extent cx="5730875" cy="8274414"/>
            <wp:effectExtent l="0" t="0" r="0" b="0"/>
            <wp:docPr id="558849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a:ext>
                      </a:extLst>
                    </a:blip>
                    <a:srcRect/>
                    <a:stretch>
                      <a:fillRect/>
                    </a:stretch>
                  </pic:blipFill>
                  <pic:spPr bwMode="auto">
                    <a:xfrm>
                      <a:off x="0" y="0"/>
                      <a:ext cx="5730875" cy="8274414"/>
                    </a:xfrm>
                    <a:prstGeom prst="rect">
                      <a:avLst/>
                    </a:prstGeom>
                    <a:noFill/>
                  </pic:spPr>
                </pic:pic>
              </a:graphicData>
            </a:graphic>
          </wp:inline>
        </w:drawing>
      </w:r>
      <w:r w:rsidRPr="307459A2">
        <w:rPr>
          <w:rFonts w:asciiTheme="minorBidi" w:hAnsiTheme="minorBidi"/>
          <w:i/>
          <w:iCs/>
          <w:sz w:val="22"/>
          <w:szCs w:val="22"/>
        </w:rPr>
        <w:t>Table 1: PESTEL Analysis of Innocent Drinks</w:t>
      </w:r>
    </w:p>
    <w:p w14:paraId="42BF6EED" w14:textId="247708E3" w:rsidR="00202B41" w:rsidRPr="000A7A2C" w:rsidRDefault="00202B41" w:rsidP="00156C55">
      <w:pPr>
        <w:spacing w:line="360" w:lineRule="auto"/>
        <w:jc w:val="both"/>
        <w:rPr>
          <w:rFonts w:asciiTheme="minorBidi" w:hAnsiTheme="minorBidi"/>
          <w:sz w:val="22"/>
          <w:szCs w:val="22"/>
        </w:rPr>
      </w:pPr>
      <w:r w:rsidRPr="000A7A2C">
        <w:rPr>
          <w:rFonts w:asciiTheme="minorBidi" w:hAnsiTheme="minorBidi"/>
          <w:sz w:val="22"/>
          <w:szCs w:val="22"/>
        </w:rPr>
        <w:lastRenderedPageBreak/>
        <w:t>As shown in Table 1, Innocent operates within a complex macro-environment shaped by sustainability expectations and economic volatility.</w:t>
      </w:r>
    </w:p>
    <w:p w14:paraId="7A52D5FE" w14:textId="7A5CB6F6" w:rsidR="00202B41" w:rsidRPr="000A7A2C" w:rsidRDefault="00202B41" w:rsidP="307459A2">
      <w:pPr>
        <w:spacing w:line="360" w:lineRule="auto"/>
        <w:jc w:val="both"/>
        <w:rPr>
          <w:rFonts w:asciiTheme="minorBidi" w:hAnsiTheme="minorBidi"/>
          <w:sz w:val="22"/>
          <w:szCs w:val="22"/>
        </w:rPr>
      </w:pPr>
      <w:r w:rsidRPr="307459A2">
        <w:rPr>
          <w:rFonts w:asciiTheme="minorBidi" w:hAnsiTheme="minorBidi"/>
          <w:b/>
          <w:bCs/>
          <w:sz w:val="22"/>
          <w:szCs w:val="22"/>
        </w:rPr>
        <w:t>Political</w:t>
      </w:r>
      <w:r w:rsidRPr="307459A2">
        <w:rPr>
          <w:rFonts w:asciiTheme="minorBidi" w:hAnsiTheme="minorBidi"/>
          <w:sz w:val="22"/>
          <w:szCs w:val="22"/>
        </w:rPr>
        <w:t xml:space="preserve"> factors such as Brexit have increased administrative requirements for importing fruit, creating additional supply chain complexity </w:t>
      </w:r>
      <w:r w:rsidR="00A22763" w:rsidRPr="307459A2">
        <w:rPr>
          <w:rFonts w:asciiTheme="minorBidi" w:hAnsiTheme="minorBidi"/>
          <w:sz w:val="22"/>
          <w:szCs w:val="22"/>
        </w:rPr>
        <w:t xml:space="preserve">(UK Government, 2026). </w:t>
      </w:r>
      <w:r w:rsidRPr="307459A2">
        <w:rPr>
          <w:rFonts w:asciiTheme="minorBidi" w:hAnsiTheme="minorBidi"/>
          <w:sz w:val="22"/>
          <w:szCs w:val="22"/>
        </w:rPr>
        <w:t>Meanwhile, the UK’s legally binding net-zero commitments place pressure on businesses to reduce carbon emissions across operations and supply chains.</w:t>
      </w:r>
    </w:p>
    <w:p w14:paraId="2B7C07EB" w14:textId="0107F621" w:rsidR="00202B41" w:rsidRPr="000A7A2C" w:rsidRDefault="00202B41" w:rsidP="307459A2">
      <w:pPr>
        <w:spacing w:line="360" w:lineRule="auto"/>
        <w:jc w:val="both"/>
        <w:rPr>
          <w:rFonts w:asciiTheme="minorBidi" w:hAnsiTheme="minorBidi"/>
          <w:sz w:val="22"/>
          <w:szCs w:val="22"/>
        </w:rPr>
      </w:pPr>
      <w:r w:rsidRPr="307459A2">
        <w:rPr>
          <w:rFonts w:asciiTheme="minorBidi" w:hAnsiTheme="minorBidi"/>
          <w:b/>
          <w:bCs/>
          <w:sz w:val="22"/>
          <w:szCs w:val="22"/>
        </w:rPr>
        <w:t>Economic</w:t>
      </w:r>
      <w:r w:rsidRPr="307459A2">
        <w:rPr>
          <w:rFonts w:asciiTheme="minorBidi" w:hAnsiTheme="minorBidi"/>
          <w:sz w:val="22"/>
          <w:szCs w:val="22"/>
        </w:rPr>
        <w:t xml:space="preserve"> conditions remain challenging. Persistent inflation in energy, transport, and food sectors has increased production costs within the FMCG industry </w:t>
      </w:r>
      <w:r w:rsidR="004A39F8" w:rsidRPr="307459A2">
        <w:rPr>
          <w:rFonts w:asciiTheme="minorBidi" w:hAnsiTheme="minorBidi"/>
          <w:sz w:val="22"/>
          <w:szCs w:val="22"/>
        </w:rPr>
        <w:t xml:space="preserve">(Office for National Statistics, 2026). </w:t>
      </w:r>
      <w:r w:rsidRPr="307459A2">
        <w:rPr>
          <w:rFonts w:asciiTheme="minorBidi" w:hAnsiTheme="minorBidi"/>
          <w:sz w:val="22"/>
          <w:szCs w:val="22"/>
        </w:rPr>
        <w:t>Although economic pressure may increase consumer price sensitivity, research suggests that health-conscious consumers remain relatively committed to premium ethical brands (Mintel, 2023).</w:t>
      </w:r>
    </w:p>
    <w:p w14:paraId="55F8AE5A" w14:textId="4045A077" w:rsidR="00156C55" w:rsidRPr="000A7A2C" w:rsidRDefault="00202B41" w:rsidP="307459A2">
      <w:pPr>
        <w:spacing w:line="360" w:lineRule="auto"/>
        <w:jc w:val="both"/>
        <w:rPr>
          <w:rFonts w:asciiTheme="minorBidi" w:hAnsiTheme="minorBidi"/>
          <w:sz w:val="22"/>
          <w:szCs w:val="22"/>
        </w:rPr>
      </w:pPr>
      <w:r w:rsidRPr="307459A2">
        <w:rPr>
          <w:rFonts w:asciiTheme="minorBidi" w:hAnsiTheme="minorBidi"/>
          <w:b/>
          <w:bCs/>
          <w:sz w:val="22"/>
          <w:szCs w:val="22"/>
        </w:rPr>
        <w:t xml:space="preserve">Social </w:t>
      </w:r>
      <w:r w:rsidRPr="307459A2">
        <w:rPr>
          <w:rFonts w:asciiTheme="minorBidi" w:hAnsiTheme="minorBidi"/>
          <w:sz w:val="22"/>
          <w:szCs w:val="22"/>
        </w:rPr>
        <w:t>trends strongly favour Innocent’s positioning. There is sustained growth in plant-based and wellness-oriented consumption across the UK and Europe (Statista, 2023). Consumers increasingly expect transparency, natural ingredients, and responsible sourcing.</w:t>
      </w:r>
    </w:p>
    <w:p w14:paraId="51F91015" w14:textId="0B6065EF" w:rsidR="00202B41" w:rsidRPr="000A7A2C" w:rsidRDefault="00202B41" w:rsidP="307459A2">
      <w:pPr>
        <w:spacing w:line="360" w:lineRule="auto"/>
        <w:jc w:val="both"/>
        <w:rPr>
          <w:rFonts w:asciiTheme="minorBidi" w:hAnsiTheme="minorBidi"/>
          <w:sz w:val="22"/>
          <w:szCs w:val="22"/>
        </w:rPr>
      </w:pPr>
      <w:r w:rsidRPr="307459A2">
        <w:rPr>
          <w:rFonts w:asciiTheme="minorBidi" w:hAnsiTheme="minorBidi"/>
          <w:b/>
          <w:bCs/>
          <w:sz w:val="22"/>
          <w:szCs w:val="22"/>
        </w:rPr>
        <w:t>Technological</w:t>
      </w:r>
      <w:r w:rsidRPr="307459A2">
        <w:rPr>
          <w:rFonts w:asciiTheme="minorBidi" w:hAnsiTheme="minorBidi"/>
          <w:sz w:val="22"/>
          <w:szCs w:val="22"/>
        </w:rPr>
        <w:t xml:space="preserve"> advancements in sustainable packaging and supply chain traceability support Innocent’s sustainability commitments </w:t>
      </w:r>
      <w:r w:rsidR="004A39F8" w:rsidRPr="307459A2">
        <w:rPr>
          <w:rFonts w:asciiTheme="minorBidi" w:hAnsiTheme="minorBidi"/>
          <w:sz w:val="22"/>
          <w:szCs w:val="22"/>
        </w:rPr>
        <w:t xml:space="preserve">(WRAP, 2026). </w:t>
      </w:r>
      <w:r w:rsidRPr="307459A2">
        <w:rPr>
          <w:rFonts w:asciiTheme="minorBidi" w:hAnsiTheme="minorBidi"/>
          <w:sz w:val="22"/>
          <w:szCs w:val="22"/>
        </w:rPr>
        <w:t>Digital platforms also enable direct consumer engagement and improved data-driven decision-making.</w:t>
      </w:r>
    </w:p>
    <w:p w14:paraId="7E8D5019" w14:textId="331391FC" w:rsidR="00202B41" w:rsidRPr="000A7A2C" w:rsidRDefault="00202B41" w:rsidP="307459A2">
      <w:pPr>
        <w:spacing w:line="360" w:lineRule="auto"/>
        <w:jc w:val="both"/>
        <w:rPr>
          <w:rFonts w:asciiTheme="minorBidi" w:hAnsiTheme="minorBidi"/>
          <w:sz w:val="22"/>
          <w:szCs w:val="22"/>
        </w:rPr>
      </w:pPr>
      <w:r w:rsidRPr="307459A2">
        <w:rPr>
          <w:rFonts w:asciiTheme="minorBidi" w:hAnsiTheme="minorBidi"/>
          <w:b/>
          <w:bCs/>
          <w:sz w:val="22"/>
          <w:szCs w:val="22"/>
        </w:rPr>
        <w:t>Environmental</w:t>
      </w:r>
      <w:r w:rsidRPr="307459A2">
        <w:rPr>
          <w:rFonts w:asciiTheme="minorBidi" w:hAnsiTheme="minorBidi"/>
          <w:sz w:val="22"/>
          <w:szCs w:val="22"/>
        </w:rPr>
        <w:t xml:space="preserve"> pressures, particularly climate change, pose structural risks to fruit-based supply chains. Extreme weather events impact agricultural output and pricing stability (IPCC, 2023). Simultaneously, public and regulatory expectations around packaging waste and emissions reduction continue to intensify.</w:t>
      </w:r>
    </w:p>
    <w:p w14:paraId="4B043270" w14:textId="306E5678" w:rsidR="00202B41" w:rsidRPr="000A7A2C" w:rsidRDefault="00202B41" w:rsidP="307459A2">
      <w:pPr>
        <w:spacing w:line="360" w:lineRule="auto"/>
        <w:jc w:val="both"/>
        <w:rPr>
          <w:rFonts w:asciiTheme="minorBidi" w:hAnsiTheme="minorBidi"/>
          <w:sz w:val="22"/>
          <w:szCs w:val="22"/>
        </w:rPr>
      </w:pPr>
      <w:r w:rsidRPr="307459A2">
        <w:rPr>
          <w:rFonts w:asciiTheme="minorBidi" w:hAnsiTheme="minorBidi"/>
          <w:b/>
          <w:bCs/>
          <w:sz w:val="22"/>
          <w:szCs w:val="22"/>
        </w:rPr>
        <w:t>Legal</w:t>
      </w:r>
      <w:r w:rsidRPr="307459A2">
        <w:rPr>
          <w:rFonts w:asciiTheme="minorBidi" w:hAnsiTheme="minorBidi"/>
          <w:sz w:val="22"/>
          <w:szCs w:val="22"/>
        </w:rPr>
        <w:t xml:space="preserve"> factors, including HFSS advertising regulations and packaging compliance requirements, require continuous monitoring to ensure brand credibility and market access </w:t>
      </w:r>
      <w:r w:rsidR="004A39F8" w:rsidRPr="307459A2">
        <w:rPr>
          <w:rFonts w:asciiTheme="minorBidi" w:hAnsiTheme="minorBidi"/>
          <w:sz w:val="22"/>
          <w:szCs w:val="22"/>
        </w:rPr>
        <w:t>(Food Standards Agency, 2026).</w:t>
      </w:r>
    </w:p>
    <w:p w14:paraId="023F940B" w14:textId="4AAB7B45" w:rsidR="307459A2" w:rsidRDefault="00202B41" w:rsidP="00E40813">
      <w:pPr>
        <w:spacing w:line="360" w:lineRule="auto"/>
        <w:jc w:val="both"/>
        <w:rPr>
          <w:rFonts w:asciiTheme="minorBidi" w:hAnsiTheme="minorBidi"/>
          <w:sz w:val="22"/>
          <w:szCs w:val="22"/>
        </w:rPr>
      </w:pPr>
      <w:r w:rsidRPr="307459A2">
        <w:rPr>
          <w:rFonts w:asciiTheme="minorBidi" w:hAnsiTheme="minorBidi"/>
          <w:sz w:val="22"/>
          <w:szCs w:val="22"/>
        </w:rPr>
        <w:t>Overall, the PESTEL analysis demonstrates that Innocent’s growth strategy must remain firmly aligned with sustainability, regulatory compliance, and supply chain resilience.</w:t>
      </w:r>
    </w:p>
    <w:p w14:paraId="23844E95" w14:textId="5B87247E" w:rsidR="00202B41" w:rsidRPr="000A7A2C" w:rsidRDefault="38F49917" w:rsidP="307459A2">
      <w:pPr>
        <w:pStyle w:val="Heading2"/>
        <w:spacing w:line="360" w:lineRule="auto"/>
        <w:rPr>
          <w:rFonts w:ascii="Arial" w:eastAsia="Arial" w:hAnsi="Arial" w:cs="Arial"/>
        </w:rPr>
      </w:pPr>
      <w:bookmarkStart w:id="5" w:name="_Toc224157054"/>
      <w:r w:rsidRPr="307459A2">
        <w:rPr>
          <w:rFonts w:ascii="Arial" w:eastAsia="Arial" w:hAnsi="Arial" w:cs="Arial"/>
        </w:rPr>
        <w:t>2</w:t>
      </w:r>
      <w:r w:rsidR="00202B41" w:rsidRPr="307459A2">
        <w:rPr>
          <w:rFonts w:ascii="Arial" w:eastAsia="Arial" w:hAnsi="Arial" w:cs="Arial"/>
        </w:rPr>
        <w:t>.3 Porter’s Five Forces Analysis</w:t>
      </w:r>
      <w:bookmarkEnd w:id="5"/>
    </w:p>
    <w:p w14:paraId="5E653EC0" w14:textId="25C7683F" w:rsidR="00202B41" w:rsidRPr="000A7A2C" w:rsidRDefault="00202B41" w:rsidP="000A7A2C">
      <w:pPr>
        <w:spacing w:line="360" w:lineRule="auto"/>
        <w:jc w:val="both"/>
        <w:rPr>
          <w:rFonts w:asciiTheme="minorBidi" w:hAnsiTheme="minorBidi"/>
          <w:sz w:val="22"/>
          <w:szCs w:val="22"/>
        </w:rPr>
      </w:pPr>
      <w:r w:rsidRPr="000A7A2C">
        <w:rPr>
          <w:rFonts w:asciiTheme="minorBidi" w:hAnsiTheme="minorBidi"/>
          <w:sz w:val="22"/>
          <w:szCs w:val="22"/>
        </w:rPr>
        <w:t>To assess the competitive structure of the industry in which Innocent operates, Porter’s Five Forces framework is applied. This model evaluates industry attractiveness by analysing five structural forces that determine competitive intensity and profitability (Porter, 1980). It is particularly useful in identifying whether a company should compete on cost or differentiation.</w:t>
      </w:r>
    </w:p>
    <w:p w14:paraId="2F802A82" w14:textId="7E104EB5" w:rsidR="002855B9" w:rsidRPr="00E40813" w:rsidRDefault="03183508" w:rsidP="00E40813">
      <w:pPr>
        <w:spacing w:line="360" w:lineRule="auto"/>
        <w:jc w:val="center"/>
        <w:rPr>
          <w:rFonts w:asciiTheme="minorBidi" w:hAnsiTheme="minorBidi"/>
          <w:i/>
          <w:iCs/>
          <w:sz w:val="22"/>
          <w:szCs w:val="22"/>
        </w:rPr>
      </w:pPr>
      <w:r>
        <w:rPr>
          <w:noProof/>
        </w:rPr>
        <w:lastRenderedPageBreak/>
        <w:drawing>
          <wp:inline distT="0" distB="0" distL="0" distR="0" wp14:anchorId="2E0FFC3C" wp14:editId="55D06E11">
            <wp:extent cx="5871066" cy="3143892"/>
            <wp:effectExtent l="0" t="0" r="0" b="0"/>
            <wp:docPr id="10113313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3823" cy="3156078"/>
                    </a:xfrm>
                    <a:prstGeom prst="rect">
                      <a:avLst/>
                    </a:prstGeom>
                    <a:noFill/>
                    <a:ln>
                      <a:noFill/>
                    </a:ln>
                  </pic:spPr>
                </pic:pic>
              </a:graphicData>
            </a:graphic>
          </wp:inline>
        </w:drawing>
      </w:r>
      <w:r w:rsidR="00156C55" w:rsidRPr="307459A2">
        <w:rPr>
          <w:rFonts w:asciiTheme="minorBidi" w:hAnsiTheme="minorBidi"/>
          <w:i/>
          <w:iCs/>
          <w:sz w:val="22"/>
          <w:szCs w:val="22"/>
        </w:rPr>
        <w:t>Table 2: Porter’s Five Forces Analysis of Innocent Drinks</w:t>
      </w:r>
    </w:p>
    <w:p w14:paraId="0B1A5AF4" w14:textId="698BB3DE"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As shown in Table 2, competitive rivalry within the UK health beverage market is high. Established multinational brands such as Tropicana and Naked Juice benefit from economies of scale and global distribution networks (Euromonitor, 2023). In addition, private-label supermarket brands increase price-based competition. According to Porter (1980), high rivalry reduces profitability and forces firms to differentiate or reduce costs.</w:t>
      </w:r>
    </w:p>
    <w:p w14:paraId="0D1FF825" w14:textId="23A7B796" w:rsidR="00202B41" w:rsidRPr="00202B41" w:rsidRDefault="00202B41" w:rsidP="002B5191">
      <w:pPr>
        <w:spacing w:line="360" w:lineRule="auto"/>
        <w:jc w:val="both"/>
        <w:rPr>
          <w:rFonts w:asciiTheme="minorBidi" w:hAnsiTheme="minorBidi"/>
          <w:sz w:val="22"/>
          <w:szCs w:val="22"/>
        </w:rPr>
      </w:pPr>
      <w:r w:rsidRPr="00202B41">
        <w:rPr>
          <w:rFonts w:asciiTheme="minorBidi" w:hAnsiTheme="minorBidi"/>
          <w:sz w:val="22"/>
          <w:szCs w:val="22"/>
        </w:rPr>
        <w:t xml:space="preserve">The threat of new entrants is moderate. Although production barriers are relatively low, establishing strong brand trust and sustainability credibility requires significant marketing investment. Innocent’s long-standing brand identity and B Corp certification therefore provide competitive protection </w:t>
      </w:r>
      <w:r w:rsidR="002B5191" w:rsidRPr="002B5191">
        <w:rPr>
          <w:rFonts w:asciiTheme="minorBidi" w:hAnsiTheme="minorBidi"/>
          <w:sz w:val="22"/>
          <w:szCs w:val="22"/>
        </w:rPr>
        <w:t>(B Lab, 2026).</w:t>
      </w:r>
    </w:p>
    <w:p w14:paraId="1E7F4B15"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The threat of substitutes is high, as consumers can easily switch to bottled water, functional drinks, or homemade alternatives. Low switching costs intensify competitive pressure (Porter, 1980).</w:t>
      </w:r>
    </w:p>
    <w:p w14:paraId="14701B7B"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Supplier power is moderate. Innocent depends on fruit sourced from climate-sensitive regions, which increases vulnerability to price fluctuations linked to extreme weather events (IPCC, 2023). Ethical sourcing standards further limit supplier flexibility.</w:t>
      </w:r>
    </w:p>
    <w:p w14:paraId="2BDAEFAA"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Buyer power is high due to the concentration of UK grocery retailers. Supermarkets exert significant influence over pricing and shelf placement, directly affecting margins (Euromonitor, 2023).</w:t>
      </w:r>
    </w:p>
    <w:p w14:paraId="01ED537F" w14:textId="33C372F0" w:rsidR="307459A2" w:rsidRDefault="00202B41" w:rsidP="00B70650">
      <w:pPr>
        <w:spacing w:line="360" w:lineRule="auto"/>
        <w:jc w:val="both"/>
        <w:rPr>
          <w:rFonts w:asciiTheme="minorBidi" w:hAnsiTheme="minorBidi"/>
          <w:sz w:val="22"/>
          <w:szCs w:val="22"/>
        </w:rPr>
      </w:pPr>
      <w:r w:rsidRPr="307459A2">
        <w:rPr>
          <w:rFonts w:asciiTheme="minorBidi" w:hAnsiTheme="minorBidi"/>
          <w:sz w:val="22"/>
          <w:szCs w:val="22"/>
        </w:rPr>
        <w:lastRenderedPageBreak/>
        <w:t>Overall, the Five Forces analysis confirms that Innocent operates in a structurally competitive industry where differentiation, rather than cost leadership, is essential for sustainable advantage (Porter, 1985).</w:t>
      </w:r>
    </w:p>
    <w:p w14:paraId="1059B182" w14:textId="56B67B39" w:rsidR="00202B41" w:rsidRPr="00202B41" w:rsidRDefault="4FEE615A" w:rsidP="307459A2">
      <w:pPr>
        <w:pStyle w:val="Heading2"/>
        <w:rPr>
          <w:rFonts w:ascii="Arial" w:eastAsia="Arial" w:hAnsi="Arial" w:cs="Arial"/>
        </w:rPr>
      </w:pPr>
      <w:bookmarkStart w:id="6" w:name="_Toc224157055"/>
      <w:r w:rsidRPr="307459A2">
        <w:rPr>
          <w:rFonts w:ascii="Arial" w:eastAsia="Arial" w:hAnsi="Arial" w:cs="Arial"/>
        </w:rPr>
        <w:t>2</w:t>
      </w:r>
      <w:r w:rsidR="00202B41" w:rsidRPr="307459A2">
        <w:rPr>
          <w:rFonts w:ascii="Arial" w:eastAsia="Arial" w:hAnsi="Arial" w:cs="Arial"/>
        </w:rPr>
        <w:t>.4 SWOT Analysis</w:t>
      </w:r>
      <w:bookmarkEnd w:id="6"/>
    </w:p>
    <w:p w14:paraId="6082D1C1" w14:textId="0DFDB858" w:rsidR="00C944C1" w:rsidRDefault="00202B41" w:rsidP="006E2C19">
      <w:pPr>
        <w:spacing w:line="360" w:lineRule="auto"/>
        <w:jc w:val="both"/>
        <w:rPr>
          <w:rFonts w:asciiTheme="minorBidi" w:hAnsiTheme="minorBidi"/>
          <w:sz w:val="22"/>
          <w:szCs w:val="22"/>
        </w:rPr>
      </w:pPr>
      <w:r w:rsidRPr="00202B41">
        <w:rPr>
          <w:rFonts w:asciiTheme="minorBidi" w:hAnsiTheme="minorBidi"/>
          <w:sz w:val="22"/>
          <w:szCs w:val="22"/>
        </w:rPr>
        <w:t xml:space="preserve">To integrate external conditions with internal capabilities, the SWOT framework is applied. SWOT identifies organisational strengths and weaknesses alongside external opportunities and threats </w:t>
      </w:r>
      <w:r w:rsidR="006E2C19" w:rsidRPr="006E2C19">
        <w:rPr>
          <w:rFonts w:asciiTheme="minorBidi" w:hAnsiTheme="minorBidi"/>
          <w:sz w:val="22"/>
          <w:szCs w:val="22"/>
        </w:rPr>
        <w:t>(Gürel and Tat, 2017)</w:t>
      </w:r>
      <w:r w:rsidR="006E2C19">
        <w:rPr>
          <w:rFonts w:asciiTheme="minorBidi" w:hAnsiTheme="minorBidi"/>
          <w:sz w:val="22"/>
          <w:szCs w:val="22"/>
        </w:rPr>
        <w:t xml:space="preserve">. </w:t>
      </w:r>
      <w:r w:rsidRPr="00202B41">
        <w:rPr>
          <w:rFonts w:asciiTheme="minorBidi" w:hAnsiTheme="minorBidi"/>
          <w:sz w:val="22"/>
          <w:szCs w:val="22"/>
        </w:rPr>
        <w:t>It enables alignment between resources and market conditions identified in previous analyses.</w:t>
      </w:r>
    </w:p>
    <w:p w14:paraId="49B0343D" w14:textId="1D03BF02" w:rsidR="307459A2" w:rsidRPr="00B70650" w:rsidRDefault="00C52DB5" w:rsidP="00B70650">
      <w:pPr>
        <w:spacing w:line="360" w:lineRule="auto"/>
        <w:jc w:val="center"/>
        <w:rPr>
          <w:rFonts w:asciiTheme="minorBidi" w:hAnsiTheme="minorBidi"/>
          <w:i/>
          <w:iCs/>
          <w:sz w:val="22"/>
          <w:szCs w:val="22"/>
        </w:rPr>
      </w:pPr>
      <w:r>
        <w:rPr>
          <w:noProof/>
        </w:rPr>
        <w:drawing>
          <wp:inline distT="0" distB="0" distL="0" distR="0" wp14:anchorId="5F7B1B39" wp14:editId="279A4B08">
            <wp:extent cx="5731510" cy="5022215"/>
            <wp:effectExtent l="0" t="0" r="2540" b="6985"/>
            <wp:docPr id="477124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124014" name=""/>
                    <pic:cNvPicPr/>
                  </pic:nvPicPr>
                  <pic:blipFill>
                    <a:blip r:embed="rId15"/>
                    <a:stretch>
                      <a:fillRect/>
                    </a:stretch>
                  </pic:blipFill>
                  <pic:spPr>
                    <a:xfrm>
                      <a:off x="0" y="0"/>
                      <a:ext cx="5731510" cy="5022215"/>
                    </a:xfrm>
                    <a:prstGeom prst="rect">
                      <a:avLst/>
                    </a:prstGeom>
                  </pic:spPr>
                </pic:pic>
              </a:graphicData>
            </a:graphic>
          </wp:inline>
        </w:drawing>
      </w:r>
      <w:r w:rsidR="00E07A67" w:rsidRPr="307459A2">
        <w:rPr>
          <w:rFonts w:asciiTheme="minorBidi" w:hAnsiTheme="minorBidi"/>
          <w:i/>
          <w:iCs/>
          <w:sz w:val="22"/>
          <w:szCs w:val="22"/>
        </w:rPr>
        <w:t>Table 3: SWOT Analysis of Innocent Drinks</w:t>
      </w:r>
    </w:p>
    <w:p w14:paraId="397CBBA6" w14:textId="158C8D20" w:rsidR="00202B41" w:rsidRPr="00202B41" w:rsidRDefault="00202B41" w:rsidP="002B5191">
      <w:pPr>
        <w:spacing w:line="360" w:lineRule="auto"/>
        <w:jc w:val="both"/>
        <w:rPr>
          <w:rFonts w:asciiTheme="minorBidi" w:hAnsiTheme="minorBidi"/>
          <w:sz w:val="22"/>
          <w:szCs w:val="22"/>
        </w:rPr>
      </w:pPr>
      <w:r w:rsidRPr="00202B41">
        <w:rPr>
          <w:rFonts w:asciiTheme="minorBidi" w:hAnsiTheme="minorBidi"/>
          <w:sz w:val="22"/>
          <w:szCs w:val="22"/>
        </w:rPr>
        <w:t xml:space="preserve">As shown in </w:t>
      </w:r>
      <w:r w:rsidRPr="00C52DB5">
        <w:rPr>
          <w:rFonts w:asciiTheme="minorBidi" w:hAnsiTheme="minorBidi"/>
          <w:sz w:val="22"/>
          <w:szCs w:val="22"/>
        </w:rPr>
        <w:t>Table 3,</w:t>
      </w:r>
      <w:r w:rsidRPr="00202B41">
        <w:rPr>
          <w:rFonts w:asciiTheme="minorBidi" w:hAnsiTheme="minorBidi"/>
          <w:sz w:val="22"/>
          <w:szCs w:val="22"/>
        </w:rPr>
        <w:t xml:space="preserve"> Innocent’s key strengths lie in its ethical positioning and brand credibility. Certification as a B Corporation enhances legitimacy and supports differentiation in values-driven markets </w:t>
      </w:r>
      <w:r w:rsidR="002B5191" w:rsidRPr="002B5191">
        <w:rPr>
          <w:rFonts w:asciiTheme="minorBidi" w:hAnsiTheme="minorBidi"/>
          <w:sz w:val="22"/>
          <w:szCs w:val="22"/>
        </w:rPr>
        <w:t>(B Lab, 2026).</w:t>
      </w:r>
      <w:r w:rsidR="002B5191">
        <w:rPr>
          <w:rFonts w:asciiTheme="minorBidi" w:hAnsiTheme="minorBidi"/>
          <w:sz w:val="22"/>
          <w:szCs w:val="22"/>
        </w:rPr>
        <w:t xml:space="preserve"> </w:t>
      </w:r>
      <w:r w:rsidRPr="00202B41">
        <w:rPr>
          <w:rFonts w:asciiTheme="minorBidi" w:hAnsiTheme="minorBidi"/>
          <w:sz w:val="22"/>
          <w:szCs w:val="22"/>
        </w:rPr>
        <w:t>Strong customer loyalty provides resilience in competitive conditions (Mintel, 2023).</w:t>
      </w:r>
    </w:p>
    <w:p w14:paraId="01379AC3" w14:textId="2C5EDBBC" w:rsidR="00202B41" w:rsidRPr="00202B41" w:rsidRDefault="00202B41" w:rsidP="004A39F8">
      <w:pPr>
        <w:spacing w:line="360" w:lineRule="auto"/>
        <w:jc w:val="both"/>
        <w:rPr>
          <w:rFonts w:asciiTheme="minorBidi" w:hAnsiTheme="minorBidi"/>
          <w:sz w:val="22"/>
          <w:szCs w:val="22"/>
        </w:rPr>
      </w:pPr>
      <w:r w:rsidRPr="00202B41">
        <w:rPr>
          <w:rFonts w:asciiTheme="minorBidi" w:hAnsiTheme="minorBidi"/>
          <w:sz w:val="22"/>
          <w:szCs w:val="22"/>
        </w:rPr>
        <w:lastRenderedPageBreak/>
        <w:t xml:space="preserve">However, reliance on smoothies and juices limits portfolio diversification. Premium pricing may reduce accessibility during periods of economic pressure, particularly amid rising food inflation </w:t>
      </w:r>
      <w:r w:rsidR="004A39F8" w:rsidRPr="004A39F8">
        <w:rPr>
          <w:rFonts w:asciiTheme="minorBidi" w:hAnsiTheme="minorBidi"/>
          <w:sz w:val="22"/>
          <w:szCs w:val="22"/>
        </w:rPr>
        <w:t>(Office for National Statistics, 2026)</w:t>
      </w:r>
      <w:r w:rsidR="004A39F8">
        <w:rPr>
          <w:rFonts w:asciiTheme="minorBidi" w:hAnsiTheme="minorBidi"/>
          <w:sz w:val="22"/>
          <w:szCs w:val="22"/>
        </w:rPr>
        <w:t xml:space="preserve">. </w:t>
      </w:r>
      <w:r w:rsidRPr="00202B41">
        <w:rPr>
          <w:rFonts w:asciiTheme="minorBidi" w:hAnsiTheme="minorBidi"/>
          <w:sz w:val="22"/>
          <w:szCs w:val="22"/>
        </w:rPr>
        <w:t>Furthermore, dependence on fruit sourced from climate-sensitive regions increases exposure to environmental risk (IPCC, 2023).</w:t>
      </w:r>
    </w:p>
    <w:p w14:paraId="4D38DAF1"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Opportunities are closely aligned with social trends identified in the PESTEL analysis. Demand for plant-based products continues to grow across the UK and Europe (Statista, 2023). Digital channels provide new engagement opportunities and improved customer data collection.</w:t>
      </w:r>
    </w:p>
    <w:p w14:paraId="193440EC" w14:textId="0993E06C" w:rsidR="00202B41" w:rsidRPr="00202B41" w:rsidRDefault="00202B41" w:rsidP="004A39F8">
      <w:pPr>
        <w:spacing w:line="360" w:lineRule="auto"/>
        <w:jc w:val="both"/>
        <w:rPr>
          <w:rFonts w:asciiTheme="minorBidi" w:hAnsiTheme="minorBidi"/>
          <w:sz w:val="22"/>
          <w:szCs w:val="22"/>
        </w:rPr>
      </w:pPr>
      <w:r w:rsidRPr="00202B41">
        <w:rPr>
          <w:rFonts w:asciiTheme="minorBidi" w:hAnsiTheme="minorBidi"/>
          <w:sz w:val="22"/>
          <w:szCs w:val="22"/>
        </w:rPr>
        <w:t xml:space="preserve">Threats remain significant. Regulatory developments concerning HFSS marketing restrictions and packaging compliance increase operational complexity </w:t>
      </w:r>
      <w:r w:rsidR="004A39F8" w:rsidRPr="004A39F8">
        <w:rPr>
          <w:rFonts w:asciiTheme="minorBidi" w:hAnsiTheme="minorBidi"/>
          <w:sz w:val="22"/>
          <w:szCs w:val="22"/>
        </w:rPr>
        <w:t>(Food Standards Agency, 2026)</w:t>
      </w:r>
      <w:r w:rsidR="004A39F8">
        <w:rPr>
          <w:rFonts w:asciiTheme="minorBidi" w:hAnsiTheme="minorBidi"/>
          <w:sz w:val="22"/>
          <w:szCs w:val="22"/>
        </w:rPr>
        <w:t xml:space="preserve">. </w:t>
      </w:r>
      <w:r w:rsidRPr="00202B41">
        <w:rPr>
          <w:rFonts w:asciiTheme="minorBidi" w:hAnsiTheme="minorBidi"/>
          <w:sz w:val="22"/>
          <w:szCs w:val="22"/>
        </w:rPr>
        <w:t>Competition from multinational corporations and agile niche brands further intensifies market pressure (Euromonitor, 2023).</w:t>
      </w:r>
    </w:p>
    <w:p w14:paraId="2EFCD504" w14:textId="5E4BCCFC" w:rsidR="307459A2" w:rsidRDefault="00202B41" w:rsidP="00B70650">
      <w:pPr>
        <w:spacing w:line="360" w:lineRule="auto"/>
        <w:jc w:val="both"/>
        <w:rPr>
          <w:rFonts w:asciiTheme="minorBidi" w:hAnsiTheme="minorBidi"/>
          <w:sz w:val="22"/>
          <w:szCs w:val="22"/>
        </w:rPr>
      </w:pPr>
      <w:r w:rsidRPr="307459A2">
        <w:rPr>
          <w:rFonts w:asciiTheme="minorBidi" w:hAnsiTheme="minorBidi"/>
          <w:sz w:val="22"/>
          <w:szCs w:val="22"/>
        </w:rPr>
        <w:t>The SWOT analysis therefore indicates that Innocent’s sustainability-focused differentiation provides competitive strength, but diversification and supply resilience are critical for long-term stability.</w:t>
      </w:r>
    </w:p>
    <w:p w14:paraId="3B578FEC" w14:textId="134DF1B3" w:rsidR="00202B41" w:rsidRPr="00202B41" w:rsidRDefault="47E1EA21" w:rsidP="307459A2">
      <w:pPr>
        <w:pStyle w:val="Heading2"/>
        <w:rPr>
          <w:rFonts w:ascii="Arial" w:eastAsia="Arial" w:hAnsi="Arial" w:cs="Arial"/>
        </w:rPr>
      </w:pPr>
      <w:bookmarkStart w:id="7" w:name="_Toc224157056"/>
      <w:r w:rsidRPr="307459A2">
        <w:rPr>
          <w:rFonts w:ascii="Arial" w:eastAsia="Arial" w:hAnsi="Arial" w:cs="Arial"/>
        </w:rPr>
        <w:t>2</w:t>
      </w:r>
      <w:r w:rsidR="00202B41" w:rsidRPr="307459A2">
        <w:rPr>
          <w:rFonts w:ascii="Arial" w:eastAsia="Arial" w:hAnsi="Arial" w:cs="Arial"/>
        </w:rPr>
        <w:t>.5 TOWS Matrix</w:t>
      </w:r>
      <w:bookmarkEnd w:id="7"/>
    </w:p>
    <w:p w14:paraId="29391FA3"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While SWOT identifies key internal and external factors, the TOWS matrix extends this analysis by converting those factors into strategic options (Weihrich, 1982). The purpose of TOWS is to align organisational strengths and weaknesses with environmental opportunities and threats in order to generate actionable strategic directions.</w:t>
      </w:r>
    </w:p>
    <w:p w14:paraId="75B654DF" w14:textId="2BCFCF2D" w:rsidR="006D2917" w:rsidRDefault="00C52DB5" w:rsidP="00B70650">
      <w:pPr>
        <w:spacing w:line="360" w:lineRule="auto"/>
        <w:jc w:val="center"/>
        <w:rPr>
          <w:rFonts w:asciiTheme="minorBidi" w:hAnsiTheme="minorBidi"/>
          <w:i/>
          <w:iCs/>
          <w:sz w:val="22"/>
          <w:szCs w:val="22"/>
        </w:rPr>
      </w:pPr>
      <w:r>
        <w:rPr>
          <w:noProof/>
        </w:rPr>
        <w:drawing>
          <wp:inline distT="0" distB="0" distL="0" distR="0" wp14:anchorId="6FC9BAE9" wp14:editId="08EB7569">
            <wp:extent cx="5731510" cy="2940050"/>
            <wp:effectExtent l="0" t="0" r="2540" b="0"/>
            <wp:docPr id="117264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45638" name=""/>
                    <pic:cNvPicPr/>
                  </pic:nvPicPr>
                  <pic:blipFill>
                    <a:blip r:embed="rId16"/>
                    <a:stretch>
                      <a:fillRect/>
                    </a:stretch>
                  </pic:blipFill>
                  <pic:spPr>
                    <a:xfrm>
                      <a:off x="0" y="0"/>
                      <a:ext cx="5731510" cy="2940050"/>
                    </a:xfrm>
                    <a:prstGeom prst="rect">
                      <a:avLst/>
                    </a:prstGeom>
                  </pic:spPr>
                </pic:pic>
              </a:graphicData>
            </a:graphic>
          </wp:inline>
        </w:drawing>
      </w:r>
      <w:r w:rsidR="00FB64EC" w:rsidRPr="00C52DB5">
        <w:rPr>
          <w:rFonts w:asciiTheme="minorBidi" w:hAnsiTheme="minorBidi"/>
          <w:i/>
          <w:iCs/>
          <w:sz w:val="22"/>
          <w:szCs w:val="22"/>
        </w:rPr>
        <w:t>Table 4: TOWS Matrix for Innocent Drinks</w:t>
      </w:r>
    </w:p>
    <w:p w14:paraId="0EB3DF76" w14:textId="77777777" w:rsidR="00E40813" w:rsidRPr="00B70650" w:rsidRDefault="00E40813" w:rsidP="00B70650">
      <w:pPr>
        <w:spacing w:line="360" w:lineRule="auto"/>
        <w:jc w:val="center"/>
        <w:rPr>
          <w:rFonts w:asciiTheme="minorBidi" w:hAnsiTheme="minorBidi"/>
          <w:i/>
          <w:iCs/>
          <w:sz w:val="22"/>
          <w:szCs w:val="22"/>
        </w:rPr>
      </w:pPr>
    </w:p>
    <w:p w14:paraId="5FE3FBB0" w14:textId="1D58E0D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lastRenderedPageBreak/>
        <w:t xml:space="preserve">As shown in </w:t>
      </w:r>
      <w:r w:rsidRPr="006D2917">
        <w:rPr>
          <w:rFonts w:asciiTheme="minorBidi" w:hAnsiTheme="minorBidi"/>
          <w:sz w:val="22"/>
          <w:szCs w:val="22"/>
        </w:rPr>
        <w:t>Table 4</w:t>
      </w:r>
      <w:r w:rsidRPr="00202B41">
        <w:rPr>
          <w:rFonts w:asciiTheme="minorBidi" w:hAnsiTheme="minorBidi"/>
          <w:sz w:val="22"/>
          <w:szCs w:val="22"/>
        </w:rPr>
        <w:t>, the TOWS analysis provides clearer strategic direction than SWOT alone.</w:t>
      </w:r>
    </w:p>
    <w:p w14:paraId="483B8912"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 xml:space="preserve">The </w:t>
      </w:r>
      <w:r w:rsidRPr="00202B41">
        <w:rPr>
          <w:rFonts w:asciiTheme="minorBidi" w:hAnsiTheme="minorBidi"/>
          <w:b/>
          <w:bCs/>
          <w:sz w:val="22"/>
          <w:szCs w:val="22"/>
        </w:rPr>
        <w:t>SO strategy</w:t>
      </w:r>
      <w:r w:rsidRPr="00202B41">
        <w:rPr>
          <w:rFonts w:asciiTheme="minorBidi" w:hAnsiTheme="minorBidi"/>
          <w:sz w:val="22"/>
          <w:szCs w:val="22"/>
        </w:rPr>
        <w:t xml:space="preserve"> suggests that Innocent should leverage its strong ethical reputation and brand trust to expand into adjacent plant-based categories. Given rising demand for plant-based products (Statista, 2023), this would allow Innocent to extend its mission of promoting healthy living while strengthening market presence.</w:t>
      </w:r>
    </w:p>
    <w:p w14:paraId="2F06543A"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 xml:space="preserve">The </w:t>
      </w:r>
      <w:r w:rsidRPr="00202B41">
        <w:rPr>
          <w:rFonts w:asciiTheme="minorBidi" w:hAnsiTheme="minorBidi"/>
          <w:b/>
          <w:bCs/>
          <w:sz w:val="22"/>
          <w:szCs w:val="22"/>
        </w:rPr>
        <w:t>WO strategy</w:t>
      </w:r>
      <w:r w:rsidRPr="00202B41">
        <w:rPr>
          <w:rFonts w:asciiTheme="minorBidi" w:hAnsiTheme="minorBidi"/>
          <w:sz w:val="22"/>
          <w:szCs w:val="22"/>
        </w:rPr>
        <w:t xml:space="preserve"> highlights the need to reduce over-reliance on the smoothie category. Diversification within health-aligned segments would mitigate category-specific risk while remaining consistent with Innocent’s core values.</w:t>
      </w:r>
    </w:p>
    <w:p w14:paraId="20DA02FF"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 xml:space="preserve">The </w:t>
      </w:r>
      <w:r w:rsidRPr="00202B41">
        <w:rPr>
          <w:rFonts w:asciiTheme="minorBidi" w:hAnsiTheme="minorBidi"/>
          <w:b/>
          <w:bCs/>
          <w:sz w:val="22"/>
          <w:szCs w:val="22"/>
        </w:rPr>
        <w:t>ST strategy</w:t>
      </w:r>
      <w:r w:rsidRPr="00202B41">
        <w:rPr>
          <w:rFonts w:asciiTheme="minorBidi" w:hAnsiTheme="minorBidi"/>
          <w:sz w:val="22"/>
          <w:szCs w:val="22"/>
        </w:rPr>
        <w:t xml:space="preserve"> emphasises using sustainability commitments to counter growing competition. As multinational corporations expand into ethical product lines, authenticity and transparency become critical differentiators (Porter, 1985).</w:t>
      </w:r>
    </w:p>
    <w:p w14:paraId="66B1C6E1" w14:textId="426ED8E4"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 xml:space="preserve">The </w:t>
      </w:r>
      <w:r w:rsidRPr="00202B41">
        <w:rPr>
          <w:rFonts w:asciiTheme="minorBidi" w:hAnsiTheme="minorBidi"/>
          <w:b/>
          <w:bCs/>
          <w:sz w:val="22"/>
          <w:szCs w:val="22"/>
        </w:rPr>
        <w:t>WT strategy</w:t>
      </w:r>
      <w:r w:rsidRPr="00202B41">
        <w:rPr>
          <w:rFonts w:asciiTheme="minorBidi" w:hAnsiTheme="minorBidi"/>
          <w:sz w:val="22"/>
          <w:szCs w:val="22"/>
        </w:rPr>
        <w:t xml:space="preserve"> addresses risk mitigation. Strengthening supplier partnerships and improving operational efficiency would reduce exposure to inflation and climate volatility (IPCC, 2023</w:t>
      </w:r>
      <w:r w:rsidR="004A39F8">
        <w:rPr>
          <w:rFonts w:asciiTheme="minorBidi" w:hAnsiTheme="minorBidi"/>
          <w:sz w:val="22"/>
          <w:szCs w:val="22"/>
        </w:rPr>
        <w:t>).</w:t>
      </w:r>
    </w:p>
    <w:p w14:paraId="33E6808F" w14:textId="30AF47F2" w:rsidR="307459A2" w:rsidRDefault="00202B41" w:rsidP="00E40813">
      <w:pPr>
        <w:spacing w:line="360" w:lineRule="auto"/>
        <w:jc w:val="both"/>
        <w:rPr>
          <w:rFonts w:asciiTheme="minorBidi" w:hAnsiTheme="minorBidi"/>
          <w:sz w:val="22"/>
          <w:szCs w:val="22"/>
        </w:rPr>
      </w:pPr>
      <w:r w:rsidRPr="307459A2">
        <w:rPr>
          <w:rFonts w:asciiTheme="minorBidi" w:hAnsiTheme="minorBidi"/>
          <w:sz w:val="22"/>
          <w:szCs w:val="22"/>
        </w:rPr>
        <w:t>Overall, the TOWS analysis supports moderate, sustainability-aligned diversification rather than aggressive expansion.</w:t>
      </w:r>
    </w:p>
    <w:p w14:paraId="3C6F1F7E" w14:textId="1B56DE45" w:rsidR="00202B41" w:rsidRPr="00202B41" w:rsidRDefault="4DD22FE4" w:rsidP="307459A2">
      <w:pPr>
        <w:pStyle w:val="Heading2"/>
        <w:rPr>
          <w:rFonts w:ascii="Arial" w:eastAsia="Arial" w:hAnsi="Arial" w:cs="Arial"/>
        </w:rPr>
      </w:pPr>
      <w:bookmarkStart w:id="8" w:name="_Toc224157057"/>
      <w:r w:rsidRPr="307459A2">
        <w:rPr>
          <w:rFonts w:ascii="Arial" w:eastAsia="Arial" w:hAnsi="Arial" w:cs="Arial"/>
        </w:rPr>
        <w:t>2</w:t>
      </w:r>
      <w:r w:rsidR="00202B41" w:rsidRPr="307459A2">
        <w:rPr>
          <w:rFonts w:ascii="Arial" w:eastAsia="Arial" w:hAnsi="Arial" w:cs="Arial"/>
        </w:rPr>
        <w:t>.6 Porter’s Value Chain</w:t>
      </w:r>
      <w:bookmarkEnd w:id="8"/>
    </w:p>
    <w:p w14:paraId="382A0D8E" w14:textId="1FC03577" w:rsidR="006D2917" w:rsidRDefault="00202B41" w:rsidP="00B70650">
      <w:pPr>
        <w:spacing w:line="360" w:lineRule="auto"/>
        <w:jc w:val="both"/>
        <w:rPr>
          <w:rFonts w:asciiTheme="minorBidi" w:hAnsiTheme="minorBidi"/>
          <w:sz w:val="22"/>
          <w:szCs w:val="22"/>
        </w:rPr>
      </w:pPr>
      <w:r w:rsidRPr="307459A2">
        <w:rPr>
          <w:rFonts w:asciiTheme="minorBidi" w:hAnsiTheme="minorBidi"/>
          <w:sz w:val="22"/>
          <w:szCs w:val="22"/>
        </w:rPr>
        <w:t>To assess internal sources of competitive advantage, Porter’s Value Chain model is applied. The value chain identifies primary and support activities that contribute to value creation and differentiation (Porter, 1985). This framework helps determine whether Innocent’s internal capabilities align with its external positioning.</w:t>
      </w:r>
    </w:p>
    <w:p w14:paraId="4F0DE8CA" w14:textId="02C2371A" w:rsidR="008072B8" w:rsidRPr="00B70650" w:rsidRDefault="00C52DB5" w:rsidP="00B70650">
      <w:pPr>
        <w:spacing w:line="360" w:lineRule="auto"/>
        <w:jc w:val="center"/>
        <w:rPr>
          <w:rFonts w:asciiTheme="minorBidi" w:hAnsiTheme="minorBidi"/>
          <w:i/>
          <w:iCs/>
          <w:sz w:val="22"/>
          <w:szCs w:val="22"/>
        </w:rPr>
      </w:pPr>
      <w:r>
        <w:rPr>
          <w:noProof/>
        </w:rPr>
        <w:lastRenderedPageBreak/>
        <w:drawing>
          <wp:inline distT="0" distB="0" distL="0" distR="0" wp14:anchorId="25D2720B" wp14:editId="1B07C656">
            <wp:extent cx="5844526" cy="4772231"/>
            <wp:effectExtent l="0" t="0" r="4445" b="0"/>
            <wp:docPr id="127203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03533" name=""/>
                    <pic:cNvPicPr/>
                  </pic:nvPicPr>
                  <pic:blipFill>
                    <a:blip r:embed="rId17"/>
                    <a:stretch>
                      <a:fillRect/>
                    </a:stretch>
                  </pic:blipFill>
                  <pic:spPr>
                    <a:xfrm>
                      <a:off x="0" y="0"/>
                      <a:ext cx="5850463" cy="4777078"/>
                    </a:xfrm>
                    <a:prstGeom prst="rect">
                      <a:avLst/>
                    </a:prstGeom>
                  </pic:spPr>
                </pic:pic>
              </a:graphicData>
            </a:graphic>
          </wp:inline>
        </w:drawing>
      </w:r>
      <w:r w:rsidR="002014C4" w:rsidRPr="307459A2">
        <w:rPr>
          <w:rFonts w:asciiTheme="minorBidi" w:hAnsiTheme="minorBidi"/>
          <w:i/>
          <w:iCs/>
          <w:sz w:val="22"/>
          <w:szCs w:val="22"/>
        </w:rPr>
        <w:t>Table 5: Porter’s Value Chain Analysis of Innocent Drinks</w:t>
      </w:r>
    </w:p>
    <w:p w14:paraId="18C5FE45" w14:textId="77777777" w:rsidR="00E60DE1" w:rsidRDefault="00E60DE1" w:rsidP="00E60DE1">
      <w:pPr>
        <w:spacing w:line="360" w:lineRule="auto"/>
        <w:jc w:val="both"/>
        <w:rPr>
          <w:rFonts w:asciiTheme="minorBidi" w:hAnsiTheme="minorBidi"/>
          <w:sz w:val="22"/>
          <w:szCs w:val="22"/>
        </w:rPr>
      </w:pPr>
      <w:r w:rsidRPr="00E60DE1">
        <w:rPr>
          <w:rFonts w:asciiTheme="minorBidi" w:hAnsiTheme="minorBidi"/>
          <w:sz w:val="22"/>
          <w:szCs w:val="22"/>
        </w:rPr>
        <w:t>As shown in Table 5, Innocent’s competitive advantage is embedded in its ethical sourcing practices, sustainability-driven operations and distinctive brand communication, which can be considered valuable organisational resources that support sustained competitive advantage (Barney, 1991).</w:t>
      </w:r>
    </w:p>
    <w:p w14:paraId="0A606B52" w14:textId="7481206D" w:rsidR="00135B33" w:rsidRPr="00202B41" w:rsidRDefault="00202B41" w:rsidP="00E60DE1">
      <w:pPr>
        <w:spacing w:line="360" w:lineRule="auto"/>
        <w:jc w:val="both"/>
        <w:rPr>
          <w:rFonts w:asciiTheme="minorBidi" w:hAnsiTheme="minorBidi"/>
          <w:sz w:val="22"/>
          <w:szCs w:val="22"/>
        </w:rPr>
      </w:pPr>
      <w:r w:rsidRPr="00202B41">
        <w:rPr>
          <w:rFonts w:asciiTheme="minorBidi" w:hAnsiTheme="minorBidi"/>
          <w:sz w:val="22"/>
          <w:szCs w:val="22"/>
        </w:rPr>
        <w:t xml:space="preserve">Inbound logistics and procurement reflect the company’s commitment to responsible sourcing. Sustainable production processes align with its carbon reduction targets (Innocent Drinks, </w:t>
      </w:r>
      <w:r w:rsidR="006E2C19">
        <w:rPr>
          <w:rFonts w:asciiTheme="minorBidi" w:hAnsiTheme="minorBidi"/>
          <w:sz w:val="22"/>
          <w:szCs w:val="22"/>
        </w:rPr>
        <w:t>202</w:t>
      </w:r>
      <w:r w:rsidR="00135B33">
        <w:rPr>
          <w:rFonts w:asciiTheme="minorBidi" w:hAnsiTheme="minorBidi"/>
          <w:sz w:val="22"/>
          <w:szCs w:val="22"/>
        </w:rPr>
        <w:t>3</w:t>
      </w:r>
      <w:r w:rsidRPr="00202B41">
        <w:rPr>
          <w:rFonts w:asciiTheme="minorBidi" w:hAnsiTheme="minorBidi"/>
          <w:sz w:val="22"/>
          <w:szCs w:val="22"/>
        </w:rPr>
        <w:t>). Marketing activities emphasise transparency and authenticity, reinforcing differentiation in a crowded marketplace.</w:t>
      </w:r>
    </w:p>
    <w:p w14:paraId="2C580635"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Unlike cost-leadership competitors, Innocent’s value creation does not depend on minimising costs, but rather on enhancing perceived value through sustainability and trust (Porter, 1985). Support activities such as governance structures and B Corp certification further strengthen credibility.</w:t>
      </w:r>
    </w:p>
    <w:p w14:paraId="47F2F56C"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The value chain analysis confirms that Innocent’s internal capabilities are aligned with a differentiation strategy rooted in ethical practice.</w:t>
      </w:r>
    </w:p>
    <w:p w14:paraId="4C709A5B"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lastRenderedPageBreak/>
        <w:t>The combined PESTEL, Five Forces, SWOT, TOWS, and Value Chain analyses demonstrate that Innocent operates in a competitive and cost-sensitive market shaped by regulatory and environmental pressures. However, strong social demand for plant-based and ethically produced products provides clear growth potential. Crucially, the company’s internal capabilities support a differentiation strategy consistent with its mission and vision.</w:t>
      </w:r>
    </w:p>
    <w:p w14:paraId="16DE7412" w14:textId="77777777" w:rsidR="00202B41" w:rsidRPr="00202B41" w:rsidRDefault="00202B41" w:rsidP="000A7A2C">
      <w:pPr>
        <w:spacing w:line="360" w:lineRule="auto"/>
        <w:jc w:val="both"/>
        <w:rPr>
          <w:rFonts w:asciiTheme="minorBidi" w:hAnsiTheme="minorBidi"/>
          <w:sz w:val="22"/>
          <w:szCs w:val="22"/>
        </w:rPr>
      </w:pPr>
      <w:r w:rsidRPr="00202B41">
        <w:rPr>
          <w:rFonts w:asciiTheme="minorBidi" w:hAnsiTheme="minorBidi"/>
          <w:sz w:val="22"/>
          <w:szCs w:val="22"/>
        </w:rPr>
        <w:t>These findings provide the analytical foundation for the strategic growth options presented in the following section.</w:t>
      </w:r>
    </w:p>
    <w:p w14:paraId="043DD6CF" w14:textId="49B30838" w:rsidR="006D1475" w:rsidRPr="00A5289A" w:rsidRDefault="7FCD3C7E" w:rsidP="307459A2">
      <w:pPr>
        <w:pStyle w:val="Heading1"/>
        <w:rPr>
          <w:rFonts w:asciiTheme="minorBidi" w:hAnsiTheme="minorBidi" w:cstheme="minorBidi"/>
          <w:b/>
          <w:bCs/>
          <w:sz w:val="36"/>
          <w:szCs w:val="36"/>
        </w:rPr>
      </w:pPr>
      <w:bookmarkStart w:id="9" w:name="_Toc224157058"/>
      <w:r w:rsidRPr="307459A2">
        <w:rPr>
          <w:rFonts w:asciiTheme="minorBidi" w:hAnsiTheme="minorBidi" w:cstheme="minorBidi"/>
          <w:b/>
          <w:bCs/>
          <w:sz w:val="36"/>
          <w:szCs w:val="36"/>
        </w:rPr>
        <w:t>3</w:t>
      </w:r>
      <w:r w:rsidR="006D1475" w:rsidRPr="307459A2">
        <w:rPr>
          <w:rFonts w:asciiTheme="minorBidi" w:hAnsiTheme="minorBidi" w:cstheme="minorBidi"/>
          <w:b/>
          <w:bCs/>
          <w:sz w:val="36"/>
          <w:szCs w:val="36"/>
        </w:rPr>
        <w:t>. Strategic Growth Options and Proposed Strategy</w:t>
      </w:r>
      <w:bookmarkEnd w:id="9"/>
    </w:p>
    <w:p w14:paraId="53666AD6" w14:textId="743F8FD3"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 xml:space="preserve">Building on the findings of the environmental and internal analyses, this section formulates strategic growth options for Innocent Drinks. The objective is to identify a growth direction that is commercially viable while remaining fully aligned with the company’s mission </w:t>
      </w:r>
      <w:r w:rsidRPr="006D1475">
        <w:rPr>
          <w:rFonts w:asciiTheme="minorBidi" w:hAnsiTheme="minorBidi"/>
          <w:i/>
          <w:iCs/>
          <w:sz w:val="22"/>
          <w:szCs w:val="22"/>
        </w:rPr>
        <w:t>“to make natural, delicious food and drink that helps people live well and die old”</w:t>
      </w:r>
      <w:r w:rsidRPr="006D1475">
        <w:rPr>
          <w:rFonts w:asciiTheme="minorBidi" w:hAnsiTheme="minorBidi"/>
          <w:sz w:val="22"/>
          <w:szCs w:val="22"/>
        </w:rPr>
        <w:t xml:space="preserve"> and its </w:t>
      </w:r>
      <w:r w:rsidR="002014C4" w:rsidRPr="006D1475">
        <w:rPr>
          <w:rFonts w:asciiTheme="minorBidi" w:hAnsiTheme="minorBidi"/>
          <w:sz w:val="22"/>
          <w:szCs w:val="22"/>
        </w:rPr>
        <w:t>vision “</w:t>
      </w:r>
      <w:r w:rsidRPr="006D1475">
        <w:rPr>
          <w:rFonts w:asciiTheme="minorBidi" w:hAnsiTheme="minorBidi"/>
          <w:i/>
          <w:iCs/>
          <w:sz w:val="22"/>
          <w:szCs w:val="22"/>
        </w:rPr>
        <w:t>to leave things better than we found them.”</w:t>
      </w:r>
    </w:p>
    <w:p w14:paraId="79399ECC" w14:textId="6FC89F02" w:rsidR="307459A2" w:rsidRDefault="006D1475" w:rsidP="00B70650">
      <w:pPr>
        <w:spacing w:line="360" w:lineRule="auto"/>
        <w:jc w:val="both"/>
        <w:rPr>
          <w:rFonts w:asciiTheme="minorBidi" w:hAnsiTheme="minorBidi"/>
          <w:sz w:val="22"/>
          <w:szCs w:val="22"/>
        </w:rPr>
      </w:pPr>
      <w:r w:rsidRPr="307459A2">
        <w:rPr>
          <w:rFonts w:asciiTheme="minorBidi" w:hAnsiTheme="minorBidi"/>
          <w:sz w:val="22"/>
          <w:szCs w:val="22"/>
        </w:rPr>
        <w:t>To structure the strategic formulation process, Porter’s Generic Strategies and the Ansoff Matrix are applied.</w:t>
      </w:r>
    </w:p>
    <w:p w14:paraId="3F8A4B4E" w14:textId="6D59D7A0" w:rsidR="006D1475" w:rsidRPr="006D1475" w:rsidRDefault="0ACB4535" w:rsidP="307459A2">
      <w:pPr>
        <w:pStyle w:val="Heading2"/>
        <w:rPr>
          <w:rFonts w:ascii="Arial" w:eastAsia="Arial" w:hAnsi="Arial" w:cs="Arial"/>
        </w:rPr>
      </w:pPr>
      <w:bookmarkStart w:id="10" w:name="_Toc224157059"/>
      <w:r w:rsidRPr="307459A2">
        <w:rPr>
          <w:rFonts w:ascii="Arial" w:eastAsia="Arial" w:hAnsi="Arial" w:cs="Arial"/>
        </w:rPr>
        <w:t>3</w:t>
      </w:r>
      <w:r w:rsidR="006D1475" w:rsidRPr="307459A2">
        <w:rPr>
          <w:rFonts w:ascii="Arial" w:eastAsia="Arial" w:hAnsi="Arial" w:cs="Arial"/>
        </w:rPr>
        <w:t>.1 Porter’s Generic Strategy</w:t>
      </w:r>
      <w:bookmarkEnd w:id="10"/>
    </w:p>
    <w:p w14:paraId="07A3E8F8" w14:textId="457D7FDF" w:rsidR="006D1475" w:rsidRPr="002014C4"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Porter’s Generic Strategies framework identifies three broad strategic positioning options through which firms can achieve competitive advantage: Cost Leadership, Differentiation, and Focus (Porter, 1985). The model helps determine how a firm competes within its industry.</w:t>
      </w:r>
    </w:p>
    <w:p w14:paraId="517F5AEF" w14:textId="7E890344" w:rsidR="002014C4" w:rsidRPr="00B70650" w:rsidRDefault="001F3F3E" w:rsidP="00B70650">
      <w:pPr>
        <w:spacing w:line="360" w:lineRule="auto"/>
        <w:jc w:val="center"/>
        <w:rPr>
          <w:rFonts w:asciiTheme="minorBidi" w:hAnsiTheme="minorBidi"/>
          <w:i/>
          <w:iCs/>
          <w:sz w:val="22"/>
          <w:szCs w:val="22"/>
        </w:rPr>
      </w:pPr>
      <w:r>
        <w:rPr>
          <w:noProof/>
        </w:rPr>
        <w:drawing>
          <wp:inline distT="0" distB="0" distL="0" distR="0" wp14:anchorId="030BB941" wp14:editId="0C440342">
            <wp:extent cx="5884254" cy="1839074"/>
            <wp:effectExtent l="0" t="0" r="2540" b="8890"/>
            <wp:docPr id="1167837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37617" name=""/>
                    <pic:cNvPicPr/>
                  </pic:nvPicPr>
                  <pic:blipFill>
                    <a:blip r:embed="rId18"/>
                    <a:stretch>
                      <a:fillRect/>
                    </a:stretch>
                  </pic:blipFill>
                  <pic:spPr>
                    <a:xfrm>
                      <a:off x="0" y="0"/>
                      <a:ext cx="5885480" cy="1839457"/>
                    </a:xfrm>
                    <a:prstGeom prst="rect">
                      <a:avLst/>
                    </a:prstGeom>
                  </pic:spPr>
                </pic:pic>
              </a:graphicData>
            </a:graphic>
          </wp:inline>
        </w:drawing>
      </w:r>
      <w:r w:rsidR="002014C4" w:rsidRPr="001F3F3E">
        <w:rPr>
          <w:rFonts w:asciiTheme="minorBidi" w:hAnsiTheme="minorBidi"/>
          <w:i/>
          <w:iCs/>
          <w:sz w:val="22"/>
          <w:szCs w:val="22"/>
        </w:rPr>
        <w:t>Table 6: Application of Porter’s Generic Strategies to Innocent Drinks</w:t>
      </w:r>
    </w:p>
    <w:p w14:paraId="64E9978F" w14:textId="7A9F6F57" w:rsidR="006D1475" w:rsidRPr="006D1475" w:rsidRDefault="006D1475" w:rsidP="000A7A2C">
      <w:pPr>
        <w:spacing w:line="360" w:lineRule="auto"/>
        <w:jc w:val="both"/>
        <w:rPr>
          <w:rFonts w:asciiTheme="minorBidi" w:hAnsiTheme="minorBidi"/>
          <w:sz w:val="22"/>
          <w:szCs w:val="22"/>
        </w:rPr>
      </w:pPr>
      <w:r w:rsidRPr="001F3F3E">
        <w:rPr>
          <w:rFonts w:asciiTheme="minorBidi" w:hAnsiTheme="minorBidi"/>
          <w:sz w:val="22"/>
          <w:szCs w:val="22"/>
        </w:rPr>
        <w:t>As shown in Table 6,</w:t>
      </w:r>
      <w:r w:rsidRPr="006D1475">
        <w:rPr>
          <w:rFonts w:asciiTheme="minorBidi" w:hAnsiTheme="minorBidi"/>
          <w:sz w:val="22"/>
          <w:szCs w:val="22"/>
        </w:rPr>
        <w:t xml:space="preserve"> Cost Leadership would not be suitable for Innocent. Competing primarily on price would require cost reduction measures that may undermine ethical sourcing standards and sustainability investments. This would conflict directly with the company’s mission and B Corp commitments.</w:t>
      </w:r>
    </w:p>
    <w:p w14:paraId="7068269B" w14:textId="77777777"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lastRenderedPageBreak/>
        <w:t>Broad Differentiation could be considered; however, expanding too widely may dilute Innocent’s niche identity within the health-conscious segment.</w:t>
      </w:r>
    </w:p>
    <w:p w14:paraId="669E0A75" w14:textId="77777777"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 xml:space="preserve">The most appropriate positioning is </w:t>
      </w:r>
      <w:r w:rsidRPr="002014C4">
        <w:rPr>
          <w:rFonts w:asciiTheme="minorBidi" w:hAnsiTheme="minorBidi"/>
          <w:sz w:val="22"/>
          <w:szCs w:val="22"/>
        </w:rPr>
        <w:t>Focused Differentiation</w:t>
      </w:r>
      <w:r w:rsidRPr="006D1475">
        <w:rPr>
          <w:rFonts w:asciiTheme="minorBidi" w:hAnsiTheme="minorBidi"/>
          <w:sz w:val="22"/>
          <w:szCs w:val="22"/>
        </w:rPr>
        <w:t>. Innocent targets health-aware and ethically motivated consumers who are willing to pay a premium for sustainability, transparency, and natural ingredients. According to Porter (1985), focused differentiation allows firms to serve a specific segment more effectively than competitors. This approach is fully aligned with Innocent’s mission and vision, as it prioritises long-term wellbeing and environmental responsibility over price competition.</w:t>
      </w:r>
    </w:p>
    <w:p w14:paraId="0BA0A205" w14:textId="694F3C11" w:rsidR="307459A2" w:rsidRDefault="006D1475" w:rsidP="00B70650">
      <w:pPr>
        <w:spacing w:line="360" w:lineRule="auto"/>
        <w:jc w:val="both"/>
        <w:rPr>
          <w:rFonts w:asciiTheme="minorBidi" w:hAnsiTheme="minorBidi"/>
          <w:sz w:val="22"/>
          <w:szCs w:val="22"/>
        </w:rPr>
      </w:pPr>
      <w:r w:rsidRPr="307459A2">
        <w:rPr>
          <w:rFonts w:asciiTheme="minorBidi" w:hAnsiTheme="minorBidi"/>
          <w:sz w:val="22"/>
          <w:szCs w:val="22"/>
        </w:rPr>
        <w:t>Having established the competitive positioning, the next step is to determine the appropriate direction for growth.</w:t>
      </w:r>
    </w:p>
    <w:p w14:paraId="3D740EB7" w14:textId="51A601CB" w:rsidR="006D1475" w:rsidRPr="006D1475" w:rsidRDefault="39FFBB5A" w:rsidP="307459A2">
      <w:pPr>
        <w:pStyle w:val="Heading2"/>
        <w:rPr>
          <w:rFonts w:ascii="Arial" w:eastAsia="Arial" w:hAnsi="Arial" w:cs="Arial"/>
        </w:rPr>
      </w:pPr>
      <w:bookmarkStart w:id="11" w:name="_Toc224157060"/>
      <w:r w:rsidRPr="307459A2">
        <w:rPr>
          <w:rFonts w:ascii="Arial" w:eastAsia="Arial" w:hAnsi="Arial" w:cs="Arial"/>
        </w:rPr>
        <w:t>3</w:t>
      </w:r>
      <w:r w:rsidR="006D1475" w:rsidRPr="307459A2">
        <w:rPr>
          <w:rFonts w:ascii="Arial" w:eastAsia="Arial" w:hAnsi="Arial" w:cs="Arial"/>
        </w:rPr>
        <w:t>.2 Ansoff Matrix</w:t>
      </w:r>
      <w:bookmarkEnd w:id="11"/>
    </w:p>
    <w:p w14:paraId="366FED1F" w14:textId="6E163262" w:rsid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The Ansoff Matrix identifies four growth strategies based on products (existing or new) and markets (existing or new): Market Penetration, Product Development, Market Development, and Diversification (Ansoff, 19</w:t>
      </w:r>
      <w:r w:rsidR="00D7079E">
        <w:rPr>
          <w:rFonts w:asciiTheme="minorBidi" w:hAnsiTheme="minorBidi"/>
          <w:sz w:val="22"/>
          <w:szCs w:val="22"/>
        </w:rPr>
        <w:t>5</w:t>
      </w:r>
      <w:r w:rsidRPr="006D1475">
        <w:rPr>
          <w:rFonts w:asciiTheme="minorBidi" w:hAnsiTheme="minorBidi"/>
          <w:sz w:val="22"/>
          <w:szCs w:val="22"/>
        </w:rPr>
        <w:t>7). This framework helps assess risk levels associated with expansion.</w:t>
      </w:r>
    </w:p>
    <w:p w14:paraId="6BB46949" w14:textId="5FEC69D4" w:rsidR="006B3619" w:rsidRPr="00B70650" w:rsidRDefault="001F3F3E" w:rsidP="00B70650">
      <w:pPr>
        <w:spacing w:line="360" w:lineRule="auto"/>
        <w:jc w:val="center"/>
        <w:rPr>
          <w:rFonts w:asciiTheme="minorBidi" w:hAnsiTheme="minorBidi"/>
          <w:i/>
          <w:iCs/>
          <w:sz w:val="22"/>
          <w:szCs w:val="22"/>
        </w:rPr>
      </w:pPr>
      <w:r>
        <w:rPr>
          <w:noProof/>
        </w:rPr>
        <w:drawing>
          <wp:inline distT="0" distB="0" distL="0" distR="0" wp14:anchorId="0258868E" wp14:editId="2A870C6B">
            <wp:extent cx="5935218" cy="2352782"/>
            <wp:effectExtent l="0" t="0" r="8890" b="0"/>
            <wp:docPr id="433069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69408" name=""/>
                    <pic:cNvPicPr/>
                  </pic:nvPicPr>
                  <pic:blipFill>
                    <a:blip r:embed="rId19"/>
                    <a:stretch>
                      <a:fillRect/>
                    </a:stretch>
                  </pic:blipFill>
                  <pic:spPr>
                    <a:xfrm>
                      <a:off x="0" y="0"/>
                      <a:ext cx="5945522" cy="2356867"/>
                    </a:xfrm>
                    <a:prstGeom prst="rect">
                      <a:avLst/>
                    </a:prstGeom>
                  </pic:spPr>
                </pic:pic>
              </a:graphicData>
            </a:graphic>
          </wp:inline>
        </w:drawing>
      </w:r>
      <w:r w:rsidR="002014C4" w:rsidRPr="307459A2">
        <w:rPr>
          <w:rFonts w:asciiTheme="minorBidi" w:hAnsiTheme="minorBidi"/>
          <w:i/>
          <w:iCs/>
          <w:sz w:val="22"/>
          <w:szCs w:val="22"/>
        </w:rPr>
        <w:t>Table 7: Ansoff Matrix Applied to Innocent Drinks</w:t>
      </w:r>
    </w:p>
    <w:p w14:paraId="4BE06FE2" w14:textId="77777777" w:rsidR="00B70650" w:rsidRDefault="00B70650" w:rsidP="000A7A2C">
      <w:pPr>
        <w:spacing w:line="360" w:lineRule="auto"/>
        <w:jc w:val="both"/>
        <w:rPr>
          <w:rFonts w:asciiTheme="minorBidi" w:hAnsiTheme="minorBidi"/>
          <w:sz w:val="22"/>
          <w:szCs w:val="22"/>
        </w:rPr>
      </w:pPr>
    </w:p>
    <w:p w14:paraId="73043013" w14:textId="0BA4C9DA"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 xml:space="preserve">As </w:t>
      </w:r>
      <w:r w:rsidRPr="001F3F3E">
        <w:rPr>
          <w:rFonts w:asciiTheme="minorBidi" w:hAnsiTheme="minorBidi"/>
          <w:sz w:val="22"/>
          <w:szCs w:val="22"/>
        </w:rPr>
        <w:t>shown in Table 7, Market</w:t>
      </w:r>
      <w:r w:rsidRPr="006D1475">
        <w:rPr>
          <w:rFonts w:asciiTheme="minorBidi" w:hAnsiTheme="minorBidi"/>
          <w:sz w:val="22"/>
          <w:szCs w:val="22"/>
        </w:rPr>
        <w:t xml:space="preserve"> Penetration offers limited growth potential due to market maturity. Diversification into unrelated sectors would carry high risk and may weaken brand coherence.</w:t>
      </w:r>
    </w:p>
    <w:p w14:paraId="02B54BCE" w14:textId="77777777" w:rsidR="006D1475" w:rsidRPr="001F3F3E"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 xml:space="preserve">The most appropriate growth direction is a </w:t>
      </w:r>
      <w:r w:rsidRPr="001F3F3E">
        <w:rPr>
          <w:rFonts w:asciiTheme="minorBidi" w:hAnsiTheme="minorBidi"/>
          <w:sz w:val="22"/>
          <w:szCs w:val="22"/>
        </w:rPr>
        <w:t>combination of Product Development and Market Development.</w:t>
      </w:r>
    </w:p>
    <w:p w14:paraId="0029DDE7" w14:textId="6B5E7D3D"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 xml:space="preserve">Product Development would involve expanding into adjacent plant-based snack or functional health categories. This builds on Innocent’s strength in natural ingredients and supports social </w:t>
      </w:r>
      <w:r w:rsidRPr="006D1475">
        <w:rPr>
          <w:rFonts w:asciiTheme="minorBidi" w:hAnsiTheme="minorBidi"/>
          <w:sz w:val="22"/>
          <w:szCs w:val="22"/>
        </w:rPr>
        <w:lastRenderedPageBreak/>
        <w:t>trends toward plant-based consumption (Statista, 2023). Importantly, such expansion aligns directly with the mission of promoting healthy living.</w:t>
      </w:r>
    </w:p>
    <w:p w14:paraId="6132A602" w14:textId="77777777"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Market Development involves expanding into selected international markets where demand for sustainable and health-oriented products is growing. This supports revenue diversification while maintaining brand positioning.</w:t>
      </w:r>
    </w:p>
    <w:p w14:paraId="6F178950" w14:textId="77777777" w:rsidR="006D1475" w:rsidRPr="006D1475" w:rsidRDefault="006D1475" w:rsidP="000A7A2C">
      <w:pPr>
        <w:spacing w:line="360" w:lineRule="auto"/>
        <w:jc w:val="both"/>
        <w:rPr>
          <w:rFonts w:asciiTheme="minorBidi" w:hAnsiTheme="minorBidi"/>
          <w:sz w:val="22"/>
          <w:szCs w:val="22"/>
        </w:rPr>
      </w:pPr>
      <w:r w:rsidRPr="006D1475">
        <w:rPr>
          <w:rFonts w:asciiTheme="minorBidi" w:hAnsiTheme="minorBidi"/>
          <w:sz w:val="22"/>
          <w:szCs w:val="22"/>
        </w:rPr>
        <w:t>This hybrid strategy preserves Innocent’s ethical identity while enabling controlled growth. It does not compromise sustainability commitments and remains consistent with its vision of leaving a positive environmental impact.</w:t>
      </w:r>
    </w:p>
    <w:p w14:paraId="559385F0" w14:textId="6753EDC2" w:rsidR="00E61A78" w:rsidRPr="00A5289A" w:rsidRDefault="06D63AD5" w:rsidP="307459A2">
      <w:pPr>
        <w:pStyle w:val="Heading1"/>
        <w:rPr>
          <w:rFonts w:asciiTheme="minorBidi" w:hAnsiTheme="minorBidi" w:cstheme="minorBidi"/>
          <w:b/>
          <w:bCs/>
          <w:sz w:val="36"/>
          <w:szCs w:val="36"/>
        </w:rPr>
      </w:pPr>
      <w:bookmarkStart w:id="12" w:name="_Toc224157061"/>
      <w:r w:rsidRPr="307459A2">
        <w:rPr>
          <w:rFonts w:asciiTheme="minorBidi" w:hAnsiTheme="minorBidi" w:cstheme="minorBidi"/>
          <w:b/>
          <w:bCs/>
          <w:sz w:val="36"/>
          <w:szCs w:val="36"/>
        </w:rPr>
        <w:t>4</w:t>
      </w:r>
      <w:r w:rsidR="00E61A78" w:rsidRPr="307459A2">
        <w:rPr>
          <w:rFonts w:asciiTheme="minorBidi" w:hAnsiTheme="minorBidi" w:cstheme="minorBidi"/>
          <w:b/>
          <w:bCs/>
          <w:sz w:val="36"/>
          <w:szCs w:val="36"/>
        </w:rPr>
        <w:t>. Strategy Evaluation</w:t>
      </w:r>
      <w:bookmarkEnd w:id="12"/>
    </w:p>
    <w:p w14:paraId="00E31E4D" w14:textId="77777777" w:rsidR="00B70650" w:rsidRDefault="00E61A78" w:rsidP="00B70650">
      <w:pPr>
        <w:spacing w:line="360" w:lineRule="auto"/>
        <w:jc w:val="both"/>
        <w:rPr>
          <w:rFonts w:asciiTheme="minorBidi" w:hAnsiTheme="minorBidi"/>
          <w:sz w:val="22"/>
          <w:szCs w:val="22"/>
        </w:rPr>
      </w:pPr>
      <w:r w:rsidRPr="00E61A78">
        <w:rPr>
          <w:rFonts w:asciiTheme="minorBidi" w:hAnsiTheme="minorBidi"/>
          <w:sz w:val="22"/>
          <w:szCs w:val="22"/>
        </w:rPr>
        <w:t xml:space="preserve">Following the identification of potential growth pathways in Section 4, it is necessary to evaluate the strategic alternatives in a structured and systematic manner. While the hybrid strategy combining Product Development and Market Development appears aligned with Innocent’s mission and vision, a comparative assessment is required to determine whether it represents the most appropriate option. The Suitability, Feasibility and Acceptability framework is therefore applied </w:t>
      </w:r>
      <w:r w:rsidR="00A22763" w:rsidRPr="00A22763">
        <w:rPr>
          <w:rFonts w:asciiTheme="minorBidi" w:hAnsiTheme="minorBidi"/>
          <w:sz w:val="22"/>
          <w:szCs w:val="22"/>
        </w:rPr>
        <w:t>(Johnson et al., 2022)</w:t>
      </w:r>
      <w:r w:rsidR="00A22763">
        <w:rPr>
          <w:rFonts w:asciiTheme="minorBidi" w:hAnsiTheme="minorBidi"/>
          <w:sz w:val="22"/>
          <w:szCs w:val="22"/>
        </w:rPr>
        <w:t>.</w:t>
      </w:r>
    </w:p>
    <w:p w14:paraId="1401881C" w14:textId="2942C097" w:rsidR="00E61A78" w:rsidRPr="00E61A78" w:rsidRDefault="00E61A78" w:rsidP="00B70650">
      <w:pPr>
        <w:spacing w:line="360" w:lineRule="auto"/>
        <w:jc w:val="both"/>
        <w:rPr>
          <w:rFonts w:asciiTheme="minorBidi" w:hAnsiTheme="minorBidi"/>
          <w:sz w:val="22"/>
          <w:szCs w:val="22"/>
        </w:rPr>
      </w:pPr>
      <w:r w:rsidRPr="00E61A78">
        <w:rPr>
          <w:rFonts w:asciiTheme="minorBidi" w:hAnsiTheme="minorBidi"/>
          <w:sz w:val="22"/>
          <w:szCs w:val="22"/>
        </w:rPr>
        <w:t>Three strategic options are assessed:</w:t>
      </w:r>
    </w:p>
    <w:p w14:paraId="19CF4EB3" w14:textId="77777777" w:rsidR="00E61A78" w:rsidRDefault="00E61A78" w:rsidP="000A7A2C">
      <w:pPr>
        <w:numPr>
          <w:ilvl w:val="0"/>
          <w:numId w:val="3"/>
        </w:numPr>
        <w:spacing w:line="360" w:lineRule="auto"/>
        <w:jc w:val="both"/>
        <w:rPr>
          <w:rFonts w:asciiTheme="minorBidi" w:hAnsiTheme="minorBidi"/>
          <w:sz w:val="22"/>
          <w:szCs w:val="22"/>
        </w:rPr>
      </w:pPr>
      <w:r w:rsidRPr="00E61A78">
        <w:rPr>
          <w:rFonts w:asciiTheme="minorBidi" w:hAnsiTheme="minorBidi"/>
          <w:sz w:val="22"/>
          <w:szCs w:val="22"/>
        </w:rPr>
        <w:t>Market Penetration</w:t>
      </w:r>
    </w:p>
    <w:p w14:paraId="410AE92B" w14:textId="77777777" w:rsidR="00E61A78" w:rsidRPr="00E61A78" w:rsidRDefault="00E61A78" w:rsidP="000A7A2C">
      <w:pPr>
        <w:numPr>
          <w:ilvl w:val="0"/>
          <w:numId w:val="3"/>
        </w:numPr>
        <w:spacing w:line="360" w:lineRule="auto"/>
        <w:jc w:val="both"/>
        <w:rPr>
          <w:rFonts w:asciiTheme="minorBidi" w:hAnsiTheme="minorBidi"/>
          <w:sz w:val="22"/>
          <w:szCs w:val="22"/>
        </w:rPr>
      </w:pPr>
      <w:r w:rsidRPr="00E61A78">
        <w:rPr>
          <w:rFonts w:asciiTheme="minorBidi" w:hAnsiTheme="minorBidi"/>
          <w:sz w:val="22"/>
          <w:szCs w:val="22"/>
        </w:rPr>
        <w:t>Product Development</w:t>
      </w:r>
    </w:p>
    <w:p w14:paraId="6070A7C8" w14:textId="7396168F" w:rsidR="00B70650" w:rsidRPr="00B70650" w:rsidRDefault="00E61A78" w:rsidP="00B70650">
      <w:pPr>
        <w:numPr>
          <w:ilvl w:val="0"/>
          <w:numId w:val="3"/>
        </w:numPr>
        <w:spacing w:line="360" w:lineRule="auto"/>
        <w:jc w:val="both"/>
        <w:rPr>
          <w:rFonts w:asciiTheme="minorBidi" w:hAnsiTheme="minorBidi"/>
          <w:sz w:val="22"/>
          <w:szCs w:val="22"/>
        </w:rPr>
      </w:pPr>
      <w:r w:rsidRPr="00E61A78">
        <w:rPr>
          <w:rFonts w:asciiTheme="minorBidi" w:hAnsiTheme="minorBidi"/>
          <w:sz w:val="22"/>
          <w:szCs w:val="22"/>
        </w:rPr>
        <w:t>Hybrid Strategy (Product Development and Market Development)</w:t>
      </w:r>
    </w:p>
    <w:p w14:paraId="0AF1E1EE" w14:textId="74333C24" w:rsidR="00E61A78" w:rsidRPr="00E6463A" w:rsidRDefault="5E36C7E2" w:rsidP="307459A2">
      <w:pPr>
        <w:pStyle w:val="Heading2"/>
        <w:rPr>
          <w:rFonts w:ascii="Arial" w:eastAsia="Arial" w:hAnsi="Arial" w:cs="Arial"/>
        </w:rPr>
      </w:pPr>
      <w:bookmarkStart w:id="13" w:name="_Toc224157062"/>
      <w:r w:rsidRPr="307459A2">
        <w:rPr>
          <w:rFonts w:ascii="Arial" w:eastAsia="Arial" w:hAnsi="Arial" w:cs="Arial"/>
        </w:rPr>
        <w:lastRenderedPageBreak/>
        <w:t>4</w:t>
      </w:r>
      <w:r w:rsidR="00E61A78" w:rsidRPr="307459A2">
        <w:rPr>
          <w:rFonts w:ascii="Arial" w:eastAsia="Arial" w:hAnsi="Arial" w:cs="Arial"/>
        </w:rPr>
        <w:t>.1 SFA Matrix</w:t>
      </w:r>
      <w:bookmarkEnd w:id="13"/>
    </w:p>
    <w:p w14:paraId="05053DB5" w14:textId="2EAF48AA" w:rsidR="00C30078" w:rsidRPr="006B3619" w:rsidRDefault="00E6463A" w:rsidP="00B70650">
      <w:pPr>
        <w:spacing w:line="360" w:lineRule="auto"/>
        <w:jc w:val="center"/>
        <w:rPr>
          <w:rFonts w:asciiTheme="minorBidi" w:hAnsiTheme="minorBidi"/>
          <w:i/>
          <w:iCs/>
          <w:sz w:val="22"/>
          <w:szCs w:val="22"/>
        </w:rPr>
      </w:pPr>
      <w:r>
        <w:rPr>
          <w:noProof/>
        </w:rPr>
        <w:drawing>
          <wp:inline distT="0" distB="0" distL="0" distR="0" wp14:anchorId="61F900E8" wp14:editId="5CF6EA39">
            <wp:extent cx="5979066" cy="7048666"/>
            <wp:effectExtent l="0" t="0" r="3175" b="0"/>
            <wp:docPr id="2143311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311190" name=""/>
                    <pic:cNvPicPr/>
                  </pic:nvPicPr>
                  <pic:blipFill>
                    <a:blip r:embed="rId20"/>
                    <a:stretch>
                      <a:fillRect/>
                    </a:stretch>
                  </pic:blipFill>
                  <pic:spPr>
                    <a:xfrm>
                      <a:off x="0" y="0"/>
                      <a:ext cx="5995248" cy="7067743"/>
                    </a:xfrm>
                    <a:prstGeom prst="rect">
                      <a:avLst/>
                    </a:prstGeom>
                  </pic:spPr>
                </pic:pic>
              </a:graphicData>
            </a:graphic>
          </wp:inline>
        </w:drawing>
      </w:r>
      <w:r w:rsidR="006B3619" w:rsidRPr="006B3619">
        <w:rPr>
          <w:rFonts w:asciiTheme="minorBidi" w:hAnsiTheme="minorBidi"/>
          <w:i/>
          <w:iCs/>
          <w:sz w:val="22"/>
          <w:szCs w:val="22"/>
        </w:rPr>
        <w:t>Table 8: SFA Evaluation of Strategic Options</w:t>
      </w:r>
    </w:p>
    <w:p w14:paraId="1C2F5EF3" w14:textId="5459685B" w:rsidR="00E61A78" w:rsidRPr="00C30078" w:rsidRDefault="00E61A78" w:rsidP="00C30078">
      <w:pPr>
        <w:spacing w:line="360" w:lineRule="auto"/>
        <w:jc w:val="both"/>
        <w:rPr>
          <w:rFonts w:asciiTheme="minorBidi" w:hAnsiTheme="minorBidi"/>
          <w:b/>
          <w:bCs/>
          <w:sz w:val="22"/>
          <w:szCs w:val="22"/>
        </w:rPr>
      </w:pPr>
      <w:r w:rsidRPr="00C30078">
        <w:rPr>
          <w:rFonts w:asciiTheme="minorBidi" w:hAnsiTheme="minorBidi"/>
          <w:b/>
          <w:bCs/>
          <w:sz w:val="22"/>
          <w:szCs w:val="22"/>
        </w:rPr>
        <w:t>Evaluation</w:t>
      </w:r>
    </w:p>
    <w:p w14:paraId="03954164" w14:textId="0BA0EBD2" w:rsidR="00E61A78" w:rsidRPr="000A7A2C" w:rsidRDefault="00E61A78" w:rsidP="00B60FA6">
      <w:pPr>
        <w:spacing w:line="360" w:lineRule="auto"/>
        <w:jc w:val="both"/>
        <w:rPr>
          <w:rFonts w:asciiTheme="minorBidi" w:hAnsiTheme="minorBidi"/>
          <w:sz w:val="22"/>
          <w:szCs w:val="22"/>
        </w:rPr>
      </w:pPr>
      <w:r w:rsidRPr="000A7A2C">
        <w:rPr>
          <w:rFonts w:asciiTheme="minorBidi" w:hAnsiTheme="minorBidi"/>
          <w:sz w:val="22"/>
          <w:szCs w:val="22"/>
        </w:rPr>
        <w:t xml:space="preserve">In terms of suitability, market penetration offers limited strategic value within a saturated UK market and does not reduce dependence on the existing product portfolio (Euromonitor, 2023). Product development demonstrates stronger alignment with plant-based demand and </w:t>
      </w:r>
      <w:r w:rsidRPr="000A7A2C">
        <w:rPr>
          <w:rFonts w:asciiTheme="minorBidi" w:hAnsiTheme="minorBidi"/>
          <w:sz w:val="22"/>
          <w:szCs w:val="22"/>
        </w:rPr>
        <w:lastRenderedPageBreak/>
        <w:t>supports extension of the healthy product offering. The hybrid strategy performs most strongly across all suitability dimensions, as it addresses domestic market maturity, reduces product concentration, and extends Innocent’s mission internationally.</w:t>
      </w:r>
    </w:p>
    <w:p w14:paraId="0FA954CA" w14:textId="78975D82" w:rsidR="00E61A78" w:rsidRPr="000A7A2C" w:rsidRDefault="00E61A78" w:rsidP="00A22763">
      <w:pPr>
        <w:spacing w:line="360" w:lineRule="auto"/>
        <w:jc w:val="both"/>
        <w:rPr>
          <w:rFonts w:asciiTheme="minorBidi" w:hAnsiTheme="minorBidi"/>
          <w:sz w:val="22"/>
          <w:szCs w:val="22"/>
        </w:rPr>
      </w:pPr>
      <w:r w:rsidRPr="000A7A2C">
        <w:rPr>
          <w:rFonts w:asciiTheme="minorBidi" w:hAnsiTheme="minorBidi"/>
          <w:sz w:val="22"/>
          <w:szCs w:val="22"/>
        </w:rPr>
        <w:t>Regarding feasibility, market penetration requires minimal financial investment and relies on existing systems. Product development requires moderate investment in research, sourcing, and marketing capabilities. The hybrid strategy increases resource requirements and operational coordination, particularly in supply chain scaling and market entry. However, phased implementation improves manageability. Feasibility ultimately depends on aligning strategic ambition with organisational capability (</w:t>
      </w:r>
      <w:r w:rsidR="00A22763" w:rsidRPr="00A22763">
        <w:rPr>
          <w:rFonts w:asciiTheme="minorBidi" w:hAnsiTheme="minorBidi"/>
          <w:sz w:val="22"/>
          <w:szCs w:val="22"/>
        </w:rPr>
        <w:t>Johnson et al., 2022)</w:t>
      </w:r>
      <w:r w:rsidR="00A22763">
        <w:rPr>
          <w:rFonts w:asciiTheme="minorBidi" w:hAnsiTheme="minorBidi"/>
          <w:sz w:val="22"/>
          <w:szCs w:val="22"/>
        </w:rPr>
        <w:t>.</w:t>
      </w:r>
    </w:p>
    <w:p w14:paraId="6E26779C" w14:textId="77777777" w:rsidR="00E61A78" w:rsidRPr="000A7A2C" w:rsidRDefault="00E61A78" w:rsidP="00C30078">
      <w:pPr>
        <w:spacing w:line="360" w:lineRule="auto"/>
        <w:jc w:val="both"/>
        <w:rPr>
          <w:rFonts w:asciiTheme="minorBidi" w:hAnsiTheme="minorBidi"/>
          <w:sz w:val="22"/>
          <w:szCs w:val="22"/>
        </w:rPr>
      </w:pPr>
      <w:r w:rsidRPr="000A7A2C">
        <w:rPr>
          <w:rFonts w:asciiTheme="minorBidi" w:hAnsiTheme="minorBidi"/>
          <w:sz w:val="22"/>
          <w:szCs w:val="22"/>
        </w:rPr>
        <w:t>In terms of acceptability, market penetration presents low risk but limited long-term growth potential. Product development offers moderate growth and signals innovation to stakeholders. The hybrid strategy, while carrying moderate risk, offers stronger revenue potential and aligns closely with Innocent’s sustainability commitments, reinforcing stakeholder confidence and long-term competitive positioning (Porter, 1985).</w:t>
      </w:r>
    </w:p>
    <w:p w14:paraId="54BD16EA" w14:textId="15FA7B65" w:rsidR="00C36A1F" w:rsidRPr="00E61A78" w:rsidRDefault="00E61A78" w:rsidP="00C36A1F">
      <w:pPr>
        <w:spacing w:line="360" w:lineRule="auto"/>
        <w:jc w:val="both"/>
        <w:rPr>
          <w:rFonts w:asciiTheme="minorBidi" w:hAnsiTheme="minorBidi"/>
          <w:sz w:val="22"/>
          <w:szCs w:val="22"/>
        </w:rPr>
      </w:pPr>
      <w:r w:rsidRPr="000A7A2C">
        <w:rPr>
          <w:rFonts w:asciiTheme="minorBidi" w:hAnsiTheme="minorBidi"/>
          <w:sz w:val="22"/>
          <w:szCs w:val="22"/>
        </w:rPr>
        <w:t>The SFA assessment confirms that the hybrid strategy performs most consistently across suitability, feasibility and acceptability criteria. It responds to environmental pressures, strengthens diversification, and remains aligned with the organisation’s mission and vision. On this basis, it represents the most strategically justified option.</w:t>
      </w:r>
    </w:p>
    <w:p w14:paraId="6A9046A1" w14:textId="1661A102" w:rsidR="00F95724" w:rsidRPr="00A5289A" w:rsidRDefault="50491725" w:rsidP="307459A2">
      <w:pPr>
        <w:pStyle w:val="Heading1"/>
        <w:rPr>
          <w:rFonts w:asciiTheme="minorBidi" w:hAnsiTheme="minorBidi" w:cstheme="minorBidi"/>
          <w:b/>
          <w:bCs/>
          <w:sz w:val="36"/>
          <w:szCs w:val="36"/>
        </w:rPr>
      </w:pPr>
      <w:bookmarkStart w:id="14" w:name="_Toc224157063"/>
      <w:r w:rsidRPr="307459A2">
        <w:rPr>
          <w:rFonts w:asciiTheme="minorBidi" w:hAnsiTheme="minorBidi" w:cstheme="minorBidi"/>
          <w:b/>
          <w:bCs/>
          <w:sz w:val="36"/>
          <w:szCs w:val="36"/>
        </w:rPr>
        <w:t>5</w:t>
      </w:r>
      <w:r w:rsidR="00F95724" w:rsidRPr="307459A2">
        <w:rPr>
          <w:rFonts w:asciiTheme="minorBidi" w:hAnsiTheme="minorBidi" w:cstheme="minorBidi"/>
          <w:b/>
          <w:bCs/>
          <w:sz w:val="36"/>
          <w:szCs w:val="36"/>
        </w:rPr>
        <w:t>. Stakeholder Analysis</w:t>
      </w:r>
      <w:bookmarkEnd w:id="14"/>
    </w:p>
    <w:p w14:paraId="3BF27E82" w14:textId="1271FDD0" w:rsidR="00F95724" w:rsidRPr="00F95724" w:rsidRDefault="00F95724" w:rsidP="00A22763">
      <w:pPr>
        <w:spacing w:line="360" w:lineRule="auto"/>
        <w:jc w:val="both"/>
        <w:rPr>
          <w:rFonts w:asciiTheme="minorBidi" w:hAnsiTheme="minorBidi"/>
          <w:sz w:val="22"/>
          <w:szCs w:val="22"/>
        </w:rPr>
      </w:pPr>
      <w:r w:rsidRPr="00F95724">
        <w:rPr>
          <w:rFonts w:asciiTheme="minorBidi" w:hAnsiTheme="minorBidi"/>
          <w:sz w:val="22"/>
          <w:szCs w:val="22"/>
        </w:rPr>
        <w:t>Following the evaluation and selection of the hybrid strategy, it is essential to assess its implications for key stakeholders. While the SFA framework confirmed the strategic suitability, feasibility and acceptability of the proposal, successful implementation depends on stakeholder alignment. Strategy execution literature emphasises that implementation failure often arises from inadequate stakeholder management rather than flawed strategy design (</w:t>
      </w:r>
      <w:r w:rsidR="00A22763" w:rsidRPr="00A22763">
        <w:rPr>
          <w:rFonts w:asciiTheme="minorBidi" w:hAnsiTheme="minorBidi"/>
          <w:sz w:val="22"/>
          <w:szCs w:val="22"/>
        </w:rPr>
        <w:t>Johnson et al., 2022)</w:t>
      </w:r>
      <w:r w:rsidR="00A22763">
        <w:rPr>
          <w:rFonts w:asciiTheme="minorBidi" w:hAnsiTheme="minorBidi"/>
          <w:sz w:val="22"/>
          <w:szCs w:val="22"/>
        </w:rPr>
        <w:t>.</w:t>
      </w:r>
    </w:p>
    <w:p w14:paraId="60EC09E8" w14:textId="77777777" w:rsidR="00F95724" w:rsidRPr="00F95724" w:rsidRDefault="00F95724" w:rsidP="000A7A2C">
      <w:pPr>
        <w:spacing w:line="360" w:lineRule="auto"/>
        <w:jc w:val="both"/>
        <w:rPr>
          <w:rFonts w:asciiTheme="minorBidi" w:hAnsiTheme="minorBidi"/>
          <w:sz w:val="22"/>
          <w:szCs w:val="22"/>
        </w:rPr>
      </w:pPr>
      <w:r w:rsidRPr="00F95724">
        <w:rPr>
          <w:rFonts w:asciiTheme="minorBidi" w:hAnsiTheme="minorBidi"/>
          <w:sz w:val="22"/>
          <w:szCs w:val="22"/>
        </w:rPr>
        <w:t>Stakeholder theory provides an appropriate analytical lens. Freeman (1984) argues that organisations create long-term value when they actively manage relationships with those who can affect or are affected by strategic decisions. For Innocent Drinks, whose competitive advantage is closely linked to sustainability and ethical sourcing, stakeholder engagement is integral to maintaining legitimacy and brand trust.</w:t>
      </w:r>
    </w:p>
    <w:p w14:paraId="22F765B4" w14:textId="4458AB28" w:rsidR="00F95724" w:rsidRPr="00F95724" w:rsidRDefault="44011AC1" w:rsidP="307459A2">
      <w:pPr>
        <w:pStyle w:val="Heading2"/>
        <w:rPr>
          <w:rFonts w:ascii="Arial" w:eastAsia="Arial" w:hAnsi="Arial" w:cs="Arial"/>
        </w:rPr>
      </w:pPr>
      <w:bookmarkStart w:id="15" w:name="_Toc224157064"/>
      <w:r w:rsidRPr="307459A2">
        <w:rPr>
          <w:rFonts w:ascii="Arial" w:eastAsia="Arial" w:hAnsi="Arial" w:cs="Arial"/>
        </w:rPr>
        <w:lastRenderedPageBreak/>
        <w:t>5</w:t>
      </w:r>
      <w:r w:rsidR="00F95724" w:rsidRPr="307459A2">
        <w:rPr>
          <w:rFonts w:ascii="Arial" w:eastAsia="Arial" w:hAnsi="Arial" w:cs="Arial"/>
        </w:rPr>
        <w:t>.1 Mendelow’s Matrix</w:t>
      </w:r>
      <w:bookmarkEnd w:id="15"/>
    </w:p>
    <w:p w14:paraId="08055FAB" w14:textId="1A401576" w:rsidR="00F95724" w:rsidRPr="00F95724" w:rsidRDefault="006B3619" w:rsidP="000A7A2C">
      <w:pPr>
        <w:spacing w:line="360" w:lineRule="auto"/>
        <w:jc w:val="both"/>
        <w:rPr>
          <w:rFonts w:asciiTheme="minorBidi" w:hAnsiTheme="minorBidi"/>
          <w:sz w:val="22"/>
          <w:szCs w:val="22"/>
        </w:rPr>
      </w:pPr>
      <w:r w:rsidRPr="006B3619">
        <w:rPr>
          <w:rFonts w:asciiTheme="minorBidi" w:hAnsiTheme="minorBidi"/>
          <w:sz w:val="22"/>
          <w:szCs w:val="22"/>
        </w:rPr>
        <w:t>To prioritise stakeholders systematically, Mendelow’s Matrix is applied. The hybrid strategy introduces product innovation and international expansion, both of which alter stakeholder expectations and influence dynamics.</w:t>
      </w:r>
    </w:p>
    <w:p w14:paraId="0F6CCE0A" w14:textId="52A870EF" w:rsidR="006B3619" w:rsidRPr="00E40813" w:rsidRDefault="009004E8" w:rsidP="00E40813">
      <w:pPr>
        <w:spacing w:line="360" w:lineRule="auto"/>
        <w:jc w:val="center"/>
        <w:rPr>
          <w:rFonts w:asciiTheme="minorBidi" w:hAnsiTheme="minorBidi"/>
          <w:i/>
          <w:iCs/>
          <w:sz w:val="22"/>
          <w:szCs w:val="22"/>
        </w:rPr>
      </w:pPr>
      <w:r>
        <w:rPr>
          <w:noProof/>
        </w:rPr>
        <w:drawing>
          <wp:inline distT="0" distB="0" distL="0" distR="0" wp14:anchorId="77248A51" wp14:editId="5A6DB046">
            <wp:extent cx="5731510" cy="2828925"/>
            <wp:effectExtent l="0" t="0" r="2540" b="9525"/>
            <wp:docPr id="963514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14574" name=""/>
                    <pic:cNvPicPr/>
                  </pic:nvPicPr>
                  <pic:blipFill>
                    <a:blip r:embed="rId21"/>
                    <a:stretch>
                      <a:fillRect/>
                    </a:stretch>
                  </pic:blipFill>
                  <pic:spPr>
                    <a:xfrm>
                      <a:off x="0" y="0"/>
                      <a:ext cx="5731510" cy="2828925"/>
                    </a:xfrm>
                    <a:prstGeom prst="rect">
                      <a:avLst/>
                    </a:prstGeom>
                  </pic:spPr>
                </pic:pic>
              </a:graphicData>
            </a:graphic>
          </wp:inline>
        </w:drawing>
      </w:r>
      <w:r w:rsidR="006B3619" w:rsidRPr="307459A2">
        <w:rPr>
          <w:rFonts w:asciiTheme="minorBidi" w:hAnsiTheme="minorBidi"/>
          <w:i/>
          <w:iCs/>
          <w:sz w:val="22"/>
          <w:szCs w:val="22"/>
        </w:rPr>
        <w:t>Table 9: Stakeholder Classification Using Mendelow’s Matrix</w:t>
      </w:r>
    </w:p>
    <w:p w14:paraId="3ED1C6B1" w14:textId="2784097D" w:rsidR="00602670" w:rsidRDefault="00F95724" w:rsidP="000A7A2C">
      <w:pPr>
        <w:spacing w:line="360" w:lineRule="auto"/>
        <w:jc w:val="both"/>
        <w:rPr>
          <w:rFonts w:asciiTheme="minorBidi" w:hAnsiTheme="minorBidi"/>
          <w:sz w:val="22"/>
          <w:szCs w:val="22"/>
        </w:rPr>
      </w:pPr>
      <w:r w:rsidRPr="000A7A2C">
        <w:rPr>
          <w:rFonts w:asciiTheme="minorBidi" w:hAnsiTheme="minorBidi"/>
          <w:sz w:val="22"/>
          <w:szCs w:val="22"/>
        </w:rPr>
        <w:t>As shown in Table 9, shareholders and major retailers occupy the high power, high interest quadrant. The hybrid strategy directly affects financial returns, distribution networks and expansion risk, requiring close management through structured reporting and collaboration. Regulatory authorities possess significant power and must be satisfied through strict compliance, particularly in new markets. Consumers and employees demonstrate high interest and require transparent communication to preserve trust and operational alignment. Suppliers and environmental organisations influence supply chain resilience and reputational legitimacy, especially given climate-related agricultural risks (IPCC, 2023).</w:t>
      </w:r>
    </w:p>
    <w:p w14:paraId="62AE0CFD" w14:textId="77777777" w:rsidR="00E40813" w:rsidRDefault="00E40813" w:rsidP="000A7A2C">
      <w:pPr>
        <w:spacing w:line="360" w:lineRule="auto"/>
        <w:jc w:val="both"/>
        <w:rPr>
          <w:rFonts w:asciiTheme="minorBidi" w:hAnsiTheme="minorBidi"/>
          <w:sz w:val="22"/>
          <w:szCs w:val="22"/>
        </w:rPr>
      </w:pPr>
    </w:p>
    <w:p w14:paraId="73FE6FAF" w14:textId="77777777" w:rsidR="00E40813" w:rsidRDefault="00E40813" w:rsidP="000A7A2C">
      <w:pPr>
        <w:spacing w:line="360" w:lineRule="auto"/>
        <w:jc w:val="both"/>
        <w:rPr>
          <w:rFonts w:asciiTheme="minorBidi" w:hAnsiTheme="minorBidi"/>
          <w:sz w:val="22"/>
          <w:szCs w:val="22"/>
        </w:rPr>
      </w:pPr>
    </w:p>
    <w:p w14:paraId="2DC0A167" w14:textId="77777777" w:rsidR="00E40813" w:rsidRDefault="00E40813" w:rsidP="000A7A2C">
      <w:pPr>
        <w:spacing w:line="360" w:lineRule="auto"/>
        <w:jc w:val="both"/>
        <w:rPr>
          <w:rFonts w:asciiTheme="minorBidi" w:hAnsiTheme="minorBidi"/>
          <w:sz w:val="22"/>
          <w:szCs w:val="22"/>
        </w:rPr>
      </w:pPr>
    </w:p>
    <w:p w14:paraId="40DF81E4" w14:textId="77777777" w:rsidR="00E40813" w:rsidRDefault="00E40813" w:rsidP="000A7A2C">
      <w:pPr>
        <w:spacing w:line="360" w:lineRule="auto"/>
        <w:jc w:val="both"/>
        <w:rPr>
          <w:rFonts w:asciiTheme="minorBidi" w:hAnsiTheme="minorBidi"/>
          <w:sz w:val="22"/>
          <w:szCs w:val="22"/>
        </w:rPr>
      </w:pPr>
    </w:p>
    <w:p w14:paraId="4572A396" w14:textId="77777777" w:rsidR="00E40813" w:rsidRDefault="00E40813" w:rsidP="000A7A2C">
      <w:pPr>
        <w:spacing w:line="360" w:lineRule="auto"/>
        <w:jc w:val="both"/>
        <w:rPr>
          <w:rFonts w:asciiTheme="minorBidi" w:hAnsiTheme="minorBidi"/>
          <w:sz w:val="22"/>
          <w:szCs w:val="22"/>
        </w:rPr>
      </w:pPr>
    </w:p>
    <w:p w14:paraId="41E7934C" w14:textId="77777777" w:rsidR="00E40813" w:rsidRPr="000A7A2C" w:rsidRDefault="00E40813" w:rsidP="000A7A2C">
      <w:pPr>
        <w:spacing w:line="360" w:lineRule="auto"/>
        <w:jc w:val="both"/>
        <w:rPr>
          <w:rFonts w:asciiTheme="minorBidi" w:hAnsiTheme="minorBidi"/>
          <w:sz w:val="22"/>
          <w:szCs w:val="22"/>
        </w:rPr>
      </w:pPr>
    </w:p>
    <w:p w14:paraId="1E532958" w14:textId="38C2350C" w:rsidR="00B60FA6" w:rsidRPr="00F95724" w:rsidRDefault="08D3E6D8" w:rsidP="307459A2">
      <w:pPr>
        <w:pStyle w:val="Heading2"/>
        <w:rPr>
          <w:rFonts w:ascii="Arial" w:eastAsia="Arial" w:hAnsi="Arial" w:cs="Arial"/>
        </w:rPr>
      </w:pPr>
      <w:bookmarkStart w:id="16" w:name="_Toc224157065"/>
      <w:r w:rsidRPr="307459A2">
        <w:rPr>
          <w:rFonts w:ascii="Arial" w:eastAsia="Arial" w:hAnsi="Arial" w:cs="Arial"/>
        </w:rPr>
        <w:lastRenderedPageBreak/>
        <w:t>5</w:t>
      </w:r>
      <w:r w:rsidR="00F95724" w:rsidRPr="307459A2">
        <w:rPr>
          <w:rFonts w:ascii="Arial" w:eastAsia="Arial" w:hAnsi="Arial" w:cs="Arial"/>
        </w:rPr>
        <w:t>.2 Stakeholder Engagement Plan</w:t>
      </w:r>
      <w:bookmarkEnd w:id="16"/>
    </w:p>
    <w:p w14:paraId="3BAA86FA" w14:textId="3C18ED0A" w:rsidR="00B60FA6" w:rsidRDefault="00F95724" w:rsidP="00E40813">
      <w:pPr>
        <w:spacing w:line="360" w:lineRule="auto"/>
        <w:jc w:val="both"/>
        <w:rPr>
          <w:rFonts w:asciiTheme="minorBidi" w:hAnsiTheme="minorBidi"/>
          <w:sz w:val="22"/>
          <w:szCs w:val="22"/>
        </w:rPr>
      </w:pPr>
      <w:r w:rsidRPr="00F95724">
        <w:rPr>
          <w:rFonts w:asciiTheme="minorBidi" w:hAnsiTheme="minorBidi"/>
          <w:sz w:val="22"/>
          <w:szCs w:val="22"/>
        </w:rPr>
        <w:t>To operationalise the classification above, a structured engagement framework is required.</w:t>
      </w:r>
    </w:p>
    <w:p w14:paraId="3DD1619F" w14:textId="4F67CDA1" w:rsidR="307459A2" w:rsidRPr="00E40813" w:rsidRDefault="00931BD2" w:rsidP="003B0E1A">
      <w:pPr>
        <w:spacing w:line="360" w:lineRule="auto"/>
        <w:jc w:val="center"/>
        <w:rPr>
          <w:rFonts w:asciiTheme="minorBidi" w:hAnsiTheme="minorBidi"/>
          <w:i/>
          <w:iCs/>
          <w:sz w:val="22"/>
          <w:szCs w:val="22"/>
        </w:rPr>
      </w:pPr>
      <w:r>
        <w:rPr>
          <w:noProof/>
        </w:rPr>
        <w:drawing>
          <wp:inline distT="0" distB="0" distL="0" distR="0" wp14:anchorId="65BF617A" wp14:editId="7BCB5C5B">
            <wp:extent cx="5418074" cy="5819775"/>
            <wp:effectExtent l="0" t="0" r="0" b="0"/>
            <wp:docPr id="1002520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20922" name=""/>
                    <pic:cNvPicPr/>
                  </pic:nvPicPr>
                  <pic:blipFill>
                    <a:blip r:embed="rId22"/>
                    <a:stretch>
                      <a:fillRect/>
                    </a:stretch>
                  </pic:blipFill>
                  <pic:spPr>
                    <a:xfrm>
                      <a:off x="0" y="0"/>
                      <a:ext cx="5418074" cy="5819775"/>
                    </a:xfrm>
                    <a:prstGeom prst="rect">
                      <a:avLst/>
                    </a:prstGeom>
                  </pic:spPr>
                </pic:pic>
              </a:graphicData>
            </a:graphic>
          </wp:inline>
        </w:drawing>
      </w:r>
      <w:r w:rsidR="00CC23D1" w:rsidRPr="307459A2">
        <w:rPr>
          <w:rFonts w:asciiTheme="minorBidi" w:hAnsiTheme="minorBidi"/>
          <w:i/>
          <w:iCs/>
          <w:sz w:val="22"/>
          <w:szCs w:val="22"/>
        </w:rPr>
        <w:t>Table 10: Stakeholder Engagement Plan</w:t>
      </w:r>
    </w:p>
    <w:p w14:paraId="1030EDE0" w14:textId="17ED0891" w:rsidR="00F95724" w:rsidRPr="000A7A2C" w:rsidRDefault="00F95724" w:rsidP="000A7A2C">
      <w:pPr>
        <w:spacing w:line="360" w:lineRule="auto"/>
        <w:jc w:val="both"/>
        <w:rPr>
          <w:rFonts w:asciiTheme="minorBidi" w:hAnsiTheme="minorBidi"/>
          <w:sz w:val="22"/>
          <w:szCs w:val="22"/>
        </w:rPr>
      </w:pPr>
      <w:r w:rsidRPr="000A7A2C">
        <w:rPr>
          <w:rFonts w:asciiTheme="minorBidi" w:hAnsiTheme="minorBidi"/>
          <w:sz w:val="22"/>
          <w:szCs w:val="22"/>
        </w:rPr>
        <w:t>The engagement plan aligns communication intensity with stakeholder influence. High power stakeholders require formal dialogue and performance reporting, while high interest groups require consistent transparency and participatory communication. This differentiated approach mitigates resistance, reinforces credibility and supports effective implementation of the hybrid strategy.</w:t>
      </w:r>
    </w:p>
    <w:p w14:paraId="13DBE3E9" w14:textId="0C8850B6" w:rsidR="00431150" w:rsidRPr="00A5289A" w:rsidRDefault="161C5ADB" w:rsidP="307459A2">
      <w:pPr>
        <w:pStyle w:val="Heading1"/>
        <w:rPr>
          <w:rFonts w:asciiTheme="minorBidi" w:hAnsiTheme="minorBidi" w:cstheme="minorBidi"/>
          <w:b/>
          <w:bCs/>
          <w:sz w:val="36"/>
          <w:szCs w:val="36"/>
        </w:rPr>
      </w:pPr>
      <w:bookmarkStart w:id="17" w:name="_Toc224157066"/>
      <w:r w:rsidRPr="307459A2">
        <w:rPr>
          <w:rFonts w:asciiTheme="minorBidi" w:hAnsiTheme="minorBidi" w:cstheme="minorBidi"/>
          <w:b/>
          <w:bCs/>
          <w:sz w:val="36"/>
          <w:szCs w:val="36"/>
        </w:rPr>
        <w:lastRenderedPageBreak/>
        <w:t>6</w:t>
      </w:r>
      <w:r w:rsidR="00431150" w:rsidRPr="307459A2">
        <w:rPr>
          <w:rFonts w:asciiTheme="minorBidi" w:hAnsiTheme="minorBidi" w:cstheme="minorBidi"/>
          <w:b/>
          <w:bCs/>
          <w:sz w:val="36"/>
          <w:szCs w:val="36"/>
        </w:rPr>
        <w:t>. Implementation and Monitoring</w:t>
      </w:r>
      <w:bookmarkEnd w:id="17"/>
    </w:p>
    <w:p w14:paraId="75C3272D" w14:textId="4A721551" w:rsidR="00431150" w:rsidRPr="00431150" w:rsidRDefault="00431150" w:rsidP="00A22763">
      <w:pPr>
        <w:spacing w:line="360" w:lineRule="auto"/>
        <w:jc w:val="both"/>
        <w:rPr>
          <w:rFonts w:asciiTheme="minorBidi" w:hAnsiTheme="minorBidi"/>
          <w:sz w:val="22"/>
          <w:szCs w:val="22"/>
        </w:rPr>
      </w:pPr>
      <w:r w:rsidRPr="00431150">
        <w:rPr>
          <w:rFonts w:asciiTheme="minorBidi" w:hAnsiTheme="minorBidi"/>
          <w:sz w:val="22"/>
          <w:szCs w:val="22"/>
        </w:rPr>
        <w:t xml:space="preserve">Following the selection of the hybrid strategy combining product development and market expansion, effective implementation becomes critical. Strategic success depends not only on selecting an appropriate direction but on translating that direction into measurable objectives and controlled execution </w:t>
      </w:r>
      <w:r w:rsidR="00A22763" w:rsidRPr="00A22763">
        <w:rPr>
          <w:rFonts w:asciiTheme="minorBidi" w:hAnsiTheme="minorBidi"/>
          <w:sz w:val="22"/>
          <w:szCs w:val="22"/>
        </w:rPr>
        <w:t>(Johnson et al., 2022)</w:t>
      </w:r>
      <w:r w:rsidR="00A22763">
        <w:rPr>
          <w:rFonts w:asciiTheme="minorBidi" w:hAnsiTheme="minorBidi"/>
          <w:sz w:val="22"/>
          <w:szCs w:val="22"/>
        </w:rPr>
        <w:t>.</w:t>
      </w:r>
    </w:p>
    <w:p w14:paraId="67831F15" w14:textId="0990B1ED" w:rsidR="00431150" w:rsidRDefault="1C7DAED4" w:rsidP="307459A2">
      <w:pPr>
        <w:pStyle w:val="Heading2"/>
        <w:rPr>
          <w:rFonts w:ascii="Arial" w:eastAsia="Arial" w:hAnsi="Arial" w:cs="Arial"/>
        </w:rPr>
      </w:pPr>
      <w:bookmarkStart w:id="18" w:name="_Toc224157067"/>
      <w:r w:rsidRPr="307459A2">
        <w:rPr>
          <w:rFonts w:ascii="Arial" w:eastAsia="Arial" w:hAnsi="Arial" w:cs="Arial"/>
        </w:rPr>
        <w:t>6</w:t>
      </w:r>
      <w:r w:rsidR="00431150" w:rsidRPr="307459A2">
        <w:rPr>
          <w:rFonts w:ascii="Arial" w:eastAsia="Arial" w:hAnsi="Arial" w:cs="Arial"/>
        </w:rPr>
        <w:t>.1 Balanced Scorecard Framework</w:t>
      </w:r>
      <w:bookmarkEnd w:id="18"/>
    </w:p>
    <w:p w14:paraId="145AD3EF" w14:textId="7B8146CC" w:rsidR="00931BD2" w:rsidRDefault="009004E8" w:rsidP="00931BD2">
      <w:pPr>
        <w:spacing w:line="360" w:lineRule="auto"/>
        <w:jc w:val="both"/>
        <w:rPr>
          <w:rFonts w:asciiTheme="minorBidi" w:hAnsiTheme="minorBidi"/>
          <w:sz w:val="22"/>
          <w:szCs w:val="22"/>
        </w:rPr>
      </w:pPr>
      <w:r w:rsidRPr="00431150">
        <w:rPr>
          <w:rFonts w:asciiTheme="minorBidi" w:hAnsiTheme="minorBidi"/>
          <w:sz w:val="22"/>
          <w:szCs w:val="22"/>
        </w:rPr>
        <w:t>To ensure alignment between strategic intent, operational capability and sustainability commitments, a Balanced Scorecard framework is adopted (Kaplan and Norton, 1996). This approach integrates financial, customer, internal and sustainability dimensions into a coherent performance system.</w:t>
      </w:r>
    </w:p>
    <w:p w14:paraId="2B66FA36" w14:textId="6D73B85B" w:rsidR="00CC23D1" w:rsidRPr="006C5E81" w:rsidRDefault="006C5E81" w:rsidP="00B70650">
      <w:pPr>
        <w:spacing w:line="360" w:lineRule="auto"/>
        <w:jc w:val="center"/>
        <w:rPr>
          <w:rFonts w:asciiTheme="minorBidi" w:hAnsiTheme="minorBidi"/>
          <w:sz w:val="22"/>
          <w:szCs w:val="22"/>
        </w:rPr>
      </w:pPr>
      <w:r>
        <w:rPr>
          <w:noProof/>
        </w:rPr>
        <w:lastRenderedPageBreak/>
        <w:drawing>
          <wp:inline distT="0" distB="0" distL="0" distR="0" wp14:anchorId="510CF952" wp14:editId="635B9B51">
            <wp:extent cx="5741919" cy="6844420"/>
            <wp:effectExtent l="0" t="0" r="635" b="0"/>
            <wp:docPr id="494670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70521" name=""/>
                    <pic:cNvPicPr/>
                  </pic:nvPicPr>
                  <pic:blipFill>
                    <a:blip r:embed="rId23"/>
                    <a:stretch>
                      <a:fillRect/>
                    </a:stretch>
                  </pic:blipFill>
                  <pic:spPr>
                    <a:xfrm>
                      <a:off x="0" y="0"/>
                      <a:ext cx="5741919" cy="6844420"/>
                    </a:xfrm>
                    <a:prstGeom prst="rect">
                      <a:avLst/>
                    </a:prstGeom>
                  </pic:spPr>
                </pic:pic>
              </a:graphicData>
            </a:graphic>
          </wp:inline>
        </w:drawing>
      </w:r>
      <w:r w:rsidR="00CC23D1" w:rsidRPr="307459A2">
        <w:rPr>
          <w:rFonts w:asciiTheme="minorBidi" w:hAnsiTheme="minorBidi"/>
          <w:i/>
          <w:iCs/>
          <w:sz w:val="22"/>
          <w:szCs w:val="22"/>
        </w:rPr>
        <w:t>Table 11: Implementation Strategy (Balanced Scorecard)</w:t>
      </w:r>
    </w:p>
    <w:p w14:paraId="6F54A6A8" w14:textId="1DDC11BA" w:rsidR="307459A2" w:rsidRDefault="307459A2" w:rsidP="307459A2">
      <w:pPr>
        <w:spacing w:line="360" w:lineRule="auto"/>
        <w:jc w:val="both"/>
        <w:rPr>
          <w:rFonts w:asciiTheme="minorBidi" w:hAnsiTheme="minorBidi"/>
          <w:sz w:val="22"/>
          <w:szCs w:val="22"/>
        </w:rPr>
      </w:pPr>
    </w:p>
    <w:p w14:paraId="1A90A777" w14:textId="64B268AF" w:rsidR="00431150" w:rsidRPr="000A7A2C" w:rsidRDefault="00431150" w:rsidP="000A7A2C">
      <w:pPr>
        <w:spacing w:line="360" w:lineRule="auto"/>
        <w:jc w:val="both"/>
        <w:rPr>
          <w:rFonts w:asciiTheme="minorBidi" w:hAnsiTheme="minorBidi"/>
          <w:sz w:val="22"/>
          <w:szCs w:val="22"/>
        </w:rPr>
      </w:pPr>
      <w:r w:rsidRPr="000A7A2C">
        <w:rPr>
          <w:rFonts w:asciiTheme="minorBidi" w:hAnsiTheme="minorBidi"/>
          <w:sz w:val="22"/>
          <w:szCs w:val="22"/>
        </w:rPr>
        <w:t>The financial objectives ensure measurable growth while protecting profitability. Customer-focused initiatives reinforce Innocent’s differentiation based on trust and ethical credibility. Internal objectives strengthen operational capability, particularly in innovation speed and sourcing resilience. Sustainability targets ensure continued alignment with the organisation’s mission to “leave things better than we found them”.</w:t>
      </w:r>
    </w:p>
    <w:p w14:paraId="0710AB69" w14:textId="0FB31154" w:rsidR="00431150" w:rsidRPr="00431150" w:rsidRDefault="05773629" w:rsidP="307459A2">
      <w:pPr>
        <w:pStyle w:val="Heading2"/>
        <w:rPr>
          <w:rFonts w:ascii="Arial" w:eastAsia="Arial" w:hAnsi="Arial" w:cs="Arial"/>
        </w:rPr>
      </w:pPr>
      <w:bookmarkStart w:id="19" w:name="_Toc224157068"/>
      <w:r w:rsidRPr="307459A2">
        <w:rPr>
          <w:rFonts w:ascii="Arial" w:eastAsia="Arial" w:hAnsi="Arial" w:cs="Arial"/>
        </w:rPr>
        <w:lastRenderedPageBreak/>
        <w:t>6</w:t>
      </w:r>
      <w:r w:rsidR="00431150" w:rsidRPr="307459A2">
        <w:rPr>
          <w:rFonts w:ascii="Arial" w:eastAsia="Arial" w:hAnsi="Arial" w:cs="Arial"/>
        </w:rPr>
        <w:t>.2 Risk Assessment</w:t>
      </w:r>
      <w:bookmarkEnd w:id="19"/>
    </w:p>
    <w:p w14:paraId="258C8FAC" w14:textId="238A985F" w:rsidR="00431150" w:rsidRDefault="00431150" w:rsidP="00D7079E">
      <w:pPr>
        <w:spacing w:line="360" w:lineRule="auto"/>
        <w:jc w:val="both"/>
        <w:rPr>
          <w:rFonts w:asciiTheme="minorBidi" w:hAnsiTheme="minorBidi"/>
          <w:sz w:val="22"/>
          <w:szCs w:val="22"/>
        </w:rPr>
      </w:pPr>
      <w:r w:rsidRPr="00431150">
        <w:rPr>
          <w:rFonts w:asciiTheme="minorBidi" w:hAnsiTheme="minorBidi"/>
          <w:sz w:val="22"/>
          <w:szCs w:val="22"/>
        </w:rPr>
        <w:t>Strategic implementation introduces uncertainty that must be managed systematically</w:t>
      </w:r>
      <w:r w:rsidR="00D7079E" w:rsidRPr="00D7079E">
        <w:t xml:space="preserve"> </w:t>
      </w:r>
      <w:r w:rsidR="00D7079E" w:rsidRPr="00D7079E">
        <w:rPr>
          <w:rFonts w:asciiTheme="minorBidi" w:hAnsiTheme="minorBidi"/>
          <w:sz w:val="22"/>
          <w:szCs w:val="22"/>
        </w:rPr>
        <w:t>(Hill et al., 2017)</w:t>
      </w:r>
      <w:r w:rsidR="00D7079E">
        <w:rPr>
          <w:rFonts w:asciiTheme="minorBidi" w:hAnsiTheme="minorBidi"/>
          <w:sz w:val="22"/>
          <w:szCs w:val="22"/>
        </w:rPr>
        <w:t>.</w:t>
      </w:r>
    </w:p>
    <w:p w14:paraId="748BC1DA" w14:textId="26980508" w:rsidR="00431150" w:rsidRPr="00431150" w:rsidRDefault="00931BD2" w:rsidP="00931BD2">
      <w:pPr>
        <w:spacing w:line="360" w:lineRule="auto"/>
        <w:jc w:val="both"/>
        <w:rPr>
          <w:rFonts w:asciiTheme="minorBidi" w:hAnsiTheme="minorBidi"/>
          <w:sz w:val="22"/>
          <w:szCs w:val="22"/>
        </w:rPr>
      </w:pPr>
      <w:r>
        <w:rPr>
          <w:noProof/>
        </w:rPr>
        <w:drawing>
          <wp:inline distT="0" distB="0" distL="0" distR="0" wp14:anchorId="6195DCC1" wp14:editId="13650C5D">
            <wp:extent cx="5667469" cy="4339954"/>
            <wp:effectExtent l="0" t="0" r="0" b="3810"/>
            <wp:docPr id="913107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107350" name=""/>
                    <pic:cNvPicPr/>
                  </pic:nvPicPr>
                  <pic:blipFill>
                    <a:blip r:embed="rId24"/>
                    <a:stretch>
                      <a:fillRect/>
                    </a:stretch>
                  </pic:blipFill>
                  <pic:spPr>
                    <a:xfrm>
                      <a:off x="0" y="0"/>
                      <a:ext cx="5679357" cy="4349058"/>
                    </a:xfrm>
                    <a:prstGeom prst="rect">
                      <a:avLst/>
                    </a:prstGeom>
                  </pic:spPr>
                </pic:pic>
              </a:graphicData>
            </a:graphic>
          </wp:inline>
        </w:drawing>
      </w:r>
    </w:p>
    <w:p w14:paraId="6EE5BDAE" w14:textId="51342763" w:rsidR="00C30078" w:rsidRPr="00931BD2" w:rsidRDefault="00931BD2" w:rsidP="00B70650">
      <w:pPr>
        <w:spacing w:line="360" w:lineRule="auto"/>
        <w:jc w:val="center"/>
        <w:rPr>
          <w:rFonts w:asciiTheme="minorBidi" w:hAnsiTheme="minorBidi"/>
          <w:i/>
          <w:iCs/>
          <w:sz w:val="22"/>
          <w:szCs w:val="22"/>
        </w:rPr>
      </w:pPr>
      <w:r w:rsidRPr="00931BD2">
        <w:rPr>
          <w:rFonts w:asciiTheme="minorBidi" w:hAnsiTheme="minorBidi"/>
          <w:i/>
          <w:iCs/>
          <w:sz w:val="22"/>
          <w:szCs w:val="22"/>
        </w:rPr>
        <w:t>Table 12: Risk Assessment Matrix</w:t>
      </w:r>
    </w:p>
    <w:p w14:paraId="6DA3EEFA" w14:textId="77777777" w:rsidR="00931BD2" w:rsidRDefault="00931BD2" w:rsidP="000A7A2C">
      <w:pPr>
        <w:spacing w:line="360" w:lineRule="auto"/>
        <w:jc w:val="both"/>
        <w:rPr>
          <w:rFonts w:asciiTheme="minorBidi" w:hAnsiTheme="minorBidi"/>
          <w:sz w:val="22"/>
          <w:szCs w:val="22"/>
        </w:rPr>
      </w:pPr>
    </w:p>
    <w:p w14:paraId="01A735F6" w14:textId="58D7E61E" w:rsidR="00431150" w:rsidRPr="000A7A2C" w:rsidRDefault="00431150" w:rsidP="000A7A2C">
      <w:pPr>
        <w:spacing w:line="360" w:lineRule="auto"/>
        <w:jc w:val="both"/>
        <w:rPr>
          <w:rFonts w:asciiTheme="minorBidi" w:hAnsiTheme="minorBidi"/>
          <w:sz w:val="22"/>
          <w:szCs w:val="22"/>
        </w:rPr>
      </w:pPr>
      <w:r w:rsidRPr="000A7A2C">
        <w:rPr>
          <w:rFonts w:asciiTheme="minorBidi" w:hAnsiTheme="minorBidi"/>
          <w:sz w:val="22"/>
          <w:szCs w:val="22"/>
        </w:rPr>
        <w:t>Supply chain volatility represents the highest-impact risk, particularly given climate pressures affecting agricultural inputs (IPCC, 2023). Regulatory and market risks are mitigated through phased entry and structured monitoring. Reputational risk remains critical for a mission-driven organisation; therefore, transparency and external verification are essential safeguards.</w:t>
      </w:r>
    </w:p>
    <w:p w14:paraId="710665EA" w14:textId="77777777" w:rsidR="00431150" w:rsidRPr="00431150" w:rsidRDefault="00431150" w:rsidP="000A7A2C">
      <w:pPr>
        <w:spacing w:line="360" w:lineRule="auto"/>
        <w:jc w:val="both"/>
        <w:rPr>
          <w:rFonts w:asciiTheme="minorBidi" w:hAnsiTheme="minorBidi"/>
          <w:sz w:val="22"/>
          <w:szCs w:val="22"/>
        </w:rPr>
      </w:pPr>
      <w:r w:rsidRPr="00431150">
        <w:rPr>
          <w:rFonts w:asciiTheme="minorBidi" w:hAnsiTheme="minorBidi"/>
          <w:sz w:val="22"/>
          <w:szCs w:val="22"/>
        </w:rPr>
        <w:t>The Balanced Scorecard and structured risk assessment ensure that the hybrid strategy is translated into measurable objectives, monitored systematically and protected against key uncertainties. This integrated implementation framework supports sustainable growth while maintaining alignment with Innocent’s mission, vision and ethical commitments.</w:t>
      </w:r>
    </w:p>
    <w:p w14:paraId="7C151CFA" w14:textId="573A5DB6" w:rsidR="00431150" w:rsidRPr="00A5289A" w:rsidRDefault="3B7DE8E5" w:rsidP="307459A2">
      <w:pPr>
        <w:pStyle w:val="Heading1"/>
        <w:rPr>
          <w:rFonts w:asciiTheme="minorBidi" w:hAnsiTheme="minorBidi" w:cstheme="minorBidi"/>
          <w:b/>
          <w:bCs/>
          <w:sz w:val="36"/>
          <w:szCs w:val="36"/>
        </w:rPr>
      </w:pPr>
      <w:bookmarkStart w:id="20" w:name="_Toc224157069"/>
      <w:r w:rsidRPr="307459A2">
        <w:rPr>
          <w:rFonts w:asciiTheme="minorBidi" w:hAnsiTheme="minorBidi" w:cstheme="minorBidi"/>
          <w:b/>
          <w:bCs/>
          <w:sz w:val="36"/>
          <w:szCs w:val="36"/>
        </w:rPr>
        <w:lastRenderedPageBreak/>
        <w:t>7</w:t>
      </w:r>
      <w:r w:rsidR="00431150" w:rsidRPr="307459A2">
        <w:rPr>
          <w:rFonts w:asciiTheme="minorBidi" w:hAnsiTheme="minorBidi" w:cstheme="minorBidi"/>
          <w:b/>
          <w:bCs/>
          <w:sz w:val="36"/>
          <w:szCs w:val="36"/>
        </w:rPr>
        <w:t>. Conclusion</w:t>
      </w:r>
      <w:bookmarkEnd w:id="20"/>
    </w:p>
    <w:p w14:paraId="5105AB1D" w14:textId="77777777" w:rsidR="00431150" w:rsidRPr="00431150" w:rsidRDefault="00431150" w:rsidP="000A7A2C">
      <w:pPr>
        <w:spacing w:line="360" w:lineRule="auto"/>
        <w:jc w:val="both"/>
        <w:rPr>
          <w:rFonts w:asciiTheme="minorBidi" w:hAnsiTheme="minorBidi"/>
          <w:sz w:val="22"/>
          <w:szCs w:val="22"/>
        </w:rPr>
      </w:pPr>
      <w:r w:rsidRPr="00431150">
        <w:rPr>
          <w:rFonts w:asciiTheme="minorBidi" w:hAnsiTheme="minorBidi"/>
          <w:sz w:val="22"/>
          <w:szCs w:val="22"/>
        </w:rPr>
        <w:t>This report has evaluated the strategic position of Innocent Drinks and proposed a hybrid growth strategy combining product development with selective international expansion. The external and internal analyses demonstrated increasing competitive pressure, market maturity in the UK and rising demand for plant-based and ethically positioned products. These conditions necessitate controlled diversification while preserving brand authenticity.</w:t>
      </w:r>
    </w:p>
    <w:p w14:paraId="618260F5" w14:textId="77777777" w:rsidR="00431150" w:rsidRPr="00431150" w:rsidRDefault="00431150" w:rsidP="000A7A2C">
      <w:pPr>
        <w:spacing w:line="360" w:lineRule="auto"/>
        <w:jc w:val="both"/>
        <w:rPr>
          <w:rFonts w:asciiTheme="minorBidi" w:hAnsiTheme="minorBidi"/>
          <w:sz w:val="22"/>
          <w:szCs w:val="22"/>
        </w:rPr>
      </w:pPr>
      <w:r w:rsidRPr="00431150">
        <w:rPr>
          <w:rFonts w:asciiTheme="minorBidi" w:hAnsiTheme="minorBidi"/>
          <w:sz w:val="22"/>
          <w:szCs w:val="22"/>
        </w:rPr>
        <w:t>The proposed strategy was justified through the application of Porter’s and Ansoff’s frameworks and subsequently evaluated using the SFA model. The assessment confirmed that the hybrid strategy provides the strongest balance between suitability, feasibility and acceptability. It reduces product and geographic concentration risk while remaining aligned with Innocent’s mission to promote healthy living and its vision of environmental responsibility.</w:t>
      </w:r>
    </w:p>
    <w:p w14:paraId="61CE86A5" w14:textId="77777777" w:rsidR="00431150" w:rsidRPr="00431150" w:rsidRDefault="00431150" w:rsidP="000A7A2C">
      <w:pPr>
        <w:spacing w:line="360" w:lineRule="auto"/>
        <w:jc w:val="both"/>
        <w:rPr>
          <w:rFonts w:asciiTheme="minorBidi" w:hAnsiTheme="minorBidi"/>
          <w:sz w:val="22"/>
          <w:szCs w:val="22"/>
        </w:rPr>
      </w:pPr>
      <w:r w:rsidRPr="00431150">
        <w:rPr>
          <w:rFonts w:asciiTheme="minorBidi" w:hAnsiTheme="minorBidi"/>
          <w:sz w:val="22"/>
          <w:szCs w:val="22"/>
        </w:rPr>
        <w:t>Stakeholder analysis further demonstrated that structured engagement, particularly with shareholders, retail partners and consumers, is essential for effective implementation. The Balanced Scorecard and risk assessment framework ensure that the strategy is operationalised through measurable objectives and monitored systematically.</w:t>
      </w:r>
    </w:p>
    <w:p w14:paraId="4B105A82" w14:textId="77777777" w:rsidR="00431150" w:rsidRDefault="00431150" w:rsidP="000A7A2C">
      <w:pPr>
        <w:spacing w:line="360" w:lineRule="auto"/>
        <w:jc w:val="both"/>
        <w:rPr>
          <w:rFonts w:asciiTheme="minorBidi" w:hAnsiTheme="minorBidi"/>
          <w:sz w:val="22"/>
          <w:szCs w:val="22"/>
        </w:rPr>
      </w:pPr>
      <w:r w:rsidRPr="00431150">
        <w:rPr>
          <w:rFonts w:asciiTheme="minorBidi" w:hAnsiTheme="minorBidi"/>
          <w:sz w:val="22"/>
          <w:szCs w:val="22"/>
        </w:rPr>
        <w:t>Overall, the recommended strategic direction enables Innocent Drinks to pursue sustainable growth while reinforcing its ethical commitments and long-term competitive positioning.</w:t>
      </w:r>
    </w:p>
    <w:p w14:paraId="1EB247D7" w14:textId="77777777" w:rsidR="00B60FA6" w:rsidRDefault="00B60FA6" w:rsidP="000A7A2C">
      <w:pPr>
        <w:spacing w:line="360" w:lineRule="auto"/>
        <w:jc w:val="both"/>
        <w:rPr>
          <w:rFonts w:asciiTheme="minorBidi" w:hAnsiTheme="minorBidi"/>
          <w:sz w:val="22"/>
          <w:szCs w:val="22"/>
        </w:rPr>
      </w:pPr>
    </w:p>
    <w:p w14:paraId="5A365BB5" w14:textId="77777777" w:rsidR="00B60FA6" w:rsidRDefault="00B60FA6" w:rsidP="000A7A2C">
      <w:pPr>
        <w:spacing w:line="360" w:lineRule="auto"/>
        <w:jc w:val="both"/>
        <w:rPr>
          <w:rFonts w:asciiTheme="minorBidi" w:hAnsiTheme="minorBidi"/>
          <w:sz w:val="22"/>
          <w:szCs w:val="22"/>
        </w:rPr>
      </w:pPr>
    </w:p>
    <w:p w14:paraId="466F535E" w14:textId="77777777" w:rsidR="00B60FA6" w:rsidRDefault="00B60FA6" w:rsidP="000A7A2C">
      <w:pPr>
        <w:spacing w:line="360" w:lineRule="auto"/>
        <w:jc w:val="both"/>
        <w:rPr>
          <w:rFonts w:asciiTheme="minorBidi" w:hAnsiTheme="minorBidi"/>
          <w:sz w:val="22"/>
          <w:szCs w:val="22"/>
        </w:rPr>
      </w:pPr>
    </w:p>
    <w:p w14:paraId="5F2D2DAF" w14:textId="77777777" w:rsidR="00B60FA6" w:rsidRDefault="00B60FA6" w:rsidP="000A7A2C">
      <w:pPr>
        <w:spacing w:line="360" w:lineRule="auto"/>
        <w:jc w:val="both"/>
        <w:rPr>
          <w:rFonts w:asciiTheme="minorBidi" w:hAnsiTheme="minorBidi"/>
          <w:sz w:val="22"/>
          <w:szCs w:val="22"/>
        </w:rPr>
      </w:pPr>
    </w:p>
    <w:p w14:paraId="6D6D2932" w14:textId="77777777" w:rsidR="00B60FA6" w:rsidRDefault="00B60FA6" w:rsidP="000A7A2C">
      <w:pPr>
        <w:spacing w:line="360" w:lineRule="auto"/>
        <w:jc w:val="both"/>
        <w:rPr>
          <w:rFonts w:asciiTheme="minorBidi" w:hAnsiTheme="minorBidi"/>
          <w:sz w:val="22"/>
          <w:szCs w:val="22"/>
        </w:rPr>
      </w:pPr>
    </w:p>
    <w:p w14:paraId="47CB490F" w14:textId="77777777" w:rsidR="00931BD2" w:rsidRDefault="00931BD2" w:rsidP="000A7A2C">
      <w:pPr>
        <w:spacing w:line="360" w:lineRule="auto"/>
        <w:jc w:val="both"/>
        <w:rPr>
          <w:rFonts w:asciiTheme="minorBidi" w:hAnsiTheme="minorBidi"/>
          <w:sz w:val="22"/>
          <w:szCs w:val="22"/>
        </w:rPr>
      </w:pPr>
    </w:p>
    <w:p w14:paraId="1A6070D0" w14:textId="77777777" w:rsidR="00931BD2" w:rsidRDefault="00931BD2" w:rsidP="000A7A2C">
      <w:pPr>
        <w:spacing w:line="360" w:lineRule="auto"/>
        <w:jc w:val="both"/>
        <w:rPr>
          <w:rFonts w:asciiTheme="minorBidi" w:hAnsiTheme="minorBidi"/>
          <w:sz w:val="22"/>
          <w:szCs w:val="22"/>
        </w:rPr>
      </w:pPr>
    </w:p>
    <w:p w14:paraId="5EB7AA59" w14:textId="77777777" w:rsidR="00931BD2" w:rsidRDefault="00931BD2" w:rsidP="000A7A2C">
      <w:pPr>
        <w:spacing w:line="360" w:lineRule="auto"/>
        <w:jc w:val="both"/>
        <w:rPr>
          <w:rFonts w:asciiTheme="minorBidi" w:hAnsiTheme="minorBidi"/>
          <w:sz w:val="22"/>
          <w:szCs w:val="22"/>
        </w:rPr>
      </w:pPr>
    </w:p>
    <w:p w14:paraId="32729A18" w14:textId="77777777" w:rsidR="00931BD2" w:rsidRDefault="00931BD2" w:rsidP="000A7A2C">
      <w:pPr>
        <w:spacing w:line="360" w:lineRule="auto"/>
        <w:jc w:val="both"/>
        <w:rPr>
          <w:rFonts w:asciiTheme="minorBidi" w:hAnsiTheme="minorBidi"/>
          <w:sz w:val="22"/>
          <w:szCs w:val="22"/>
        </w:rPr>
      </w:pPr>
    </w:p>
    <w:p w14:paraId="2C062663" w14:textId="77777777" w:rsidR="00931BD2" w:rsidRDefault="00931BD2" w:rsidP="000A7A2C">
      <w:pPr>
        <w:spacing w:line="360" w:lineRule="auto"/>
        <w:jc w:val="both"/>
        <w:rPr>
          <w:rFonts w:asciiTheme="minorBidi" w:hAnsiTheme="minorBidi"/>
          <w:sz w:val="22"/>
          <w:szCs w:val="22"/>
        </w:rPr>
      </w:pPr>
    </w:p>
    <w:p w14:paraId="16F46F94" w14:textId="77777777" w:rsidR="00A5289A" w:rsidRDefault="00A5289A" w:rsidP="000A7A2C">
      <w:pPr>
        <w:spacing w:line="360" w:lineRule="auto"/>
        <w:jc w:val="both"/>
        <w:rPr>
          <w:rFonts w:asciiTheme="minorBidi" w:hAnsiTheme="minorBidi"/>
          <w:sz w:val="22"/>
          <w:szCs w:val="22"/>
        </w:rPr>
      </w:pPr>
    </w:p>
    <w:p w14:paraId="52E72A9A" w14:textId="7C311A13" w:rsidR="00B60FA6" w:rsidRPr="00A5289A" w:rsidRDefault="0C362F68" w:rsidP="307459A2">
      <w:pPr>
        <w:pStyle w:val="Heading1"/>
        <w:rPr>
          <w:rFonts w:asciiTheme="minorBidi" w:hAnsiTheme="minorBidi" w:cstheme="minorBidi"/>
          <w:b/>
          <w:bCs/>
          <w:sz w:val="36"/>
          <w:szCs w:val="36"/>
        </w:rPr>
      </w:pPr>
      <w:bookmarkStart w:id="21" w:name="_Toc224157070"/>
      <w:r w:rsidRPr="307459A2">
        <w:rPr>
          <w:rFonts w:asciiTheme="minorBidi" w:hAnsiTheme="minorBidi" w:cstheme="minorBidi"/>
          <w:b/>
          <w:bCs/>
          <w:sz w:val="36"/>
          <w:szCs w:val="36"/>
        </w:rPr>
        <w:lastRenderedPageBreak/>
        <w:t>8</w:t>
      </w:r>
      <w:r w:rsidR="00B70650">
        <w:rPr>
          <w:rFonts w:asciiTheme="minorBidi" w:hAnsiTheme="minorBidi" w:cstheme="minorBidi"/>
          <w:b/>
          <w:bCs/>
          <w:sz w:val="36"/>
          <w:szCs w:val="36"/>
        </w:rPr>
        <w:t>.</w:t>
      </w:r>
      <w:r w:rsidRPr="307459A2">
        <w:rPr>
          <w:rFonts w:asciiTheme="minorBidi" w:hAnsiTheme="minorBidi" w:cstheme="minorBidi"/>
          <w:b/>
          <w:bCs/>
          <w:sz w:val="36"/>
          <w:szCs w:val="36"/>
        </w:rPr>
        <w:t xml:space="preserve"> </w:t>
      </w:r>
      <w:r w:rsidR="00B60FA6" w:rsidRPr="307459A2">
        <w:rPr>
          <w:rFonts w:asciiTheme="minorBidi" w:hAnsiTheme="minorBidi" w:cstheme="minorBidi"/>
          <w:b/>
          <w:bCs/>
          <w:sz w:val="36"/>
          <w:szCs w:val="36"/>
        </w:rPr>
        <w:t>Reference</w:t>
      </w:r>
      <w:r w:rsidR="00E60DE1" w:rsidRPr="307459A2">
        <w:rPr>
          <w:rFonts w:asciiTheme="minorBidi" w:hAnsiTheme="minorBidi" w:cstheme="minorBidi"/>
          <w:b/>
          <w:bCs/>
          <w:sz w:val="36"/>
          <w:szCs w:val="36"/>
        </w:rPr>
        <w:t>s</w:t>
      </w:r>
      <w:bookmarkEnd w:id="21"/>
    </w:p>
    <w:p w14:paraId="656BB861" w14:textId="463D5EBE" w:rsidR="307459A2" w:rsidRDefault="307459A2" w:rsidP="006866A1"/>
    <w:p w14:paraId="22D30A56" w14:textId="06B93C2D"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Ansoff, H. I. (1957) ‘Strategies for diversification’, </w:t>
      </w:r>
      <w:r w:rsidRPr="00185A4C">
        <w:rPr>
          <w:rFonts w:asciiTheme="minorBidi" w:hAnsiTheme="minorBidi"/>
          <w:i/>
          <w:iCs/>
          <w:sz w:val="22"/>
          <w:szCs w:val="22"/>
        </w:rPr>
        <w:t>Harvard Business Review</w:t>
      </w:r>
      <w:r w:rsidRPr="00185A4C">
        <w:rPr>
          <w:rFonts w:asciiTheme="minorBidi" w:hAnsiTheme="minorBidi"/>
          <w:sz w:val="22"/>
          <w:szCs w:val="22"/>
        </w:rPr>
        <w:t>, 35 (5), pp. 113-124.</w:t>
      </w:r>
    </w:p>
    <w:p w14:paraId="15403A98" w14:textId="08B81275"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B Lab (2026) </w:t>
      </w:r>
      <w:r w:rsidRPr="00185A4C">
        <w:rPr>
          <w:rFonts w:asciiTheme="minorBidi" w:hAnsiTheme="minorBidi"/>
          <w:i/>
          <w:iCs/>
          <w:sz w:val="22"/>
          <w:szCs w:val="22"/>
        </w:rPr>
        <w:t>Innocent Drinks - Certified B Corporation</w:t>
      </w:r>
      <w:r w:rsidRPr="00185A4C">
        <w:rPr>
          <w:rFonts w:asciiTheme="minorBidi" w:hAnsiTheme="minorBidi"/>
          <w:sz w:val="22"/>
          <w:szCs w:val="22"/>
        </w:rPr>
        <w:t xml:space="preserve">. Available at: </w:t>
      </w:r>
      <w:hyperlink r:id="rId25" w:tgtFrame="_blank" w:history="1">
        <w:r w:rsidRPr="00185A4C">
          <w:rPr>
            <w:rStyle w:val="Hyperlink"/>
            <w:rFonts w:asciiTheme="minorBidi" w:hAnsiTheme="minorBidi"/>
            <w:sz w:val="22"/>
            <w:szCs w:val="22"/>
          </w:rPr>
          <w:t>https://www.bcorporation.net/en-us/find-a-b-corp/company/innocent-drinks/</w:t>
        </w:r>
      </w:hyperlink>
      <w:r w:rsidRPr="00185A4C">
        <w:rPr>
          <w:rFonts w:asciiTheme="minorBidi" w:hAnsiTheme="minorBidi"/>
          <w:sz w:val="22"/>
          <w:szCs w:val="22"/>
        </w:rPr>
        <w:t xml:space="preserve"> (Accessed: </w:t>
      </w:r>
      <w:r w:rsidR="00185A4C" w:rsidRPr="00185A4C">
        <w:rPr>
          <w:rFonts w:asciiTheme="minorBidi" w:hAnsiTheme="minorBidi"/>
          <w:sz w:val="22"/>
          <w:szCs w:val="22"/>
        </w:rPr>
        <w:t>17</w:t>
      </w:r>
      <w:r w:rsidRPr="00185A4C">
        <w:rPr>
          <w:rFonts w:asciiTheme="minorBidi" w:hAnsiTheme="minorBidi"/>
          <w:sz w:val="22"/>
          <w:szCs w:val="22"/>
        </w:rPr>
        <w:t xml:space="preserve"> February 2026).</w:t>
      </w:r>
    </w:p>
    <w:p w14:paraId="5C149948"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Barney, J. (1991) ‘Firm resources and sustained competitive advantage’, </w:t>
      </w:r>
      <w:r w:rsidRPr="00185A4C">
        <w:rPr>
          <w:rFonts w:asciiTheme="minorBidi" w:hAnsiTheme="minorBidi"/>
          <w:i/>
          <w:iCs/>
          <w:sz w:val="22"/>
          <w:szCs w:val="22"/>
        </w:rPr>
        <w:t>Journal of Management</w:t>
      </w:r>
      <w:r w:rsidRPr="00185A4C">
        <w:rPr>
          <w:rFonts w:asciiTheme="minorBidi" w:hAnsiTheme="minorBidi"/>
          <w:sz w:val="22"/>
          <w:szCs w:val="22"/>
        </w:rPr>
        <w:t>, 17 (1), pp. 99-120.</w:t>
      </w:r>
    </w:p>
    <w:p w14:paraId="1D49449D"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Carroll, A. B. and Shabana, K. M. (2010) ‘The business case for corporate social responsibility: a review of concepts, research and practice’, </w:t>
      </w:r>
      <w:r w:rsidRPr="00185A4C">
        <w:rPr>
          <w:rFonts w:asciiTheme="minorBidi" w:hAnsiTheme="minorBidi"/>
          <w:i/>
          <w:iCs/>
          <w:sz w:val="22"/>
          <w:szCs w:val="22"/>
        </w:rPr>
        <w:t>International Journal of Management Reviews</w:t>
      </w:r>
      <w:r w:rsidRPr="00185A4C">
        <w:rPr>
          <w:rFonts w:asciiTheme="minorBidi" w:hAnsiTheme="minorBidi"/>
          <w:sz w:val="22"/>
          <w:szCs w:val="22"/>
        </w:rPr>
        <w:t>, 12 (1), pp. 85–105.</w:t>
      </w:r>
    </w:p>
    <w:p w14:paraId="1ED9EC44" w14:textId="205DC1BA"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Euromonitor (2023) </w:t>
      </w:r>
      <w:r w:rsidRPr="00185A4C">
        <w:rPr>
          <w:rFonts w:asciiTheme="minorBidi" w:hAnsiTheme="minorBidi"/>
          <w:i/>
          <w:iCs/>
          <w:sz w:val="22"/>
          <w:szCs w:val="22"/>
        </w:rPr>
        <w:t>Soft drinks in the United Kingdom</w:t>
      </w:r>
      <w:r w:rsidRPr="00185A4C">
        <w:rPr>
          <w:rFonts w:asciiTheme="minorBidi" w:hAnsiTheme="minorBidi"/>
          <w:sz w:val="22"/>
          <w:szCs w:val="22"/>
        </w:rPr>
        <w:t xml:space="preserve">. Available at: </w:t>
      </w:r>
      <w:hyperlink r:id="rId26" w:tgtFrame="_blank" w:history="1">
        <w:r w:rsidRPr="00185A4C">
          <w:rPr>
            <w:rStyle w:val="Hyperlink"/>
            <w:rFonts w:asciiTheme="minorBidi" w:hAnsiTheme="minorBidi"/>
            <w:sz w:val="22"/>
            <w:szCs w:val="22"/>
          </w:rPr>
          <w:t>https://www.euromonitor.com</w:t>
        </w:r>
      </w:hyperlink>
      <w:r w:rsidRPr="00185A4C">
        <w:rPr>
          <w:rFonts w:asciiTheme="minorBidi" w:hAnsiTheme="minorBidi"/>
          <w:sz w:val="22"/>
          <w:szCs w:val="22"/>
        </w:rPr>
        <w:t xml:space="preserve"> (Accessed: 2</w:t>
      </w:r>
      <w:r w:rsidR="00185A4C" w:rsidRPr="00185A4C">
        <w:rPr>
          <w:rFonts w:asciiTheme="minorBidi" w:hAnsiTheme="minorBidi"/>
          <w:sz w:val="22"/>
          <w:szCs w:val="22"/>
        </w:rPr>
        <w:t>1</w:t>
      </w:r>
      <w:r w:rsidRPr="00185A4C">
        <w:rPr>
          <w:rFonts w:asciiTheme="minorBidi" w:hAnsiTheme="minorBidi"/>
          <w:sz w:val="22"/>
          <w:szCs w:val="22"/>
        </w:rPr>
        <w:t xml:space="preserve"> February 2026).</w:t>
      </w:r>
    </w:p>
    <w:p w14:paraId="2949AD25"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Food Standards Agency (2026) </w:t>
      </w:r>
      <w:r w:rsidRPr="00185A4C">
        <w:rPr>
          <w:rFonts w:asciiTheme="minorBidi" w:hAnsiTheme="minorBidi"/>
          <w:i/>
          <w:iCs/>
          <w:sz w:val="22"/>
          <w:szCs w:val="22"/>
        </w:rPr>
        <w:t>Food labelling and safety regulations</w:t>
      </w:r>
      <w:r w:rsidRPr="00185A4C">
        <w:rPr>
          <w:rFonts w:asciiTheme="minorBidi" w:hAnsiTheme="minorBidi"/>
          <w:sz w:val="22"/>
          <w:szCs w:val="22"/>
        </w:rPr>
        <w:t xml:space="preserve">. Available at: </w:t>
      </w:r>
      <w:hyperlink r:id="rId27" w:tgtFrame="_blank" w:history="1">
        <w:r w:rsidRPr="00185A4C">
          <w:rPr>
            <w:rStyle w:val="Hyperlink"/>
            <w:rFonts w:asciiTheme="minorBidi" w:hAnsiTheme="minorBidi"/>
            <w:sz w:val="22"/>
            <w:szCs w:val="22"/>
          </w:rPr>
          <w:t>https://www.food.gov.uk</w:t>
        </w:r>
      </w:hyperlink>
      <w:r w:rsidRPr="00185A4C">
        <w:rPr>
          <w:rFonts w:asciiTheme="minorBidi" w:hAnsiTheme="minorBidi"/>
          <w:sz w:val="22"/>
          <w:szCs w:val="22"/>
        </w:rPr>
        <w:t xml:space="preserve"> (Accessed: 23 February 2026).</w:t>
      </w:r>
    </w:p>
    <w:p w14:paraId="0A842003"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Freeman, R. E. (1984) </w:t>
      </w:r>
      <w:r w:rsidRPr="00185A4C">
        <w:rPr>
          <w:rFonts w:asciiTheme="minorBidi" w:hAnsiTheme="minorBidi"/>
          <w:i/>
          <w:iCs/>
          <w:sz w:val="22"/>
          <w:szCs w:val="22"/>
        </w:rPr>
        <w:t>Strategic management: a stakeholder approach</w:t>
      </w:r>
      <w:r w:rsidRPr="00185A4C">
        <w:rPr>
          <w:rFonts w:asciiTheme="minorBidi" w:hAnsiTheme="minorBidi"/>
          <w:sz w:val="22"/>
          <w:szCs w:val="22"/>
        </w:rPr>
        <w:t>. Boston: Pitman.</w:t>
      </w:r>
    </w:p>
    <w:p w14:paraId="09CCD614"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Gürel, E. and Tat, M. (2017) ‘SWOT analysis: a theoretical review’, </w:t>
      </w:r>
      <w:r w:rsidRPr="00185A4C">
        <w:rPr>
          <w:rFonts w:asciiTheme="minorBidi" w:hAnsiTheme="minorBidi"/>
          <w:i/>
          <w:iCs/>
          <w:sz w:val="22"/>
          <w:szCs w:val="22"/>
        </w:rPr>
        <w:t>Journal of International Social Research</w:t>
      </w:r>
      <w:r w:rsidRPr="00185A4C">
        <w:rPr>
          <w:rFonts w:asciiTheme="minorBidi" w:hAnsiTheme="minorBidi"/>
          <w:sz w:val="22"/>
          <w:szCs w:val="22"/>
        </w:rPr>
        <w:t>, 10 (51), pp. 994-1006.</w:t>
      </w:r>
    </w:p>
    <w:p w14:paraId="123D7F95"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Hill, C. W. L., Jones, G. R. and Schilling, M. A. (2017) </w:t>
      </w:r>
      <w:r w:rsidRPr="00185A4C">
        <w:rPr>
          <w:rFonts w:asciiTheme="minorBidi" w:hAnsiTheme="minorBidi"/>
          <w:i/>
          <w:iCs/>
          <w:sz w:val="22"/>
          <w:szCs w:val="22"/>
        </w:rPr>
        <w:t>Strategic management: an integrated approach</w:t>
      </w:r>
      <w:r w:rsidRPr="00185A4C">
        <w:rPr>
          <w:rFonts w:asciiTheme="minorBidi" w:hAnsiTheme="minorBidi"/>
          <w:sz w:val="22"/>
          <w:szCs w:val="22"/>
        </w:rPr>
        <w:t>. 12th edn. Boston: Cengage Learning.</w:t>
      </w:r>
    </w:p>
    <w:p w14:paraId="5C542116"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Innocent Drinks (2023) </w:t>
      </w:r>
      <w:r w:rsidRPr="00185A4C">
        <w:rPr>
          <w:rFonts w:asciiTheme="minorBidi" w:hAnsiTheme="minorBidi"/>
          <w:i/>
          <w:iCs/>
          <w:sz w:val="22"/>
          <w:szCs w:val="22"/>
        </w:rPr>
        <w:t>Sustainability commitments</w:t>
      </w:r>
      <w:r w:rsidRPr="00185A4C">
        <w:rPr>
          <w:rFonts w:asciiTheme="minorBidi" w:hAnsiTheme="minorBidi"/>
          <w:sz w:val="22"/>
          <w:szCs w:val="22"/>
        </w:rPr>
        <w:t xml:space="preserve">. Available at: </w:t>
      </w:r>
      <w:hyperlink r:id="rId28" w:tgtFrame="_blank" w:history="1">
        <w:r w:rsidRPr="00185A4C">
          <w:rPr>
            <w:rStyle w:val="Hyperlink"/>
            <w:rFonts w:asciiTheme="minorBidi" w:hAnsiTheme="minorBidi"/>
            <w:sz w:val="22"/>
            <w:szCs w:val="22"/>
          </w:rPr>
          <w:t>https://www.innocentdrinks.co.uk</w:t>
        </w:r>
      </w:hyperlink>
      <w:r w:rsidRPr="00185A4C">
        <w:rPr>
          <w:rFonts w:asciiTheme="minorBidi" w:hAnsiTheme="minorBidi"/>
          <w:sz w:val="22"/>
          <w:szCs w:val="22"/>
        </w:rPr>
        <w:t xml:space="preserve"> (Accessed: 23 February 2026).</w:t>
      </w:r>
    </w:p>
    <w:p w14:paraId="22863E68"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Innocent Drinks (2026) </w:t>
      </w:r>
      <w:r w:rsidRPr="00185A4C">
        <w:rPr>
          <w:rFonts w:asciiTheme="minorBidi" w:hAnsiTheme="minorBidi"/>
          <w:i/>
          <w:iCs/>
          <w:sz w:val="22"/>
          <w:szCs w:val="22"/>
        </w:rPr>
        <w:t>A bit about us</w:t>
      </w:r>
      <w:r w:rsidRPr="00185A4C">
        <w:rPr>
          <w:rFonts w:asciiTheme="minorBidi" w:hAnsiTheme="minorBidi"/>
          <w:sz w:val="22"/>
          <w:szCs w:val="22"/>
        </w:rPr>
        <w:t xml:space="preserve">. Available at: </w:t>
      </w:r>
      <w:hyperlink r:id="rId29" w:tgtFrame="_blank" w:history="1">
        <w:r w:rsidRPr="00185A4C">
          <w:rPr>
            <w:rStyle w:val="Hyperlink"/>
            <w:rFonts w:asciiTheme="minorBidi" w:hAnsiTheme="minorBidi"/>
            <w:sz w:val="22"/>
            <w:szCs w:val="22"/>
          </w:rPr>
          <w:t>https://www.innocentdrinks.co.uk/a-bit-about-us</w:t>
        </w:r>
      </w:hyperlink>
      <w:r w:rsidRPr="00185A4C">
        <w:rPr>
          <w:rFonts w:asciiTheme="minorBidi" w:hAnsiTheme="minorBidi"/>
          <w:sz w:val="22"/>
          <w:szCs w:val="22"/>
        </w:rPr>
        <w:t xml:space="preserve"> (Accessed: 24 February 2026).</w:t>
      </w:r>
    </w:p>
    <w:p w14:paraId="0E9D5358" w14:textId="5829E767" w:rsidR="00F06831" w:rsidRDefault="00F06831" w:rsidP="00F06831">
      <w:pPr>
        <w:spacing w:line="360" w:lineRule="auto"/>
        <w:rPr>
          <w:rFonts w:asciiTheme="minorBidi" w:hAnsiTheme="minorBidi"/>
          <w:sz w:val="22"/>
          <w:szCs w:val="22"/>
        </w:rPr>
      </w:pPr>
      <w:r w:rsidRPr="00F06831">
        <w:rPr>
          <w:rFonts w:asciiTheme="minorBidi" w:hAnsiTheme="minorBidi"/>
          <w:sz w:val="22"/>
          <w:szCs w:val="22"/>
        </w:rPr>
        <w:t xml:space="preserve">Intergovernmental Panel on Climate Change (IPCC) (2023) </w:t>
      </w:r>
      <w:r w:rsidRPr="00F06831">
        <w:rPr>
          <w:rFonts w:asciiTheme="minorBidi" w:hAnsiTheme="minorBidi"/>
          <w:i/>
          <w:iCs/>
          <w:sz w:val="22"/>
          <w:szCs w:val="22"/>
        </w:rPr>
        <w:t>Climate Change 2023:</w:t>
      </w:r>
      <w:r>
        <w:rPr>
          <w:rFonts w:asciiTheme="minorBidi" w:hAnsiTheme="minorBidi"/>
          <w:i/>
          <w:iCs/>
          <w:sz w:val="22"/>
          <w:szCs w:val="22"/>
        </w:rPr>
        <w:t xml:space="preserve"> </w:t>
      </w:r>
      <w:r w:rsidRPr="00F06831">
        <w:rPr>
          <w:rFonts w:asciiTheme="minorBidi" w:hAnsiTheme="minorBidi"/>
          <w:i/>
          <w:iCs/>
          <w:sz w:val="22"/>
          <w:szCs w:val="22"/>
        </w:rPr>
        <w:t>Synthesis Report. Contribution of Working Groups I, II and III to the Sixth Assessment Report of the Intergovernmental Panel on Climate Change</w:t>
      </w:r>
      <w:r w:rsidRPr="00F06831">
        <w:rPr>
          <w:rFonts w:asciiTheme="minorBidi" w:hAnsiTheme="minorBidi"/>
          <w:sz w:val="22"/>
          <w:szCs w:val="22"/>
        </w:rPr>
        <w:t xml:space="preserve">. Available at: </w:t>
      </w:r>
      <w:hyperlink r:id="rId30" w:tgtFrame="_blank" w:history="1">
        <w:r w:rsidRPr="00F06831">
          <w:rPr>
            <w:rStyle w:val="Hyperlink"/>
            <w:rFonts w:asciiTheme="minorBidi" w:hAnsiTheme="minorBidi"/>
            <w:sz w:val="22"/>
            <w:szCs w:val="22"/>
          </w:rPr>
          <w:t>https://www.ipcc.ch/report/ar6/syr/</w:t>
        </w:r>
      </w:hyperlink>
      <w:r w:rsidRPr="00F06831">
        <w:rPr>
          <w:rFonts w:asciiTheme="minorBidi" w:hAnsiTheme="minorBidi"/>
          <w:sz w:val="22"/>
          <w:szCs w:val="22"/>
        </w:rPr>
        <w:t xml:space="preserve"> (Accessed: 25 February 2026).</w:t>
      </w:r>
    </w:p>
    <w:p w14:paraId="24005EE1" w14:textId="5DA49963" w:rsidR="000912A9" w:rsidRPr="00185A4C" w:rsidRDefault="000912A9" w:rsidP="00F06831">
      <w:pPr>
        <w:spacing w:line="360" w:lineRule="auto"/>
        <w:rPr>
          <w:rFonts w:asciiTheme="minorBidi" w:hAnsiTheme="minorBidi"/>
          <w:sz w:val="22"/>
          <w:szCs w:val="22"/>
        </w:rPr>
      </w:pPr>
      <w:r w:rsidRPr="00185A4C">
        <w:rPr>
          <w:rFonts w:asciiTheme="minorBidi" w:hAnsiTheme="minorBidi"/>
          <w:sz w:val="22"/>
          <w:szCs w:val="22"/>
        </w:rPr>
        <w:t xml:space="preserve">Johnson, G., Scholes, K. and Whittington, R. (2022) </w:t>
      </w:r>
      <w:r w:rsidRPr="00185A4C">
        <w:rPr>
          <w:rFonts w:asciiTheme="minorBidi" w:hAnsiTheme="minorBidi"/>
          <w:i/>
          <w:iCs/>
          <w:sz w:val="22"/>
          <w:szCs w:val="22"/>
        </w:rPr>
        <w:t>Exploring strategy</w:t>
      </w:r>
      <w:r w:rsidRPr="00185A4C">
        <w:rPr>
          <w:rFonts w:asciiTheme="minorBidi" w:hAnsiTheme="minorBidi"/>
          <w:sz w:val="22"/>
          <w:szCs w:val="22"/>
        </w:rPr>
        <w:t>. 12th edn. Harlow: Pearson.</w:t>
      </w:r>
    </w:p>
    <w:p w14:paraId="3D449C61"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lastRenderedPageBreak/>
        <w:t xml:space="preserve">Kaplan, R. S. and Norton, D. P. (1996) ‘Using the balanced scorecard as a strategic management system’, </w:t>
      </w:r>
      <w:r w:rsidRPr="00185A4C">
        <w:rPr>
          <w:rFonts w:asciiTheme="minorBidi" w:hAnsiTheme="minorBidi"/>
          <w:i/>
          <w:iCs/>
          <w:sz w:val="22"/>
          <w:szCs w:val="22"/>
        </w:rPr>
        <w:t>Harvard Business Review</w:t>
      </w:r>
      <w:r w:rsidRPr="00185A4C">
        <w:rPr>
          <w:rFonts w:asciiTheme="minorBidi" w:hAnsiTheme="minorBidi"/>
          <w:sz w:val="22"/>
          <w:szCs w:val="22"/>
        </w:rPr>
        <w:t>, 74 (1), pp. 75–85.</w:t>
      </w:r>
    </w:p>
    <w:p w14:paraId="0C300963"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Mintel (2023) </w:t>
      </w:r>
      <w:r w:rsidRPr="00185A4C">
        <w:rPr>
          <w:rFonts w:asciiTheme="minorBidi" w:hAnsiTheme="minorBidi"/>
          <w:i/>
          <w:iCs/>
          <w:sz w:val="22"/>
          <w:szCs w:val="22"/>
        </w:rPr>
        <w:t>UK juice and smoothie market report</w:t>
      </w:r>
      <w:r w:rsidRPr="00185A4C">
        <w:rPr>
          <w:rFonts w:asciiTheme="minorBidi" w:hAnsiTheme="minorBidi"/>
          <w:sz w:val="22"/>
          <w:szCs w:val="22"/>
        </w:rPr>
        <w:t xml:space="preserve">. Available at: </w:t>
      </w:r>
      <w:hyperlink r:id="rId31" w:tgtFrame="_blank" w:history="1">
        <w:r w:rsidRPr="00185A4C">
          <w:rPr>
            <w:rStyle w:val="Hyperlink"/>
            <w:rFonts w:asciiTheme="minorBidi" w:hAnsiTheme="minorBidi"/>
            <w:sz w:val="22"/>
            <w:szCs w:val="22"/>
          </w:rPr>
          <w:t>https://www.mintel.com</w:t>
        </w:r>
      </w:hyperlink>
      <w:r w:rsidRPr="00185A4C">
        <w:rPr>
          <w:rFonts w:asciiTheme="minorBidi" w:hAnsiTheme="minorBidi"/>
          <w:sz w:val="22"/>
          <w:szCs w:val="22"/>
        </w:rPr>
        <w:t xml:space="preserve"> (Accessed: 21 February 2026).</w:t>
      </w:r>
    </w:p>
    <w:p w14:paraId="29E4CDC5"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Office for National Statistics (2026) </w:t>
      </w:r>
      <w:r w:rsidRPr="00185A4C">
        <w:rPr>
          <w:rFonts w:asciiTheme="minorBidi" w:hAnsiTheme="minorBidi"/>
          <w:i/>
          <w:iCs/>
          <w:sz w:val="22"/>
          <w:szCs w:val="22"/>
        </w:rPr>
        <w:t>Consumer price inflation, UK: January 2026</w:t>
      </w:r>
      <w:r w:rsidRPr="00185A4C">
        <w:rPr>
          <w:rFonts w:asciiTheme="minorBidi" w:hAnsiTheme="minorBidi"/>
          <w:sz w:val="22"/>
          <w:szCs w:val="22"/>
        </w:rPr>
        <w:t xml:space="preserve">. Available at: </w:t>
      </w:r>
      <w:hyperlink r:id="rId32" w:tgtFrame="_blank" w:history="1">
        <w:r w:rsidRPr="00185A4C">
          <w:rPr>
            <w:rStyle w:val="Hyperlink"/>
            <w:rFonts w:asciiTheme="minorBidi" w:hAnsiTheme="minorBidi"/>
            <w:sz w:val="22"/>
            <w:szCs w:val="22"/>
          </w:rPr>
          <w:t>https://www.ons.gov.uk</w:t>
        </w:r>
      </w:hyperlink>
      <w:r w:rsidRPr="00185A4C">
        <w:rPr>
          <w:rFonts w:asciiTheme="minorBidi" w:hAnsiTheme="minorBidi"/>
          <w:sz w:val="22"/>
          <w:szCs w:val="22"/>
        </w:rPr>
        <w:t xml:space="preserve"> (Accessed: 21 February 2026).</w:t>
      </w:r>
    </w:p>
    <w:p w14:paraId="49B6B7E3"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Porter, M. E. (1980) </w:t>
      </w:r>
      <w:r w:rsidRPr="00185A4C">
        <w:rPr>
          <w:rFonts w:asciiTheme="minorBidi" w:hAnsiTheme="minorBidi"/>
          <w:i/>
          <w:iCs/>
          <w:sz w:val="22"/>
          <w:szCs w:val="22"/>
        </w:rPr>
        <w:t>Competitive strategy: techniques for analyzing industries and competitors</w:t>
      </w:r>
      <w:r w:rsidRPr="00185A4C">
        <w:rPr>
          <w:rFonts w:asciiTheme="minorBidi" w:hAnsiTheme="minorBidi"/>
          <w:sz w:val="22"/>
          <w:szCs w:val="22"/>
        </w:rPr>
        <w:t>. New York: Free Press.</w:t>
      </w:r>
    </w:p>
    <w:p w14:paraId="01B95796"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Porter, M. E. (1985) </w:t>
      </w:r>
      <w:r w:rsidRPr="00185A4C">
        <w:rPr>
          <w:rFonts w:asciiTheme="minorBidi" w:hAnsiTheme="minorBidi"/>
          <w:i/>
          <w:iCs/>
          <w:sz w:val="22"/>
          <w:szCs w:val="22"/>
        </w:rPr>
        <w:t>Competitive advantage: creating and sustaining superior performance</w:t>
      </w:r>
      <w:r w:rsidRPr="00185A4C">
        <w:rPr>
          <w:rFonts w:asciiTheme="minorBidi" w:hAnsiTheme="minorBidi"/>
          <w:sz w:val="22"/>
          <w:szCs w:val="22"/>
        </w:rPr>
        <w:t>. New York: Free Press.</w:t>
      </w:r>
    </w:p>
    <w:p w14:paraId="3E61B9FC"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Slack, N. and Lewis, M. (2017) </w:t>
      </w:r>
      <w:r w:rsidRPr="00185A4C">
        <w:rPr>
          <w:rFonts w:asciiTheme="minorBidi" w:hAnsiTheme="minorBidi"/>
          <w:i/>
          <w:iCs/>
          <w:sz w:val="22"/>
          <w:szCs w:val="22"/>
        </w:rPr>
        <w:t>Operations strategy</w:t>
      </w:r>
      <w:r w:rsidRPr="00185A4C">
        <w:rPr>
          <w:rFonts w:asciiTheme="minorBidi" w:hAnsiTheme="minorBidi"/>
          <w:sz w:val="22"/>
          <w:szCs w:val="22"/>
        </w:rPr>
        <w:t>. 5th edn. Harlow: Pearson Education.</w:t>
      </w:r>
    </w:p>
    <w:p w14:paraId="4628BDA2"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Statista (2023) </w:t>
      </w:r>
      <w:r w:rsidRPr="00185A4C">
        <w:rPr>
          <w:rFonts w:asciiTheme="minorBidi" w:hAnsiTheme="minorBidi"/>
          <w:i/>
          <w:iCs/>
          <w:sz w:val="22"/>
          <w:szCs w:val="22"/>
        </w:rPr>
        <w:t>Plant-based beverage market statistics UK</w:t>
      </w:r>
      <w:r w:rsidRPr="00185A4C">
        <w:rPr>
          <w:rFonts w:asciiTheme="minorBidi" w:hAnsiTheme="minorBidi"/>
          <w:sz w:val="22"/>
          <w:szCs w:val="22"/>
        </w:rPr>
        <w:t xml:space="preserve">. Available at: </w:t>
      </w:r>
      <w:hyperlink r:id="rId33" w:tgtFrame="_blank" w:history="1">
        <w:r w:rsidRPr="00185A4C">
          <w:rPr>
            <w:rStyle w:val="Hyperlink"/>
            <w:rFonts w:asciiTheme="minorBidi" w:hAnsiTheme="minorBidi"/>
            <w:sz w:val="22"/>
            <w:szCs w:val="22"/>
          </w:rPr>
          <w:t>https://www.statista.com</w:t>
        </w:r>
      </w:hyperlink>
      <w:r w:rsidRPr="00185A4C">
        <w:rPr>
          <w:rFonts w:asciiTheme="minorBidi" w:hAnsiTheme="minorBidi"/>
          <w:sz w:val="22"/>
          <w:szCs w:val="22"/>
        </w:rPr>
        <w:t xml:space="preserve"> (Accessed: 28 February 2026).</w:t>
      </w:r>
    </w:p>
    <w:p w14:paraId="23FFCC77"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UK Government (2026) </w:t>
      </w:r>
      <w:r w:rsidRPr="00185A4C">
        <w:rPr>
          <w:rFonts w:asciiTheme="minorBidi" w:hAnsiTheme="minorBidi"/>
          <w:i/>
          <w:iCs/>
          <w:sz w:val="22"/>
          <w:szCs w:val="22"/>
        </w:rPr>
        <w:t>The UK-EU Trade and Cooperation Agreement</w:t>
      </w:r>
      <w:r w:rsidRPr="00185A4C">
        <w:rPr>
          <w:rFonts w:asciiTheme="minorBidi" w:hAnsiTheme="minorBidi"/>
          <w:sz w:val="22"/>
          <w:szCs w:val="22"/>
        </w:rPr>
        <w:t xml:space="preserve">. Available at: </w:t>
      </w:r>
      <w:hyperlink r:id="rId34" w:tgtFrame="_blank" w:history="1">
        <w:r w:rsidRPr="00185A4C">
          <w:rPr>
            <w:rStyle w:val="Hyperlink"/>
            <w:rFonts w:asciiTheme="minorBidi" w:hAnsiTheme="minorBidi"/>
            <w:sz w:val="22"/>
            <w:szCs w:val="22"/>
          </w:rPr>
          <w:t>https://www.gov.uk</w:t>
        </w:r>
      </w:hyperlink>
      <w:r w:rsidRPr="00185A4C">
        <w:rPr>
          <w:rFonts w:asciiTheme="minorBidi" w:hAnsiTheme="minorBidi"/>
          <w:sz w:val="22"/>
          <w:szCs w:val="22"/>
        </w:rPr>
        <w:t xml:space="preserve"> (Accessed: 27 February 2026).</w:t>
      </w:r>
    </w:p>
    <w:p w14:paraId="2753B830" w14:textId="77777777"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Weihrich, H. (1982) ‘The TOWS matrix: a tool for situational analysis’, </w:t>
      </w:r>
      <w:r w:rsidRPr="00185A4C">
        <w:rPr>
          <w:rFonts w:asciiTheme="minorBidi" w:hAnsiTheme="minorBidi"/>
          <w:i/>
          <w:iCs/>
          <w:sz w:val="22"/>
          <w:szCs w:val="22"/>
        </w:rPr>
        <w:t>Long Range Planning</w:t>
      </w:r>
      <w:r w:rsidRPr="00185A4C">
        <w:rPr>
          <w:rFonts w:asciiTheme="minorBidi" w:hAnsiTheme="minorBidi"/>
          <w:sz w:val="22"/>
          <w:szCs w:val="22"/>
        </w:rPr>
        <w:t>, 15 (2), pp. 54-66.</w:t>
      </w:r>
    </w:p>
    <w:p w14:paraId="51CDE3CD" w14:textId="1D3EF13D" w:rsidR="000912A9" w:rsidRPr="00185A4C" w:rsidRDefault="000912A9" w:rsidP="006866A1">
      <w:pPr>
        <w:spacing w:line="360" w:lineRule="auto"/>
        <w:rPr>
          <w:rFonts w:asciiTheme="minorBidi" w:hAnsiTheme="minorBidi"/>
          <w:sz w:val="22"/>
          <w:szCs w:val="22"/>
        </w:rPr>
      </w:pPr>
      <w:r w:rsidRPr="00185A4C">
        <w:rPr>
          <w:rFonts w:asciiTheme="minorBidi" w:hAnsiTheme="minorBidi"/>
          <w:sz w:val="22"/>
          <w:szCs w:val="22"/>
        </w:rPr>
        <w:t xml:space="preserve">WRAP (2026) </w:t>
      </w:r>
      <w:r w:rsidRPr="00185A4C">
        <w:rPr>
          <w:rFonts w:asciiTheme="minorBidi" w:hAnsiTheme="minorBidi"/>
          <w:i/>
          <w:iCs/>
          <w:sz w:val="22"/>
          <w:szCs w:val="22"/>
        </w:rPr>
        <w:t>The UK Plastics Pact</w:t>
      </w:r>
      <w:r w:rsidRPr="00185A4C">
        <w:rPr>
          <w:rFonts w:asciiTheme="minorBidi" w:hAnsiTheme="minorBidi"/>
          <w:sz w:val="22"/>
          <w:szCs w:val="22"/>
        </w:rPr>
        <w:t xml:space="preserve">. Available at: </w:t>
      </w:r>
      <w:hyperlink r:id="rId35" w:tgtFrame="_blank" w:history="1">
        <w:r w:rsidRPr="00185A4C">
          <w:rPr>
            <w:rStyle w:val="Hyperlink"/>
            <w:rFonts w:asciiTheme="minorBidi" w:hAnsiTheme="minorBidi"/>
            <w:sz w:val="22"/>
            <w:szCs w:val="22"/>
          </w:rPr>
          <w:t>https://www.wrap.org.uk</w:t>
        </w:r>
      </w:hyperlink>
      <w:r w:rsidRPr="00185A4C">
        <w:rPr>
          <w:rFonts w:asciiTheme="minorBidi" w:hAnsiTheme="minorBidi"/>
          <w:sz w:val="22"/>
          <w:szCs w:val="22"/>
        </w:rPr>
        <w:t xml:space="preserve"> (Accessed: </w:t>
      </w:r>
      <w:r w:rsidR="00185A4C" w:rsidRPr="00185A4C">
        <w:rPr>
          <w:rFonts w:asciiTheme="minorBidi" w:hAnsiTheme="minorBidi"/>
          <w:sz w:val="22"/>
          <w:szCs w:val="22"/>
        </w:rPr>
        <w:t>8 March</w:t>
      </w:r>
      <w:r w:rsidRPr="00185A4C">
        <w:rPr>
          <w:rFonts w:asciiTheme="minorBidi" w:hAnsiTheme="minorBidi"/>
          <w:sz w:val="22"/>
          <w:szCs w:val="22"/>
        </w:rPr>
        <w:t xml:space="preserve"> 2026).</w:t>
      </w:r>
    </w:p>
    <w:p w14:paraId="489DAEFC" w14:textId="77777777" w:rsidR="00431150" w:rsidRPr="00602670" w:rsidRDefault="00431150" w:rsidP="00185A4C">
      <w:pPr>
        <w:spacing w:line="360" w:lineRule="auto"/>
        <w:jc w:val="both"/>
        <w:rPr>
          <w:rFonts w:asciiTheme="minorBidi" w:hAnsiTheme="minorBidi"/>
          <w:sz w:val="22"/>
          <w:szCs w:val="22"/>
        </w:rPr>
      </w:pPr>
    </w:p>
    <w:sectPr w:rsidR="00431150" w:rsidRPr="00602670" w:rsidSect="005F18B6">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7F89B" w14:textId="77777777" w:rsidR="00E8459A" w:rsidRDefault="00E8459A" w:rsidP="005F18B6">
      <w:pPr>
        <w:spacing w:after="0" w:line="240" w:lineRule="auto"/>
      </w:pPr>
      <w:r>
        <w:separator/>
      </w:r>
    </w:p>
  </w:endnote>
  <w:endnote w:type="continuationSeparator" w:id="0">
    <w:p w14:paraId="653B49C0" w14:textId="77777777" w:rsidR="00E8459A" w:rsidRDefault="00E8459A" w:rsidP="005F1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280369"/>
      <w:docPartObj>
        <w:docPartGallery w:val="Page Numbers (Bottom of Page)"/>
        <w:docPartUnique/>
      </w:docPartObj>
    </w:sdtPr>
    <w:sdtEndPr>
      <w:rPr>
        <w:noProof/>
      </w:rPr>
    </w:sdtEndPr>
    <w:sdtContent>
      <w:p w14:paraId="4CB440AC" w14:textId="36FE1591" w:rsidR="005F18B6" w:rsidRDefault="005F18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4EF606" w14:textId="77777777" w:rsidR="005F18B6" w:rsidRDefault="005F1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E5235" w14:textId="77777777" w:rsidR="00E8459A" w:rsidRDefault="00E8459A" w:rsidP="005F18B6">
      <w:pPr>
        <w:spacing w:after="0" w:line="240" w:lineRule="auto"/>
      </w:pPr>
      <w:r>
        <w:separator/>
      </w:r>
    </w:p>
  </w:footnote>
  <w:footnote w:type="continuationSeparator" w:id="0">
    <w:p w14:paraId="5EB8D61B" w14:textId="77777777" w:rsidR="00E8459A" w:rsidRDefault="00E8459A" w:rsidP="005F18B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EA2oe9uc2DlNj" int2:id="9a6IjWh9">
      <int2:state int2:value="Rejected" int2:type="spell"/>
    </int2:textHash>
    <int2:textHash int2:hashCode="+I98HFB1a9ucVr" int2:id="D3UZtbg2">
      <int2:state int2:value="Rejected" int2:type="spell"/>
    </int2:textHash>
    <int2:textHash int2:hashCode="U7ChsvrfTgQM3C" int2:id="H6uAU2f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002"/>
    <w:multiLevelType w:val="hybridMultilevel"/>
    <w:tmpl w:val="44E0B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545CF"/>
    <w:multiLevelType w:val="multilevel"/>
    <w:tmpl w:val="99FCF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DA35BB"/>
    <w:multiLevelType w:val="hybridMultilevel"/>
    <w:tmpl w:val="1BFE4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4E64B4"/>
    <w:multiLevelType w:val="hybridMultilevel"/>
    <w:tmpl w:val="3FCCF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0B0A82"/>
    <w:multiLevelType w:val="multilevel"/>
    <w:tmpl w:val="7868B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12AEEC"/>
    <w:multiLevelType w:val="hybridMultilevel"/>
    <w:tmpl w:val="162C1E7E"/>
    <w:lvl w:ilvl="0" w:tplc="2BA4A4E0">
      <w:start w:val="1"/>
      <w:numFmt w:val="decimal"/>
      <w:lvlText w:val="%1."/>
      <w:lvlJc w:val="left"/>
      <w:pPr>
        <w:ind w:left="720" w:hanging="360"/>
      </w:pPr>
    </w:lvl>
    <w:lvl w:ilvl="1" w:tplc="A86EFA54">
      <w:start w:val="1"/>
      <w:numFmt w:val="lowerLetter"/>
      <w:lvlText w:val="%2."/>
      <w:lvlJc w:val="left"/>
      <w:pPr>
        <w:ind w:left="1440" w:hanging="360"/>
      </w:pPr>
    </w:lvl>
    <w:lvl w:ilvl="2" w:tplc="10CA7260">
      <w:start w:val="1"/>
      <w:numFmt w:val="lowerRoman"/>
      <w:lvlText w:val="%3."/>
      <w:lvlJc w:val="right"/>
      <w:pPr>
        <w:ind w:left="2160" w:hanging="180"/>
      </w:pPr>
    </w:lvl>
    <w:lvl w:ilvl="3" w:tplc="5C94FD50">
      <w:start w:val="1"/>
      <w:numFmt w:val="decimal"/>
      <w:lvlText w:val="%4."/>
      <w:lvlJc w:val="left"/>
      <w:pPr>
        <w:ind w:left="2880" w:hanging="360"/>
      </w:pPr>
    </w:lvl>
    <w:lvl w:ilvl="4" w:tplc="A45854F2">
      <w:start w:val="1"/>
      <w:numFmt w:val="lowerLetter"/>
      <w:lvlText w:val="%5."/>
      <w:lvlJc w:val="left"/>
      <w:pPr>
        <w:ind w:left="3600" w:hanging="360"/>
      </w:pPr>
    </w:lvl>
    <w:lvl w:ilvl="5" w:tplc="53E00D76">
      <w:start w:val="1"/>
      <w:numFmt w:val="lowerRoman"/>
      <w:lvlText w:val="%6."/>
      <w:lvlJc w:val="right"/>
      <w:pPr>
        <w:ind w:left="4320" w:hanging="180"/>
      </w:pPr>
    </w:lvl>
    <w:lvl w:ilvl="6" w:tplc="B8FE67D4">
      <w:start w:val="1"/>
      <w:numFmt w:val="decimal"/>
      <w:lvlText w:val="%7."/>
      <w:lvlJc w:val="left"/>
      <w:pPr>
        <w:ind w:left="5040" w:hanging="360"/>
      </w:pPr>
    </w:lvl>
    <w:lvl w:ilvl="7" w:tplc="9580BE4A">
      <w:start w:val="1"/>
      <w:numFmt w:val="lowerLetter"/>
      <w:lvlText w:val="%8."/>
      <w:lvlJc w:val="left"/>
      <w:pPr>
        <w:ind w:left="5760" w:hanging="360"/>
      </w:pPr>
    </w:lvl>
    <w:lvl w:ilvl="8" w:tplc="906E5AF0">
      <w:start w:val="1"/>
      <w:numFmt w:val="lowerRoman"/>
      <w:lvlText w:val="%9."/>
      <w:lvlJc w:val="right"/>
      <w:pPr>
        <w:ind w:left="6480" w:hanging="180"/>
      </w:pPr>
    </w:lvl>
  </w:abstractNum>
  <w:abstractNum w:abstractNumId="6" w15:restartNumberingAfterBreak="0">
    <w:nsid w:val="405D7490"/>
    <w:multiLevelType w:val="hybridMultilevel"/>
    <w:tmpl w:val="ED347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DF724C"/>
    <w:multiLevelType w:val="hybridMultilevel"/>
    <w:tmpl w:val="57E43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150086"/>
    <w:multiLevelType w:val="hybridMultilevel"/>
    <w:tmpl w:val="826CF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8E2AA1"/>
    <w:multiLevelType w:val="hybridMultilevel"/>
    <w:tmpl w:val="EEBAE766"/>
    <w:lvl w:ilvl="0" w:tplc="0F98826C">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FC3338"/>
    <w:multiLevelType w:val="hybridMultilevel"/>
    <w:tmpl w:val="6C324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4880038">
    <w:abstractNumId w:val="5"/>
  </w:num>
  <w:num w:numId="2" w16cid:durableId="1217161712">
    <w:abstractNumId w:val="4"/>
  </w:num>
  <w:num w:numId="3" w16cid:durableId="200090135">
    <w:abstractNumId w:val="1"/>
  </w:num>
  <w:num w:numId="4" w16cid:durableId="1243489784">
    <w:abstractNumId w:val="8"/>
  </w:num>
  <w:num w:numId="5" w16cid:durableId="306469972">
    <w:abstractNumId w:val="7"/>
  </w:num>
  <w:num w:numId="6" w16cid:durableId="1733305053">
    <w:abstractNumId w:val="2"/>
  </w:num>
  <w:num w:numId="7" w16cid:durableId="857155285">
    <w:abstractNumId w:val="0"/>
  </w:num>
  <w:num w:numId="8" w16cid:durableId="1533110259">
    <w:abstractNumId w:val="3"/>
  </w:num>
  <w:num w:numId="9" w16cid:durableId="2125030902">
    <w:abstractNumId w:val="10"/>
  </w:num>
  <w:num w:numId="10" w16cid:durableId="481853214">
    <w:abstractNumId w:val="9"/>
  </w:num>
  <w:num w:numId="11" w16cid:durableId="10542347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670"/>
    <w:rsid w:val="000912A9"/>
    <w:rsid w:val="000A7A2C"/>
    <w:rsid w:val="000C15A7"/>
    <w:rsid w:val="000C2B41"/>
    <w:rsid w:val="00135B33"/>
    <w:rsid w:val="00156C55"/>
    <w:rsid w:val="00185A4C"/>
    <w:rsid w:val="001D68C2"/>
    <w:rsid w:val="001F3F3E"/>
    <w:rsid w:val="002014C4"/>
    <w:rsid w:val="00202B41"/>
    <w:rsid w:val="00260422"/>
    <w:rsid w:val="002855B9"/>
    <w:rsid w:val="002B5191"/>
    <w:rsid w:val="0038241B"/>
    <w:rsid w:val="003B0E1A"/>
    <w:rsid w:val="00431150"/>
    <w:rsid w:val="0045717B"/>
    <w:rsid w:val="00464EB1"/>
    <w:rsid w:val="00490CF9"/>
    <w:rsid w:val="004A39F8"/>
    <w:rsid w:val="005268B1"/>
    <w:rsid w:val="00563F2C"/>
    <w:rsid w:val="00572E0B"/>
    <w:rsid w:val="005942B7"/>
    <w:rsid w:val="005C5856"/>
    <w:rsid w:val="005F18B6"/>
    <w:rsid w:val="005F45BA"/>
    <w:rsid w:val="00602670"/>
    <w:rsid w:val="00624A16"/>
    <w:rsid w:val="006866A1"/>
    <w:rsid w:val="006B3619"/>
    <w:rsid w:val="006C5E81"/>
    <w:rsid w:val="006D1475"/>
    <w:rsid w:val="006D2917"/>
    <w:rsid w:val="006E2C19"/>
    <w:rsid w:val="00717A58"/>
    <w:rsid w:val="00761496"/>
    <w:rsid w:val="00762659"/>
    <w:rsid w:val="00777D18"/>
    <w:rsid w:val="007A430F"/>
    <w:rsid w:val="007D366E"/>
    <w:rsid w:val="008072B8"/>
    <w:rsid w:val="00815CF1"/>
    <w:rsid w:val="009004E8"/>
    <w:rsid w:val="00931BD2"/>
    <w:rsid w:val="00996CE7"/>
    <w:rsid w:val="009C06D5"/>
    <w:rsid w:val="009C79EC"/>
    <w:rsid w:val="009D7FC8"/>
    <w:rsid w:val="00A22763"/>
    <w:rsid w:val="00A5289A"/>
    <w:rsid w:val="00A60C73"/>
    <w:rsid w:val="00A6492B"/>
    <w:rsid w:val="00AE3165"/>
    <w:rsid w:val="00B60FA6"/>
    <w:rsid w:val="00B70650"/>
    <w:rsid w:val="00BC5627"/>
    <w:rsid w:val="00BE7019"/>
    <w:rsid w:val="00C30078"/>
    <w:rsid w:val="00C36A1F"/>
    <w:rsid w:val="00C438B6"/>
    <w:rsid w:val="00C52DB5"/>
    <w:rsid w:val="00C944C1"/>
    <w:rsid w:val="00CB5E42"/>
    <w:rsid w:val="00CC23D1"/>
    <w:rsid w:val="00D7079E"/>
    <w:rsid w:val="00E07A67"/>
    <w:rsid w:val="00E40813"/>
    <w:rsid w:val="00E60DE1"/>
    <w:rsid w:val="00E61A78"/>
    <w:rsid w:val="00E6463A"/>
    <w:rsid w:val="00E8459A"/>
    <w:rsid w:val="00F05089"/>
    <w:rsid w:val="00F06831"/>
    <w:rsid w:val="00F5280E"/>
    <w:rsid w:val="00F95724"/>
    <w:rsid w:val="00FB64EC"/>
    <w:rsid w:val="00FF6EE1"/>
    <w:rsid w:val="03183508"/>
    <w:rsid w:val="05773629"/>
    <w:rsid w:val="06D63AD5"/>
    <w:rsid w:val="08D3E6D8"/>
    <w:rsid w:val="0ACB4535"/>
    <w:rsid w:val="0B7702A0"/>
    <w:rsid w:val="0C362F68"/>
    <w:rsid w:val="102278E8"/>
    <w:rsid w:val="135E4E45"/>
    <w:rsid w:val="161C5ADB"/>
    <w:rsid w:val="17FBD5DC"/>
    <w:rsid w:val="1C7DAED4"/>
    <w:rsid w:val="23E8D8D0"/>
    <w:rsid w:val="24DA0EDE"/>
    <w:rsid w:val="2764FFD1"/>
    <w:rsid w:val="295FDDF8"/>
    <w:rsid w:val="2C8D55FA"/>
    <w:rsid w:val="2EBE7C12"/>
    <w:rsid w:val="30039E49"/>
    <w:rsid w:val="307459A2"/>
    <w:rsid w:val="37AE7D86"/>
    <w:rsid w:val="38F49917"/>
    <w:rsid w:val="39FFBB5A"/>
    <w:rsid w:val="3B7DE8E5"/>
    <w:rsid w:val="3D0A5FA7"/>
    <w:rsid w:val="3F558F5B"/>
    <w:rsid w:val="4027A987"/>
    <w:rsid w:val="44011AC1"/>
    <w:rsid w:val="458B0C04"/>
    <w:rsid w:val="45EEE233"/>
    <w:rsid w:val="47E1EA21"/>
    <w:rsid w:val="48691BAD"/>
    <w:rsid w:val="4A3D7418"/>
    <w:rsid w:val="4DD22FE4"/>
    <w:rsid w:val="4FEE615A"/>
    <w:rsid w:val="50491725"/>
    <w:rsid w:val="516EBBD5"/>
    <w:rsid w:val="54409B1C"/>
    <w:rsid w:val="54C5F9FD"/>
    <w:rsid w:val="5578EDF9"/>
    <w:rsid w:val="5959A168"/>
    <w:rsid w:val="5D9F5EBA"/>
    <w:rsid w:val="5E02ED78"/>
    <w:rsid w:val="5E36C7E2"/>
    <w:rsid w:val="5EE4DC74"/>
    <w:rsid w:val="649D7B23"/>
    <w:rsid w:val="64E14859"/>
    <w:rsid w:val="68A26960"/>
    <w:rsid w:val="695E6B6B"/>
    <w:rsid w:val="751C4825"/>
    <w:rsid w:val="7671793C"/>
    <w:rsid w:val="7B9B6CF0"/>
    <w:rsid w:val="7C17C24F"/>
    <w:rsid w:val="7FCD3C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4E722"/>
  <w15:chartTrackingRefBased/>
  <w15:docId w15:val="{15E5ACE5-2794-4F85-82BE-19D7D8FB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B41"/>
  </w:style>
  <w:style w:type="paragraph" w:styleId="Heading1">
    <w:name w:val="heading 1"/>
    <w:basedOn w:val="Normal"/>
    <w:next w:val="Normal"/>
    <w:link w:val="Heading1Char"/>
    <w:uiPriority w:val="9"/>
    <w:qFormat/>
    <w:rsid w:val="006026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26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26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26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26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26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26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26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26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6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26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26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26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26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26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26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26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2670"/>
    <w:rPr>
      <w:rFonts w:eastAsiaTheme="majorEastAsia" w:cstheme="majorBidi"/>
      <w:color w:val="272727" w:themeColor="text1" w:themeTint="D8"/>
    </w:rPr>
  </w:style>
  <w:style w:type="paragraph" w:styleId="Title">
    <w:name w:val="Title"/>
    <w:basedOn w:val="Normal"/>
    <w:next w:val="Normal"/>
    <w:link w:val="TitleChar"/>
    <w:uiPriority w:val="10"/>
    <w:qFormat/>
    <w:rsid w:val="006026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26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26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26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670"/>
    <w:pPr>
      <w:spacing w:before="160"/>
      <w:jc w:val="center"/>
    </w:pPr>
    <w:rPr>
      <w:i/>
      <w:iCs/>
      <w:color w:val="404040" w:themeColor="text1" w:themeTint="BF"/>
    </w:rPr>
  </w:style>
  <w:style w:type="character" w:customStyle="1" w:styleId="QuoteChar">
    <w:name w:val="Quote Char"/>
    <w:basedOn w:val="DefaultParagraphFont"/>
    <w:link w:val="Quote"/>
    <w:uiPriority w:val="29"/>
    <w:rsid w:val="00602670"/>
    <w:rPr>
      <w:i/>
      <w:iCs/>
      <w:color w:val="404040" w:themeColor="text1" w:themeTint="BF"/>
    </w:rPr>
  </w:style>
  <w:style w:type="paragraph" w:styleId="ListParagraph">
    <w:name w:val="List Paragraph"/>
    <w:basedOn w:val="Normal"/>
    <w:uiPriority w:val="34"/>
    <w:qFormat/>
    <w:rsid w:val="00602670"/>
    <w:pPr>
      <w:ind w:left="720"/>
      <w:contextualSpacing/>
    </w:pPr>
  </w:style>
  <w:style w:type="character" w:styleId="IntenseEmphasis">
    <w:name w:val="Intense Emphasis"/>
    <w:basedOn w:val="DefaultParagraphFont"/>
    <w:uiPriority w:val="21"/>
    <w:qFormat/>
    <w:rsid w:val="00602670"/>
    <w:rPr>
      <w:i/>
      <w:iCs/>
      <w:color w:val="0F4761" w:themeColor="accent1" w:themeShade="BF"/>
    </w:rPr>
  </w:style>
  <w:style w:type="paragraph" w:styleId="IntenseQuote">
    <w:name w:val="Intense Quote"/>
    <w:basedOn w:val="Normal"/>
    <w:next w:val="Normal"/>
    <w:link w:val="IntenseQuoteChar"/>
    <w:uiPriority w:val="30"/>
    <w:qFormat/>
    <w:rsid w:val="006026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2670"/>
    <w:rPr>
      <w:i/>
      <w:iCs/>
      <w:color w:val="0F4761" w:themeColor="accent1" w:themeShade="BF"/>
    </w:rPr>
  </w:style>
  <w:style w:type="character" w:styleId="IntenseReference">
    <w:name w:val="Intense Reference"/>
    <w:basedOn w:val="DefaultParagraphFont"/>
    <w:uiPriority w:val="32"/>
    <w:qFormat/>
    <w:rsid w:val="00602670"/>
    <w:rPr>
      <w:b/>
      <w:bCs/>
      <w:smallCaps/>
      <w:color w:val="0F4761" w:themeColor="accent1" w:themeShade="BF"/>
      <w:spacing w:val="5"/>
    </w:rPr>
  </w:style>
  <w:style w:type="paragraph" w:styleId="NormalWeb">
    <w:name w:val="Normal (Web)"/>
    <w:basedOn w:val="Normal"/>
    <w:uiPriority w:val="99"/>
    <w:semiHidden/>
    <w:unhideWhenUsed/>
    <w:rsid w:val="00E61A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61A78"/>
    <w:rPr>
      <w:b/>
      <w:bCs/>
    </w:rPr>
  </w:style>
  <w:style w:type="table" w:styleId="TableGrid">
    <w:name w:val="Table Grid"/>
    <w:basedOn w:val="TableNormal"/>
    <w:uiPriority w:val="39"/>
    <w:rsid w:val="000A7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Accent5">
    <w:name w:val="List Table 7 Colorful Accent 5"/>
    <w:basedOn w:val="TableNormal"/>
    <w:uiPriority w:val="52"/>
    <w:rsid w:val="000A7A2C"/>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6Colorful-Accent4">
    <w:name w:val="Grid Table 6 Colorful Accent 4"/>
    <w:basedOn w:val="TableNormal"/>
    <w:uiPriority w:val="51"/>
    <w:rsid w:val="000A7A2C"/>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Accent1">
    <w:name w:val="Grid Table 6 Colorful Accent 1"/>
    <w:basedOn w:val="TableNormal"/>
    <w:uiPriority w:val="51"/>
    <w:rsid w:val="00156C55"/>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1">
    <w:name w:val="Grid Table 2 Accent 1"/>
    <w:basedOn w:val="TableNormal"/>
    <w:uiPriority w:val="47"/>
    <w:rsid w:val="00FB64EC"/>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FB64E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Hyperlink">
    <w:name w:val="Hyperlink"/>
    <w:basedOn w:val="DefaultParagraphFont"/>
    <w:uiPriority w:val="99"/>
    <w:unhideWhenUsed/>
    <w:rsid w:val="00B60FA6"/>
    <w:rPr>
      <w:color w:val="467886" w:themeColor="hyperlink"/>
      <w:u w:val="single"/>
    </w:rPr>
  </w:style>
  <w:style w:type="character" w:styleId="UnresolvedMention">
    <w:name w:val="Unresolved Mention"/>
    <w:basedOn w:val="DefaultParagraphFont"/>
    <w:uiPriority w:val="99"/>
    <w:semiHidden/>
    <w:unhideWhenUsed/>
    <w:rsid w:val="00B60FA6"/>
    <w:rPr>
      <w:color w:val="605E5C"/>
      <w:shd w:val="clear" w:color="auto" w:fill="E1DFDD"/>
    </w:rPr>
  </w:style>
  <w:style w:type="paragraph" w:styleId="TOCHeading">
    <w:name w:val="TOC Heading"/>
    <w:basedOn w:val="Heading1"/>
    <w:next w:val="Normal"/>
    <w:uiPriority w:val="39"/>
    <w:unhideWhenUsed/>
    <w:qFormat/>
    <w:rsid w:val="00F5280E"/>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F5280E"/>
    <w:pPr>
      <w:spacing w:after="100"/>
    </w:pPr>
  </w:style>
  <w:style w:type="paragraph" w:styleId="TOC2">
    <w:name w:val="toc 2"/>
    <w:basedOn w:val="Normal"/>
    <w:next w:val="Normal"/>
    <w:autoRedefine/>
    <w:uiPriority w:val="39"/>
    <w:unhideWhenUsed/>
    <w:rsid w:val="00F5280E"/>
    <w:pPr>
      <w:spacing w:after="100"/>
      <w:ind w:left="240"/>
    </w:pPr>
  </w:style>
  <w:style w:type="paragraph" w:styleId="Header">
    <w:name w:val="header"/>
    <w:basedOn w:val="Normal"/>
    <w:link w:val="HeaderChar"/>
    <w:uiPriority w:val="99"/>
    <w:unhideWhenUsed/>
    <w:rsid w:val="005F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8B6"/>
  </w:style>
  <w:style w:type="paragraph" w:styleId="Footer">
    <w:name w:val="footer"/>
    <w:basedOn w:val="Normal"/>
    <w:link w:val="FooterChar"/>
    <w:uiPriority w:val="99"/>
    <w:unhideWhenUsed/>
    <w:rsid w:val="005F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8B6"/>
  </w:style>
  <w:style w:type="character" w:styleId="FollowedHyperlink">
    <w:name w:val="FollowedHyperlink"/>
    <w:basedOn w:val="DefaultParagraphFont"/>
    <w:uiPriority w:val="99"/>
    <w:semiHidden/>
    <w:unhideWhenUsed/>
    <w:rsid w:val="002B519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euromonitor.com" TargetMode="External"/><Relationship Id="rId39" Type="http://schemas.microsoft.com/office/2020/10/relationships/intelligence" Target="intelligence2.xml"/><Relationship Id="rId21" Type="http://schemas.openxmlformats.org/officeDocument/2006/relationships/image" Target="media/image11.png"/><Relationship Id="rId34" Type="http://schemas.openxmlformats.org/officeDocument/2006/relationships/hyperlink" Target="https://www.gov.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bcorporation.net/en-us/find-a-b-corp/company/innocent-drinks/" TargetMode="External"/><Relationship Id="rId33" Type="http://schemas.openxmlformats.org/officeDocument/2006/relationships/hyperlink" Target="https://www.statista.com"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innocentdrinks.co.uk/a-bit-about-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ons.gov.uk"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innocentdrinks.co.uk"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minte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12.png"/><Relationship Id="rId27" Type="http://schemas.openxmlformats.org/officeDocument/2006/relationships/hyperlink" Target="https://www.food.gov.uk" TargetMode="External"/><Relationship Id="rId30" Type="http://schemas.openxmlformats.org/officeDocument/2006/relationships/hyperlink" Target="https://www.ipcc.ch/report/ar6/syr/" TargetMode="External"/><Relationship Id="rId35" Type="http://schemas.openxmlformats.org/officeDocument/2006/relationships/hyperlink" Target="https://www.wrap.org.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0" ma:contentTypeDescription="Create a new document." ma:contentTypeScope="" ma:versionID="5787c81f38ad9ca613ac7109f56c8e3d">
  <xsd:schema xmlns:xsd="http://www.w3.org/2001/XMLSchema" xmlns:xs="http://www.w3.org/2001/XMLSchema" xmlns:p="http://schemas.microsoft.com/office/2006/metadata/properties" xmlns:ns3="a653a6be-78ee-4b80-ae82-fa43b262699b" targetNamespace="http://schemas.microsoft.com/office/2006/metadata/properties" ma:root="true" ma:fieldsID="8608a76d54831bd9dd341e2053ba72e4" ns3:_="">
    <xsd:import namespace="a653a6be-78ee-4b80-ae82-fa43b262699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AD9727E-6D86-4E47-9CE7-053A4ABD27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0EEC1B-A103-4B51-BF0C-B735CFCC0884}">
  <ds:schemaRefs>
    <ds:schemaRef ds:uri="http://schemas.microsoft.com/office/2006/metadata/properties"/>
    <ds:schemaRef ds:uri="http://schemas.microsoft.com/office/infopath/2007/PartnerControls"/>
    <ds:schemaRef ds:uri="a653a6be-78ee-4b80-ae82-fa43b262699b"/>
  </ds:schemaRefs>
</ds:datastoreItem>
</file>

<file path=customXml/itemProps3.xml><?xml version="1.0" encoding="utf-8"?>
<ds:datastoreItem xmlns:ds="http://schemas.openxmlformats.org/officeDocument/2006/customXml" ds:itemID="{F796018F-1A34-495C-9DA6-BDBC79CCCBB6}">
  <ds:schemaRefs>
    <ds:schemaRef ds:uri="http://schemas.openxmlformats.org/officeDocument/2006/bibliography"/>
  </ds:schemaRefs>
</ds:datastoreItem>
</file>

<file path=customXml/itemProps4.xml><?xml version="1.0" encoding="utf-8"?>
<ds:datastoreItem xmlns:ds="http://schemas.openxmlformats.org/officeDocument/2006/customXml" ds:itemID="{CC9BA7F1-5F5E-4A6F-B6C0-2BC5B3CB64E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4803</Words>
  <Characters>28919</Characters>
  <Application>Microsoft Office Word</Application>
  <DocSecurity>0</DocSecurity>
  <Lines>1522</Lines>
  <Paragraphs>347</Paragraphs>
  <ScaleCrop>false</ScaleCrop>
  <Company/>
  <LinksUpToDate>false</LinksUpToDate>
  <CharactersWithSpaces>33375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Bianca-Mihaela Pletea (2323235)</dc:creator>
  <cp:keywords/>
  <dc:description/>
  <cp:lastModifiedBy>Bianca-Mihaela Pletea (2323235)</cp:lastModifiedBy>
  <cp:revision>3</cp:revision>
  <dcterms:created xsi:type="dcterms:W3CDTF">2026-03-08T22:19:00Z</dcterms:created>
  <dcterms:modified xsi:type="dcterms:W3CDTF">2026-03-11T21:42:00Z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