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6AA04" w14:textId="316A076B" w:rsidR="005B6EE0" w:rsidRDefault="009426D4" w:rsidP="00760146">
      <w:pPr>
        <w:ind w:right="0"/>
        <w:jc w:val="both"/>
      </w:pPr>
      <w:r>
        <w:rPr>
          <w:noProof/>
        </w:rPr>
        <w:drawing>
          <wp:anchor distT="0" distB="0" distL="114300" distR="114300" simplePos="0" relativeHeight="251660288" behindDoc="0" locked="0" layoutInCell="1" allowOverlap="1" wp14:anchorId="15DA2A4F" wp14:editId="17FBEC5E">
            <wp:simplePos x="0" y="0"/>
            <wp:positionH relativeFrom="margin">
              <wp:posOffset>-152400</wp:posOffset>
            </wp:positionH>
            <wp:positionV relativeFrom="paragraph">
              <wp:posOffset>0</wp:posOffset>
            </wp:positionV>
            <wp:extent cx="6370320" cy="2476500"/>
            <wp:effectExtent l="0" t="0" r="0" b="0"/>
            <wp:wrapSquare wrapText="bothSides"/>
            <wp:docPr id="15406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70320" cy="2476500"/>
                    </a:xfrm>
                    <a:prstGeom prst="rect">
                      <a:avLst/>
                    </a:prstGeom>
                    <a:noFill/>
                  </pic:spPr>
                </pic:pic>
              </a:graphicData>
            </a:graphic>
            <wp14:sizeRelH relativeFrom="margin">
              <wp14:pctWidth>0</wp14:pctWidth>
            </wp14:sizeRelH>
            <wp14:sizeRelV relativeFrom="margin">
              <wp14:pctHeight>0</wp14:pctHeight>
            </wp14:sizeRelV>
          </wp:anchor>
        </w:drawing>
      </w:r>
    </w:p>
    <w:p w14:paraId="26A13A14" w14:textId="5637B00F" w:rsidR="005B6EE0" w:rsidRDefault="005B6EE0" w:rsidP="00760146">
      <w:pPr>
        <w:ind w:right="0"/>
        <w:jc w:val="both"/>
      </w:pPr>
    </w:p>
    <w:p w14:paraId="6C7CBBF6" w14:textId="77777777" w:rsidR="005B6EE0" w:rsidRDefault="005B6EE0" w:rsidP="00760146">
      <w:pPr>
        <w:ind w:right="0"/>
        <w:jc w:val="both"/>
      </w:pPr>
    </w:p>
    <w:p w14:paraId="29822C04" w14:textId="4A79F067" w:rsidR="005B6EE0" w:rsidRPr="00165F8A" w:rsidRDefault="00350FFD" w:rsidP="00760146">
      <w:pPr>
        <w:ind w:right="0"/>
        <w:jc w:val="both"/>
        <w:rPr>
          <w:rFonts w:ascii="Arial" w:hAnsi="Arial" w:cs="Arial"/>
          <w:b/>
          <w:bCs/>
          <w:sz w:val="48"/>
          <w:szCs w:val="48"/>
        </w:rPr>
      </w:pPr>
      <w:r w:rsidRPr="00165F8A">
        <w:rPr>
          <w:rFonts w:ascii="Arial" w:hAnsi="Arial" w:cs="Arial"/>
          <w:b/>
          <w:bCs/>
          <w:sz w:val="48"/>
          <w:szCs w:val="48"/>
        </w:rPr>
        <w:t>NAME: JAMUTHRA SRIKUMAR</w:t>
      </w:r>
    </w:p>
    <w:p w14:paraId="3951316E" w14:textId="4F33E6D4" w:rsidR="00350FFD" w:rsidRPr="00165F8A" w:rsidRDefault="00350FFD" w:rsidP="00760146">
      <w:pPr>
        <w:ind w:right="0"/>
        <w:jc w:val="both"/>
        <w:rPr>
          <w:rFonts w:ascii="Arial" w:hAnsi="Arial" w:cs="Arial"/>
          <w:b/>
          <w:bCs/>
          <w:sz w:val="48"/>
          <w:szCs w:val="48"/>
        </w:rPr>
      </w:pPr>
      <w:r w:rsidRPr="00165F8A">
        <w:rPr>
          <w:rFonts w:ascii="Arial" w:hAnsi="Arial" w:cs="Arial"/>
          <w:b/>
          <w:bCs/>
          <w:sz w:val="48"/>
          <w:szCs w:val="48"/>
        </w:rPr>
        <w:t xml:space="preserve">MODULE: LCLM6005 </w:t>
      </w:r>
      <w:r w:rsidR="007C5627" w:rsidRPr="00165F8A">
        <w:rPr>
          <w:rFonts w:ascii="Arial" w:hAnsi="Arial" w:cs="Arial"/>
          <w:b/>
          <w:bCs/>
          <w:sz w:val="48"/>
          <w:szCs w:val="48"/>
        </w:rPr>
        <w:t>(ELEMENT</w:t>
      </w:r>
      <w:r w:rsidR="007C5627">
        <w:rPr>
          <w:rFonts w:ascii="Arial" w:hAnsi="Arial" w:cs="Arial"/>
          <w:b/>
          <w:bCs/>
          <w:sz w:val="48"/>
          <w:szCs w:val="48"/>
        </w:rPr>
        <w:t xml:space="preserve"> </w:t>
      </w:r>
      <w:r w:rsidRPr="00165F8A">
        <w:rPr>
          <w:rFonts w:ascii="Arial" w:hAnsi="Arial" w:cs="Arial"/>
          <w:b/>
          <w:bCs/>
          <w:sz w:val="48"/>
          <w:szCs w:val="48"/>
        </w:rPr>
        <w:t>2)</w:t>
      </w:r>
    </w:p>
    <w:p w14:paraId="0A001946" w14:textId="1BE52F3B" w:rsidR="00350FFD" w:rsidRDefault="00241048" w:rsidP="00760146">
      <w:pPr>
        <w:ind w:right="0"/>
        <w:jc w:val="both"/>
        <w:rPr>
          <w:rFonts w:ascii="Arial" w:hAnsi="Arial" w:cs="Arial"/>
          <w:b/>
          <w:bCs/>
          <w:sz w:val="48"/>
          <w:szCs w:val="48"/>
        </w:rPr>
      </w:pPr>
      <w:r w:rsidRPr="00165F8A">
        <w:rPr>
          <w:rFonts w:ascii="Arial" w:hAnsi="Arial" w:cs="Arial"/>
          <w:b/>
          <w:bCs/>
          <w:sz w:val="48"/>
          <w:szCs w:val="48"/>
        </w:rPr>
        <w:t>LECTURER: DR. SAMU</w:t>
      </w:r>
      <w:r w:rsidR="00165F8A" w:rsidRPr="00165F8A">
        <w:rPr>
          <w:rFonts w:ascii="Arial" w:hAnsi="Arial" w:cs="Arial"/>
          <w:b/>
          <w:bCs/>
          <w:sz w:val="48"/>
          <w:szCs w:val="48"/>
        </w:rPr>
        <w:t>EL OFORI</w:t>
      </w:r>
    </w:p>
    <w:p w14:paraId="3713A053" w14:textId="6969E362" w:rsidR="007C5627" w:rsidRPr="00165F8A" w:rsidRDefault="00E911EC" w:rsidP="00D96E60">
      <w:pPr>
        <w:ind w:right="0"/>
        <w:jc w:val="both"/>
        <w:rPr>
          <w:rFonts w:ascii="Arial" w:hAnsi="Arial" w:cs="Arial"/>
          <w:b/>
          <w:bCs/>
          <w:sz w:val="48"/>
          <w:szCs w:val="48"/>
        </w:rPr>
      </w:pPr>
      <w:r>
        <w:rPr>
          <w:rFonts w:ascii="Arial" w:hAnsi="Arial" w:cs="Arial"/>
          <w:b/>
          <w:bCs/>
          <w:sz w:val="48"/>
          <w:szCs w:val="48"/>
        </w:rPr>
        <w:t xml:space="preserve">ELEMENT 2: RESEARCH PROCESS </w:t>
      </w:r>
      <w:r w:rsidR="00736A2B">
        <w:rPr>
          <w:rFonts w:ascii="Arial" w:hAnsi="Arial" w:cs="Arial"/>
          <w:b/>
          <w:bCs/>
          <w:sz w:val="48"/>
          <w:szCs w:val="48"/>
        </w:rPr>
        <w:t xml:space="preserve">           </w:t>
      </w:r>
      <w:r w:rsidR="00D96E60">
        <w:rPr>
          <w:rFonts w:ascii="Arial" w:hAnsi="Arial" w:cs="Arial"/>
          <w:b/>
          <w:bCs/>
          <w:sz w:val="48"/>
          <w:szCs w:val="48"/>
        </w:rPr>
        <w:t xml:space="preserve">        </w:t>
      </w:r>
      <w:r w:rsidR="00736A2B">
        <w:rPr>
          <w:rFonts w:ascii="Arial" w:hAnsi="Arial" w:cs="Arial"/>
          <w:b/>
          <w:bCs/>
          <w:sz w:val="48"/>
          <w:szCs w:val="48"/>
        </w:rPr>
        <w:t>REFLECTION</w:t>
      </w:r>
    </w:p>
    <w:p w14:paraId="708FE684" w14:textId="77777777" w:rsidR="005B6EE0" w:rsidRPr="00165F8A" w:rsidRDefault="005B6EE0" w:rsidP="00760146">
      <w:pPr>
        <w:ind w:right="0"/>
        <w:jc w:val="both"/>
        <w:rPr>
          <w:rFonts w:ascii="Arial" w:hAnsi="Arial" w:cs="Arial"/>
          <w:b/>
          <w:bCs/>
          <w:sz w:val="48"/>
          <w:szCs w:val="48"/>
        </w:rPr>
      </w:pPr>
    </w:p>
    <w:p w14:paraId="07F16DC4" w14:textId="77777777" w:rsidR="005B6EE0" w:rsidRPr="00165F8A" w:rsidRDefault="005B6EE0" w:rsidP="00760146">
      <w:pPr>
        <w:ind w:right="0"/>
        <w:jc w:val="both"/>
        <w:rPr>
          <w:rFonts w:ascii="Arial" w:hAnsi="Arial" w:cs="Arial"/>
          <w:b/>
          <w:bCs/>
          <w:sz w:val="48"/>
          <w:szCs w:val="48"/>
        </w:rPr>
      </w:pPr>
    </w:p>
    <w:p w14:paraId="0296813E" w14:textId="77777777" w:rsidR="005B6EE0" w:rsidRDefault="005B6EE0" w:rsidP="00760146">
      <w:pPr>
        <w:ind w:right="0"/>
        <w:jc w:val="both"/>
      </w:pPr>
    </w:p>
    <w:p w14:paraId="1C4B67FA" w14:textId="77777777" w:rsidR="005B6EE0" w:rsidRDefault="005B6EE0" w:rsidP="00760146">
      <w:pPr>
        <w:ind w:right="0"/>
        <w:jc w:val="both"/>
      </w:pPr>
    </w:p>
    <w:p w14:paraId="2A33D1A1" w14:textId="77777777" w:rsidR="005B6EE0" w:rsidRDefault="005B6EE0" w:rsidP="00760146">
      <w:pPr>
        <w:ind w:right="0"/>
        <w:jc w:val="both"/>
      </w:pPr>
    </w:p>
    <w:p w14:paraId="4292CD62" w14:textId="77777777" w:rsidR="005B6EE0" w:rsidRDefault="005B6EE0" w:rsidP="00760146">
      <w:pPr>
        <w:ind w:right="0"/>
        <w:jc w:val="both"/>
      </w:pPr>
    </w:p>
    <w:p w14:paraId="25F364FF" w14:textId="77777777" w:rsidR="005B6EE0" w:rsidRDefault="005B6EE0" w:rsidP="00760146">
      <w:pPr>
        <w:ind w:right="0"/>
        <w:jc w:val="both"/>
      </w:pPr>
    </w:p>
    <w:p w14:paraId="29A331E0" w14:textId="77777777" w:rsidR="005B6EE0" w:rsidRDefault="005B6EE0" w:rsidP="00760146">
      <w:pPr>
        <w:ind w:right="0"/>
        <w:jc w:val="both"/>
      </w:pPr>
    </w:p>
    <w:p w14:paraId="15991BE7" w14:textId="77777777" w:rsidR="005B6EE0" w:rsidRDefault="005B6EE0" w:rsidP="00760146">
      <w:pPr>
        <w:ind w:right="0"/>
        <w:jc w:val="both"/>
      </w:pPr>
    </w:p>
    <w:p w14:paraId="26B67A80" w14:textId="77777777" w:rsidR="005B6EE0" w:rsidRDefault="005B6EE0" w:rsidP="00760146">
      <w:pPr>
        <w:ind w:right="0"/>
        <w:jc w:val="both"/>
      </w:pPr>
    </w:p>
    <w:p w14:paraId="780660C9" w14:textId="77777777" w:rsidR="005B6EE0" w:rsidRDefault="005B6EE0" w:rsidP="00760146">
      <w:pPr>
        <w:ind w:right="0"/>
        <w:jc w:val="both"/>
      </w:pPr>
    </w:p>
    <w:p w14:paraId="70281536" w14:textId="632DB8A0" w:rsidR="008771B1" w:rsidRDefault="0076466F" w:rsidP="00760146">
      <w:pPr>
        <w:ind w:right="0"/>
        <w:jc w:val="both"/>
        <w:rPr>
          <w:rFonts w:ascii="Arial" w:hAnsi="Arial" w:cs="Arial"/>
        </w:rPr>
      </w:pPr>
      <w:r w:rsidRPr="00FD1E03">
        <w:rPr>
          <w:rFonts w:ascii="Arial" w:hAnsi="Arial" w:cs="Arial"/>
        </w:rPr>
        <w:t>Gibbs’ Reflective Cycle provides a structured framework for critically analysing Waitrose’s recent market decline and identifying strategic options to strengthen its competitive position within the UK grocery sector</w:t>
      </w:r>
      <w:r w:rsidRPr="00FD1E03">
        <w:rPr>
          <w:rFonts w:ascii="Arial" w:hAnsi="Arial" w:cs="Arial"/>
        </w:rPr>
        <w:t>.</w:t>
      </w:r>
    </w:p>
    <w:p w14:paraId="1F502067" w14:textId="654E7C96" w:rsidR="007870E7" w:rsidRDefault="007870E7" w:rsidP="00760146">
      <w:pPr>
        <w:ind w:right="0"/>
        <w:jc w:val="both"/>
        <w:rPr>
          <w:rFonts w:ascii="Arial" w:hAnsi="Arial" w:cs="Arial"/>
        </w:rPr>
      </w:pPr>
      <w:r>
        <w:rPr>
          <w:noProof/>
        </w:rPr>
        <w:drawing>
          <wp:anchor distT="0" distB="0" distL="114300" distR="114300" simplePos="0" relativeHeight="251662336" behindDoc="0" locked="0" layoutInCell="1" allowOverlap="1" wp14:anchorId="0F0E7683" wp14:editId="38E54845">
            <wp:simplePos x="0" y="0"/>
            <wp:positionH relativeFrom="margin">
              <wp:posOffset>0</wp:posOffset>
            </wp:positionH>
            <wp:positionV relativeFrom="paragraph">
              <wp:posOffset>273685</wp:posOffset>
            </wp:positionV>
            <wp:extent cx="5052060" cy="3608070"/>
            <wp:effectExtent l="0" t="0" r="0" b="0"/>
            <wp:wrapSquare wrapText="bothSides"/>
            <wp:docPr id="1306458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2060" cy="3608070"/>
                    </a:xfrm>
                    <a:prstGeom prst="rect">
                      <a:avLst/>
                    </a:prstGeom>
                    <a:noFill/>
                  </pic:spPr>
                </pic:pic>
              </a:graphicData>
            </a:graphic>
            <wp14:sizeRelH relativeFrom="margin">
              <wp14:pctWidth>0</wp14:pctWidth>
            </wp14:sizeRelH>
            <wp14:sizeRelV relativeFrom="margin">
              <wp14:pctHeight>0</wp14:pctHeight>
            </wp14:sizeRelV>
          </wp:anchor>
        </w:drawing>
      </w:r>
    </w:p>
    <w:p w14:paraId="5524BC99" w14:textId="77777777" w:rsidR="007870E7" w:rsidRDefault="007870E7" w:rsidP="00760146">
      <w:pPr>
        <w:ind w:right="0"/>
        <w:jc w:val="both"/>
        <w:rPr>
          <w:rFonts w:ascii="Arial" w:hAnsi="Arial" w:cs="Arial"/>
        </w:rPr>
      </w:pPr>
    </w:p>
    <w:p w14:paraId="074EF99D" w14:textId="77777777" w:rsidR="007870E7" w:rsidRDefault="007870E7" w:rsidP="00760146">
      <w:pPr>
        <w:ind w:right="0"/>
        <w:jc w:val="both"/>
        <w:rPr>
          <w:rFonts w:ascii="Arial" w:hAnsi="Arial" w:cs="Arial"/>
        </w:rPr>
      </w:pPr>
    </w:p>
    <w:p w14:paraId="270A254D" w14:textId="77777777" w:rsidR="007870E7" w:rsidRDefault="007870E7" w:rsidP="00760146">
      <w:pPr>
        <w:ind w:right="0"/>
        <w:jc w:val="both"/>
        <w:rPr>
          <w:rFonts w:ascii="Arial" w:hAnsi="Arial" w:cs="Arial"/>
        </w:rPr>
      </w:pPr>
    </w:p>
    <w:p w14:paraId="4FB4903C" w14:textId="77777777" w:rsidR="007870E7" w:rsidRDefault="007870E7" w:rsidP="00760146">
      <w:pPr>
        <w:ind w:right="0"/>
        <w:jc w:val="both"/>
        <w:rPr>
          <w:rFonts w:ascii="Arial" w:hAnsi="Arial" w:cs="Arial"/>
        </w:rPr>
      </w:pPr>
    </w:p>
    <w:p w14:paraId="05A88C25" w14:textId="77777777" w:rsidR="007870E7" w:rsidRDefault="007870E7" w:rsidP="00760146">
      <w:pPr>
        <w:ind w:right="0"/>
        <w:jc w:val="both"/>
        <w:rPr>
          <w:rFonts w:ascii="Arial" w:hAnsi="Arial" w:cs="Arial"/>
        </w:rPr>
      </w:pPr>
    </w:p>
    <w:p w14:paraId="7C54686B" w14:textId="77777777" w:rsidR="007870E7" w:rsidRDefault="007870E7" w:rsidP="00760146">
      <w:pPr>
        <w:ind w:right="0"/>
        <w:jc w:val="both"/>
        <w:rPr>
          <w:rFonts w:ascii="Arial" w:hAnsi="Arial" w:cs="Arial"/>
        </w:rPr>
      </w:pPr>
    </w:p>
    <w:p w14:paraId="483C7777" w14:textId="77777777" w:rsidR="007870E7" w:rsidRDefault="007870E7" w:rsidP="00760146">
      <w:pPr>
        <w:ind w:right="0"/>
        <w:jc w:val="both"/>
        <w:rPr>
          <w:rFonts w:ascii="Arial" w:hAnsi="Arial" w:cs="Arial"/>
        </w:rPr>
      </w:pPr>
    </w:p>
    <w:p w14:paraId="253080FC" w14:textId="77777777" w:rsidR="007870E7" w:rsidRDefault="007870E7" w:rsidP="00760146">
      <w:pPr>
        <w:ind w:right="0"/>
        <w:jc w:val="both"/>
        <w:rPr>
          <w:rFonts w:ascii="Arial" w:hAnsi="Arial" w:cs="Arial"/>
        </w:rPr>
      </w:pPr>
    </w:p>
    <w:p w14:paraId="7CEC03FA" w14:textId="77777777" w:rsidR="007870E7" w:rsidRDefault="007870E7" w:rsidP="00760146">
      <w:pPr>
        <w:ind w:right="0"/>
        <w:jc w:val="both"/>
        <w:rPr>
          <w:rFonts w:ascii="Arial" w:hAnsi="Arial" w:cs="Arial"/>
        </w:rPr>
      </w:pPr>
    </w:p>
    <w:p w14:paraId="0878C60A" w14:textId="77777777" w:rsidR="007870E7" w:rsidRDefault="007870E7" w:rsidP="00760146">
      <w:pPr>
        <w:ind w:right="0"/>
        <w:jc w:val="both"/>
        <w:rPr>
          <w:rFonts w:ascii="Arial" w:hAnsi="Arial" w:cs="Arial"/>
        </w:rPr>
      </w:pPr>
    </w:p>
    <w:p w14:paraId="163D1BCE" w14:textId="77777777" w:rsidR="007870E7" w:rsidRDefault="007870E7" w:rsidP="00760146">
      <w:pPr>
        <w:ind w:right="0"/>
        <w:jc w:val="both"/>
        <w:rPr>
          <w:rFonts w:ascii="Arial" w:hAnsi="Arial" w:cs="Arial"/>
        </w:rPr>
      </w:pPr>
    </w:p>
    <w:p w14:paraId="2859F90F" w14:textId="77777777" w:rsidR="007870E7" w:rsidRDefault="007870E7" w:rsidP="00760146">
      <w:pPr>
        <w:ind w:right="0"/>
        <w:jc w:val="both"/>
        <w:rPr>
          <w:rFonts w:ascii="Arial" w:hAnsi="Arial" w:cs="Arial"/>
        </w:rPr>
      </w:pPr>
    </w:p>
    <w:p w14:paraId="0A515D48" w14:textId="77777777" w:rsidR="007870E7" w:rsidRDefault="007870E7" w:rsidP="00760146">
      <w:pPr>
        <w:ind w:right="0"/>
        <w:jc w:val="both"/>
        <w:rPr>
          <w:rFonts w:ascii="Arial" w:hAnsi="Arial" w:cs="Arial"/>
        </w:rPr>
      </w:pPr>
    </w:p>
    <w:p w14:paraId="7E47E0B3" w14:textId="77777777" w:rsidR="007870E7" w:rsidRDefault="007870E7" w:rsidP="00760146">
      <w:pPr>
        <w:ind w:right="0"/>
        <w:jc w:val="both"/>
        <w:rPr>
          <w:rFonts w:ascii="Arial" w:hAnsi="Arial" w:cs="Arial"/>
        </w:rPr>
      </w:pPr>
    </w:p>
    <w:p w14:paraId="399425D6" w14:textId="77777777" w:rsidR="007870E7" w:rsidRDefault="007870E7" w:rsidP="00760146">
      <w:pPr>
        <w:ind w:right="0"/>
        <w:jc w:val="both"/>
        <w:rPr>
          <w:rFonts w:ascii="Arial" w:hAnsi="Arial" w:cs="Arial"/>
        </w:rPr>
      </w:pPr>
    </w:p>
    <w:p w14:paraId="03FD3ACA" w14:textId="77777777" w:rsidR="007870E7" w:rsidRPr="00F5231B" w:rsidRDefault="007870E7" w:rsidP="007870E7">
      <w:pPr>
        <w:ind w:right="0"/>
        <w:jc w:val="center"/>
        <w:rPr>
          <w:rFonts w:ascii="Arial" w:hAnsi="Arial" w:cs="Arial"/>
        </w:rPr>
      </w:pPr>
      <w:r w:rsidRPr="00F5231B">
        <w:rPr>
          <w:rFonts w:ascii="Arial" w:hAnsi="Arial" w:cs="Arial"/>
        </w:rPr>
        <w:t>(https://share.google/tzc0hAeQQODHz1s6u)</w:t>
      </w:r>
    </w:p>
    <w:p w14:paraId="5288CDDD" w14:textId="77777777" w:rsidR="007870E7" w:rsidRPr="00FD1E03" w:rsidRDefault="007870E7" w:rsidP="00760146">
      <w:pPr>
        <w:ind w:right="0"/>
        <w:jc w:val="both"/>
        <w:rPr>
          <w:rFonts w:ascii="Arial" w:hAnsi="Arial" w:cs="Arial"/>
        </w:rPr>
      </w:pPr>
    </w:p>
    <w:p w14:paraId="3EBD5D7B" w14:textId="622072FF" w:rsidR="00795AF7" w:rsidRPr="00FD1E03" w:rsidRDefault="00795AF7" w:rsidP="00A704B7">
      <w:pPr>
        <w:ind w:right="0"/>
        <w:jc w:val="both"/>
        <w:rPr>
          <w:rFonts w:ascii="Arial" w:hAnsi="Arial" w:cs="Arial"/>
        </w:rPr>
      </w:pPr>
      <w:r w:rsidRPr="00FD1E03">
        <w:rPr>
          <w:rFonts w:ascii="Arial" w:hAnsi="Arial" w:cs="Arial"/>
        </w:rPr>
        <mc:AlternateContent>
          <mc:Choice Requires="wps">
            <w:drawing>
              <wp:inline distT="0" distB="0" distL="0" distR="0" wp14:anchorId="431328C9" wp14:editId="12C6726D">
                <wp:extent cx="304800" cy="304800"/>
                <wp:effectExtent l="0" t="0" r="0" b="0"/>
                <wp:docPr id="1008983822" name="Rectangle 26" descr="Reflective Thinking and Writing : 네이버 블로그"/>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0F1BEB" id="Rectangle 26" o:spid="_x0000_s1026" alt="Reflective Thinking and Writing : 네이버 블로그"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1B80158" w14:textId="7488F2F9" w:rsidR="00795AF7" w:rsidRPr="00FD1E03" w:rsidRDefault="00795AF7" w:rsidP="00795AF7">
      <w:pPr>
        <w:ind w:right="0"/>
        <w:jc w:val="both"/>
        <w:rPr>
          <w:rFonts w:ascii="Arial" w:hAnsi="Arial" w:cs="Arial"/>
          <w:b/>
          <w:bCs/>
        </w:rPr>
      </w:pPr>
      <w:r w:rsidRPr="00FD1E03">
        <w:rPr>
          <w:rFonts w:ascii="Arial" w:hAnsi="Arial" w:cs="Arial"/>
          <w:b/>
          <w:bCs/>
        </w:rPr>
        <w:t xml:space="preserve"> 1. Description</w:t>
      </w:r>
    </w:p>
    <w:p w14:paraId="4D759D51" w14:textId="77777777" w:rsidR="00E003C9" w:rsidRPr="00FD1E03" w:rsidRDefault="00795AF7" w:rsidP="00E003C9">
      <w:pPr>
        <w:ind w:right="0"/>
        <w:jc w:val="both"/>
        <w:rPr>
          <w:rFonts w:ascii="Arial" w:hAnsi="Arial" w:cs="Arial"/>
        </w:rPr>
      </w:pPr>
      <w:r w:rsidRPr="00FD1E03">
        <w:rPr>
          <w:rFonts w:ascii="Arial" w:hAnsi="Arial" w:cs="Arial"/>
        </w:rPr>
        <w:t>Waitrose has experienced a decline in market share within the UK grocery sector over recent years. Industry reports show that discounters such as Aldi and Lidl have increased their market penetration, driven by consumer prioritisation of value during the cost</w:t>
      </w:r>
      <w:r w:rsidRPr="00FD1E03">
        <w:rPr>
          <w:rFonts w:ascii="Arial" w:hAnsi="Arial" w:cs="Arial"/>
        </w:rPr>
        <w:noBreakHyphen/>
        <w:t>of</w:t>
      </w:r>
      <w:r w:rsidRPr="00FD1E03">
        <w:rPr>
          <w:rFonts w:ascii="Arial" w:hAnsi="Arial" w:cs="Arial"/>
        </w:rPr>
        <w:noBreakHyphen/>
        <w:t>living crisis (Kantar, 2024). At the same time, mainstream competitors like Tesco and Sainsbury’s have strengthened their loyalty schemes and expanded convenience formats, further intensifying competition (IGD, 2023).</w:t>
      </w:r>
      <w:r w:rsidR="00E003C9" w:rsidRPr="00FD1E03">
        <w:rPr>
          <w:rFonts w:ascii="Arial" w:hAnsi="Arial" w:cs="Arial"/>
        </w:rPr>
        <w:t xml:space="preserve"> </w:t>
      </w:r>
      <w:r w:rsidR="00E003C9" w:rsidRPr="00FD1E03">
        <w:rPr>
          <w:rFonts w:ascii="Arial" w:hAnsi="Arial" w:cs="Arial"/>
        </w:rPr>
        <w:t>Empirical evidence demonstrates that discounter growth has significantly reduced market concentration, lowered average prices, and increased consumer surplus, thereby exerting downward pressure on traditional retailers’ market power (O’Connell et al., 2025a). This trend has coincided with broader economic conditions, including elevated food price inflation, which has heightened household sensitivity to grocery costs and encouraged consumers to switch retailers in search of better value (O’Connell et al., 2025b).</w:t>
      </w:r>
    </w:p>
    <w:p w14:paraId="0B182F4A" w14:textId="34211314" w:rsidR="00795AF7" w:rsidRPr="00FD1E03" w:rsidRDefault="00795AF7" w:rsidP="00795AF7">
      <w:pPr>
        <w:ind w:right="0"/>
        <w:jc w:val="both"/>
        <w:rPr>
          <w:rFonts w:ascii="Arial" w:hAnsi="Arial" w:cs="Arial"/>
        </w:rPr>
      </w:pPr>
    </w:p>
    <w:p w14:paraId="182E278D" w14:textId="77777777" w:rsidR="007870E7" w:rsidRDefault="007870E7" w:rsidP="00795AF7">
      <w:pPr>
        <w:ind w:right="0"/>
        <w:jc w:val="both"/>
        <w:rPr>
          <w:rFonts w:ascii="Arial" w:hAnsi="Arial" w:cs="Arial"/>
          <w:b/>
          <w:bCs/>
        </w:rPr>
      </w:pPr>
    </w:p>
    <w:p w14:paraId="39DAE4B4" w14:textId="32739BD6" w:rsidR="00795AF7" w:rsidRPr="00FD1E03" w:rsidRDefault="00795AF7" w:rsidP="00795AF7">
      <w:pPr>
        <w:ind w:right="0"/>
        <w:jc w:val="both"/>
        <w:rPr>
          <w:rFonts w:ascii="Arial" w:hAnsi="Arial" w:cs="Arial"/>
          <w:b/>
          <w:bCs/>
        </w:rPr>
      </w:pPr>
      <w:r w:rsidRPr="00FD1E03">
        <w:rPr>
          <w:rFonts w:ascii="Arial" w:hAnsi="Arial" w:cs="Arial"/>
          <w:b/>
          <w:bCs/>
        </w:rPr>
        <w:t xml:space="preserve"> 2. Feelings</w:t>
      </w:r>
    </w:p>
    <w:p w14:paraId="1D84AE6A" w14:textId="77777777" w:rsidR="00795AF7" w:rsidRPr="00FD1E03" w:rsidRDefault="00795AF7" w:rsidP="00795AF7">
      <w:pPr>
        <w:ind w:right="0"/>
        <w:jc w:val="both"/>
        <w:rPr>
          <w:rFonts w:ascii="Arial" w:hAnsi="Arial" w:cs="Arial"/>
        </w:rPr>
      </w:pPr>
      <w:r w:rsidRPr="00FD1E03">
        <w:rPr>
          <w:rFonts w:ascii="Arial" w:hAnsi="Arial" w:cs="Arial"/>
        </w:rPr>
        <w:t>From an analytical standpoint, the decline prompts concern regarding the resilience of premium grocery brands during economic downturns. There is also a sense of curiosity about whether Waitrose’s traditional positioning—quality, ethics, and service—remains sufficient in a market increasingly shaped by affordability and convenience (Mintel, 2023). Acknowledging these initial reactions helps avoid bias and supports a more objective evaluation.</w:t>
      </w:r>
    </w:p>
    <w:p w14:paraId="0623EBAF" w14:textId="1861267A" w:rsidR="00795AF7" w:rsidRPr="00FD1E03" w:rsidRDefault="00795AF7" w:rsidP="00795AF7">
      <w:pPr>
        <w:ind w:right="0"/>
        <w:jc w:val="both"/>
        <w:rPr>
          <w:rFonts w:ascii="Arial" w:hAnsi="Arial" w:cs="Arial"/>
          <w:b/>
          <w:bCs/>
        </w:rPr>
      </w:pPr>
      <w:r w:rsidRPr="00FD1E03">
        <w:rPr>
          <w:rFonts w:ascii="Arial" w:hAnsi="Arial" w:cs="Arial"/>
          <w:b/>
          <w:bCs/>
        </w:rPr>
        <w:t xml:space="preserve"> 3. Evaluation</w:t>
      </w:r>
    </w:p>
    <w:p w14:paraId="2B153D84" w14:textId="77777777" w:rsidR="00795AF7" w:rsidRPr="00FD1E03" w:rsidRDefault="00795AF7" w:rsidP="00795AF7">
      <w:pPr>
        <w:ind w:right="0"/>
        <w:jc w:val="both"/>
        <w:rPr>
          <w:rFonts w:ascii="Arial" w:hAnsi="Arial" w:cs="Arial"/>
        </w:rPr>
      </w:pPr>
      <w:r w:rsidRPr="00FD1E03">
        <w:rPr>
          <w:rFonts w:ascii="Arial" w:hAnsi="Arial" w:cs="Arial"/>
        </w:rPr>
        <w:t>A balanced evaluation highlights both strengths and weaknesses:</w:t>
      </w:r>
    </w:p>
    <w:p w14:paraId="68E5B97B" w14:textId="77777777" w:rsidR="00795AF7" w:rsidRPr="00FD1E03" w:rsidRDefault="00795AF7" w:rsidP="00795AF7">
      <w:pPr>
        <w:numPr>
          <w:ilvl w:val="0"/>
          <w:numId w:val="11"/>
        </w:numPr>
        <w:ind w:right="0"/>
        <w:jc w:val="both"/>
        <w:rPr>
          <w:rFonts w:ascii="Arial" w:hAnsi="Arial" w:cs="Arial"/>
        </w:rPr>
      </w:pPr>
      <w:r w:rsidRPr="00FD1E03">
        <w:rPr>
          <w:rFonts w:ascii="Arial" w:hAnsi="Arial" w:cs="Arial"/>
          <w:b/>
          <w:bCs/>
        </w:rPr>
        <w:t>Strengths:</w:t>
      </w:r>
      <w:r w:rsidRPr="00FD1E03">
        <w:rPr>
          <w:rFonts w:ascii="Arial" w:hAnsi="Arial" w:cs="Arial"/>
        </w:rPr>
        <w:t xml:space="preserve"> Waitrose maintains strong brand equity, high product quality, and a reputation for ethical sourcing (Mintel, 2023).</w:t>
      </w:r>
    </w:p>
    <w:p w14:paraId="50099D4B" w14:textId="77777777" w:rsidR="00795AF7" w:rsidRPr="00FD1E03" w:rsidRDefault="00795AF7" w:rsidP="00795AF7">
      <w:pPr>
        <w:numPr>
          <w:ilvl w:val="0"/>
          <w:numId w:val="11"/>
        </w:numPr>
        <w:ind w:right="0"/>
        <w:jc w:val="both"/>
        <w:rPr>
          <w:rFonts w:ascii="Arial" w:hAnsi="Arial" w:cs="Arial"/>
        </w:rPr>
      </w:pPr>
      <w:r w:rsidRPr="00FD1E03">
        <w:rPr>
          <w:rFonts w:ascii="Arial" w:hAnsi="Arial" w:cs="Arial"/>
          <w:b/>
          <w:bCs/>
        </w:rPr>
        <w:t>Weaknesses:</w:t>
      </w:r>
      <w:r w:rsidRPr="00FD1E03">
        <w:rPr>
          <w:rFonts w:ascii="Arial" w:hAnsi="Arial" w:cs="Arial"/>
        </w:rPr>
        <w:t xml:space="preserve"> High price perception, limited store footprint, and slower innovation in convenience and online channels compared to competitors (Kantar, 2024).</w:t>
      </w:r>
    </w:p>
    <w:p w14:paraId="1BE41885" w14:textId="77777777" w:rsidR="00795AF7" w:rsidRPr="00FD1E03" w:rsidRDefault="00795AF7" w:rsidP="00795AF7">
      <w:pPr>
        <w:ind w:right="0"/>
        <w:jc w:val="both"/>
        <w:rPr>
          <w:rFonts w:ascii="Arial" w:hAnsi="Arial" w:cs="Arial"/>
        </w:rPr>
      </w:pPr>
      <w:r w:rsidRPr="00FD1E03">
        <w:rPr>
          <w:rFonts w:ascii="Arial" w:hAnsi="Arial" w:cs="Arial"/>
        </w:rPr>
        <w:t>This stage clarifies which organisational factors contributed positively or negatively to Waitrose’s market position.</w:t>
      </w:r>
    </w:p>
    <w:p w14:paraId="188D6ABB" w14:textId="620DDC74" w:rsidR="00795AF7" w:rsidRPr="00FD1E03" w:rsidRDefault="00795AF7" w:rsidP="00795AF7">
      <w:pPr>
        <w:ind w:right="0"/>
        <w:jc w:val="both"/>
        <w:rPr>
          <w:rFonts w:ascii="Arial" w:hAnsi="Arial" w:cs="Arial"/>
          <w:b/>
          <w:bCs/>
        </w:rPr>
      </w:pPr>
      <w:r w:rsidRPr="00FD1E03">
        <w:rPr>
          <w:rFonts w:ascii="Arial" w:hAnsi="Arial" w:cs="Arial"/>
          <w:b/>
          <w:bCs/>
        </w:rPr>
        <w:t xml:space="preserve"> 4. Analysis</w:t>
      </w:r>
    </w:p>
    <w:p w14:paraId="04443532" w14:textId="4D7BC82E" w:rsidR="00795AF7" w:rsidRPr="00FD1E03" w:rsidRDefault="00795AF7" w:rsidP="00795AF7">
      <w:pPr>
        <w:ind w:right="0"/>
        <w:jc w:val="both"/>
        <w:rPr>
          <w:rFonts w:ascii="Arial" w:hAnsi="Arial" w:cs="Arial"/>
        </w:rPr>
      </w:pPr>
      <w:r w:rsidRPr="00FD1E03">
        <w:rPr>
          <w:rFonts w:ascii="Arial" w:hAnsi="Arial" w:cs="Arial"/>
        </w:rPr>
        <w:t>The analysis stage connects evidence to underlying causes. Economic pressures have shifted consumer behaviour toward value</w:t>
      </w:r>
      <w:r w:rsidRPr="00FD1E03">
        <w:rPr>
          <w:rFonts w:ascii="Arial" w:hAnsi="Arial" w:cs="Arial"/>
        </w:rPr>
        <w:noBreakHyphen/>
        <w:t>led shopping, benefiting discounters (Kantar, 2024). Waitrose’s premium pricing strategy became less aligned with consumer priorities during inflationary periods. Additionally, competitors invested heavily in digital retail, rapid delivery, and loyalty personalisation—areas where Waitrose lagged (IGD, 2023).</w:t>
      </w:r>
      <w:r w:rsidR="008542C4" w:rsidRPr="00FD1E03">
        <w:rPr>
          <w:rFonts w:ascii="Arial" w:hAnsi="Arial" w:cs="Arial"/>
        </w:rPr>
        <w:t xml:space="preserve"> </w:t>
      </w:r>
      <w:r w:rsidR="008542C4" w:rsidRPr="00FD1E03">
        <w:rPr>
          <w:rFonts w:ascii="Arial" w:hAnsi="Arial" w:cs="Arial"/>
        </w:rPr>
        <w:t xml:space="preserve">This aligns with Porter’s Five Forces, which suggests heightened competitive rivalry and strong buyer power, and with PESTLE analysis, which highlights inflationary pressures that have reduced demand for premium goods. Furthermore, policy analysis shows that consumers are actively switching retailers to secure better deals, reinforcing the importance of value perception in shaping market performance (O’Connell et al., 2025d). </w:t>
      </w:r>
    </w:p>
    <w:p w14:paraId="47B9678D" w14:textId="77777777" w:rsidR="00795AF7" w:rsidRPr="00FD1E03" w:rsidRDefault="00795AF7" w:rsidP="00795AF7">
      <w:pPr>
        <w:ind w:right="0"/>
        <w:jc w:val="both"/>
        <w:rPr>
          <w:rFonts w:ascii="Arial" w:hAnsi="Arial" w:cs="Arial"/>
        </w:rPr>
      </w:pPr>
      <w:r w:rsidRPr="00FD1E03">
        <w:rPr>
          <w:rFonts w:ascii="Arial" w:hAnsi="Arial" w:cs="Arial"/>
        </w:rPr>
        <w:t>Strategically, this suggests a misalignment between Waitrose’s traditional brand identity and evolving market expectations.</w:t>
      </w:r>
    </w:p>
    <w:p w14:paraId="2EC66264" w14:textId="48CF2894" w:rsidR="00795AF7" w:rsidRPr="00FD1E03" w:rsidRDefault="00795AF7" w:rsidP="00795AF7">
      <w:pPr>
        <w:ind w:right="0"/>
        <w:jc w:val="both"/>
        <w:rPr>
          <w:rFonts w:ascii="Arial" w:hAnsi="Arial" w:cs="Arial"/>
          <w:b/>
          <w:bCs/>
        </w:rPr>
      </w:pPr>
      <w:r w:rsidRPr="00FD1E03">
        <w:rPr>
          <w:rFonts w:ascii="Arial" w:hAnsi="Arial" w:cs="Arial"/>
          <w:b/>
          <w:bCs/>
        </w:rPr>
        <w:t xml:space="preserve"> 5. Conclusion</w:t>
      </w:r>
    </w:p>
    <w:p w14:paraId="0BB96BD3" w14:textId="77777777" w:rsidR="00795AF7" w:rsidRPr="00FD1E03" w:rsidRDefault="00795AF7" w:rsidP="00795AF7">
      <w:pPr>
        <w:ind w:right="0"/>
        <w:jc w:val="both"/>
        <w:rPr>
          <w:rFonts w:ascii="Arial" w:hAnsi="Arial" w:cs="Arial"/>
        </w:rPr>
      </w:pPr>
      <w:r w:rsidRPr="00FD1E03">
        <w:rPr>
          <w:rFonts w:ascii="Arial" w:hAnsi="Arial" w:cs="Arial"/>
        </w:rPr>
        <w:t>Reflecting on the evidence, Waitrose could have mitigated decline by adapting earlier to affordability trends, expanding convenience formats, and accelerating digital transformation. The reflection highlights the importance of strategic agility in retail markets characterised by rapid behavioural shifts (Mintel, 2023).</w:t>
      </w:r>
    </w:p>
    <w:p w14:paraId="636A3ACB" w14:textId="1E778F13" w:rsidR="00795AF7" w:rsidRDefault="00795AF7" w:rsidP="00795AF7">
      <w:pPr>
        <w:ind w:right="0"/>
        <w:jc w:val="both"/>
        <w:rPr>
          <w:rFonts w:ascii="Arial" w:hAnsi="Arial" w:cs="Arial"/>
          <w:b/>
          <w:bCs/>
        </w:rPr>
      </w:pPr>
      <w:r w:rsidRPr="00FD1E03">
        <w:rPr>
          <w:rFonts w:ascii="Arial" w:hAnsi="Arial" w:cs="Arial"/>
          <w:b/>
          <w:bCs/>
        </w:rPr>
        <w:t>6. Action Plan</w:t>
      </w:r>
    </w:p>
    <w:p w14:paraId="5EE4D023" w14:textId="2BDEBA33" w:rsidR="005C7BCC" w:rsidRPr="00B336C5" w:rsidRDefault="00B336C5" w:rsidP="00795AF7">
      <w:pPr>
        <w:ind w:right="0"/>
        <w:jc w:val="both"/>
        <w:rPr>
          <w:rFonts w:ascii="Arial" w:hAnsi="Arial" w:cs="Arial"/>
        </w:rPr>
      </w:pPr>
      <w:r w:rsidRPr="00B336C5">
        <w:rPr>
          <w:rFonts w:ascii="Arial" w:hAnsi="Arial" w:cs="Arial"/>
        </w:rPr>
        <w:t>Waitrose can respond to its market decline through several strategic actions. Introducing a competitive value range would help attract price</w:t>
      </w:r>
      <w:r w:rsidRPr="00B336C5">
        <w:rPr>
          <w:rFonts w:ascii="Arial" w:hAnsi="Arial" w:cs="Arial"/>
        </w:rPr>
        <w:noBreakHyphen/>
        <w:t>sensitive consumers while maintaining quality (Lamey et al., 2007). Expanding convenience</w:t>
      </w:r>
      <w:r w:rsidRPr="00B336C5">
        <w:rPr>
          <w:rFonts w:ascii="Arial" w:hAnsi="Arial" w:cs="Arial"/>
        </w:rPr>
        <w:noBreakHyphen/>
        <w:t>focused urban stores aligns with changing shopping behaviours (Verhoef, Kannan &amp; Inman, 2015). Strengthening digital infrastructure, including app</w:t>
      </w:r>
      <w:r w:rsidRPr="00B336C5">
        <w:rPr>
          <w:rFonts w:ascii="Arial" w:hAnsi="Arial" w:cs="Arial"/>
        </w:rPr>
        <w:noBreakHyphen/>
        <w:t>based shopping, can enhance engagement (Reinartz, Wiegand &amp; Imschloss, 2019). Personalised loyalty schemes support retention (Jones, Comfort &amp; Hillier, 2005), while emphasising provenance and sustainability reinforces long</w:t>
      </w:r>
      <w:r w:rsidRPr="00B336C5">
        <w:rPr>
          <w:rFonts w:ascii="Arial" w:hAnsi="Arial" w:cs="Arial"/>
        </w:rPr>
        <w:noBreakHyphen/>
        <w:t>term competitiveness (Porter, 1996).</w:t>
      </w:r>
    </w:p>
    <w:p w14:paraId="11BFD3D6" w14:textId="50F1C6AD" w:rsidR="00795AF7" w:rsidRPr="00FD1E03" w:rsidRDefault="004962B8" w:rsidP="004962B8">
      <w:pPr>
        <w:ind w:right="0"/>
        <w:jc w:val="both"/>
        <w:rPr>
          <w:rFonts w:ascii="Arial" w:hAnsi="Arial" w:cs="Arial"/>
          <w:b/>
          <w:bCs/>
        </w:rPr>
      </w:pPr>
      <w:r w:rsidRPr="00FD1E03">
        <w:rPr>
          <w:rFonts w:ascii="Arial" w:hAnsi="Arial" w:cs="Arial"/>
          <w:b/>
          <w:bCs/>
        </w:rPr>
        <w:lastRenderedPageBreak/>
        <w:t>References</w:t>
      </w:r>
      <w:r w:rsidR="00795AF7" w:rsidRPr="00FD1E03">
        <w:rPr>
          <w:rFonts w:ascii="Arial" w:hAnsi="Arial" w:cs="Arial"/>
          <w:b/>
          <w:bCs/>
        </w:rPr>
        <mc:AlternateContent>
          <mc:Choice Requires="wps">
            <w:drawing>
              <wp:inline distT="0" distB="0" distL="0" distR="0" wp14:anchorId="11113CDD" wp14:editId="034DD64B">
                <wp:extent cx="304800" cy="304800"/>
                <wp:effectExtent l="0" t="0" r="0" b="0"/>
                <wp:docPr id="479313370" name="Rectangle 23" descr="Use Gibbs Reflective Cycle For Writing at John Pavon blo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EE8047" id="Rectangle 23" o:spid="_x0000_s1026" alt="Use Gibbs Reflective Cycle For Writing at John Pavon blo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ACCCC8A" w14:textId="40F5523E" w:rsidR="00AF120E" w:rsidRPr="00FD1E03" w:rsidRDefault="00AF120E" w:rsidP="00AF120E">
      <w:pPr>
        <w:ind w:right="0"/>
        <w:jc w:val="both"/>
        <w:rPr>
          <w:rFonts w:ascii="Arial" w:hAnsi="Arial" w:cs="Arial"/>
        </w:rPr>
      </w:pPr>
      <w:r w:rsidRPr="00FD1E03">
        <w:rPr>
          <w:rFonts w:ascii="Arial" w:hAnsi="Arial" w:cs="Arial"/>
        </w:rPr>
        <w:t>O’Connell, M., Smith, H. and Thomassen(2025a) The rise of discounters and its impact on concentration, market power and welfare, Institute for Fiscal Studies Working Pape   O’Connell, M., Smith, H. and Thomassen(2025b) The rise of discounters and its impact on concentration, market power and welfare, Oxford University Research Archiv</w:t>
      </w:r>
      <w:r w:rsidR="00FD1E03">
        <w:rPr>
          <w:rFonts w:ascii="Arial" w:hAnsi="Arial" w:cs="Arial"/>
        </w:rPr>
        <w:t>e</w:t>
      </w:r>
      <w:r w:rsidRPr="00FD1E03">
        <w:rPr>
          <w:rFonts w:ascii="Arial" w:hAnsi="Arial" w:cs="Arial"/>
        </w:rPr>
        <w:t xml:space="preserve">            </w:t>
      </w:r>
    </w:p>
    <w:p w14:paraId="0A244215" w14:textId="77777777" w:rsidR="00FD1E03" w:rsidRDefault="00795AF7" w:rsidP="00795AF7">
      <w:pPr>
        <w:ind w:right="0"/>
        <w:jc w:val="both"/>
        <w:rPr>
          <w:rFonts w:ascii="Arial" w:hAnsi="Arial" w:cs="Arial"/>
        </w:rPr>
      </w:pPr>
      <w:r w:rsidRPr="00FD1E03">
        <w:rPr>
          <w:rFonts w:ascii="Arial" w:hAnsi="Arial" w:cs="Arial"/>
        </w:rPr>
        <w:t xml:space="preserve">Gibbs, G. (1988) </w:t>
      </w:r>
      <w:r w:rsidRPr="00FD1E03">
        <w:rPr>
          <w:rFonts w:ascii="Arial" w:hAnsi="Arial" w:cs="Arial"/>
          <w:i/>
          <w:iCs/>
        </w:rPr>
        <w:t>Learning by Doing: A Guide to Teaching and Learning Methods</w:t>
      </w:r>
      <w:r w:rsidRPr="00FD1E03">
        <w:rPr>
          <w:rFonts w:ascii="Arial" w:hAnsi="Arial" w:cs="Arial"/>
        </w:rPr>
        <w:t>. Oxford: Oxford Polytechnic.</w:t>
      </w:r>
      <w:r w:rsidR="00FD1E03">
        <w:rPr>
          <w:rFonts w:ascii="Arial" w:hAnsi="Arial" w:cs="Arial"/>
        </w:rPr>
        <w:t xml:space="preserve"> </w:t>
      </w:r>
    </w:p>
    <w:p w14:paraId="1403C913" w14:textId="40B21033" w:rsidR="00795AF7" w:rsidRPr="00FD1E03" w:rsidRDefault="00795AF7" w:rsidP="00795AF7">
      <w:pPr>
        <w:ind w:right="0"/>
        <w:jc w:val="both"/>
        <w:rPr>
          <w:rFonts w:ascii="Arial" w:hAnsi="Arial" w:cs="Arial"/>
        </w:rPr>
      </w:pPr>
      <w:r w:rsidRPr="00FD1E03">
        <w:rPr>
          <w:rFonts w:ascii="Arial" w:hAnsi="Arial" w:cs="Arial"/>
        </w:rPr>
        <w:t xml:space="preserve">Boud, D. &amp; Walker, D. (1998) ‘Promoting reflection in professional courses’, </w:t>
      </w:r>
      <w:r w:rsidRPr="00FD1E03">
        <w:rPr>
          <w:rFonts w:ascii="Arial" w:hAnsi="Arial" w:cs="Arial"/>
          <w:i/>
          <w:iCs/>
        </w:rPr>
        <w:t>Studies in Higher Education</w:t>
      </w:r>
      <w:r w:rsidRPr="00FD1E03">
        <w:rPr>
          <w:rFonts w:ascii="Arial" w:hAnsi="Arial" w:cs="Arial"/>
        </w:rPr>
        <w:t>, 23(2), pp. 191–206.</w:t>
      </w:r>
    </w:p>
    <w:p w14:paraId="70458E01" w14:textId="77777777" w:rsidR="00795AF7" w:rsidRPr="00FD1E03" w:rsidRDefault="00795AF7" w:rsidP="00795AF7">
      <w:pPr>
        <w:ind w:right="0"/>
        <w:jc w:val="both"/>
        <w:rPr>
          <w:rFonts w:ascii="Arial" w:hAnsi="Arial" w:cs="Arial"/>
        </w:rPr>
      </w:pPr>
      <w:r w:rsidRPr="00FD1E03">
        <w:rPr>
          <w:rFonts w:ascii="Arial" w:hAnsi="Arial" w:cs="Arial"/>
        </w:rPr>
        <w:t xml:space="preserve">Hood, N., Clarke, I. &amp; Clarke, R. (2020) ‘Retail change and consumer behaviour’, </w:t>
      </w:r>
      <w:r w:rsidRPr="00FD1E03">
        <w:rPr>
          <w:rFonts w:ascii="Arial" w:hAnsi="Arial" w:cs="Arial"/>
          <w:i/>
          <w:iCs/>
        </w:rPr>
        <w:t>Journal of Retailing and Consumer Services</w:t>
      </w:r>
      <w:r w:rsidRPr="00FD1E03">
        <w:rPr>
          <w:rFonts w:ascii="Arial" w:hAnsi="Arial" w:cs="Arial"/>
        </w:rPr>
        <w:t>, 54, pp. 1–9.</w:t>
      </w:r>
    </w:p>
    <w:p w14:paraId="3765ADBB" w14:textId="77777777" w:rsidR="00795AF7" w:rsidRPr="00FD1E03" w:rsidRDefault="00795AF7" w:rsidP="00795AF7">
      <w:pPr>
        <w:ind w:right="0"/>
        <w:jc w:val="both"/>
        <w:rPr>
          <w:rFonts w:ascii="Arial" w:hAnsi="Arial" w:cs="Arial"/>
        </w:rPr>
      </w:pPr>
      <w:r w:rsidRPr="00FD1E03">
        <w:rPr>
          <w:rFonts w:ascii="Arial" w:hAnsi="Arial" w:cs="Arial"/>
        </w:rPr>
        <w:t xml:space="preserve">Jones, P., Comfort, D. &amp; Hillier, D. (2005) ‘Corporate social responsibility and the UK food retailing industry’, </w:t>
      </w:r>
      <w:r w:rsidRPr="00FD1E03">
        <w:rPr>
          <w:rFonts w:ascii="Arial" w:hAnsi="Arial" w:cs="Arial"/>
          <w:i/>
          <w:iCs/>
        </w:rPr>
        <w:t>Journal of Retailing and Consumer Services</w:t>
      </w:r>
      <w:r w:rsidRPr="00FD1E03">
        <w:rPr>
          <w:rFonts w:ascii="Arial" w:hAnsi="Arial" w:cs="Arial"/>
        </w:rPr>
        <w:t>, 12(6), pp. 411–422.</w:t>
      </w:r>
    </w:p>
    <w:p w14:paraId="52C6B207" w14:textId="77777777" w:rsidR="00795AF7" w:rsidRPr="00FD1E03" w:rsidRDefault="00795AF7" w:rsidP="00795AF7">
      <w:pPr>
        <w:ind w:right="0"/>
        <w:jc w:val="both"/>
        <w:rPr>
          <w:rFonts w:ascii="Arial" w:hAnsi="Arial" w:cs="Arial"/>
        </w:rPr>
      </w:pPr>
      <w:r w:rsidRPr="00FD1E03">
        <w:rPr>
          <w:rFonts w:ascii="Arial" w:hAnsi="Arial" w:cs="Arial"/>
        </w:rPr>
        <w:t xml:space="preserve">Lamey, L., Deleersnyder, B., Steenkamp, J.-B.E. &amp; Dekimpe, M.G. (2007) ‘How business cycles contribute to private-label success’, </w:t>
      </w:r>
      <w:r w:rsidRPr="00FD1E03">
        <w:rPr>
          <w:rFonts w:ascii="Arial" w:hAnsi="Arial" w:cs="Arial"/>
          <w:i/>
          <w:iCs/>
        </w:rPr>
        <w:t>Journal of Marketing</w:t>
      </w:r>
      <w:r w:rsidRPr="00FD1E03">
        <w:rPr>
          <w:rFonts w:ascii="Arial" w:hAnsi="Arial" w:cs="Arial"/>
        </w:rPr>
        <w:t>, 71(1), pp. 1–15.</w:t>
      </w:r>
    </w:p>
    <w:p w14:paraId="2BA8A13E" w14:textId="77777777" w:rsidR="00795AF7" w:rsidRPr="00FD1E03" w:rsidRDefault="00795AF7" w:rsidP="00795AF7">
      <w:pPr>
        <w:ind w:right="0"/>
        <w:jc w:val="both"/>
        <w:rPr>
          <w:rFonts w:ascii="Arial" w:hAnsi="Arial" w:cs="Arial"/>
        </w:rPr>
      </w:pPr>
      <w:r w:rsidRPr="00FD1E03">
        <w:rPr>
          <w:rFonts w:ascii="Arial" w:hAnsi="Arial" w:cs="Arial"/>
        </w:rPr>
        <w:t xml:space="preserve">Moon, J. (1999) </w:t>
      </w:r>
      <w:r w:rsidRPr="00FD1E03">
        <w:rPr>
          <w:rFonts w:ascii="Arial" w:hAnsi="Arial" w:cs="Arial"/>
          <w:i/>
          <w:iCs/>
        </w:rPr>
        <w:t>Reflection in Learning and Professional Development</w:t>
      </w:r>
      <w:r w:rsidRPr="00FD1E03">
        <w:rPr>
          <w:rFonts w:ascii="Arial" w:hAnsi="Arial" w:cs="Arial"/>
        </w:rPr>
        <w:t>. London: Routledge.</w:t>
      </w:r>
    </w:p>
    <w:p w14:paraId="7F3E942C" w14:textId="77777777" w:rsidR="00795AF7" w:rsidRPr="00FD1E03" w:rsidRDefault="00795AF7" w:rsidP="00795AF7">
      <w:pPr>
        <w:ind w:right="0"/>
        <w:jc w:val="both"/>
        <w:rPr>
          <w:rFonts w:ascii="Arial" w:hAnsi="Arial" w:cs="Arial"/>
        </w:rPr>
      </w:pPr>
      <w:r w:rsidRPr="00FD1E03">
        <w:rPr>
          <w:rFonts w:ascii="Arial" w:hAnsi="Arial" w:cs="Arial"/>
        </w:rPr>
        <w:t xml:space="preserve">Porter, M.E. (1996) ‘What is strategy?’, </w:t>
      </w:r>
      <w:r w:rsidRPr="00FD1E03">
        <w:rPr>
          <w:rFonts w:ascii="Arial" w:hAnsi="Arial" w:cs="Arial"/>
          <w:i/>
          <w:iCs/>
        </w:rPr>
        <w:t>Harvard Business Review</w:t>
      </w:r>
      <w:r w:rsidRPr="00FD1E03">
        <w:rPr>
          <w:rFonts w:ascii="Arial" w:hAnsi="Arial" w:cs="Arial"/>
        </w:rPr>
        <w:t>, 74(6), pp. 61–78.</w:t>
      </w:r>
    </w:p>
    <w:p w14:paraId="1EC75539" w14:textId="77777777" w:rsidR="00795AF7" w:rsidRPr="00FD1E03" w:rsidRDefault="00795AF7" w:rsidP="00795AF7">
      <w:pPr>
        <w:ind w:right="0"/>
        <w:jc w:val="both"/>
        <w:rPr>
          <w:rFonts w:ascii="Arial" w:hAnsi="Arial" w:cs="Arial"/>
        </w:rPr>
      </w:pPr>
      <w:r w:rsidRPr="00FD1E03">
        <w:rPr>
          <w:rFonts w:ascii="Arial" w:hAnsi="Arial" w:cs="Arial"/>
        </w:rPr>
        <w:t xml:space="preserve">Reinartz, W., Wiegand, N. &amp; Imschloss, M. (2019) ‘The impact of digital transformation on retailing’, </w:t>
      </w:r>
      <w:r w:rsidRPr="00FD1E03">
        <w:rPr>
          <w:rFonts w:ascii="Arial" w:hAnsi="Arial" w:cs="Arial"/>
          <w:i/>
          <w:iCs/>
        </w:rPr>
        <w:t>Journal of Retailing</w:t>
      </w:r>
      <w:r w:rsidRPr="00FD1E03">
        <w:rPr>
          <w:rFonts w:ascii="Arial" w:hAnsi="Arial" w:cs="Arial"/>
        </w:rPr>
        <w:t>, 95(4), pp. 1–14.</w:t>
      </w:r>
    </w:p>
    <w:p w14:paraId="601D1B49" w14:textId="77777777" w:rsidR="00795AF7" w:rsidRPr="00FD1E03" w:rsidRDefault="00795AF7" w:rsidP="00795AF7">
      <w:pPr>
        <w:ind w:right="0"/>
        <w:jc w:val="both"/>
        <w:rPr>
          <w:rFonts w:ascii="Arial" w:hAnsi="Arial" w:cs="Arial"/>
        </w:rPr>
      </w:pPr>
      <w:r w:rsidRPr="00FD1E03">
        <w:rPr>
          <w:rFonts w:ascii="Arial" w:hAnsi="Arial" w:cs="Arial"/>
        </w:rPr>
        <w:t xml:space="preserve">Verhoef, P.C., Kannan, P.K. &amp; Inman, J.J. (2015) ‘From multi-channel retailing to omni-channel retailing’, </w:t>
      </w:r>
      <w:r w:rsidRPr="00FD1E03">
        <w:rPr>
          <w:rFonts w:ascii="Arial" w:hAnsi="Arial" w:cs="Arial"/>
          <w:i/>
          <w:iCs/>
        </w:rPr>
        <w:t>Journal of Retailing</w:t>
      </w:r>
      <w:r w:rsidRPr="00FD1E03">
        <w:rPr>
          <w:rFonts w:ascii="Arial" w:hAnsi="Arial" w:cs="Arial"/>
        </w:rPr>
        <w:t>, 91(2), pp. 174–181</w:t>
      </w:r>
    </w:p>
    <w:p w14:paraId="61FD1946" w14:textId="77777777" w:rsidR="008771B1" w:rsidRPr="00FD1E03" w:rsidRDefault="008771B1" w:rsidP="00760146">
      <w:pPr>
        <w:ind w:right="0"/>
        <w:jc w:val="both"/>
        <w:rPr>
          <w:rFonts w:ascii="Arial" w:hAnsi="Arial" w:cs="Arial"/>
        </w:rPr>
      </w:pPr>
    </w:p>
    <w:p w14:paraId="3A4FF012" w14:textId="004A6DC0" w:rsidR="002F5F0E" w:rsidRPr="009322E1" w:rsidRDefault="00760146" w:rsidP="00760146">
      <w:pPr>
        <w:ind w:right="0"/>
        <w:jc w:val="both"/>
        <w:rPr>
          <w:rFonts w:ascii="Arial" w:hAnsi="Arial" w:cs="Arial"/>
        </w:rPr>
      </w:pPr>
      <w:r w:rsidRPr="001C2E1F">
        <w:rPr>
          <w:rFonts w:ascii="Arial" w:hAnsi="Arial" w:cs="Arial"/>
        </w:rPr>
        <w:t>.</w:t>
      </w:r>
    </w:p>
    <w:p w14:paraId="1843AC08" w14:textId="77777777" w:rsidR="002F5F0E" w:rsidRDefault="002F5F0E" w:rsidP="00760146">
      <w:pPr>
        <w:ind w:right="0"/>
        <w:jc w:val="both"/>
      </w:pPr>
    </w:p>
    <w:p w14:paraId="42A949F4" w14:textId="77777777" w:rsidR="00760146" w:rsidRDefault="00760146" w:rsidP="00760146">
      <w:pPr>
        <w:ind w:right="0"/>
        <w:jc w:val="both"/>
      </w:pPr>
    </w:p>
    <w:p w14:paraId="09772C73" w14:textId="77777777" w:rsidR="00BA05F7" w:rsidRDefault="00760146" w:rsidP="00760146">
      <w:pPr>
        <w:ind w:right="0"/>
        <w:jc w:val="both"/>
      </w:pPr>
      <w:r>
        <w:t xml:space="preserve"> </w:t>
      </w:r>
    </w:p>
    <w:p w14:paraId="224A87A3" w14:textId="77777777" w:rsidR="00BA05F7" w:rsidRDefault="00BA05F7" w:rsidP="00760146">
      <w:pPr>
        <w:ind w:right="0"/>
        <w:jc w:val="both"/>
      </w:pPr>
    </w:p>
    <w:p w14:paraId="167D6C7F" w14:textId="77777777" w:rsidR="00BA05F7" w:rsidRDefault="00BA05F7" w:rsidP="00760146">
      <w:pPr>
        <w:ind w:right="0"/>
        <w:jc w:val="both"/>
      </w:pPr>
    </w:p>
    <w:p w14:paraId="223DAFD4" w14:textId="77777777" w:rsidR="00760146" w:rsidRPr="00760146" w:rsidRDefault="00760146" w:rsidP="00760146"/>
    <w:sectPr w:rsidR="00760146" w:rsidRPr="007601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D55A0" w14:textId="77777777" w:rsidR="000F7C24" w:rsidRDefault="000F7C24" w:rsidP="002C7F01">
      <w:pPr>
        <w:spacing w:after="0" w:line="240" w:lineRule="auto"/>
      </w:pPr>
      <w:r>
        <w:separator/>
      </w:r>
    </w:p>
  </w:endnote>
  <w:endnote w:type="continuationSeparator" w:id="0">
    <w:p w14:paraId="6A6E8307" w14:textId="77777777" w:rsidR="000F7C24" w:rsidRDefault="000F7C24" w:rsidP="002C7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98140" w14:textId="77777777" w:rsidR="000F7C24" w:rsidRDefault="000F7C24" w:rsidP="002C7F01">
      <w:pPr>
        <w:spacing w:after="0" w:line="240" w:lineRule="auto"/>
      </w:pPr>
      <w:r>
        <w:separator/>
      </w:r>
    </w:p>
  </w:footnote>
  <w:footnote w:type="continuationSeparator" w:id="0">
    <w:p w14:paraId="6C2B314E" w14:textId="77777777" w:rsidR="000F7C24" w:rsidRDefault="000F7C24" w:rsidP="002C7F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B1987"/>
    <w:multiLevelType w:val="multilevel"/>
    <w:tmpl w:val="05864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60163"/>
    <w:multiLevelType w:val="multilevel"/>
    <w:tmpl w:val="CB52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22920"/>
    <w:multiLevelType w:val="multilevel"/>
    <w:tmpl w:val="DC4AA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10ED8"/>
    <w:multiLevelType w:val="multilevel"/>
    <w:tmpl w:val="555A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A7921"/>
    <w:multiLevelType w:val="multilevel"/>
    <w:tmpl w:val="6D6C2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2390A"/>
    <w:multiLevelType w:val="multilevel"/>
    <w:tmpl w:val="CF6C1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95B48"/>
    <w:multiLevelType w:val="multilevel"/>
    <w:tmpl w:val="5CC0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66D07"/>
    <w:multiLevelType w:val="multilevel"/>
    <w:tmpl w:val="D2C6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C43351"/>
    <w:multiLevelType w:val="multilevel"/>
    <w:tmpl w:val="D710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617F7A"/>
    <w:multiLevelType w:val="multilevel"/>
    <w:tmpl w:val="983A7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31AA3"/>
    <w:multiLevelType w:val="multilevel"/>
    <w:tmpl w:val="3FE0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2931CF"/>
    <w:multiLevelType w:val="multilevel"/>
    <w:tmpl w:val="1ECA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BE1567"/>
    <w:multiLevelType w:val="multilevel"/>
    <w:tmpl w:val="94F4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6F22C2"/>
    <w:multiLevelType w:val="multilevel"/>
    <w:tmpl w:val="6712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0A7037"/>
    <w:multiLevelType w:val="multilevel"/>
    <w:tmpl w:val="7E1EC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2D47AF"/>
    <w:multiLevelType w:val="multilevel"/>
    <w:tmpl w:val="8FD42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B12B41"/>
    <w:multiLevelType w:val="multilevel"/>
    <w:tmpl w:val="26D0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110986"/>
    <w:multiLevelType w:val="multilevel"/>
    <w:tmpl w:val="1890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647060"/>
    <w:multiLevelType w:val="multilevel"/>
    <w:tmpl w:val="C13A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B616C4"/>
    <w:multiLevelType w:val="multilevel"/>
    <w:tmpl w:val="3224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0B5732"/>
    <w:multiLevelType w:val="multilevel"/>
    <w:tmpl w:val="A93CD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6301760">
    <w:abstractNumId w:val="20"/>
  </w:num>
  <w:num w:numId="2" w16cid:durableId="2138915787">
    <w:abstractNumId w:val="4"/>
  </w:num>
  <w:num w:numId="3" w16cid:durableId="549145948">
    <w:abstractNumId w:val="18"/>
  </w:num>
  <w:num w:numId="4" w16cid:durableId="2130003689">
    <w:abstractNumId w:val="1"/>
  </w:num>
  <w:num w:numId="5" w16cid:durableId="2006324998">
    <w:abstractNumId w:val="8"/>
  </w:num>
  <w:num w:numId="6" w16cid:durableId="1583759803">
    <w:abstractNumId w:val="2"/>
  </w:num>
  <w:num w:numId="7" w16cid:durableId="2124760280">
    <w:abstractNumId w:val="17"/>
  </w:num>
  <w:num w:numId="8" w16cid:durableId="943802089">
    <w:abstractNumId w:val="11"/>
  </w:num>
  <w:num w:numId="9" w16cid:durableId="2112582596">
    <w:abstractNumId w:val="5"/>
  </w:num>
  <w:num w:numId="10" w16cid:durableId="1778713523">
    <w:abstractNumId w:val="19"/>
  </w:num>
  <w:num w:numId="11" w16cid:durableId="1524127708">
    <w:abstractNumId w:val="7"/>
  </w:num>
  <w:num w:numId="12" w16cid:durableId="1211846740">
    <w:abstractNumId w:val="13"/>
  </w:num>
  <w:num w:numId="13" w16cid:durableId="1521242079">
    <w:abstractNumId w:val="12"/>
  </w:num>
  <w:num w:numId="14" w16cid:durableId="167214278">
    <w:abstractNumId w:val="16"/>
  </w:num>
  <w:num w:numId="15" w16cid:durableId="1596279678">
    <w:abstractNumId w:val="6"/>
  </w:num>
  <w:num w:numId="16" w16cid:durableId="1478495926">
    <w:abstractNumId w:val="14"/>
  </w:num>
  <w:num w:numId="17" w16cid:durableId="1635062917">
    <w:abstractNumId w:val="3"/>
  </w:num>
  <w:num w:numId="18" w16cid:durableId="733770983">
    <w:abstractNumId w:val="15"/>
  </w:num>
  <w:num w:numId="19" w16cid:durableId="1778677655">
    <w:abstractNumId w:val="0"/>
  </w:num>
  <w:num w:numId="20" w16cid:durableId="1584954513">
    <w:abstractNumId w:val="10"/>
  </w:num>
  <w:num w:numId="21" w16cid:durableId="7935968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146"/>
    <w:rsid w:val="000F7C24"/>
    <w:rsid w:val="00165F8A"/>
    <w:rsid w:val="001C2E1F"/>
    <w:rsid w:val="00241048"/>
    <w:rsid w:val="002C7F01"/>
    <w:rsid w:val="002F5F0E"/>
    <w:rsid w:val="00343303"/>
    <w:rsid w:val="00350FFD"/>
    <w:rsid w:val="004962B8"/>
    <w:rsid w:val="004B3ACD"/>
    <w:rsid w:val="005B6EE0"/>
    <w:rsid w:val="005C7BCC"/>
    <w:rsid w:val="006F1BC3"/>
    <w:rsid w:val="0070155E"/>
    <w:rsid w:val="00736A2B"/>
    <w:rsid w:val="00760146"/>
    <w:rsid w:val="0076466F"/>
    <w:rsid w:val="007767C5"/>
    <w:rsid w:val="007870E7"/>
    <w:rsid w:val="00795AF7"/>
    <w:rsid w:val="007C41F6"/>
    <w:rsid w:val="007C5627"/>
    <w:rsid w:val="00816FDE"/>
    <w:rsid w:val="008542C4"/>
    <w:rsid w:val="008771B1"/>
    <w:rsid w:val="009322E1"/>
    <w:rsid w:val="009426D4"/>
    <w:rsid w:val="009B42F0"/>
    <w:rsid w:val="00A1792E"/>
    <w:rsid w:val="00A704B7"/>
    <w:rsid w:val="00AF120E"/>
    <w:rsid w:val="00AF28E6"/>
    <w:rsid w:val="00B07B62"/>
    <w:rsid w:val="00B336C5"/>
    <w:rsid w:val="00BA05F7"/>
    <w:rsid w:val="00BD3AA3"/>
    <w:rsid w:val="00C038FE"/>
    <w:rsid w:val="00C12700"/>
    <w:rsid w:val="00CB0710"/>
    <w:rsid w:val="00D47703"/>
    <w:rsid w:val="00D810E2"/>
    <w:rsid w:val="00D96E60"/>
    <w:rsid w:val="00E003C9"/>
    <w:rsid w:val="00E80AF4"/>
    <w:rsid w:val="00E911EC"/>
    <w:rsid w:val="00F5231B"/>
    <w:rsid w:val="00FA634A"/>
    <w:rsid w:val="00FD1E03"/>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57D5"/>
  <w15:chartTrackingRefBased/>
  <w15:docId w15:val="{2F8E5EB2-3234-451B-8209-0F7ED38CB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ta-IN"/>
        <w14:ligatures w14:val="standardContextual"/>
      </w:rPr>
    </w:rPrDefault>
    <w:pPrDefault>
      <w:pPr>
        <w:spacing w:after="160" w:line="259" w:lineRule="auto"/>
        <w:ind w:right="81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0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1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1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1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1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1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1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1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1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1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1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1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1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1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1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1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146"/>
    <w:rPr>
      <w:rFonts w:eastAsiaTheme="majorEastAsia" w:cstheme="majorBidi"/>
      <w:color w:val="272727" w:themeColor="text1" w:themeTint="D8"/>
    </w:rPr>
  </w:style>
  <w:style w:type="paragraph" w:styleId="Title">
    <w:name w:val="Title"/>
    <w:basedOn w:val="Normal"/>
    <w:next w:val="Normal"/>
    <w:link w:val="TitleChar"/>
    <w:uiPriority w:val="10"/>
    <w:qFormat/>
    <w:rsid w:val="00760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1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1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1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146"/>
    <w:pPr>
      <w:spacing w:before="160"/>
      <w:jc w:val="center"/>
    </w:pPr>
    <w:rPr>
      <w:i/>
      <w:iCs/>
      <w:color w:val="404040" w:themeColor="text1" w:themeTint="BF"/>
    </w:rPr>
  </w:style>
  <w:style w:type="character" w:customStyle="1" w:styleId="QuoteChar">
    <w:name w:val="Quote Char"/>
    <w:basedOn w:val="DefaultParagraphFont"/>
    <w:link w:val="Quote"/>
    <w:uiPriority w:val="29"/>
    <w:rsid w:val="00760146"/>
    <w:rPr>
      <w:i/>
      <w:iCs/>
      <w:color w:val="404040" w:themeColor="text1" w:themeTint="BF"/>
    </w:rPr>
  </w:style>
  <w:style w:type="paragraph" w:styleId="ListParagraph">
    <w:name w:val="List Paragraph"/>
    <w:basedOn w:val="Normal"/>
    <w:uiPriority w:val="34"/>
    <w:qFormat/>
    <w:rsid w:val="00760146"/>
    <w:pPr>
      <w:ind w:left="720"/>
      <w:contextualSpacing/>
    </w:pPr>
  </w:style>
  <w:style w:type="character" w:styleId="IntenseEmphasis">
    <w:name w:val="Intense Emphasis"/>
    <w:basedOn w:val="DefaultParagraphFont"/>
    <w:uiPriority w:val="21"/>
    <w:qFormat/>
    <w:rsid w:val="00760146"/>
    <w:rPr>
      <w:i/>
      <w:iCs/>
      <w:color w:val="0F4761" w:themeColor="accent1" w:themeShade="BF"/>
    </w:rPr>
  </w:style>
  <w:style w:type="paragraph" w:styleId="IntenseQuote">
    <w:name w:val="Intense Quote"/>
    <w:basedOn w:val="Normal"/>
    <w:next w:val="Normal"/>
    <w:link w:val="IntenseQuoteChar"/>
    <w:uiPriority w:val="30"/>
    <w:qFormat/>
    <w:rsid w:val="00760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146"/>
    <w:rPr>
      <w:i/>
      <w:iCs/>
      <w:color w:val="0F4761" w:themeColor="accent1" w:themeShade="BF"/>
    </w:rPr>
  </w:style>
  <w:style w:type="character" w:styleId="IntenseReference">
    <w:name w:val="Intense Reference"/>
    <w:basedOn w:val="DefaultParagraphFont"/>
    <w:uiPriority w:val="32"/>
    <w:qFormat/>
    <w:rsid w:val="00760146"/>
    <w:rPr>
      <w:b/>
      <w:bCs/>
      <w:smallCaps/>
      <w:color w:val="0F4761" w:themeColor="accent1" w:themeShade="BF"/>
      <w:spacing w:val="5"/>
    </w:rPr>
  </w:style>
  <w:style w:type="paragraph" w:styleId="Header">
    <w:name w:val="header"/>
    <w:basedOn w:val="Normal"/>
    <w:link w:val="HeaderChar"/>
    <w:uiPriority w:val="99"/>
    <w:unhideWhenUsed/>
    <w:rsid w:val="002C7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F01"/>
  </w:style>
  <w:style w:type="paragraph" w:styleId="Footer">
    <w:name w:val="footer"/>
    <w:basedOn w:val="Normal"/>
    <w:link w:val="FooterChar"/>
    <w:uiPriority w:val="99"/>
    <w:unhideWhenUsed/>
    <w:rsid w:val="002C7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F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884</Words>
  <Characters>5045</Characters>
  <Application>Microsoft Office Word</Application>
  <DocSecurity>0</DocSecurity>
  <Lines>42</Lines>
  <Paragraphs>11</Paragraphs>
  <ScaleCrop>false</ScaleCrop>
  <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Jamuthra Srikumar</dc:creator>
  <cp:keywords/>
  <dc:description/>
  <cp:lastModifiedBy>Jamuthra Srikumar</cp:lastModifiedBy>
  <cp:revision>37</cp:revision>
  <dcterms:created xsi:type="dcterms:W3CDTF">2026-07-21T23:08:00Z</dcterms:created>
  <dcterms:modified xsi:type="dcterms:W3CDTF">2026-07-26T23:30:00Z</dcterms:modified>
</cp:coreProperties>
</file>