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CDAFE" w14:textId="77777777" w:rsidR="004E7A1B" w:rsidRPr="004E7A1B" w:rsidRDefault="004E7A1B" w:rsidP="004E7A1B">
      <w:pPr>
        <w:rPr>
          <w:u w:val="single"/>
        </w:rPr>
      </w:pPr>
      <w:r w:rsidRPr="004E7A1B">
        <w:rPr>
          <w:u w:val="single"/>
        </w:rPr>
        <w:t>Student Name: Faryal Wahid</w:t>
      </w:r>
    </w:p>
    <w:p w14:paraId="6C2A3164" w14:textId="77777777" w:rsidR="004E7A1B" w:rsidRPr="004E7A1B" w:rsidRDefault="004E7A1B" w:rsidP="004E7A1B">
      <w:pPr>
        <w:rPr>
          <w:u w:val="single"/>
        </w:rPr>
      </w:pPr>
      <w:r w:rsidRPr="004E7A1B">
        <w:rPr>
          <w:u w:val="single"/>
        </w:rPr>
        <w:t>Student Number: 2245623</w:t>
      </w:r>
    </w:p>
    <w:p w14:paraId="29B5B17B" w14:textId="77777777" w:rsidR="004E7A1B" w:rsidRPr="004E7A1B" w:rsidRDefault="004E7A1B" w:rsidP="004E7A1B">
      <w:pPr>
        <w:rPr>
          <w:u w:val="single"/>
        </w:rPr>
      </w:pPr>
      <w:r w:rsidRPr="004E7A1B">
        <w:rPr>
          <w:u w:val="single"/>
        </w:rPr>
        <w:t>Module: BMHP6030</w:t>
      </w:r>
    </w:p>
    <w:p w14:paraId="3A6681BE" w14:textId="77777777" w:rsidR="004E7A1B" w:rsidRPr="004E7A1B" w:rsidRDefault="004E7A1B" w:rsidP="004E7A1B">
      <w:pPr>
        <w:rPr>
          <w:u w:val="single"/>
        </w:rPr>
      </w:pPr>
      <w:r w:rsidRPr="004E7A1B">
        <w:rPr>
          <w:u w:val="single"/>
        </w:rPr>
        <w:t>Assignment Title: Component 2 Written Assignment (report)</w:t>
      </w:r>
    </w:p>
    <w:p w14:paraId="5FDDB4F5" w14:textId="77777777" w:rsidR="004E7A1B" w:rsidRDefault="004E7A1B" w:rsidP="005E48B7"/>
    <w:p w14:paraId="18ACBB50" w14:textId="77777777" w:rsidR="004E7A1B" w:rsidRDefault="004E7A1B" w:rsidP="005E48B7"/>
    <w:p w14:paraId="09FDEAC1" w14:textId="77777777" w:rsidR="004E7A1B" w:rsidRDefault="004E7A1B" w:rsidP="005E48B7"/>
    <w:p w14:paraId="0B066F03" w14:textId="77777777" w:rsidR="004E7A1B" w:rsidRDefault="004E7A1B" w:rsidP="005E48B7"/>
    <w:p w14:paraId="6120ADF3" w14:textId="77777777" w:rsidR="004E7A1B" w:rsidRDefault="004E7A1B" w:rsidP="005E48B7"/>
    <w:p w14:paraId="421F31AE" w14:textId="77777777" w:rsidR="004E7A1B" w:rsidRDefault="004E7A1B" w:rsidP="005E48B7"/>
    <w:p w14:paraId="428C598E" w14:textId="77777777" w:rsidR="004E7A1B" w:rsidRDefault="004E7A1B" w:rsidP="005E48B7"/>
    <w:p w14:paraId="4C80E312" w14:textId="77777777" w:rsidR="004E7A1B" w:rsidRDefault="004E7A1B" w:rsidP="005E48B7"/>
    <w:p w14:paraId="5541072D" w14:textId="77777777" w:rsidR="004E7A1B" w:rsidRDefault="004E7A1B" w:rsidP="005E48B7"/>
    <w:p w14:paraId="05661554" w14:textId="77777777" w:rsidR="004E7A1B" w:rsidRDefault="004E7A1B" w:rsidP="005E48B7"/>
    <w:p w14:paraId="79F40309" w14:textId="77777777" w:rsidR="004E7A1B" w:rsidRDefault="004E7A1B" w:rsidP="005E48B7"/>
    <w:p w14:paraId="47FC52F6" w14:textId="77777777" w:rsidR="004E7A1B" w:rsidRDefault="004E7A1B" w:rsidP="005E48B7"/>
    <w:p w14:paraId="6DE5E01C" w14:textId="77777777" w:rsidR="004E7A1B" w:rsidRDefault="004E7A1B" w:rsidP="005E48B7"/>
    <w:p w14:paraId="195EEFC5" w14:textId="77777777" w:rsidR="004E7A1B" w:rsidRDefault="004E7A1B" w:rsidP="005E48B7"/>
    <w:p w14:paraId="10C97451" w14:textId="77777777" w:rsidR="004E7A1B" w:rsidRDefault="004E7A1B" w:rsidP="005E48B7"/>
    <w:p w14:paraId="1ACE7ECE" w14:textId="77777777" w:rsidR="004E7A1B" w:rsidRDefault="004E7A1B" w:rsidP="005E48B7"/>
    <w:p w14:paraId="7346E0A7" w14:textId="77777777" w:rsidR="004E7A1B" w:rsidRDefault="004E7A1B" w:rsidP="005E48B7"/>
    <w:p w14:paraId="1EC95C1B" w14:textId="77777777" w:rsidR="004E7A1B" w:rsidRDefault="004E7A1B" w:rsidP="005E48B7"/>
    <w:p w14:paraId="65D71DD4" w14:textId="77777777" w:rsidR="004E7A1B" w:rsidRDefault="004E7A1B" w:rsidP="005E48B7"/>
    <w:p w14:paraId="0445414D" w14:textId="77777777" w:rsidR="004E7A1B" w:rsidRDefault="004E7A1B" w:rsidP="005E48B7"/>
    <w:p w14:paraId="07C16F28" w14:textId="77777777" w:rsidR="004E7A1B" w:rsidRDefault="004E7A1B" w:rsidP="005E48B7"/>
    <w:p w14:paraId="67D8124D" w14:textId="77777777" w:rsidR="004E7A1B" w:rsidRDefault="004E7A1B" w:rsidP="005E48B7"/>
    <w:p w14:paraId="0EE64803" w14:textId="77777777" w:rsidR="004E7A1B" w:rsidRDefault="004E7A1B" w:rsidP="005E48B7"/>
    <w:sdt>
      <w:sdtPr>
        <w:rPr>
          <w:rFonts w:asciiTheme="minorHAnsi" w:eastAsiaTheme="minorHAnsi" w:hAnsiTheme="minorHAnsi" w:cstheme="minorBidi"/>
          <w:color w:val="auto"/>
          <w:kern w:val="2"/>
          <w:sz w:val="24"/>
          <w:szCs w:val="24"/>
          <w:lang w:val="en-GB"/>
          <w14:ligatures w14:val="standardContextual"/>
        </w:rPr>
        <w:id w:val="1444579372"/>
        <w:docPartObj>
          <w:docPartGallery w:val="Table of Contents"/>
          <w:docPartUnique/>
        </w:docPartObj>
      </w:sdtPr>
      <w:sdtEndPr>
        <w:rPr>
          <w:b/>
          <w:bCs/>
          <w:noProof/>
        </w:rPr>
      </w:sdtEndPr>
      <w:sdtContent>
        <w:p w14:paraId="5259CA82" w14:textId="0756E14A" w:rsidR="004E7A1B" w:rsidRDefault="004E7A1B">
          <w:pPr>
            <w:pStyle w:val="TOCHeading"/>
          </w:pPr>
          <w:r>
            <w:t>Contents</w:t>
          </w:r>
        </w:p>
        <w:p w14:paraId="4AE730B7" w14:textId="6D9C3883" w:rsidR="004E7A1B" w:rsidRDefault="004E7A1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030320" w:history="1">
            <w:r w:rsidRPr="008B4506">
              <w:rPr>
                <w:rStyle w:val="Hyperlink"/>
                <w:b/>
                <w:bCs/>
                <w:noProof/>
              </w:rPr>
              <w:t>Critical Analysis of Current Policies and Initiatives on SDG 3 ‘Good Health and Wellbeing’ and SDG 13 ‘Climate Action’ at Global, National, and Local Levels</w:t>
            </w:r>
            <w:r>
              <w:rPr>
                <w:noProof/>
                <w:webHidden/>
              </w:rPr>
              <w:tab/>
            </w:r>
            <w:r>
              <w:rPr>
                <w:noProof/>
                <w:webHidden/>
              </w:rPr>
              <w:fldChar w:fldCharType="begin"/>
            </w:r>
            <w:r>
              <w:rPr>
                <w:noProof/>
                <w:webHidden/>
              </w:rPr>
              <w:instrText xml:space="preserve"> PAGEREF _Toc225030320 \h </w:instrText>
            </w:r>
            <w:r>
              <w:rPr>
                <w:noProof/>
                <w:webHidden/>
              </w:rPr>
            </w:r>
            <w:r>
              <w:rPr>
                <w:noProof/>
                <w:webHidden/>
              </w:rPr>
              <w:fldChar w:fldCharType="separate"/>
            </w:r>
            <w:r>
              <w:rPr>
                <w:noProof/>
                <w:webHidden/>
              </w:rPr>
              <w:t>3</w:t>
            </w:r>
            <w:r>
              <w:rPr>
                <w:noProof/>
                <w:webHidden/>
              </w:rPr>
              <w:fldChar w:fldCharType="end"/>
            </w:r>
          </w:hyperlink>
        </w:p>
        <w:p w14:paraId="2244A77C" w14:textId="7600AB22" w:rsidR="004E7A1B" w:rsidRDefault="004E7A1B">
          <w:pPr>
            <w:pStyle w:val="TOC2"/>
            <w:tabs>
              <w:tab w:val="right" w:leader="dot" w:pos="9016"/>
            </w:tabs>
            <w:rPr>
              <w:rFonts w:eastAsiaTheme="minorEastAsia"/>
              <w:noProof/>
              <w:lang w:eastAsia="en-GB"/>
            </w:rPr>
          </w:pPr>
          <w:hyperlink w:anchor="_Toc225030321" w:history="1">
            <w:r w:rsidRPr="008B4506">
              <w:rPr>
                <w:rStyle w:val="Hyperlink"/>
                <w:b/>
                <w:bCs/>
                <w:noProof/>
              </w:rPr>
              <w:t>Introduction</w:t>
            </w:r>
            <w:r>
              <w:rPr>
                <w:noProof/>
                <w:webHidden/>
              </w:rPr>
              <w:tab/>
            </w:r>
            <w:r>
              <w:rPr>
                <w:noProof/>
                <w:webHidden/>
              </w:rPr>
              <w:fldChar w:fldCharType="begin"/>
            </w:r>
            <w:r>
              <w:rPr>
                <w:noProof/>
                <w:webHidden/>
              </w:rPr>
              <w:instrText xml:space="preserve"> PAGEREF _Toc225030321 \h </w:instrText>
            </w:r>
            <w:r>
              <w:rPr>
                <w:noProof/>
                <w:webHidden/>
              </w:rPr>
            </w:r>
            <w:r>
              <w:rPr>
                <w:noProof/>
                <w:webHidden/>
              </w:rPr>
              <w:fldChar w:fldCharType="separate"/>
            </w:r>
            <w:r>
              <w:rPr>
                <w:noProof/>
                <w:webHidden/>
              </w:rPr>
              <w:t>3</w:t>
            </w:r>
            <w:r>
              <w:rPr>
                <w:noProof/>
                <w:webHidden/>
              </w:rPr>
              <w:fldChar w:fldCharType="end"/>
            </w:r>
          </w:hyperlink>
        </w:p>
        <w:p w14:paraId="3EDA1311" w14:textId="5B4EE5A5" w:rsidR="004E7A1B" w:rsidRDefault="004E7A1B">
          <w:pPr>
            <w:pStyle w:val="TOC2"/>
            <w:tabs>
              <w:tab w:val="right" w:leader="dot" w:pos="9016"/>
            </w:tabs>
            <w:rPr>
              <w:rFonts w:eastAsiaTheme="minorEastAsia"/>
              <w:noProof/>
              <w:lang w:eastAsia="en-GB"/>
            </w:rPr>
          </w:pPr>
          <w:hyperlink w:anchor="_Toc225030322" w:history="1">
            <w:r w:rsidRPr="008B4506">
              <w:rPr>
                <w:rStyle w:val="Hyperlink"/>
                <w:b/>
                <w:bCs/>
                <w:noProof/>
              </w:rPr>
              <w:t>SDG 3 – Good Health and Wellbeing</w:t>
            </w:r>
            <w:r>
              <w:rPr>
                <w:noProof/>
                <w:webHidden/>
              </w:rPr>
              <w:tab/>
            </w:r>
            <w:r>
              <w:rPr>
                <w:noProof/>
                <w:webHidden/>
              </w:rPr>
              <w:fldChar w:fldCharType="begin"/>
            </w:r>
            <w:r>
              <w:rPr>
                <w:noProof/>
                <w:webHidden/>
              </w:rPr>
              <w:instrText xml:space="preserve"> PAGEREF _Toc225030322 \h </w:instrText>
            </w:r>
            <w:r>
              <w:rPr>
                <w:noProof/>
                <w:webHidden/>
              </w:rPr>
            </w:r>
            <w:r>
              <w:rPr>
                <w:noProof/>
                <w:webHidden/>
              </w:rPr>
              <w:fldChar w:fldCharType="separate"/>
            </w:r>
            <w:r>
              <w:rPr>
                <w:noProof/>
                <w:webHidden/>
              </w:rPr>
              <w:t>4</w:t>
            </w:r>
            <w:r>
              <w:rPr>
                <w:noProof/>
                <w:webHidden/>
              </w:rPr>
              <w:fldChar w:fldCharType="end"/>
            </w:r>
          </w:hyperlink>
        </w:p>
        <w:p w14:paraId="4F1A56E8" w14:textId="55C8A849" w:rsidR="004E7A1B" w:rsidRDefault="004E7A1B">
          <w:pPr>
            <w:pStyle w:val="TOC3"/>
            <w:tabs>
              <w:tab w:val="right" w:leader="dot" w:pos="9016"/>
            </w:tabs>
            <w:rPr>
              <w:rFonts w:eastAsiaTheme="minorEastAsia"/>
              <w:noProof/>
              <w:lang w:eastAsia="en-GB"/>
            </w:rPr>
          </w:pPr>
          <w:hyperlink w:anchor="_Toc225030323" w:history="1">
            <w:r w:rsidRPr="008B4506">
              <w:rPr>
                <w:rStyle w:val="Hyperlink"/>
                <w:noProof/>
              </w:rPr>
              <w:t>Overview of SDG 3: Good Health and Wellbeing</w:t>
            </w:r>
            <w:r>
              <w:rPr>
                <w:noProof/>
                <w:webHidden/>
              </w:rPr>
              <w:tab/>
            </w:r>
            <w:r>
              <w:rPr>
                <w:noProof/>
                <w:webHidden/>
              </w:rPr>
              <w:fldChar w:fldCharType="begin"/>
            </w:r>
            <w:r>
              <w:rPr>
                <w:noProof/>
                <w:webHidden/>
              </w:rPr>
              <w:instrText xml:space="preserve"> PAGEREF _Toc225030323 \h </w:instrText>
            </w:r>
            <w:r>
              <w:rPr>
                <w:noProof/>
                <w:webHidden/>
              </w:rPr>
            </w:r>
            <w:r>
              <w:rPr>
                <w:noProof/>
                <w:webHidden/>
              </w:rPr>
              <w:fldChar w:fldCharType="separate"/>
            </w:r>
            <w:r>
              <w:rPr>
                <w:noProof/>
                <w:webHidden/>
              </w:rPr>
              <w:t>4</w:t>
            </w:r>
            <w:r>
              <w:rPr>
                <w:noProof/>
                <w:webHidden/>
              </w:rPr>
              <w:fldChar w:fldCharType="end"/>
            </w:r>
          </w:hyperlink>
        </w:p>
        <w:p w14:paraId="4084D30E" w14:textId="52D013C3" w:rsidR="004E7A1B" w:rsidRDefault="004E7A1B">
          <w:pPr>
            <w:pStyle w:val="TOC3"/>
            <w:tabs>
              <w:tab w:val="right" w:leader="dot" w:pos="9016"/>
            </w:tabs>
            <w:rPr>
              <w:rFonts w:eastAsiaTheme="minorEastAsia"/>
              <w:noProof/>
              <w:lang w:eastAsia="en-GB"/>
            </w:rPr>
          </w:pPr>
          <w:hyperlink w:anchor="_Toc225030324" w:history="1">
            <w:r w:rsidRPr="008B4506">
              <w:rPr>
                <w:rStyle w:val="Hyperlink"/>
                <w:noProof/>
              </w:rPr>
              <w:t>Global Policies and Initiatives</w:t>
            </w:r>
            <w:r>
              <w:rPr>
                <w:noProof/>
                <w:webHidden/>
              </w:rPr>
              <w:tab/>
            </w:r>
            <w:r>
              <w:rPr>
                <w:noProof/>
                <w:webHidden/>
              </w:rPr>
              <w:fldChar w:fldCharType="begin"/>
            </w:r>
            <w:r>
              <w:rPr>
                <w:noProof/>
                <w:webHidden/>
              </w:rPr>
              <w:instrText xml:space="preserve"> PAGEREF _Toc225030324 \h </w:instrText>
            </w:r>
            <w:r>
              <w:rPr>
                <w:noProof/>
                <w:webHidden/>
              </w:rPr>
            </w:r>
            <w:r>
              <w:rPr>
                <w:noProof/>
                <w:webHidden/>
              </w:rPr>
              <w:fldChar w:fldCharType="separate"/>
            </w:r>
            <w:r>
              <w:rPr>
                <w:noProof/>
                <w:webHidden/>
              </w:rPr>
              <w:t>4</w:t>
            </w:r>
            <w:r>
              <w:rPr>
                <w:noProof/>
                <w:webHidden/>
              </w:rPr>
              <w:fldChar w:fldCharType="end"/>
            </w:r>
          </w:hyperlink>
        </w:p>
        <w:p w14:paraId="42A19295" w14:textId="0BEB3292" w:rsidR="004E7A1B" w:rsidRDefault="004E7A1B">
          <w:pPr>
            <w:pStyle w:val="TOC3"/>
            <w:tabs>
              <w:tab w:val="right" w:leader="dot" w:pos="9016"/>
            </w:tabs>
            <w:rPr>
              <w:rFonts w:eastAsiaTheme="minorEastAsia"/>
              <w:noProof/>
              <w:lang w:eastAsia="en-GB"/>
            </w:rPr>
          </w:pPr>
          <w:hyperlink w:anchor="_Toc225030325" w:history="1">
            <w:r w:rsidRPr="008B4506">
              <w:rPr>
                <w:rStyle w:val="Hyperlink"/>
                <w:noProof/>
              </w:rPr>
              <w:t>National and Local Policies</w:t>
            </w:r>
            <w:r>
              <w:rPr>
                <w:noProof/>
                <w:webHidden/>
              </w:rPr>
              <w:tab/>
            </w:r>
            <w:r>
              <w:rPr>
                <w:noProof/>
                <w:webHidden/>
              </w:rPr>
              <w:fldChar w:fldCharType="begin"/>
            </w:r>
            <w:r>
              <w:rPr>
                <w:noProof/>
                <w:webHidden/>
              </w:rPr>
              <w:instrText xml:space="preserve"> PAGEREF _Toc225030325 \h </w:instrText>
            </w:r>
            <w:r>
              <w:rPr>
                <w:noProof/>
                <w:webHidden/>
              </w:rPr>
            </w:r>
            <w:r>
              <w:rPr>
                <w:noProof/>
                <w:webHidden/>
              </w:rPr>
              <w:fldChar w:fldCharType="separate"/>
            </w:r>
            <w:r>
              <w:rPr>
                <w:noProof/>
                <w:webHidden/>
              </w:rPr>
              <w:t>4</w:t>
            </w:r>
            <w:r>
              <w:rPr>
                <w:noProof/>
                <w:webHidden/>
              </w:rPr>
              <w:fldChar w:fldCharType="end"/>
            </w:r>
          </w:hyperlink>
        </w:p>
        <w:p w14:paraId="4B813771" w14:textId="682549A3" w:rsidR="004E7A1B" w:rsidRDefault="004E7A1B">
          <w:pPr>
            <w:pStyle w:val="TOC3"/>
            <w:tabs>
              <w:tab w:val="right" w:leader="dot" w:pos="9016"/>
            </w:tabs>
            <w:rPr>
              <w:rFonts w:eastAsiaTheme="minorEastAsia"/>
              <w:noProof/>
              <w:lang w:eastAsia="en-GB"/>
            </w:rPr>
          </w:pPr>
          <w:hyperlink w:anchor="_Toc225030326" w:history="1">
            <w:r w:rsidRPr="008B4506">
              <w:rPr>
                <w:rStyle w:val="Hyperlink"/>
                <w:noProof/>
              </w:rPr>
              <w:t>Critical Evaluation and Recommendations</w:t>
            </w:r>
            <w:r>
              <w:rPr>
                <w:noProof/>
                <w:webHidden/>
              </w:rPr>
              <w:tab/>
            </w:r>
            <w:r>
              <w:rPr>
                <w:noProof/>
                <w:webHidden/>
              </w:rPr>
              <w:fldChar w:fldCharType="begin"/>
            </w:r>
            <w:r>
              <w:rPr>
                <w:noProof/>
                <w:webHidden/>
              </w:rPr>
              <w:instrText xml:space="preserve"> PAGEREF _Toc225030326 \h </w:instrText>
            </w:r>
            <w:r>
              <w:rPr>
                <w:noProof/>
                <w:webHidden/>
              </w:rPr>
            </w:r>
            <w:r>
              <w:rPr>
                <w:noProof/>
                <w:webHidden/>
              </w:rPr>
              <w:fldChar w:fldCharType="separate"/>
            </w:r>
            <w:r>
              <w:rPr>
                <w:noProof/>
                <w:webHidden/>
              </w:rPr>
              <w:t>5</w:t>
            </w:r>
            <w:r>
              <w:rPr>
                <w:noProof/>
                <w:webHidden/>
              </w:rPr>
              <w:fldChar w:fldCharType="end"/>
            </w:r>
          </w:hyperlink>
        </w:p>
        <w:p w14:paraId="3738D7AC" w14:textId="477C56A6" w:rsidR="004E7A1B" w:rsidRDefault="004E7A1B">
          <w:pPr>
            <w:pStyle w:val="TOC2"/>
            <w:tabs>
              <w:tab w:val="right" w:leader="dot" w:pos="9016"/>
            </w:tabs>
            <w:rPr>
              <w:rFonts w:eastAsiaTheme="minorEastAsia"/>
              <w:noProof/>
              <w:lang w:eastAsia="en-GB"/>
            </w:rPr>
          </w:pPr>
          <w:hyperlink w:anchor="_Toc225030327" w:history="1">
            <w:r w:rsidRPr="008B4506">
              <w:rPr>
                <w:rStyle w:val="Hyperlink"/>
                <w:b/>
                <w:bCs/>
                <w:noProof/>
              </w:rPr>
              <w:t>SDG 13 – Climate Action</w:t>
            </w:r>
            <w:r>
              <w:rPr>
                <w:noProof/>
                <w:webHidden/>
              </w:rPr>
              <w:tab/>
            </w:r>
            <w:r>
              <w:rPr>
                <w:noProof/>
                <w:webHidden/>
              </w:rPr>
              <w:fldChar w:fldCharType="begin"/>
            </w:r>
            <w:r>
              <w:rPr>
                <w:noProof/>
                <w:webHidden/>
              </w:rPr>
              <w:instrText xml:space="preserve"> PAGEREF _Toc225030327 \h </w:instrText>
            </w:r>
            <w:r>
              <w:rPr>
                <w:noProof/>
                <w:webHidden/>
              </w:rPr>
            </w:r>
            <w:r>
              <w:rPr>
                <w:noProof/>
                <w:webHidden/>
              </w:rPr>
              <w:fldChar w:fldCharType="separate"/>
            </w:r>
            <w:r>
              <w:rPr>
                <w:noProof/>
                <w:webHidden/>
              </w:rPr>
              <w:t>6</w:t>
            </w:r>
            <w:r>
              <w:rPr>
                <w:noProof/>
                <w:webHidden/>
              </w:rPr>
              <w:fldChar w:fldCharType="end"/>
            </w:r>
          </w:hyperlink>
        </w:p>
        <w:p w14:paraId="1AB6B15C" w14:textId="27AE730C" w:rsidR="004E7A1B" w:rsidRDefault="004E7A1B">
          <w:pPr>
            <w:pStyle w:val="TOC3"/>
            <w:tabs>
              <w:tab w:val="right" w:leader="dot" w:pos="9016"/>
            </w:tabs>
            <w:rPr>
              <w:rFonts w:eastAsiaTheme="minorEastAsia"/>
              <w:noProof/>
              <w:lang w:eastAsia="en-GB"/>
            </w:rPr>
          </w:pPr>
          <w:hyperlink w:anchor="_Toc225030328" w:history="1">
            <w:r w:rsidRPr="008B4506">
              <w:rPr>
                <w:rStyle w:val="Hyperlink"/>
                <w:noProof/>
              </w:rPr>
              <w:t>Overview of SDG 13: Climate Action</w:t>
            </w:r>
            <w:r>
              <w:rPr>
                <w:noProof/>
                <w:webHidden/>
              </w:rPr>
              <w:tab/>
            </w:r>
            <w:r>
              <w:rPr>
                <w:noProof/>
                <w:webHidden/>
              </w:rPr>
              <w:fldChar w:fldCharType="begin"/>
            </w:r>
            <w:r>
              <w:rPr>
                <w:noProof/>
                <w:webHidden/>
              </w:rPr>
              <w:instrText xml:space="preserve"> PAGEREF _Toc225030328 \h </w:instrText>
            </w:r>
            <w:r>
              <w:rPr>
                <w:noProof/>
                <w:webHidden/>
              </w:rPr>
            </w:r>
            <w:r>
              <w:rPr>
                <w:noProof/>
                <w:webHidden/>
              </w:rPr>
              <w:fldChar w:fldCharType="separate"/>
            </w:r>
            <w:r>
              <w:rPr>
                <w:noProof/>
                <w:webHidden/>
              </w:rPr>
              <w:t>6</w:t>
            </w:r>
            <w:r>
              <w:rPr>
                <w:noProof/>
                <w:webHidden/>
              </w:rPr>
              <w:fldChar w:fldCharType="end"/>
            </w:r>
          </w:hyperlink>
        </w:p>
        <w:p w14:paraId="6DBEE206" w14:textId="57B6FF91" w:rsidR="004E7A1B" w:rsidRDefault="004E7A1B">
          <w:pPr>
            <w:pStyle w:val="TOC3"/>
            <w:tabs>
              <w:tab w:val="right" w:leader="dot" w:pos="9016"/>
            </w:tabs>
            <w:rPr>
              <w:rFonts w:eastAsiaTheme="minorEastAsia"/>
              <w:noProof/>
              <w:lang w:eastAsia="en-GB"/>
            </w:rPr>
          </w:pPr>
          <w:hyperlink w:anchor="_Toc225030329" w:history="1">
            <w:r w:rsidRPr="008B4506">
              <w:rPr>
                <w:rStyle w:val="Hyperlink"/>
                <w:noProof/>
              </w:rPr>
              <w:t>Global Policies and Initiatives</w:t>
            </w:r>
            <w:r>
              <w:rPr>
                <w:noProof/>
                <w:webHidden/>
              </w:rPr>
              <w:tab/>
            </w:r>
            <w:r>
              <w:rPr>
                <w:noProof/>
                <w:webHidden/>
              </w:rPr>
              <w:fldChar w:fldCharType="begin"/>
            </w:r>
            <w:r>
              <w:rPr>
                <w:noProof/>
                <w:webHidden/>
              </w:rPr>
              <w:instrText xml:space="preserve"> PAGEREF _Toc225030329 \h </w:instrText>
            </w:r>
            <w:r>
              <w:rPr>
                <w:noProof/>
                <w:webHidden/>
              </w:rPr>
            </w:r>
            <w:r>
              <w:rPr>
                <w:noProof/>
                <w:webHidden/>
              </w:rPr>
              <w:fldChar w:fldCharType="separate"/>
            </w:r>
            <w:r>
              <w:rPr>
                <w:noProof/>
                <w:webHidden/>
              </w:rPr>
              <w:t>6</w:t>
            </w:r>
            <w:r>
              <w:rPr>
                <w:noProof/>
                <w:webHidden/>
              </w:rPr>
              <w:fldChar w:fldCharType="end"/>
            </w:r>
          </w:hyperlink>
        </w:p>
        <w:p w14:paraId="4EF1E495" w14:textId="538B09C3" w:rsidR="004E7A1B" w:rsidRDefault="004E7A1B">
          <w:pPr>
            <w:pStyle w:val="TOC3"/>
            <w:tabs>
              <w:tab w:val="right" w:leader="dot" w:pos="9016"/>
            </w:tabs>
            <w:rPr>
              <w:rFonts w:eastAsiaTheme="minorEastAsia"/>
              <w:noProof/>
              <w:lang w:eastAsia="en-GB"/>
            </w:rPr>
          </w:pPr>
          <w:hyperlink w:anchor="_Toc225030330" w:history="1">
            <w:r w:rsidRPr="008B4506">
              <w:rPr>
                <w:rStyle w:val="Hyperlink"/>
                <w:noProof/>
              </w:rPr>
              <w:t>National and Local Policies</w:t>
            </w:r>
            <w:r>
              <w:rPr>
                <w:noProof/>
                <w:webHidden/>
              </w:rPr>
              <w:tab/>
            </w:r>
            <w:r>
              <w:rPr>
                <w:noProof/>
                <w:webHidden/>
              </w:rPr>
              <w:fldChar w:fldCharType="begin"/>
            </w:r>
            <w:r>
              <w:rPr>
                <w:noProof/>
                <w:webHidden/>
              </w:rPr>
              <w:instrText xml:space="preserve"> PAGEREF _Toc225030330 \h </w:instrText>
            </w:r>
            <w:r>
              <w:rPr>
                <w:noProof/>
                <w:webHidden/>
              </w:rPr>
            </w:r>
            <w:r>
              <w:rPr>
                <w:noProof/>
                <w:webHidden/>
              </w:rPr>
              <w:fldChar w:fldCharType="separate"/>
            </w:r>
            <w:r>
              <w:rPr>
                <w:noProof/>
                <w:webHidden/>
              </w:rPr>
              <w:t>6</w:t>
            </w:r>
            <w:r>
              <w:rPr>
                <w:noProof/>
                <w:webHidden/>
              </w:rPr>
              <w:fldChar w:fldCharType="end"/>
            </w:r>
          </w:hyperlink>
        </w:p>
        <w:p w14:paraId="30DB1141" w14:textId="2CB6C236" w:rsidR="004E7A1B" w:rsidRDefault="004E7A1B">
          <w:pPr>
            <w:pStyle w:val="TOC3"/>
            <w:tabs>
              <w:tab w:val="right" w:leader="dot" w:pos="9016"/>
            </w:tabs>
            <w:rPr>
              <w:rFonts w:eastAsiaTheme="minorEastAsia"/>
              <w:noProof/>
              <w:lang w:eastAsia="en-GB"/>
            </w:rPr>
          </w:pPr>
          <w:hyperlink w:anchor="_Toc225030331" w:history="1">
            <w:r w:rsidRPr="008B4506">
              <w:rPr>
                <w:rStyle w:val="Hyperlink"/>
                <w:noProof/>
              </w:rPr>
              <w:t>Critical Evaluation and Recommendations</w:t>
            </w:r>
            <w:r>
              <w:rPr>
                <w:noProof/>
                <w:webHidden/>
              </w:rPr>
              <w:tab/>
            </w:r>
            <w:r>
              <w:rPr>
                <w:noProof/>
                <w:webHidden/>
              </w:rPr>
              <w:fldChar w:fldCharType="begin"/>
            </w:r>
            <w:r>
              <w:rPr>
                <w:noProof/>
                <w:webHidden/>
              </w:rPr>
              <w:instrText xml:space="preserve"> PAGEREF _Toc225030331 \h </w:instrText>
            </w:r>
            <w:r>
              <w:rPr>
                <w:noProof/>
                <w:webHidden/>
              </w:rPr>
            </w:r>
            <w:r>
              <w:rPr>
                <w:noProof/>
                <w:webHidden/>
              </w:rPr>
              <w:fldChar w:fldCharType="separate"/>
            </w:r>
            <w:r>
              <w:rPr>
                <w:noProof/>
                <w:webHidden/>
              </w:rPr>
              <w:t>7</w:t>
            </w:r>
            <w:r>
              <w:rPr>
                <w:noProof/>
                <w:webHidden/>
              </w:rPr>
              <w:fldChar w:fldCharType="end"/>
            </w:r>
          </w:hyperlink>
        </w:p>
        <w:p w14:paraId="5F31BE62" w14:textId="53C53E59" w:rsidR="004E7A1B" w:rsidRDefault="004E7A1B">
          <w:pPr>
            <w:pStyle w:val="TOC2"/>
            <w:tabs>
              <w:tab w:val="right" w:leader="dot" w:pos="9016"/>
            </w:tabs>
            <w:rPr>
              <w:rFonts w:eastAsiaTheme="minorEastAsia"/>
              <w:noProof/>
              <w:lang w:eastAsia="en-GB"/>
            </w:rPr>
          </w:pPr>
          <w:hyperlink w:anchor="_Toc225030332" w:history="1">
            <w:r w:rsidRPr="008B4506">
              <w:rPr>
                <w:rStyle w:val="Hyperlink"/>
                <w:b/>
                <w:bCs/>
                <w:noProof/>
              </w:rPr>
              <w:t>Conclusion</w:t>
            </w:r>
            <w:r>
              <w:rPr>
                <w:noProof/>
                <w:webHidden/>
              </w:rPr>
              <w:tab/>
            </w:r>
            <w:r>
              <w:rPr>
                <w:noProof/>
                <w:webHidden/>
              </w:rPr>
              <w:fldChar w:fldCharType="begin"/>
            </w:r>
            <w:r>
              <w:rPr>
                <w:noProof/>
                <w:webHidden/>
              </w:rPr>
              <w:instrText xml:space="preserve"> PAGEREF _Toc225030332 \h </w:instrText>
            </w:r>
            <w:r>
              <w:rPr>
                <w:noProof/>
                <w:webHidden/>
              </w:rPr>
            </w:r>
            <w:r>
              <w:rPr>
                <w:noProof/>
                <w:webHidden/>
              </w:rPr>
              <w:fldChar w:fldCharType="separate"/>
            </w:r>
            <w:r>
              <w:rPr>
                <w:noProof/>
                <w:webHidden/>
              </w:rPr>
              <w:t>8</w:t>
            </w:r>
            <w:r>
              <w:rPr>
                <w:noProof/>
                <w:webHidden/>
              </w:rPr>
              <w:fldChar w:fldCharType="end"/>
            </w:r>
          </w:hyperlink>
        </w:p>
        <w:p w14:paraId="1261924A" w14:textId="7F03F483" w:rsidR="004E7A1B" w:rsidRDefault="004E7A1B">
          <w:pPr>
            <w:pStyle w:val="TOC2"/>
            <w:tabs>
              <w:tab w:val="right" w:leader="dot" w:pos="9016"/>
            </w:tabs>
            <w:rPr>
              <w:rFonts w:eastAsiaTheme="minorEastAsia"/>
              <w:noProof/>
              <w:lang w:eastAsia="en-GB"/>
            </w:rPr>
          </w:pPr>
          <w:hyperlink w:anchor="_Toc225030333" w:history="1">
            <w:r w:rsidRPr="008B4506">
              <w:rPr>
                <w:rStyle w:val="Hyperlink"/>
                <w:b/>
                <w:bCs/>
                <w:noProof/>
              </w:rPr>
              <w:t>References</w:t>
            </w:r>
            <w:r>
              <w:rPr>
                <w:noProof/>
                <w:webHidden/>
              </w:rPr>
              <w:tab/>
            </w:r>
            <w:r>
              <w:rPr>
                <w:noProof/>
                <w:webHidden/>
              </w:rPr>
              <w:fldChar w:fldCharType="begin"/>
            </w:r>
            <w:r>
              <w:rPr>
                <w:noProof/>
                <w:webHidden/>
              </w:rPr>
              <w:instrText xml:space="preserve"> PAGEREF _Toc225030333 \h </w:instrText>
            </w:r>
            <w:r>
              <w:rPr>
                <w:noProof/>
                <w:webHidden/>
              </w:rPr>
            </w:r>
            <w:r>
              <w:rPr>
                <w:noProof/>
                <w:webHidden/>
              </w:rPr>
              <w:fldChar w:fldCharType="separate"/>
            </w:r>
            <w:r>
              <w:rPr>
                <w:noProof/>
                <w:webHidden/>
              </w:rPr>
              <w:t>9</w:t>
            </w:r>
            <w:r>
              <w:rPr>
                <w:noProof/>
                <w:webHidden/>
              </w:rPr>
              <w:fldChar w:fldCharType="end"/>
            </w:r>
          </w:hyperlink>
        </w:p>
        <w:p w14:paraId="59BAC41A" w14:textId="4435EECF" w:rsidR="004E7A1B" w:rsidRDefault="004E7A1B">
          <w:r>
            <w:rPr>
              <w:b/>
              <w:bCs/>
              <w:noProof/>
            </w:rPr>
            <w:fldChar w:fldCharType="end"/>
          </w:r>
        </w:p>
      </w:sdtContent>
    </w:sdt>
    <w:p w14:paraId="5F1D745D" w14:textId="77777777" w:rsidR="004E7A1B" w:rsidRDefault="004E7A1B" w:rsidP="005E48B7"/>
    <w:p w14:paraId="5180D6F7" w14:textId="77777777" w:rsidR="004E7A1B" w:rsidRDefault="004E7A1B" w:rsidP="005E48B7"/>
    <w:p w14:paraId="2C479E47" w14:textId="77777777" w:rsidR="004E7A1B" w:rsidRDefault="004E7A1B" w:rsidP="004E7A1B">
      <w:pPr>
        <w:jc w:val="center"/>
      </w:pPr>
    </w:p>
    <w:p w14:paraId="76AA8C77" w14:textId="77777777" w:rsidR="004E7A1B" w:rsidRDefault="004E7A1B" w:rsidP="005E48B7"/>
    <w:p w14:paraId="5436605A" w14:textId="77777777" w:rsidR="004E7A1B" w:rsidRDefault="004E7A1B" w:rsidP="005E48B7"/>
    <w:p w14:paraId="061B9F5D" w14:textId="77777777" w:rsidR="004E7A1B" w:rsidRDefault="004E7A1B" w:rsidP="005E48B7"/>
    <w:p w14:paraId="338914F3" w14:textId="77777777" w:rsidR="004E7A1B" w:rsidRDefault="004E7A1B" w:rsidP="005E48B7"/>
    <w:p w14:paraId="60687B16" w14:textId="77777777" w:rsidR="004E7A1B" w:rsidRDefault="004E7A1B" w:rsidP="005E48B7"/>
    <w:p w14:paraId="72AE26A2" w14:textId="77777777" w:rsidR="004E7A1B" w:rsidRDefault="004E7A1B" w:rsidP="005E48B7"/>
    <w:p w14:paraId="2F2FAF32" w14:textId="012564A0" w:rsidR="004E7A1B" w:rsidRPr="004E7A1B" w:rsidRDefault="004E7A1B" w:rsidP="004E7A1B">
      <w:pPr>
        <w:pStyle w:val="Heading1"/>
        <w:jc w:val="center"/>
        <w:rPr>
          <w:b/>
          <w:bCs/>
          <w:color w:val="auto"/>
        </w:rPr>
      </w:pPr>
      <w:bookmarkStart w:id="0" w:name="_Toc225030320"/>
      <w:r w:rsidRPr="004E7A1B">
        <w:rPr>
          <w:b/>
          <w:bCs/>
          <w:color w:val="auto"/>
        </w:rPr>
        <w:lastRenderedPageBreak/>
        <w:t>Critical Analysis of Current Policies and Initiatives on SDG 3 ‘Good Health and Wellbeing’ and SDG 13 ‘Climate Action’ at Global, National, and Local Levels</w:t>
      </w:r>
      <w:bookmarkEnd w:id="0"/>
    </w:p>
    <w:p w14:paraId="3E84D310" w14:textId="77777777" w:rsidR="004E7A1B" w:rsidRDefault="004E7A1B" w:rsidP="005E48B7"/>
    <w:p w14:paraId="2D64DCFF" w14:textId="77777777" w:rsidR="005E48B7" w:rsidRPr="004E7A1B" w:rsidRDefault="005E48B7" w:rsidP="00D1261A">
      <w:pPr>
        <w:pStyle w:val="Heading2"/>
        <w:rPr>
          <w:b/>
          <w:bCs/>
          <w:color w:val="auto"/>
          <w:sz w:val="28"/>
          <w:szCs w:val="28"/>
        </w:rPr>
      </w:pPr>
      <w:bookmarkStart w:id="1" w:name="_Toc225030321"/>
      <w:r w:rsidRPr="004E7A1B">
        <w:rPr>
          <w:b/>
          <w:bCs/>
          <w:color w:val="auto"/>
          <w:sz w:val="28"/>
          <w:szCs w:val="28"/>
        </w:rPr>
        <w:t>Introduction</w:t>
      </w:r>
      <w:bookmarkEnd w:id="1"/>
    </w:p>
    <w:p w14:paraId="334D4732" w14:textId="77777777" w:rsidR="004E7A1B" w:rsidRPr="004E7A1B" w:rsidRDefault="004E7A1B" w:rsidP="004E7A1B">
      <w:pPr>
        <w:rPr>
          <w:sz w:val="22"/>
          <w:szCs w:val="22"/>
        </w:rPr>
      </w:pPr>
      <w:r w:rsidRPr="004E7A1B">
        <w:rPr>
          <w:sz w:val="22"/>
          <w:szCs w:val="22"/>
        </w:rPr>
        <w:t>Sustainable Development Goals (SDGs) serve as an international framework aimed at tackling global challenges such as health, inequality, climate change, and environmental sustainability (United Nations, 2015). Among these, SDG 3, ‘Good Health and Wellbeing’, emphasises the importance of ensuring healthy lives and promoting wellbeing for all ages (World Health Organization, 2023a). It addresses issues like maternal mortality, infectious diseases, mental health, and health emergencies, recognising that good health underpins sustainable development and economic stability (WHO, 2023b). Equally significant is SDG 13, ‘Climate Action’, which highlights the urgent need to mitigate climate change and adapt to its impacts (United Nations, 2023). Climate change exacerbates risks such as heat-related illnesses, vector-borne diseases, and food insecurity, making the intersection between these SDGs increasingly evident (IPCC, 2023).</w:t>
      </w:r>
    </w:p>
    <w:p w14:paraId="36B10841" w14:textId="77777777" w:rsidR="004E7A1B" w:rsidRPr="004E7A1B" w:rsidRDefault="004E7A1B" w:rsidP="004E7A1B">
      <w:pPr>
        <w:rPr>
          <w:sz w:val="22"/>
          <w:szCs w:val="22"/>
        </w:rPr>
      </w:pPr>
      <w:r w:rsidRPr="004E7A1B">
        <w:rPr>
          <w:sz w:val="22"/>
          <w:szCs w:val="22"/>
        </w:rPr>
        <w:t>This report critically examines current policies and initiatives aimed at achieving SDG 3 and SDG 13 at global, national, and local levels. It explores how these policies are informed by relevant theories and models, such as behavioural change frameworks (Bandura, 1986; Rosenstock, 1974), and evaluates their success. The analysis emphasises that effective implementation and equitable resource distribution remain challenges, particularly in low-income regions where health infrastructure and climate resilience are weaker (World Bank, 2023). It also highlights the importance of integrated, multisectoral approaches that recognise the interconnectedness of health and environmental sustainability (King et al., 2019).</w:t>
      </w:r>
    </w:p>
    <w:p w14:paraId="40967D34" w14:textId="77777777" w:rsidR="004E7A1B" w:rsidRPr="004E7A1B" w:rsidRDefault="004E7A1B" w:rsidP="004E7A1B">
      <w:pPr>
        <w:rPr>
          <w:sz w:val="22"/>
          <w:szCs w:val="22"/>
        </w:rPr>
      </w:pPr>
      <w:r w:rsidRPr="004E7A1B">
        <w:rPr>
          <w:sz w:val="22"/>
          <w:szCs w:val="22"/>
        </w:rPr>
        <w:t>The report is organised into two main sections: the first provides an overview and critique of policies related to SDG 3, while the second focuses on policies targeting SDG 13. Each section offers evidence-based recommendations to support future policy development, aiming to foster more cohesive strategies that promote health, resilience, and sustainability across all levels.</w:t>
      </w:r>
    </w:p>
    <w:p w14:paraId="36F64851" w14:textId="77777777" w:rsidR="004E7A1B" w:rsidRDefault="004E7A1B" w:rsidP="004E7A1B">
      <w:pPr>
        <w:rPr>
          <w:sz w:val="22"/>
          <w:szCs w:val="22"/>
        </w:rPr>
      </w:pPr>
    </w:p>
    <w:p w14:paraId="08486C1F" w14:textId="77777777" w:rsidR="004E7A1B" w:rsidRDefault="004E7A1B" w:rsidP="004E7A1B">
      <w:pPr>
        <w:rPr>
          <w:sz w:val="22"/>
          <w:szCs w:val="22"/>
        </w:rPr>
      </w:pPr>
    </w:p>
    <w:p w14:paraId="0DCD530B" w14:textId="77777777" w:rsidR="004E7A1B" w:rsidRDefault="004E7A1B" w:rsidP="004E7A1B">
      <w:pPr>
        <w:rPr>
          <w:sz w:val="22"/>
          <w:szCs w:val="22"/>
        </w:rPr>
      </w:pPr>
    </w:p>
    <w:p w14:paraId="5709E653" w14:textId="77777777" w:rsidR="004E7A1B" w:rsidRDefault="004E7A1B" w:rsidP="004E7A1B">
      <w:pPr>
        <w:rPr>
          <w:sz w:val="22"/>
          <w:szCs w:val="22"/>
        </w:rPr>
      </w:pPr>
    </w:p>
    <w:p w14:paraId="6AE24CFE" w14:textId="77777777" w:rsidR="004E7A1B" w:rsidRDefault="004E7A1B" w:rsidP="004E7A1B">
      <w:pPr>
        <w:rPr>
          <w:sz w:val="22"/>
          <w:szCs w:val="22"/>
        </w:rPr>
      </w:pPr>
    </w:p>
    <w:p w14:paraId="3DBBEFB6" w14:textId="77777777" w:rsidR="004E7A1B" w:rsidRPr="004E7A1B" w:rsidRDefault="004E7A1B" w:rsidP="004E7A1B">
      <w:pPr>
        <w:rPr>
          <w:sz w:val="22"/>
          <w:szCs w:val="22"/>
        </w:rPr>
      </w:pPr>
    </w:p>
    <w:p w14:paraId="128FA8B3" w14:textId="77777777" w:rsidR="005E48B7" w:rsidRDefault="005E48B7" w:rsidP="00D1261A">
      <w:pPr>
        <w:pStyle w:val="Heading2"/>
        <w:rPr>
          <w:b/>
          <w:bCs/>
          <w:color w:val="auto"/>
          <w:sz w:val="28"/>
          <w:szCs w:val="28"/>
        </w:rPr>
      </w:pPr>
      <w:bookmarkStart w:id="2" w:name="_Toc225030322"/>
      <w:r w:rsidRPr="004E7A1B">
        <w:rPr>
          <w:b/>
          <w:bCs/>
          <w:color w:val="auto"/>
          <w:sz w:val="28"/>
          <w:szCs w:val="28"/>
        </w:rPr>
        <w:lastRenderedPageBreak/>
        <w:t>SDG 3 – Good Health and Wellbeing</w:t>
      </w:r>
      <w:bookmarkEnd w:id="2"/>
    </w:p>
    <w:p w14:paraId="40BD303A" w14:textId="77777777" w:rsidR="004E7A1B" w:rsidRPr="004E7A1B" w:rsidRDefault="004E7A1B" w:rsidP="004E7A1B"/>
    <w:p w14:paraId="5CFD298E" w14:textId="77777777" w:rsidR="005E48B7" w:rsidRPr="004E7A1B" w:rsidRDefault="005E48B7" w:rsidP="00D1261A">
      <w:pPr>
        <w:pStyle w:val="Heading3"/>
        <w:rPr>
          <w:color w:val="auto"/>
          <w:sz w:val="24"/>
          <w:szCs w:val="24"/>
          <w:u w:val="single"/>
        </w:rPr>
      </w:pPr>
      <w:bookmarkStart w:id="3" w:name="_Toc225030323"/>
      <w:r w:rsidRPr="004E7A1B">
        <w:rPr>
          <w:color w:val="auto"/>
          <w:sz w:val="24"/>
          <w:szCs w:val="24"/>
          <w:u w:val="single"/>
        </w:rPr>
        <w:t>Overview of SDG 3: Good Health and Wellbeing</w:t>
      </w:r>
      <w:bookmarkEnd w:id="3"/>
    </w:p>
    <w:p w14:paraId="14033402" w14:textId="0269CBC3" w:rsidR="004E7A1B" w:rsidRDefault="004E7A1B" w:rsidP="005E48B7">
      <w:pPr>
        <w:rPr>
          <w:sz w:val="22"/>
          <w:szCs w:val="22"/>
        </w:rPr>
      </w:pPr>
      <w:r w:rsidRPr="004E7A1B">
        <w:rPr>
          <w:sz w:val="22"/>
          <w:szCs w:val="22"/>
        </w:rPr>
        <w:t>SDG 3 aims to ensure healthy lives and promote wellbeing for all at all ages by 2030 (United Nations, 2015). It encompasses a broad set of targets, including reducing maternal mortality rates, ending epidemics of communicable diseases such as HIV/AIDS, tuberculosis, and malaria, achieving universal health coverage, and addressing mental health issues, substance abuse, and health emergencies (WHO, 2023b). Recognising that health is a fundamental human right and a cornerstone of sustainable development, the goal emphasizes that healthy populations contribute to economic growth, social stability, and overall societal progress (OECD, 2022).</w:t>
      </w:r>
    </w:p>
    <w:p w14:paraId="75CCEA90" w14:textId="77777777" w:rsidR="004E7A1B" w:rsidRPr="004E7A1B" w:rsidRDefault="004E7A1B" w:rsidP="005E48B7">
      <w:pPr>
        <w:rPr>
          <w:sz w:val="22"/>
          <w:szCs w:val="22"/>
        </w:rPr>
      </w:pPr>
    </w:p>
    <w:p w14:paraId="0B53342A" w14:textId="77777777" w:rsidR="005E48B7" w:rsidRPr="004E7A1B" w:rsidRDefault="005E48B7" w:rsidP="00D1261A">
      <w:pPr>
        <w:pStyle w:val="Heading3"/>
        <w:rPr>
          <w:color w:val="auto"/>
          <w:sz w:val="24"/>
          <w:szCs w:val="24"/>
          <w:u w:val="single"/>
        </w:rPr>
      </w:pPr>
      <w:bookmarkStart w:id="4" w:name="_Toc225030324"/>
      <w:r w:rsidRPr="004E7A1B">
        <w:rPr>
          <w:color w:val="auto"/>
          <w:sz w:val="24"/>
          <w:szCs w:val="24"/>
          <w:u w:val="single"/>
        </w:rPr>
        <w:t>Global Policies and Initiatives</w:t>
      </w:r>
      <w:bookmarkEnd w:id="4"/>
    </w:p>
    <w:p w14:paraId="7BDB210B" w14:textId="77777777" w:rsidR="004E7A1B" w:rsidRPr="004E7A1B" w:rsidRDefault="004E7A1B" w:rsidP="004E7A1B">
      <w:pPr>
        <w:rPr>
          <w:sz w:val="22"/>
          <w:szCs w:val="22"/>
        </w:rPr>
      </w:pPr>
      <w:r w:rsidRPr="004E7A1B">
        <w:rPr>
          <w:sz w:val="22"/>
          <w:szCs w:val="22"/>
        </w:rPr>
        <w:t>At the international level, the World Health Organization (WHO) plays a leading role in shaping health policies and global health strategies (WHO, 2019). The WHO’s “Global Action Plan for Universal Health Coverage” (2019–2023) prioritizes strengthening health systems, improving access to essential medicines and vaccines, and tackling social determinants that influence health outcomes (WHO, 2019). The plan underscores the importance of equitable access to quality health services, regardless of socio-economic status or geographic location.</w:t>
      </w:r>
    </w:p>
    <w:p w14:paraId="208F9F74" w14:textId="77777777" w:rsidR="004E7A1B" w:rsidRPr="004E7A1B" w:rsidRDefault="004E7A1B" w:rsidP="004E7A1B">
      <w:pPr>
        <w:rPr>
          <w:sz w:val="22"/>
          <w:szCs w:val="22"/>
        </w:rPr>
      </w:pPr>
      <w:r w:rsidRPr="004E7A1B">
        <w:rPr>
          <w:sz w:val="22"/>
          <w:szCs w:val="22"/>
        </w:rPr>
        <w:t>The United Nations (UN) has also integrated health into its broader SDG framework, committing member states to reduce maternal mortality, eliminate infectious diseases, and promote mental health and wellbeing (United Nations, 2023). Efforts like the Global Fund and Gavi, the Vaccine Alliance, exemplify multilateral initiatives aimed at eradicating specific diseases and increasing immunisation coverage worldwide (Global Fund, 2023; Gavi, 2023). Despite these ambitious efforts, disparities remain stark, especially in low-income countries where health infrastructure is fragile, and access to care is limited (World Bank, 2023).</w:t>
      </w:r>
    </w:p>
    <w:p w14:paraId="626E074F" w14:textId="133DDA86" w:rsidR="004E7A1B" w:rsidRDefault="004E7A1B" w:rsidP="005E48B7">
      <w:pPr>
        <w:rPr>
          <w:sz w:val="22"/>
          <w:szCs w:val="22"/>
        </w:rPr>
      </w:pPr>
      <w:r w:rsidRPr="004E7A1B">
        <w:rPr>
          <w:sz w:val="22"/>
          <w:szCs w:val="22"/>
        </w:rPr>
        <w:t>Critical evaluation reveals that while these global initiatives set important targets and frameworks, their success heavily depends on local implementation, resource allocation, and political will. Many low-income countries struggle with shortages of healthcare workers, inadequate facilities, and insufficient funding, which hamper progress toward SDG 3 (WHO, 2023b). Without significant investment and capacity-building, these disparities threaten to undermine global efforts to improve health outcomes universally.</w:t>
      </w:r>
    </w:p>
    <w:p w14:paraId="6F5A8947" w14:textId="77777777" w:rsidR="004E7A1B" w:rsidRPr="004E7A1B" w:rsidRDefault="004E7A1B" w:rsidP="005E48B7">
      <w:pPr>
        <w:rPr>
          <w:sz w:val="22"/>
          <w:szCs w:val="22"/>
        </w:rPr>
      </w:pPr>
    </w:p>
    <w:p w14:paraId="717B7C5E" w14:textId="77777777" w:rsidR="005E48B7" w:rsidRPr="004E7A1B" w:rsidRDefault="005E48B7" w:rsidP="00D1261A">
      <w:pPr>
        <w:pStyle w:val="Heading3"/>
        <w:rPr>
          <w:color w:val="auto"/>
          <w:sz w:val="24"/>
          <w:szCs w:val="24"/>
          <w:u w:val="single"/>
        </w:rPr>
      </w:pPr>
      <w:bookmarkStart w:id="5" w:name="_Toc225030325"/>
      <w:r w:rsidRPr="004E7A1B">
        <w:rPr>
          <w:color w:val="auto"/>
          <w:sz w:val="24"/>
          <w:szCs w:val="24"/>
          <w:u w:val="single"/>
        </w:rPr>
        <w:t>National and Local Policies</w:t>
      </w:r>
      <w:bookmarkEnd w:id="5"/>
    </w:p>
    <w:p w14:paraId="6951FA88" w14:textId="77777777" w:rsidR="004E7A1B" w:rsidRPr="004E7A1B" w:rsidRDefault="004E7A1B" w:rsidP="004E7A1B">
      <w:pPr>
        <w:rPr>
          <w:sz w:val="22"/>
          <w:szCs w:val="22"/>
        </w:rPr>
      </w:pPr>
      <w:r w:rsidRPr="004E7A1B">
        <w:rPr>
          <w:sz w:val="22"/>
          <w:szCs w:val="22"/>
        </w:rPr>
        <w:t xml:space="preserve">Within the UK, the National Health Service (NHS) exemplifies a comprehensive approach to health (Department of Health and Social Care, 2019). The NHS Long Term Plan (2019) outlines priorities such as integrated care models, reducing health inequalities, and expanding mental health services (NHS England, 2022). The UK government also promotes public health </w:t>
      </w:r>
      <w:r w:rsidRPr="004E7A1B">
        <w:rPr>
          <w:sz w:val="22"/>
          <w:szCs w:val="22"/>
        </w:rPr>
        <w:lastRenderedPageBreak/>
        <w:t>campaigns targeting smoking cessation, vaccination, obesity, and alcohol reduction, aiming to improve health literacy and preventative care (Public Health England, 2021).</w:t>
      </w:r>
    </w:p>
    <w:p w14:paraId="090531BD" w14:textId="77777777" w:rsidR="004E7A1B" w:rsidRPr="004E7A1B" w:rsidRDefault="004E7A1B" w:rsidP="004E7A1B">
      <w:pPr>
        <w:rPr>
          <w:sz w:val="22"/>
          <w:szCs w:val="22"/>
        </w:rPr>
      </w:pPr>
      <w:r w:rsidRPr="004E7A1B">
        <w:rPr>
          <w:sz w:val="22"/>
          <w:szCs w:val="22"/>
        </w:rPr>
        <w:t>However, systemic issues challenge the effectiveness of these policies. Funding constraints, workforce shortages, and structural inequalities persist, particularly affecting minority groups and socioeconomically deprived populations (Nuffield Trust, 2022; Marmot et al., 2020). Despite targeted interventions, health disparities—such as differences in life expectancy and disease prevalence—continue to widen (ONS, 2023). The Social Cognitive Theory (Bandura, 1986) offers insight into these issues; behaviour change is influenced by self-efficacy, social support, and modelling. Policies that incorporate community engagement, culturally sensitive education, and local empowerment tend to be more effective in promoting health behaviour change.</w:t>
      </w:r>
    </w:p>
    <w:p w14:paraId="477622EF" w14:textId="77777777" w:rsidR="004E7A1B" w:rsidRPr="004E7A1B" w:rsidRDefault="004E7A1B" w:rsidP="005E48B7">
      <w:pPr>
        <w:rPr>
          <w:sz w:val="22"/>
          <w:szCs w:val="22"/>
        </w:rPr>
      </w:pPr>
    </w:p>
    <w:p w14:paraId="6B959998" w14:textId="339AAEBE" w:rsidR="005E48B7" w:rsidRPr="004E7A1B" w:rsidRDefault="005E48B7" w:rsidP="004E7A1B">
      <w:pPr>
        <w:pStyle w:val="Heading3"/>
        <w:rPr>
          <w:color w:val="auto"/>
          <w:sz w:val="24"/>
          <w:szCs w:val="24"/>
          <w:u w:val="single"/>
        </w:rPr>
      </w:pPr>
      <w:bookmarkStart w:id="6" w:name="_Toc225030326"/>
      <w:r w:rsidRPr="004E7A1B">
        <w:rPr>
          <w:color w:val="auto"/>
          <w:sz w:val="24"/>
          <w:szCs w:val="24"/>
          <w:u w:val="single"/>
        </w:rPr>
        <w:t>Critical Evaluation and Recommendations</w:t>
      </w:r>
      <w:bookmarkEnd w:id="6"/>
    </w:p>
    <w:p w14:paraId="50D7A498" w14:textId="77777777" w:rsidR="004E7A1B" w:rsidRPr="004E7A1B" w:rsidRDefault="004E7A1B" w:rsidP="004E7A1B">
      <w:pPr>
        <w:rPr>
          <w:sz w:val="22"/>
          <w:szCs w:val="22"/>
        </w:rPr>
      </w:pPr>
      <w:r w:rsidRPr="004E7A1B">
        <w:rPr>
          <w:sz w:val="22"/>
          <w:szCs w:val="22"/>
        </w:rPr>
        <w:t>Although global and national efforts have made strides in improving health outcomes, they often lack sufficient focus on the social determinants of health, such as housing, education, employment, and environmental factors (Marmot et al., 2020). Addressing health inequalities requires adopting a holistic, multisectoral approach that integrates health policies with broader social and economic strategies to tackle the root causes of poor health.</w:t>
      </w:r>
    </w:p>
    <w:p w14:paraId="7BD24BE6" w14:textId="77777777" w:rsidR="004E7A1B" w:rsidRPr="004E7A1B" w:rsidRDefault="004E7A1B" w:rsidP="004E7A1B">
      <w:pPr>
        <w:rPr>
          <w:sz w:val="22"/>
          <w:szCs w:val="22"/>
        </w:rPr>
      </w:pPr>
      <w:r w:rsidRPr="004E7A1B">
        <w:rPr>
          <w:sz w:val="22"/>
          <w:szCs w:val="22"/>
        </w:rPr>
        <w:t>The COVID-19 pandemic further exposed vulnerabilities in health systems worldwide, highlighting the urgent need for resilient infrastructure, surge capacity, and flexible service delivery models (WHO, 2021). Building on the Health Belief Model (Rosenstock, 1974), policies should aim to increase public awareness of health risks, perceived benefits of interventions, and reduce barriers to access. For example, culturally tailored health education campaigns, community outreach, and mobile clinics can improve engagement among marginalised populations.</w:t>
      </w:r>
    </w:p>
    <w:p w14:paraId="4DB6AEAA" w14:textId="77777777" w:rsidR="004E7A1B" w:rsidRPr="004E7A1B" w:rsidRDefault="004E7A1B" w:rsidP="004E7A1B">
      <w:pPr>
        <w:rPr>
          <w:sz w:val="22"/>
          <w:szCs w:val="22"/>
        </w:rPr>
      </w:pPr>
      <w:r w:rsidRPr="004E7A1B">
        <w:rPr>
          <w:sz w:val="22"/>
          <w:szCs w:val="22"/>
        </w:rPr>
        <w:t>Digital health technologies also offer promising avenues for expanding access and improving health literacy. Telemedicine, mobile health apps, and electronic health records can overcome geographical barriers, streamline care, and empower individuals to better manage their health (WHO, 2023b). However, ensuring equitable access to these technologies is critical to prevent further widening of health disparities.</w:t>
      </w:r>
    </w:p>
    <w:p w14:paraId="74579030" w14:textId="77777777" w:rsidR="004E7A1B" w:rsidRPr="004E7A1B" w:rsidRDefault="004E7A1B" w:rsidP="004E7A1B">
      <w:pPr>
        <w:rPr>
          <w:sz w:val="22"/>
          <w:szCs w:val="22"/>
        </w:rPr>
      </w:pPr>
      <w:r w:rsidRPr="004E7A1B">
        <w:rPr>
          <w:sz w:val="22"/>
          <w:szCs w:val="22"/>
        </w:rPr>
        <w:t>Finally, fostering community participation and local empowerment is essential. Policies that involve community leaders, local health workers, and affected populations tend to be more culturally appropriate and sustainable, leading to better health outcomes. Investing in health workforce development, infrastructure, and digital innovation remains vital to achieving equitable and resilient health systems aligned with SDG 3.</w:t>
      </w:r>
    </w:p>
    <w:p w14:paraId="4B25FD8B" w14:textId="77777777" w:rsidR="004E7A1B" w:rsidRDefault="004E7A1B" w:rsidP="005E48B7">
      <w:pPr>
        <w:rPr>
          <w:sz w:val="22"/>
          <w:szCs w:val="22"/>
        </w:rPr>
      </w:pPr>
    </w:p>
    <w:p w14:paraId="0695797C" w14:textId="77777777" w:rsidR="004E7A1B" w:rsidRDefault="004E7A1B" w:rsidP="005E48B7">
      <w:pPr>
        <w:rPr>
          <w:sz w:val="22"/>
          <w:szCs w:val="22"/>
        </w:rPr>
      </w:pPr>
    </w:p>
    <w:p w14:paraId="65274323" w14:textId="77777777" w:rsidR="004E7A1B" w:rsidRPr="004E7A1B" w:rsidRDefault="004E7A1B" w:rsidP="005E48B7">
      <w:pPr>
        <w:rPr>
          <w:sz w:val="22"/>
          <w:szCs w:val="22"/>
        </w:rPr>
      </w:pPr>
    </w:p>
    <w:p w14:paraId="26CA4A95" w14:textId="77777777" w:rsidR="005E48B7" w:rsidRDefault="005E48B7" w:rsidP="00D1261A">
      <w:pPr>
        <w:pStyle w:val="Heading2"/>
        <w:rPr>
          <w:b/>
          <w:bCs/>
          <w:color w:val="auto"/>
          <w:sz w:val="28"/>
          <w:szCs w:val="28"/>
        </w:rPr>
      </w:pPr>
      <w:bookmarkStart w:id="7" w:name="_Toc225030327"/>
      <w:r w:rsidRPr="004E7A1B">
        <w:rPr>
          <w:b/>
          <w:bCs/>
          <w:color w:val="auto"/>
          <w:sz w:val="28"/>
          <w:szCs w:val="28"/>
        </w:rPr>
        <w:lastRenderedPageBreak/>
        <w:t>SDG 13 – Climate Action</w:t>
      </w:r>
      <w:bookmarkEnd w:id="7"/>
    </w:p>
    <w:p w14:paraId="77A9E33F" w14:textId="77777777" w:rsidR="004E7A1B" w:rsidRPr="004E7A1B" w:rsidRDefault="004E7A1B" w:rsidP="004E7A1B"/>
    <w:p w14:paraId="631111AF" w14:textId="0B7C8C79" w:rsidR="004E7A1B" w:rsidRPr="004E7A1B" w:rsidRDefault="00D1261A" w:rsidP="004E7A1B">
      <w:pPr>
        <w:pStyle w:val="Heading3"/>
        <w:rPr>
          <w:color w:val="auto"/>
          <w:sz w:val="24"/>
          <w:szCs w:val="24"/>
          <w:u w:val="single"/>
        </w:rPr>
      </w:pPr>
      <w:bookmarkStart w:id="8" w:name="_Toc225030328"/>
      <w:r w:rsidRPr="004E7A1B">
        <w:rPr>
          <w:color w:val="auto"/>
          <w:sz w:val="24"/>
          <w:szCs w:val="24"/>
          <w:u w:val="single"/>
        </w:rPr>
        <w:t>Overview of SDG 13: Climate Action</w:t>
      </w:r>
      <w:bookmarkEnd w:id="8"/>
    </w:p>
    <w:p w14:paraId="726959B9" w14:textId="77777777" w:rsidR="004E7A1B" w:rsidRPr="004E7A1B" w:rsidRDefault="004E7A1B" w:rsidP="004E7A1B">
      <w:pPr>
        <w:rPr>
          <w:sz w:val="22"/>
          <w:szCs w:val="22"/>
        </w:rPr>
      </w:pPr>
      <w:r w:rsidRPr="004E7A1B">
        <w:rPr>
          <w:sz w:val="22"/>
          <w:szCs w:val="22"/>
        </w:rPr>
        <w:t>SDG 13 calls for urgent and transformative action to combat climate change and its adverse impacts on human health and the environment (United Nations, 2023). Climate change affects health through several pathways, including increased frequency and severity of heatwaves, natural disasters such as floods and storms, deteriorating air quality, and changes in disease transmission patterns (IPCC, 2023; WHO, 2023a). These environmental changes threaten to undermine decades of health progress, particularly in vulnerable communities.</w:t>
      </w:r>
    </w:p>
    <w:p w14:paraId="08C32F6F" w14:textId="153FCD8A" w:rsidR="004E7A1B" w:rsidRDefault="004E7A1B" w:rsidP="00D1261A">
      <w:pPr>
        <w:rPr>
          <w:sz w:val="22"/>
          <w:szCs w:val="22"/>
        </w:rPr>
      </w:pPr>
      <w:r w:rsidRPr="004E7A1B">
        <w:rPr>
          <w:sz w:val="22"/>
          <w:szCs w:val="22"/>
        </w:rPr>
        <w:t>The goal emphasises the importance of integrating climate change considerations into public health policies and promoting sustainable practices across all sectors. It recognises that addressing climate change is essential not only for environmental sustainability but also for protecting global health and achieving broader social and economic development objectives.</w:t>
      </w:r>
    </w:p>
    <w:p w14:paraId="5682BA5E" w14:textId="77777777" w:rsidR="004E7A1B" w:rsidRPr="004E7A1B" w:rsidRDefault="004E7A1B" w:rsidP="00D1261A">
      <w:pPr>
        <w:rPr>
          <w:sz w:val="22"/>
          <w:szCs w:val="22"/>
        </w:rPr>
      </w:pPr>
    </w:p>
    <w:p w14:paraId="3EDAAA4E" w14:textId="77777777" w:rsidR="00D1261A" w:rsidRPr="004E7A1B" w:rsidRDefault="00D1261A" w:rsidP="00D1261A">
      <w:pPr>
        <w:pStyle w:val="Heading3"/>
        <w:rPr>
          <w:color w:val="auto"/>
          <w:sz w:val="24"/>
          <w:szCs w:val="24"/>
          <w:u w:val="single"/>
        </w:rPr>
      </w:pPr>
      <w:bookmarkStart w:id="9" w:name="_Toc225030329"/>
      <w:r w:rsidRPr="004E7A1B">
        <w:rPr>
          <w:color w:val="auto"/>
          <w:sz w:val="24"/>
          <w:szCs w:val="24"/>
          <w:u w:val="single"/>
        </w:rPr>
        <w:t>Global Policies and Initiatives</w:t>
      </w:r>
      <w:bookmarkEnd w:id="9"/>
    </w:p>
    <w:p w14:paraId="588FF579" w14:textId="77777777" w:rsidR="004E7A1B" w:rsidRPr="004E7A1B" w:rsidRDefault="004E7A1B" w:rsidP="004E7A1B">
      <w:pPr>
        <w:rPr>
          <w:sz w:val="22"/>
          <w:szCs w:val="22"/>
        </w:rPr>
      </w:pPr>
      <w:r w:rsidRPr="004E7A1B">
        <w:rPr>
          <w:sz w:val="22"/>
          <w:szCs w:val="22"/>
        </w:rPr>
        <w:t>At the international level, the Paris Agreement (2015) marked a significant milestone, with nations worldwide committing to limit global temperature rise to well below 2°C, with efforts to pursue 1.5°C (United Nations, 2015). This agreement underscores the need for global cooperation in reducing greenhouse gas emissions and transitioning to low-carbon economies.</w:t>
      </w:r>
    </w:p>
    <w:p w14:paraId="25C918F9" w14:textId="77777777" w:rsidR="004E7A1B" w:rsidRPr="004E7A1B" w:rsidRDefault="004E7A1B" w:rsidP="004E7A1B">
      <w:pPr>
        <w:rPr>
          <w:sz w:val="22"/>
          <w:szCs w:val="22"/>
        </w:rPr>
      </w:pPr>
      <w:r w:rsidRPr="004E7A1B">
        <w:rPr>
          <w:sz w:val="22"/>
          <w:szCs w:val="22"/>
        </w:rPr>
        <w:t>Scientific evidence from the Intergovernmental Panel on Climate Change (IPCC) further highlights the health risks associated with climate change (IPCC, 2023). The IPCC’s reports link rising temperatures to increased incidences of heat-related illnesses, vector-borne diseases such as malaria and dengue, and respiratory problems caused by deteriorating air quality (IPCC, 2023). These findings have prompted initiatives like the Climate and Health Alliance (Australia) and the WHO’s Climate and Health Programme, which aim to integrate health considerations into climate policies (WHO, 2021).</w:t>
      </w:r>
    </w:p>
    <w:p w14:paraId="341346B2" w14:textId="43C33021" w:rsidR="004E7A1B" w:rsidRDefault="004E7A1B" w:rsidP="00D1261A">
      <w:pPr>
        <w:rPr>
          <w:sz w:val="22"/>
          <w:szCs w:val="22"/>
        </w:rPr>
      </w:pPr>
      <w:r w:rsidRPr="004E7A1B">
        <w:rPr>
          <w:sz w:val="22"/>
          <w:szCs w:val="22"/>
        </w:rPr>
        <w:t>However, implementation of climate commitments varies significantly. Developed nations tend to lead mitigation efforts, investing in renewable energy and sustainable urban planning (Climate Change Committee, 2023). Conversely, many low-income countries face substantial barriers—limited financial and technological resources, capacity constraints, and competing development priorities—making it difficult to meet climate targets (World Bank, 2023). This disparity underscores the importance of climate justice, which advocates for equitable support and the recognition that vulnerable populations often bear the brunt of climate-related health impacts.</w:t>
      </w:r>
    </w:p>
    <w:p w14:paraId="1D3D1512" w14:textId="77777777" w:rsidR="004E7A1B" w:rsidRPr="004E7A1B" w:rsidRDefault="004E7A1B" w:rsidP="00D1261A">
      <w:pPr>
        <w:rPr>
          <w:sz w:val="22"/>
          <w:szCs w:val="22"/>
        </w:rPr>
      </w:pPr>
    </w:p>
    <w:p w14:paraId="321195BA" w14:textId="54304965" w:rsidR="004E7A1B" w:rsidRPr="004E7A1B" w:rsidRDefault="00D1261A" w:rsidP="004E7A1B">
      <w:pPr>
        <w:pStyle w:val="Heading3"/>
        <w:rPr>
          <w:color w:val="auto"/>
          <w:sz w:val="24"/>
          <w:szCs w:val="24"/>
          <w:u w:val="single"/>
        </w:rPr>
      </w:pPr>
      <w:bookmarkStart w:id="10" w:name="_Toc225030330"/>
      <w:r w:rsidRPr="004E7A1B">
        <w:rPr>
          <w:color w:val="auto"/>
          <w:sz w:val="24"/>
          <w:szCs w:val="24"/>
          <w:u w:val="single"/>
        </w:rPr>
        <w:t>National and Local Policies</w:t>
      </w:r>
      <w:bookmarkEnd w:id="10"/>
    </w:p>
    <w:p w14:paraId="0843C371" w14:textId="77777777" w:rsidR="004E7A1B" w:rsidRPr="004E7A1B" w:rsidRDefault="004E7A1B" w:rsidP="004E7A1B">
      <w:pPr>
        <w:rPr>
          <w:sz w:val="22"/>
          <w:szCs w:val="22"/>
        </w:rPr>
      </w:pPr>
      <w:r w:rsidRPr="004E7A1B">
        <w:rPr>
          <w:sz w:val="22"/>
          <w:szCs w:val="22"/>
        </w:rPr>
        <w:t xml:space="preserve">In the UK, the legally binding Climate Change Act (2008, amended 2019) commits the government to reach net-zero emissions by 2050 (UK Government, 2019). Strategies include expanding renewable energy sources, promoting sustainable transportation options, and </w:t>
      </w:r>
      <w:r w:rsidRPr="004E7A1B">
        <w:rPr>
          <w:sz w:val="22"/>
          <w:szCs w:val="22"/>
        </w:rPr>
        <w:lastRenderedPageBreak/>
        <w:t>developing green urban infrastructure (Climate Change Committee, 2023). Local authorities have also adopted measures such as creating green spaces, implementing air quality management zones, and developing climate adaptation plans to mitigate the effects of climate-related hazards (UK Health Security Agency, 2023).</w:t>
      </w:r>
    </w:p>
    <w:p w14:paraId="2AAD855E" w14:textId="77777777" w:rsidR="004E7A1B" w:rsidRPr="004E7A1B" w:rsidRDefault="004E7A1B" w:rsidP="004E7A1B">
      <w:pPr>
        <w:rPr>
          <w:sz w:val="22"/>
          <w:szCs w:val="22"/>
        </w:rPr>
      </w:pPr>
      <w:r w:rsidRPr="004E7A1B">
        <w:rPr>
          <w:sz w:val="22"/>
          <w:szCs w:val="22"/>
        </w:rPr>
        <w:t>Despite these efforts, significant policy gaps persist. For instance, transport emissions remain a primary challenge, with policies often falling short of ambitious targets for reducing vehicle emissions and promoting public transport (Climate Change Committee, 2023). The UK’s climate policies need to accelerate adoption of electric vehicles, improve public transit infrastructure, and foster behaviour change at the community level.</w:t>
      </w:r>
    </w:p>
    <w:p w14:paraId="76332D98" w14:textId="5B7C9336" w:rsidR="004E7A1B" w:rsidRDefault="004E7A1B" w:rsidP="00D1261A">
      <w:pPr>
        <w:rPr>
          <w:sz w:val="22"/>
          <w:szCs w:val="22"/>
        </w:rPr>
      </w:pPr>
      <w:r w:rsidRPr="004E7A1B">
        <w:rPr>
          <w:sz w:val="22"/>
          <w:szCs w:val="22"/>
        </w:rPr>
        <w:t>The Health Belief Model (Rosenstock, 1974) provides insight into how awareness campaigns about climate-related health risks—such as heatwaves and air pollution—can influence public behaviour and support for mitigation measures. Effective communication that increases perceived susceptibility and benefits can motivate protective actions, such as using air purifiers or adjusting daily routines during extreme weather events.</w:t>
      </w:r>
    </w:p>
    <w:p w14:paraId="1B52DF30" w14:textId="77777777" w:rsidR="004E7A1B" w:rsidRPr="004E7A1B" w:rsidRDefault="004E7A1B" w:rsidP="00D1261A">
      <w:pPr>
        <w:rPr>
          <w:sz w:val="22"/>
          <w:szCs w:val="22"/>
        </w:rPr>
      </w:pPr>
    </w:p>
    <w:p w14:paraId="0B9946DB" w14:textId="07B3F224" w:rsidR="004E7A1B" w:rsidRPr="004E7A1B" w:rsidRDefault="00D1261A" w:rsidP="004E7A1B">
      <w:pPr>
        <w:pStyle w:val="Heading3"/>
        <w:rPr>
          <w:color w:val="auto"/>
          <w:sz w:val="24"/>
          <w:szCs w:val="24"/>
          <w:u w:val="single"/>
        </w:rPr>
      </w:pPr>
      <w:bookmarkStart w:id="11" w:name="_Toc225030331"/>
      <w:r w:rsidRPr="004E7A1B">
        <w:rPr>
          <w:color w:val="auto"/>
          <w:sz w:val="24"/>
          <w:szCs w:val="24"/>
          <w:u w:val="single"/>
        </w:rPr>
        <w:t>Critical Evaluation and Recommendations</w:t>
      </w:r>
      <w:bookmarkEnd w:id="11"/>
    </w:p>
    <w:p w14:paraId="47E55DFA" w14:textId="77777777" w:rsidR="004E7A1B" w:rsidRPr="004E7A1B" w:rsidRDefault="004E7A1B" w:rsidP="004E7A1B">
      <w:pPr>
        <w:rPr>
          <w:sz w:val="22"/>
          <w:szCs w:val="22"/>
        </w:rPr>
      </w:pPr>
      <w:r w:rsidRPr="004E7A1B">
        <w:rPr>
          <w:sz w:val="22"/>
          <w:szCs w:val="22"/>
        </w:rPr>
        <w:t>Although policies acknowledge the health impacts of climate change, their implementation remains inconsistent and often siloed. Greater integration of climate policies with public health strategies is necessary to enhance resilience (WHO, 2021). For example, establishing early warning systems for heatwaves, floods, and vector-borne disease outbreaks should be standard practice, supported by community engagement initiatives that empower vulnerable populations.</w:t>
      </w:r>
    </w:p>
    <w:p w14:paraId="45531B4F" w14:textId="77777777" w:rsidR="004E7A1B" w:rsidRPr="004E7A1B" w:rsidRDefault="004E7A1B" w:rsidP="004E7A1B">
      <w:pPr>
        <w:rPr>
          <w:sz w:val="22"/>
          <w:szCs w:val="22"/>
        </w:rPr>
      </w:pPr>
      <w:r w:rsidRPr="004E7A1B">
        <w:rPr>
          <w:sz w:val="22"/>
          <w:szCs w:val="22"/>
        </w:rPr>
        <w:t>Adopting a systems approach—considering the social, economic, and environmental drivers of health—can foster more resilient communities. The concept of planetary health (King et al., 2019) emphasizes the interconnectedness of human health and ecological systems, advocating for policies that promote sustainable lifestyles, reduce carbon footprints, and preserve biodiversity.</w:t>
      </w:r>
    </w:p>
    <w:p w14:paraId="204B7739" w14:textId="77777777" w:rsidR="004E7A1B" w:rsidRPr="004E7A1B" w:rsidRDefault="004E7A1B" w:rsidP="004E7A1B">
      <w:pPr>
        <w:rPr>
          <w:sz w:val="22"/>
          <w:szCs w:val="22"/>
        </w:rPr>
      </w:pPr>
      <w:r w:rsidRPr="004E7A1B">
        <w:rPr>
          <w:sz w:val="22"/>
          <w:szCs w:val="22"/>
        </w:rPr>
        <w:t>Furthermore, incorporating climate adaptation into public health planning is vital. Interventions such as urban greening, promoting active transport, and improving building resilience can reduce health risks while also supporting climate mitigation (UK Health Security Agency, 2023). Equitable policies that prioritise vulnerable groups—such as the elderly, low-income communities, and those in climate-sensitive regions—are essential to ensure no one is left behind.</w:t>
      </w:r>
    </w:p>
    <w:p w14:paraId="0A29912A" w14:textId="77777777" w:rsidR="004E7A1B" w:rsidRDefault="004E7A1B" w:rsidP="004E7A1B">
      <w:pPr>
        <w:rPr>
          <w:sz w:val="22"/>
          <w:szCs w:val="22"/>
        </w:rPr>
      </w:pPr>
      <w:r w:rsidRPr="004E7A1B">
        <w:rPr>
          <w:sz w:val="22"/>
          <w:szCs w:val="22"/>
        </w:rPr>
        <w:t>In conclusion, despite robust policy frameworks at international, national, and local levels, practical implementation and community engagement remain key challenges. Strengthening cross-sector collaboration, increasing investment in adaptation measures, and embedding climate and health considerations into all policy areas are critical for achieving meaningful progress in safeguarding health amid climate change.</w:t>
      </w:r>
    </w:p>
    <w:p w14:paraId="4C3DDA4F" w14:textId="77777777" w:rsidR="004E7A1B" w:rsidRPr="004E7A1B" w:rsidRDefault="004E7A1B" w:rsidP="004E7A1B">
      <w:pPr>
        <w:rPr>
          <w:sz w:val="22"/>
          <w:szCs w:val="22"/>
        </w:rPr>
      </w:pPr>
    </w:p>
    <w:p w14:paraId="670352FA" w14:textId="77777777" w:rsidR="004E7A1B" w:rsidRPr="004E7A1B" w:rsidRDefault="004E7A1B" w:rsidP="00D1261A">
      <w:pPr>
        <w:rPr>
          <w:sz w:val="22"/>
          <w:szCs w:val="22"/>
        </w:rPr>
      </w:pPr>
    </w:p>
    <w:p w14:paraId="66B5C0E7" w14:textId="10B8EEAA" w:rsidR="00D1261A" w:rsidRPr="004E7A1B" w:rsidRDefault="005E48B7" w:rsidP="00D1261A">
      <w:pPr>
        <w:pStyle w:val="Heading2"/>
        <w:rPr>
          <w:b/>
          <w:bCs/>
          <w:color w:val="auto"/>
          <w:sz w:val="28"/>
          <w:szCs w:val="28"/>
        </w:rPr>
      </w:pPr>
      <w:bookmarkStart w:id="12" w:name="_Toc225030332"/>
      <w:r w:rsidRPr="004E7A1B">
        <w:rPr>
          <w:b/>
          <w:bCs/>
          <w:color w:val="auto"/>
          <w:sz w:val="28"/>
          <w:szCs w:val="28"/>
        </w:rPr>
        <w:lastRenderedPageBreak/>
        <w:t>Conclusion</w:t>
      </w:r>
      <w:bookmarkEnd w:id="12"/>
    </w:p>
    <w:p w14:paraId="74F69D3F" w14:textId="77777777" w:rsidR="004E7A1B" w:rsidRPr="004E7A1B" w:rsidRDefault="004E7A1B" w:rsidP="004E7A1B">
      <w:pPr>
        <w:rPr>
          <w:sz w:val="22"/>
          <w:szCs w:val="22"/>
        </w:rPr>
      </w:pPr>
      <w:r w:rsidRPr="004E7A1B">
        <w:rPr>
          <w:sz w:val="22"/>
          <w:szCs w:val="22"/>
        </w:rPr>
        <w:t>This analysis underscores the vital importance of cohesive policies addressing SDG 3 ‘Good Health and Wellbeing’ and SDG 13 ‘Climate Action’. Globally, initiatives like the WHO’s health strategies and the Paris Agreement provide essential frameworks, yet disparities in their implementation persist (WHO, 2019; United Nations, 2015). Many countries, especially low-income ones, face challenges such as limited resources, infrastructure deficits, and political will, which hinder progress towards these goals (World Bank, 2023).</w:t>
      </w:r>
    </w:p>
    <w:p w14:paraId="33FB620A" w14:textId="77777777" w:rsidR="004E7A1B" w:rsidRPr="004E7A1B" w:rsidRDefault="004E7A1B" w:rsidP="004E7A1B">
      <w:pPr>
        <w:rPr>
          <w:sz w:val="22"/>
          <w:szCs w:val="22"/>
        </w:rPr>
      </w:pPr>
      <w:r w:rsidRPr="004E7A1B">
        <w:rPr>
          <w:sz w:val="22"/>
          <w:szCs w:val="22"/>
        </w:rPr>
        <w:t>At the national level, the UK’s NHS Long Term Plan and the Climate Change Act have made significant strides in improving healthcare services and reducing emissions (Department of Health and Social Care, 2019; UK Government, 2019). However, issues like funding constraints, inequalities, and systemic integration still pose barriers to fully achieving their objectives (Nuffield Trust, 2022). Local efforts, including community health programmes and urban planning, are crucial for translating policy into real health benefits. These interventions can help address climate-related health risks, such as heatwaves and air pollution, which disproportionately affect vulnerable groups (UK Health Security Agency, 2023).</w:t>
      </w:r>
    </w:p>
    <w:p w14:paraId="4DECDFB1" w14:textId="77777777" w:rsidR="004E7A1B" w:rsidRPr="004E7A1B" w:rsidRDefault="004E7A1B" w:rsidP="004E7A1B">
      <w:pPr>
        <w:rPr>
          <w:sz w:val="22"/>
          <w:szCs w:val="22"/>
        </w:rPr>
      </w:pPr>
      <w:r w:rsidRPr="004E7A1B">
        <w:rPr>
          <w:sz w:val="22"/>
          <w:szCs w:val="22"/>
        </w:rPr>
        <w:t>The interconnectedness of SDGs 3 and 13 is evident, as climate change worsens health inequalities, highlighting the need for integrated, multisectoral strategies (IPCC, 2023). Employing behavioural models like the Health Belief Model and Social Cognitive Theory can help design effective interventions that promote healthier behaviours and climate resilience (Bandura, 1986; Rosenstock, 1974).</w:t>
      </w:r>
    </w:p>
    <w:p w14:paraId="134E5CC6" w14:textId="77777777" w:rsidR="004E7A1B" w:rsidRPr="004E7A1B" w:rsidRDefault="004E7A1B" w:rsidP="004E7A1B">
      <w:pPr>
        <w:rPr>
          <w:sz w:val="22"/>
          <w:szCs w:val="22"/>
        </w:rPr>
      </w:pPr>
      <w:r w:rsidRPr="004E7A1B">
        <w:rPr>
          <w:sz w:val="22"/>
          <w:szCs w:val="22"/>
        </w:rPr>
        <w:t>Moving forward, policies must focus on reducing inequalities, increasing community participation, and fostering sustainability. Strengthening international cooperation, utilising technological advances, and embedding social determinants into policy frameworks are crucial for making meaningful progress. Addressing these SDGs holistically will help build resilient, equitable societies capable of confronting future health and environmental challenges.</w:t>
      </w:r>
    </w:p>
    <w:p w14:paraId="0393634F" w14:textId="77777777" w:rsidR="004E7A1B" w:rsidRDefault="004E7A1B" w:rsidP="004E7A1B">
      <w:pPr>
        <w:rPr>
          <w:sz w:val="22"/>
          <w:szCs w:val="22"/>
        </w:rPr>
      </w:pPr>
    </w:p>
    <w:p w14:paraId="1A64772A" w14:textId="77777777" w:rsidR="004E7A1B" w:rsidRDefault="004E7A1B" w:rsidP="004E7A1B">
      <w:pPr>
        <w:rPr>
          <w:sz w:val="22"/>
          <w:szCs w:val="22"/>
        </w:rPr>
      </w:pPr>
    </w:p>
    <w:p w14:paraId="73E98BA7" w14:textId="77777777" w:rsidR="004E7A1B" w:rsidRDefault="004E7A1B" w:rsidP="004E7A1B">
      <w:pPr>
        <w:rPr>
          <w:sz w:val="22"/>
          <w:szCs w:val="22"/>
        </w:rPr>
      </w:pPr>
    </w:p>
    <w:p w14:paraId="70F9B626" w14:textId="77777777" w:rsidR="004E7A1B" w:rsidRDefault="004E7A1B" w:rsidP="004E7A1B">
      <w:pPr>
        <w:rPr>
          <w:sz w:val="22"/>
          <w:szCs w:val="22"/>
        </w:rPr>
      </w:pPr>
    </w:p>
    <w:p w14:paraId="303F61FF" w14:textId="77777777" w:rsidR="004E7A1B" w:rsidRDefault="004E7A1B" w:rsidP="004E7A1B">
      <w:pPr>
        <w:rPr>
          <w:sz w:val="22"/>
          <w:szCs w:val="22"/>
        </w:rPr>
      </w:pPr>
    </w:p>
    <w:p w14:paraId="096730E0" w14:textId="77777777" w:rsidR="004E7A1B" w:rsidRDefault="004E7A1B" w:rsidP="004E7A1B">
      <w:pPr>
        <w:rPr>
          <w:sz w:val="22"/>
          <w:szCs w:val="22"/>
        </w:rPr>
      </w:pPr>
    </w:p>
    <w:p w14:paraId="5A460533" w14:textId="77777777" w:rsidR="004E7A1B" w:rsidRDefault="004E7A1B" w:rsidP="004E7A1B">
      <w:pPr>
        <w:rPr>
          <w:sz w:val="22"/>
          <w:szCs w:val="22"/>
        </w:rPr>
      </w:pPr>
    </w:p>
    <w:p w14:paraId="3750164E" w14:textId="77777777" w:rsidR="004E7A1B" w:rsidRDefault="004E7A1B" w:rsidP="004E7A1B">
      <w:pPr>
        <w:rPr>
          <w:sz w:val="22"/>
          <w:szCs w:val="22"/>
        </w:rPr>
      </w:pPr>
    </w:p>
    <w:p w14:paraId="3D17537E" w14:textId="77777777" w:rsidR="004E7A1B" w:rsidRPr="004E7A1B" w:rsidRDefault="004E7A1B" w:rsidP="004E7A1B">
      <w:pPr>
        <w:rPr>
          <w:sz w:val="22"/>
          <w:szCs w:val="22"/>
        </w:rPr>
      </w:pPr>
    </w:p>
    <w:p w14:paraId="1EE12CF9" w14:textId="34A3ECD7" w:rsidR="00D1261A" w:rsidRPr="004E7A1B" w:rsidRDefault="00D1261A" w:rsidP="00D1261A">
      <w:pPr>
        <w:pStyle w:val="Heading2"/>
        <w:rPr>
          <w:b/>
          <w:bCs/>
          <w:color w:val="auto"/>
          <w:sz w:val="28"/>
          <w:szCs w:val="28"/>
        </w:rPr>
      </w:pPr>
      <w:bookmarkStart w:id="13" w:name="_Toc225030333"/>
      <w:r w:rsidRPr="004E7A1B">
        <w:rPr>
          <w:b/>
          <w:bCs/>
          <w:color w:val="auto"/>
          <w:sz w:val="28"/>
          <w:szCs w:val="28"/>
        </w:rPr>
        <w:lastRenderedPageBreak/>
        <w:t>References</w:t>
      </w:r>
      <w:bookmarkEnd w:id="13"/>
    </w:p>
    <w:p w14:paraId="3E80F358" w14:textId="77777777" w:rsidR="00FA45C6" w:rsidRPr="004E7A1B" w:rsidRDefault="00FA45C6" w:rsidP="004E7A1B">
      <w:pPr>
        <w:rPr>
          <w:sz w:val="22"/>
          <w:szCs w:val="22"/>
        </w:rPr>
      </w:pPr>
      <w:r w:rsidRPr="004E7A1B">
        <w:rPr>
          <w:sz w:val="22"/>
          <w:szCs w:val="22"/>
        </w:rPr>
        <w:t xml:space="preserve">Bandura, A. (1986) </w:t>
      </w:r>
      <w:r w:rsidRPr="004E7A1B">
        <w:rPr>
          <w:i/>
          <w:iCs/>
          <w:sz w:val="22"/>
          <w:szCs w:val="22"/>
        </w:rPr>
        <w:t>Social foundations of thought and action: A social cognitive theory</w:t>
      </w:r>
      <w:r w:rsidRPr="004E7A1B">
        <w:rPr>
          <w:sz w:val="22"/>
          <w:szCs w:val="22"/>
        </w:rPr>
        <w:t xml:space="preserve">. Englewood Cliffs: Prentice-Hall. Available at: </w:t>
      </w:r>
      <w:hyperlink r:id="rId6" w:history="1">
        <w:r w:rsidRPr="004E7A1B">
          <w:rPr>
            <w:rStyle w:val="Hyperlink"/>
            <w:sz w:val="22"/>
            <w:szCs w:val="22"/>
          </w:rPr>
          <w:t>https://books.google.com/books?id=HJhqAAAAMAAJ</w:t>
        </w:r>
      </w:hyperlink>
      <w:r w:rsidRPr="004E7A1B">
        <w:rPr>
          <w:sz w:val="22"/>
          <w:szCs w:val="22"/>
        </w:rPr>
        <w:t xml:space="preserve"> (Accessed: 20 February 2026).</w:t>
      </w:r>
    </w:p>
    <w:p w14:paraId="74044112" w14:textId="77777777" w:rsidR="00FA45C6" w:rsidRPr="00D1261A" w:rsidRDefault="00FA45C6" w:rsidP="00D1261A">
      <w:pPr>
        <w:rPr>
          <w:sz w:val="22"/>
          <w:szCs w:val="22"/>
        </w:rPr>
      </w:pPr>
      <w:r w:rsidRPr="00D1261A">
        <w:rPr>
          <w:sz w:val="22"/>
          <w:szCs w:val="22"/>
        </w:rPr>
        <w:t xml:space="preserve">Climate Change Committee (2023) </w:t>
      </w:r>
      <w:r w:rsidRPr="00D1261A">
        <w:rPr>
          <w:i/>
          <w:iCs/>
          <w:sz w:val="22"/>
          <w:szCs w:val="22"/>
        </w:rPr>
        <w:t>Progress in reducing UK emissions</w:t>
      </w:r>
      <w:r w:rsidRPr="00D1261A">
        <w:rPr>
          <w:sz w:val="22"/>
          <w:szCs w:val="22"/>
        </w:rPr>
        <w:t xml:space="preserve">. Available at: </w:t>
      </w:r>
      <w:hyperlink r:id="rId7" w:tgtFrame="_new" w:history="1">
        <w:r w:rsidRPr="00D1261A">
          <w:rPr>
            <w:rStyle w:val="Hyperlink"/>
            <w:sz w:val="22"/>
            <w:szCs w:val="22"/>
          </w:rPr>
          <w:t>https://www.theccc.org.uk/publication/2023-progress-report-to-parliament/</w:t>
        </w:r>
      </w:hyperlink>
      <w:r w:rsidRPr="00D1261A">
        <w:rPr>
          <w:sz w:val="22"/>
          <w:szCs w:val="22"/>
        </w:rPr>
        <w:t xml:space="preserve"> (Accessed: 14 March 2026).</w:t>
      </w:r>
    </w:p>
    <w:p w14:paraId="62414207" w14:textId="77777777" w:rsidR="00FA45C6" w:rsidRPr="00D1261A" w:rsidRDefault="00FA45C6" w:rsidP="00D1261A">
      <w:pPr>
        <w:rPr>
          <w:sz w:val="22"/>
          <w:szCs w:val="22"/>
        </w:rPr>
      </w:pPr>
      <w:r w:rsidRPr="00D1261A">
        <w:rPr>
          <w:sz w:val="22"/>
          <w:szCs w:val="22"/>
        </w:rPr>
        <w:t xml:space="preserve">Department of Health and Social Care (2019) </w:t>
      </w:r>
      <w:r w:rsidRPr="00D1261A">
        <w:rPr>
          <w:i/>
          <w:iCs/>
          <w:sz w:val="22"/>
          <w:szCs w:val="22"/>
        </w:rPr>
        <w:t>The NHS Long Term Plan</w:t>
      </w:r>
      <w:r w:rsidRPr="00D1261A">
        <w:rPr>
          <w:sz w:val="22"/>
          <w:szCs w:val="22"/>
        </w:rPr>
        <w:t xml:space="preserve">. Available at: </w:t>
      </w:r>
      <w:hyperlink r:id="rId8" w:tgtFrame="_new" w:history="1">
        <w:r w:rsidRPr="00D1261A">
          <w:rPr>
            <w:rStyle w:val="Hyperlink"/>
            <w:sz w:val="22"/>
            <w:szCs w:val="22"/>
          </w:rPr>
          <w:t>https://www.longtermplan.nhs.uk/</w:t>
        </w:r>
      </w:hyperlink>
      <w:r w:rsidRPr="00D1261A">
        <w:rPr>
          <w:sz w:val="22"/>
          <w:szCs w:val="22"/>
        </w:rPr>
        <w:t xml:space="preserve"> (Accessed: 25 February 2026).</w:t>
      </w:r>
    </w:p>
    <w:p w14:paraId="7C8EF55C" w14:textId="77777777" w:rsidR="00FA45C6" w:rsidRPr="00D1261A" w:rsidRDefault="00FA45C6" w:rsidP="00D1261A">
      <w:pPr>
        <w:rPr>
          <w:sz w:val="22"/>
          <w:szCs w:val="22"/>
        </w:rPr>
      </w:pPr>
      <w:r w:rsidRPr="00D1261A">
        <w:rPr>
          <w:sz w:val="22"/>
          <w:szCs w:val="22"/>
        </w:rPr>
        <w:t xml:space="preserve">Gavi, the Vaccine Alliance (2023) </w:t>
      </w:r>
      <w:r w:rsidRPr="00D1261A">
        <w:rPr>
          <w:i/>
          <w:iCs/>
          <w:sz w:val="22"/>
          <w:szCs w:val="22"/>
        </w:rPr>
        <w:t>Annual progress report</w:t>
      </w:r>
      <w:r w:rsidRPr="00D1261A">
        <w:rPr>
          <w:sz w:val="22"/>
          <w:szCs w:val="22"/>
        </w:rPr>
        <w:t xml:space="preserve">. Available at: </w:t>
      </w:r>
      <w:hyperlink r:id="rId9" w:tgtFrame="_new" w:history="1">
        <w:r w:rsidRPr="00D1261A">
          <w:rPr>
            <w:rStyle w:val="Hyperlink"/>
            <w:sz w:val="22"/>
            <w:szCs w:val="22"/>
          </w:rPr>
          <w:t>https://www.gavi.org/programmes-impact/our-impact</w:t>
        </w:r>
      </w:hyperlink>
      <w:r w:rsidRPr="00D1261A">
        <w:rPr>
          <w:sz w:val="22"/>
          <w:szCs w:val="22"/>
        </w:rPr>
        <w:t xml:space="preserve"> (Accessed: 2 March 2026).</w:t>
      </w:r>
    </w:p>
    <w:p w14:paraId="1367BD11" w14:textId="77777777" w:rsidR="00FA45C6" w:rsidRPr="00D1261A" w:rsidRDefault="00FA45C6" w:rsidP="00D1261A">
      <w:pPr>
        <w:rPr>
          <w:sz w:val="22"/>
          <w:szCs w:val="22"/>
        </w:rPr>
      </w:pPr>
      <w:r w:rsidRPr="00D1261A">
        <w:rPr>
          <w:sz w:val="22"/>
          <w:szCs w:val="22"/>
        </w:rPr>
        <w:t xml:space="preserve">Global Fund (2023) </w:t>
      </w:r>
      <w:r w:rsidRPr="00D1261A">
        <w:rPr>
          <w:i/>
          <w:iCs/>
          <w:sz w:val="22"/>
          <w:szCs w:val="22"/>
        </w:rPr>
        <w:t>Results report 2023</w:t>
      </w:r>
      <w:r w:rsidRPr="00D1261A">
        <w:rPr>
          <w:sz w:val="22"/>
          <w:szCs w:val="22"/>
        </w:rPr>
        <w:t xml:space="preserve">. Available at: </w:t>
      </w:r>
      <w:hyperlink r:id="rId10" w:tgtFrame="_new" w:history="1">
        <w:r w:rsidRPr="00D1261A">
          <w:rPr>
            <w:rStyle w:val="Hyperlink"/>
            <w:sz w:val="22"/>
            <w:szCs w:val="22"/>
          </w:rPr>
          <w:t>https://www.theglobalfund.org/en/results/</w:t>
        </w:r>
      </w:hyperlink>
      <w:r w:rsidRPr="00D1261A">
        <w:rPr>
          <w:sz w:val="22"/>
          <w:szCs w:val="22"/>
        </w:rPr>
        <w:t xml:space="preserve"> (Accessed: 3 March 2026).</w:t>
      </w:r>
    </w:p>
    <w:p w14:paraId="0DCCE55C" w14:textId="77777777" w:rsidR="00FA45C6" w:rsidRPr="00D1261A" w:rsidRDefault="00FA45C6" w:rsidP="00D1261A">
      <w:pPr>
        <w:rPr>
          <w:sz w:val="22"/>
          <w:szCs w:val="22"/>
        </w:rPr>
      </w:pPr>
      <w:r w:rsidRPr="00D1261A">
        <w:rPr>
          <w:sz w:val="22"/>
          <w:szCs w:val="22"/>
        </w:rPr>
        <w:t xml:space="preserve">Intergovernmental Panel on Climate Change (IPCC) (2023) </w:t>
      </w:r>
      <w:r w:rsidRPr="00D1261A">
        <w:rPr>
          <w:i/>
          <w:iCs/>
          <w:sz w:val="22"/>
          <w:szCs w:val="22"/>
        </w:rPr>
        <w:t>AR6 Synthesis Report</w:t>
      </w:r>
      <w:r w:rsidRPr="00D1261A">
        <w:rPr>
          <w:sz w:val="22"/>
          <w:szCs w:val="22"/>
        </w:rPr>
        <w:t xml:space="preserve">. Available at: </w:t>
      </w:r>
      <w:hyperlink r:id="rId11" w:tgtFrame="_new" w:history="1">
        <w:r w:rsidRPr="00D1261A">
          <w:rPr>
            <w:rStyle w:val="Hyperlink"/>
            <w:sz w:val="22"/>
            <w:szCs w:val="22"/>
          </w:rPr>
          <w:t>https://www.ipcc.ch/report/ar6/syr/</w:t>
        </w:r>
      </w:hyperlink>
      <w:r w:rsidRPr="00D1261A">
        <w:rPr>
          <w:sz w:val="22"/>
          <w:szCs w:val="22"/>
        </w:rPr>
        <w:t xml:space="preserve"> (Accessed: 5 March 2026).</w:t>
      </w:r>
    </w:p>
    <w:p w14:paraId="0887A609" w14:textId="77777777" w:rsidR="00FA45C6" w:rsidRPr="00D1261A" w:rsidRDefault="00FA45C6" w:rsidP="00D1261A">
      <w:pPr>
        <w:rPr>
          <w:sz w:val="22"/>
          <w:szCs w:val="22"/>
        </w:rPr>
      </w:pPr>
      <w:r w:rsidRPr="00D1261A">
        <w:rPr>
          <w:sz w:val="22"/>
          <w:szCs w:val="22"/>
        </w:rPr>
        <w:t xml:space="preserve">King, D., Hammond, R. and Harrington, R. (2019) </w:t>
      </w:r>
      <w:r w:rsidRPr="00D1261A">
        <w:rPr>
          <w:i/>
          <w:iCs/>
          <w:sz w:val="22"/>
          <w:szCs w:val="22"/>
        </w:rPr>
        <w:t>Climate change: A risk assessment</w:t>
      </w:r>
      <w:r w:rsidRPr="00D1261A">
        <w:rPr>
          <w:sz w:val="22"/>
          <w:szCs w:val="22"/>
        </w:rPr>
        <w:t>. Available at: https://www.csap.cam.ac.uk/projects/climate-change-risk-assessment/ (Accessed: 6 March 2026).</w:t>
      </w:r>
    </w:p>
    <w:p w14:paraId="56F94FCE" w14:textId="77777777" w:rsidR="00FA45C6" w:rsidRPr="00D1261A" w:rsidRDefault="00FA45C6" w:rsidP="00D1261A">
      <w:pPr>
        <w:rPr>
          <w:sz w:val="22"/>
          <w:szCs w:val="22"/>
        </w:rPr>
      </w:pPr>
      <w:r w:rsidRPr="00D1261A">
        <w:rPr>
          <w:sz w:val="22"/>
          <w:szCs w:val="22"/>
        </w:rPr>
        <w:t xml:space="preserve">Marmot, M. et al. (2020) </w:t>
      </w:r>
      <w:r w:rsidRPr="00D1261A">
        <w:rPr>
          <w:i/>
          <w:iCs/>
          <w:sz w:val="22"/>
          <w:szCs w:val="22"/>
        </w:rPr>
        <w:t>Health equity in England: The Marmot Review 10 years on</w:t>
      </w:r>
      <w:r w:rsidRPr="00D1261A">
        <w:rPr>
          <w:sz w:val="22"/>
          <w:szCs w:val="22"/>
        </w:rPr>
        <w:t xml:space="preserve">. Available at: </w:t>
      </w:r>
      <w:hyperlink r:id="rId12" w:tgtFrame="_new" w:history="1">
        <w:r w:rsidRPr="00D1261A">
          <w:rPr>
            <w:rStyle w:val="Hyperlink"/>
            <w:sz w:val="22"/>
            <w:szCs w:val="22"/>
          </w:rPr>
          <w:t>https://www.health.org.uk/publications/reports/the-marmot-review-10-years-on</w:t>
        </w:r>
      </w:hyperlink>
      <w:r w:rsidRPr="00D1261A">
        <w:rPr>
          <w:sz w:val="22"/>
          <w:szCs w:val="22"/>
        </w:rPr>
        <w:t xml:space="preserve"> (Accessed: 16 March 2026).</w:t>
      </w:r>
    </w:p>
    <w:p w14:paraId="357775F1" w14:textId="77777777" w:rsidR="00FA45C6" w:rsidRPr="00D1261A" w:rsidRDefault="00FA45C6" w:rsidP="00D1261A">
      <w:pPr>
        <w:rPr>
          <w:sz w:val="22"/>
          <w:szCs w:val="22"/>
        </w:rPr>
      </w:pPr>
      <w:r w:rsidRPr="00D1261A">
        <w:rPr>
          <w:sz w:val="22"/>
          <w:szCs w:val="22"/>
        </w:rPr>
        <w:t xml:space="preserve">NHS England (2022) </w:t>
      </w:r>
      <w:r w:rsidRPr="00D1261A">
        <w:rPr>
          <w:i/>
          <w:iCs/>
          <w:sz w:val="22"/>
          <w:szCs w:val="22"/>
        </w:rPr>
        <w:t>Health inequalities improvement programme</w:t>
      </w:r>
      <w:r w:rsidRPr="00D1261A">
        <w:rPr>
          <w:sz w:val="22"/>
          <w:szCs w:val="22"/>
        </w:rPr>
        <w:t>. Available at: https://www.england.nhs.uk/about/equality/health-inequalities/ (Accessed: 26 February 2026).</w:t>
      </w:r>
    </w:p>
    <w:p w14:paraId="42F46BCD" w14:textId="77777777" w:rsidR="00FA45C6" w:rsidRPr="00D1261A" w:rsidRDefault="00FA45C6" w:rsidP="00D1261A">
      <w:pPr>
        <w:rPr>
          <w:sz w:val="22"/>
          <w:szCs w:val="22"/>
        </w:rPr>
      </w:pPr>
      <w:r w:rsidRPr="00D1261A">
        <w:rPr>
          <w:sz w:val="22"/>
          <w:szCs w:val="22"/>
        </w:rPr>
        <w:t xml:space="preserve">Nuffield Trust (2022) </w:t>
      </w:r>
      <w:r w:rsidRPr="00D1261A">
        <w:rPr>
          <w:i/>
          <w:iCs/>
          <w:sz w:val="22"/>
          <w:szCs w:val="22"/>
        </w:rPr>
        <w:t>The state of health care and adult social care in England</w:t>
      </w:r>
      <w:r w:rsidRPr="00D1261A">
        <w:rPr>
          <w:sz w:val="22"/>
          <w:szCs w:val="22"/>
        </w:rPr>
        <w:t>. Available at: https://www.nuffieldtrust.org.uk/research/the-state-of-health-care-and-adult-social-care-in-england (Accessed: 15 March 2026).</w:t>
      </w:r>
    </w:p>
    <w:p w14:paraId="35D87BBA" w14:textId="77777777" w:rsidR="00FA45C6" w:rsidRPr="00D1261A" w:rsidRDefault="00FA45C6" w:rsidP="00D1261A">
      <w:pPr>
        <w:rPr>
          <w:sz w:val="22"/>
          <w:szCs w:val="22"/>
        </w:rPr>
      </w:pPr>
      <w:r w:rsidRPr="00D1261A">
        <w:rPr>
          <w:sz w:val="22"/>
          <w:szCs w:val="22"/>
        </w:rPr>
        <w:t xml:space="preserve">OECD (2022) </w:t>
      </w:r>
      <w:r w:rsidRPr="00D1261A">
        <w:rPr>
          <w:i/>
          <w:iCs/>
          <w:sz w:val="22"/>
          <w:szCs w:val="22"/>
        </w:rPr>
        <w:t xml:space="preserve">Health </w:t>
      </w:r>
      <w:proofErr w:type="gramStart"/>
      <w:r w:rsidRPr="00D1261A">
        <w:rPr>
          <w:i/>
          <w:iCs/>
          <w:sz w:val="22"/>
          <w:szCs w:val="22"/>
        </w:rPr>
        <w:t>at a glance</w:t>
      </w:r>
      <w:proofErr w:type="gramEnd"/>
      <w:r w:rsidRPr="00D1261A">
        <w:rPr>
          <w:i/>
          <w:iCs/>
          <w:sz w:val="22"/>
          <w:szCs w:val="22"/>
        </w:rPr>
        <w:t xml:space="preserve"> 2022</w:t>
      </w:r>
      <w:r w:rsidRPr="00D1261A">
        <w:rPr>
          <w:sz w:val="22"/>
          <w:szCs w:val="22"/>
        </w:rPr>
        <w:t xml:space="preserve">. Available at: </w:t>
      </w:r>
      <w:hyperlink r:id="rId13" w:tgtFrame="_new" w:history="1">
        <w:r w:rsidRPr="00D1261A">
          <w:rPr>
            <w:rStyle w:val="Hyperlink"/>
            <w:sz w:val="22"/>
            <w:szCs w:val="22"/>
          </w:rPr>
          <w:t>https://www.oecd.org/health/health-at-a-glance/</w:t>
        </w:r>
      </w:hyperlink>
      <w:r w:rsidRPr="00D1261A">
        <w:rPr>
          <w:sz w:val="22"/>
          <w:szCs w:val="22"/>
        </w:rPr>
        <w:t xml:space="preserve"> (Accessed: 13 March 2026).</w:t>
      </w:r>
    </w:p>
    <w:p w14:paraId="4D0F69C2" w14:textId="77777777" w:rsidR="00FA45C6" w:rsidRPr="00D1261A" w:rsidRDefault="00FA45C6" w:rsidP="00D1261A">
      <w:pPr>
        <w:rPr>
          <w:sz w:val="22"/>
          <w:szCs w:val="22"/>
        </w:rPr>
      </w:pPr>
      <w:r w:rsidRPr="00D1261A">
        <w:rPr>
          <w:sz w:val="22"/>
          <w:szCs w:val="22"/>
        </w:rPr>
        <w:t xml:space="preserve">Office for National Statistics (ONS) (2023) </w:t>
      </w:r>
      <w:r w:rsidRPr="00D1261A">
        <w:rPr>
          <w:i/>
          <w:iCs/>
          <w:sz w:val="22"/>
          <w:szCs w:val="22"/>
        </w:rPr>
        <w:t>Health state life expectancies, UK</w:t>
      </w:r>
      <w:r w:rsidRPr="00D1261A">
        <w:rPr>
          <w:sz w:val="22"/>
          <w:szCs w:val="22"/>
        </w:rPr>
        <w:t xml:space="preserve">. Available at: </w:t>
      </w:r>
      <w:hyperlink r:id="rId14" w:tgtFrame="_new" w:history="1">
        <w:r w:rsidRPr="00D1261A">
          <w:rPr>
            <w:rStyle w:val="Hyperlink"/>
            <w:sz w:val="22"/>
            <w:szCs w:val="22"/>
          </w:rPr>
          <w:t>https://www.ons.gov.uk/peoplepopulationandcommunity/healthandsocialcare/healthandlifeexpectancies</w:t>
        </w:r>
      </w:hyperlink>
      <w:r w:rsidRPr="00D1261A">
        <w:rPr>
          <w:sz w:val="22"/>
          <w:szCs w:val="22"/>
        </w:rPr>
        <w:t xml:space="preserve"> (Accessed: 27 February 2026).</w:t>
      </w:r>
    </w:p>
    <w:p w14:paraId="6359137D" w14:textId="77777777" w:rsidR="00FA45C6" w:rsidRPr="00D1261A" w:rsidRDefault="00FA45C6" w:rsidP="00D1261A">
      <w:pPr>
        <w:rPr>
          <w:sz w:val="22"/>
          <w:szCs w:val="22"/>
        </w:rPr>
      </w:pPr>
      <w:r w:rsidRPr="00D1261A">
        <w:rPr>
          <w:sz w:val="22"/>
          <w:szCs w:val="22"/>
        </w:rPr>
        <w:t xml:space="preserve">Public Health England (2021) </w:t>
      </w:r>
      <w:r w:rsidRPr="00D1261A">
        <w:rPr>
          <w:i/>
          <w:iCs/>
          <w:sz w:val="22"/>
          <w:szCs w:val="22"/>
        </w:rPr>
        <w:t>Health matters: climate change and health</w:t>
      </w:r>
      <w:r w:rsidRPr="00D1261A">
        <w:rPr>
          <w:sz w:val="22"/>
          <w:szCs w:val="22"/>
        </w:rPr>
        <w:t>. Available at: https://www.gov.uk/government/publications/health-matters-climate-change-and-health (Accessed: 1 March 2026).</w:t>
      </w:r>
    </w:p>
    <w:p w14:paraId="6B4D7E58" w14:textId="77777777" w:rsidR="00FA45C6" w:rsidRPr="00D1261A" w:rsidRDefault="00FA45C6" w:rsidP="00D1261A">
      <w:pPr>
        <w:rPr>
          <w:sz w:val="22"/>
          <w:szCs w:val="22"/>
        </w:rPr>
      </w:pPr>
      <w:r w:rsidRPr="00D1261A">
        <w:rPr>
          <w:sz w:val="22"/>
          <w:szCs w:val="22"/>
        </w:rPr>
        <w:t xml:space="preserve">Rosenstock, I.M. (1974) ‘Historical origins of the Health Belief Model’, </w:t>
      </w:r>
      <w:r w:rsidRPr="00D1261A">
        <w:rPr>
          <w:i/>
          <w:iCs/>
          <w:sz w:val="22"/>
          <w:szCs w:val="22"/>
        </w:rPr>
        <w:t>Health Education Monographs</w:t>
      </w:r>
      <w:r w:rsidRPr="00D1261A">
        <w:rPr>
          <w:sz w:val="22"/>
          <w:szCs w:val="22"/>
        </w:rPr>
        <w:t>, 2(4), pp. 328–335.</w:t>
      </w:r>
    </w:p>
    <w:p w14:paraId="16F4F14E" w14:textId="77777777" w:rsidR="00FA45C6" w:rsidRPr="00D1261A" w:rsidRDefault="00FA45C6" w:rsidP="00D1261A">
      <w:pPr>
        <w:rPr>
          <w:sz w:val="22"/>
          <w:szCs w:val="22"/>
        </w:rPr>
      </w:pPr>
      <w:r w:rsidRPr="00D1261A">
        <w:rPr>
          <w:sz w:val="22"/>
          <w:szCs w:val="22"/>
        </w:rPr>
        <w:lastRenderedPageBreak/>
        <w:t xml:space="preserve">The Lancet Countdown (2023) </w:t>
      </w:r>
      <w:r w:rsidRPr="00D1261A">
        <w:rPr>
          <w:i/>
          <w:iCs/>
          <w:sz w:val="22"/>
          <w:szCs w:val="22"/>
        </w:rPr>
        <w:t>Health and climate change report</w:t>
      </w:r>
      <w:r w:rsidRPr="00D1261A">
        <w:rPr>
          <w:sz w:val="22"/>
          <w:szCs w:val="22"/>
        </w:rPr>
        <w:t xml:space="preserve">. Available at: </w:t>
      </w:r>
      <w:hyperlink r:id="rId15" w:tgtFrame="_new" w:history="1">
        <w:r w:rsidRPr="00D1261A">
          <w:rPr>
            <w:rStyle w:val="Hyperlink"/>
            <w:sz w:val="22"/>
            <w:szCs w:val="22"/>
          </w:rPr>
          <w:t>https://www.lancetcountdown.org/2023-report/</w:t>
        </w:r>
      </w:hyperlink>
      <w:r w:rsidRPr="00D1261A">
        <w:rPr>
          <w:sz w:val="22"/>
          <w:szCs w:val="22"/>
        </w:rPr>
        <w:t xml:space="preserve"> (Accessed: 12 March 2026).</w:t>
      </w:r>
    </w:p>
    <w:p w14:paraId="4DD9F036" w14:textId="77777777" w:rsidR="00FA45C6" w:rsidRPr="00D1261A" w:rsidRDefault="00FA45C6" w:rsidP="00D1261A">
      <w:pPr>
        <w:rPr>
          <w:sz w:val="22"/>
          <w:szCs w:val="22"/>
        </w:rPr>
      </w:pPr>
      <w:r w:rsidRPr="00D1261A">
        <w:rPr>
          <w:sz w:val="22"/>
          <w:szCs w:val="22"/>
        </w:rPr>
        <w:t xml:space="preserve">UK Government (2019) </w:t>
      </w:r>
      <w:r w:rsidRPr="00D1261A">
        <w:rPr>
          <w:i/>
          <w:iCs/>
          <w:sz w:val="22"/>
          <w:szCs w:val="22"/>
        </w:rPr>
        <w:t>Climate Change Act 2008 (2050 Target Amendment) Order 2019</w:t>
      </w:r>
      <w:r w:rsidRPr="00D1261A">
        <w:rPr>
          <w:sz w:val="22"/>
          <w:szCs w:val="22"/>
        </w:rPr>
        <w:t xml:space="preserve">. Available at: </w:t>
      </w:r>
      <w:hyperlink r:id="rId16" w:tgtFrame="_new" w:history="1">
        <w:r w:rsidRPr="00D1261A">
          <w:rPr>
            <w:rStyle w:val="Hyperlink"/>
            <w:sz w:val="22"/>
            <w:szCs w:val="22"/>
          </w:rPr>
          <w:t>https://www.legislation.gov.uk/uksi/2019/1056/contents/made</w:t>
        </w:r>
      </w:hyperlink>
      <w:r w:rsidRPr="00D1261A">
        <w:rPr>
          <w:sz w:val="22"/>
          <w:szCs w:val="22"/>
        </w:rPr>
        <w:t xml:space="preserve"> (Accessed: 10 March 2026).</w:t>
      </w:r>
    </w:p>
    <w:p w14:paraId="3CE12E45" w14:textId="77777777" w:rsidR="00FA45C6" w:rsidRPr="00D1261A" w:rsidRDefault="00FA45C6" w:rsidP="00D1261A">
      <w:pPr>
        <w:rPr>
          <w:sz w:val="22"/>
          <w:szCs w:val="22"/>
        </w:rPr>
      </w:pPr>
      <w:r w:rsidRPr="00D1261A">
        <w:rPr>
          <w:sz w:val="22"/>
          <w:szCs w:val="22"/>
        </w:rPr>
        <w:t xml:space="preserve">UK Health Security Agency (2023) </w:t>
      </w:r>
      <w:r w:rsidRPr="00D1261A">
        <w:rPr>
          <w:i/>
          <w:iCs/>
          <w:sz w:val="22"/>
          <w:szCs w:val="22"/>
        </w:rPr>
        <w:t>Health effects of climate change in the UK</w:t>
      </w:r>
      <w:r w:rsidRPr="00D1261A">
        <w:rPr>
          <w:sz w:val="22"/>
          <w:szCs w:val="22"/>
        </w:rPr>
        <w:t>. Available at: https://www.gov.uk/government/publications/health-effects-of-climate-change-in-the-uk (Accessed: 11 March 2026).</w:t>
      </w:r>
    </w:p>
    <w:p w14:paraId="25B8E110" w14:textId="77777777" w:rsidR="00FA45C6" w:rsidRPr="00D1261A" w:rsidRDefault="00FA45C6" w:rsidP="00D1261A">
      <w:pPr>
        <w:rPr>
          <w:sz w:val="22"/>
          <w:szCs w:val="22"/>
        </w:rPr>
      </w:pPr>
      <w:r w:rsidRPr="00D1261A">
        <w:rPr>
          <w:sz w:val="22"/>
          <w:szCs w:val="22"/>
        </w:rPr>
        <w:t xml:space="preserve">United Nations (2015) </w:t>
      </w:r>
      <w:r w:rsidRPr="00D1261A">
        <w:rPr>
          <w:i/>
          <w:iCs/>
          <w:sz w:val="22"/>
          <w:szCs w:val="22"/>
        </w:rPr>
        <w:t>Transforming our world: The 2030 Agenda for Sustainable Development</w:t>
      </w:r>
      <w:r w:rsidRPr="00D1261A">
        <w:rPr>
          <w:sz w:val="22"/>
          <w:szCs w:val="22"/>
        </w:rPr>
        <w:t xml:space="preserve">. Available at: </w:t>
      </w:r>
      <w:hyperlink r:id="rId17" w:tgtFrame="_new" w:history="1">
        <w:r w:rsidRPr="00D1261A">
          <w:rPr>
            <w:rStyle w:val="Hyperlink"/>
            <w:sz w:val="22"/>
            <w:szCs w:val="22"/>
          </w:rPr>
          <w:t>https://sdgs.un.org/2030agenda</w:t>
        </w:r>
      </w:hyperlink>
      <w:r w:rsidRPr="00D1261A">
        <w:rPr>
          <w:sz w:val="22"/>
          <w:szCs w:val="22"/>
        </w:rPr>
        <w:t xml:space="preserve"> (Accessed: 20 February 2026).</w:t>
      </w:r>
    </w:p>
    <w:p w14:paraId="409EEE0A" w14:textId="77777777" w:rsidR="00FA45C6" w:rsidRPr="00D1261A" w:rsidRDefault="00FA45C6" w:rsidP="00D1261A">
      <w:pPr>
        <w:rPr>
          <w:sz w:val="22"/>
          <w:szCs w:val="22"/>
        </w:rPr>
      </w:pPr>
      <w:r w:rsidRPr="00D1261A">
        <w:rPr>
          <w:sz w:val="22"/>
          <w:szCs w:val="22"/>
        </w:rPr>
        <w:t xml:space="preserve">United Nations (2023) </w:t>
      </w:r>
      <w:r w:rsidRPr="00D1261A">
        <w:rPr>
          <w:i/>
          <w:iCs/>
          <w:sz w:val="22"/>
          <w:szCs w:val="22"/>
        </w:rPr>
        <w:t>The Sustainable Development Goals Report 2023</w:t>
      </w:r>
      <w:r w:rsidRPr="00D1261A">
        <w:rPr>
          <w:sz w:val="22"/>
          <w:szCs w:val="22"/>
        </w:rPr>
        <w:t xml:space="preserve">. Available at: </w:t>
      </w:r>
      <w:hyperlink r:id="rId18" w:tgtFrame="_new" w:history="1">
        <w:r w:rsidRPr="00D1261A">
          <w:rPr>
            <w:rStyle w:val="Hyperlink"/>
            <w:sz w:val="22"/>
            <w:szCs w:val="22"/>
          </w:rPr>
          <w:t>https://unstats.un.org/sdgs/report/2023/</w:t>
        </w:r>
      </w:hyperlink>
      <w:r w:rsidRPr="00D1261A">
        <w:rPr>
          <w:sz w:val="22"/>
          <w:szCs w:val="22"/>
        </w:rPr>
        <w:t xml:space="preserve"> (Accessed: 4 March 2026).</w:t>
      </w:r>
    </w:p>
    <w:p w14:paraId="2C1EDD8F" w14:textId="77777777" w:rsidR="00FA45C6" w:rsidRPr="00D1261A" w:rsidRDefault="00FA45C6" w:rsidP="00D1261A">
      <w:pPr>
        <w:rPr>
          <w:sz w:val="22"/>
          <w:szCs w:val="22"/>
        </w:rPr>
      </w:pPr>
      <w:r w:rsidRPr="00D1261A">
        <w:rPr>
          <w:sz w:val="22"/>
          <w:szCs w:val="22"/>
        </w:rPr>
        <w:t xml:space="preserve">United Nations Development Programme (UNDP) (2022) </w:t>
      </w:r>
      <w:r w:rsidRPr="00D1261A">
        <w:rPr>
          <w:i/>
          <w:iCs/>
          <w:sz w:val="22"/>
          <w:szCs w:val="22"/>
        </w:rPr>
        <w:t>Human development report</w:t>
      </w:r>
      <w:r w:rsidRPr="00D1261A">
        <w:rPr>
          <w:sz w:val="22"/>
          <w:szCs w:val="22"/>
        </w:rPr>
        <w:t xml:space="preserve">. Available at: </w:t>
      </w:r>
      <w:hyperlink r:id="rId19" w:tgtFrame="_new" w:history="1">
        <w:r w:rsidRPr="00D1261A">
          <w:rPr>
            <w:rStyle w:val="Hyperlink"/>
            <w:sz w:val="22"/>
            <w:szCs w:val="22"/>
          </w:rPr>
          <w:t>https://hdr.undp.org/content/human-development-report-2021-22</w:t>
        </w:r>
      </w:hyperlink>
      <w:r w:rsidRPr="00D1261A">
        <w:rPr>
          <w:sz w:val="22"/>
          <w:szCs w:val="22"/>
        </w:rPr>
        <w:t xml:space="preserve"> (Accessed: 6 March 2026).</w:t>
      </w:r>
    </w:p>
    <w:p w14:paraId="37268E51" w14:textId="77777777" w:rsidR="00FA45C6" w:rsidRPr="00D1261A" w:rsidRDefault="00FA45C6" w:rsidP="00D1261A">
      <w:pPr>
        <w:rPr>
          <w:sz w:val="22"/>
          <w:szCs w:val="22"/>
        </w:rPr>
      </w:pPr>
      <w:r w:rsidRPr="00D1261A">
        <w:rPr>
          <w:sz w:val="22"/>
          <w:szCs w:val="22"/>
        </w:rPr>
        <w:t xml:space="preserve">World Bank (2023) </w:t>
      </w:r>
      <w:r w:rsidRPr="00D1261A">
        <w:rPr>
          <w:i/>
          <w:iCs/>
          <w:sz w:val="22"/>
          <w:szCs w:val="22"/>
        </w:rPr>
        <w:t>World development indicators</w:t>
      </w:r>
      <w:r w:rsidRPr="00D1261A">
        <w:rPr>
          <w:sz w:val="22"/>
          <w:szCs w:val="22"/>
        </w:rPr>
        <w:t xml:space="preserve">. Available at: </w:t>
      </w:r>
      <w:hyperlink r:id="rId20" w:tgtFrame="_new" w:history="1">
        <w:r w:rsidRPr="00D1261A">
          <w:rPr>
            <w:rStyle w:val="Hyperlink"/>
            <w:sz w:val="22"/>
            <w:szCs w:val="22"/>
          </w:rPr>
          <w:t>https://databank.worldbank.org/source/world-development-indicators</w:t>
        </w:r>
      </w:hyperlink>
      <w:r w:rsidRPr="00D1261A">
        <w:rPr>
          <w:sz w:val="22"/>
          <w:szCs w:val="22"/>
        </w:rPr>
        <w:t xml:space="preserve"> (Accessed: 7 March 2026).</w:t>
      </w:r>
    </w:p>
    <w:p w14:paraId="5D2E8B52" w14:textId="77777777" w:rsidR="00FA45C6" w:rsidRPr="00D1261A" w:rsidRDefault="00FA45C6" w:rsidP="00D1261A">
      <w:pPr>
        <w:rPr>
          <w:sz w:val="22"/>
          <w:szCs w:val="22"/>
        </w:rPr>
      </w:pPr>
      <w:r w:rsidRPr="00D1261A">
        <w:rPr>
          <w:sz w:val="22"/>
          <w:szCs w:val="22"/>
        </w:rPr>
        <w:t xml:space="preserve">World Health Organization (WHO) (2019) </w:t>
      </w:r>
      <w:r w:rsidRPr="00D1261A">
        <w:rPr>
          <w:i/>
          <w:iCs/>
          <w:sz w:val="22"/>
          <w:szCs w:val="22"/>
        </w:rPr>
        <w:t>Global action plan for healthy lives and wellbeing for all (2019–2023)</w:t>
      </w:r>
      <w:r w:rsidRPr="00D1261A">
        <w:rPr>
          <w:sz w:val="22"/>
          <w:szCs w:val="22"/>
        </w:rPr>
        <w:t xml:space="preserve">. Available at: </w:t>
      </w:r>
      <w:hyperlink r:id="rId21" w:tgtFrame="_new" w:history="1">
        <w:r w:rsidRPr="00D1261A">
          <w:rPr>
            <w:rStyle w:val="Hyperlink"/>
            <w:sz w:val="22"/>
            <w:szCs w:val="22"/>
          </w:rPr>
          <w:t>https://www.who.int/initiatives/sdg3-global-action-plan</w:t>
        </w:r>
      </w:hyperlink>
      <w:r w:rsidRPr="00D1261A">
        <w:rPr>
          <w:sz w:val="22"/>
          <w:szCs w:val="22"/>
        </w:rPr>
        <w:t xml:space="preserve"> (Accessed: 21 February 2026).</w:t>
      </w:r>
    </w:p>
    <w:p w14:paraId="5DA3B715" w14:textId="77777777" w:rsidR="00FA45C6" w:rsidRPr="00D1261A" w:rsidRDefault="00FA45C6" w:rsidP="00D1261A">
      <w:pPr>
        <w:rPr>
          <w:sz w:val="22"/>
          <w:szCs w:val="22"/>
        </w:rPr>
      </w:pPr>
      <w:r w:rsidRPr="00D1261A">
        <w:rPr>
          <w:sz w:val="22"/>
          <w:szCs w:val="22"/>
        </w:rPr>
        <w:t xml:space="preserve">World Health Organization (WHO) (2021) </w:t>
      </w:r>
      <w:r w:rsidRPr="00D1261A">
        <w:rPr>
          <w:i/>
          <w:iCs/>
          <w:sz w:val="22"/>
          <w:szCs w:val="22"/>
        </w:rPr>
        <w:t>COP26 special report on climate change and health</w:t>
      </w:r>
      <w:r w:rsidRPr="00D1261A">
        <w:rPr>
          <w:sz w:val="22"/>
          <w:szCs w:val="22"/>
        </w:rPr>
        <w:t xml:space="preserve">. Available at: </w:t>
      </w:r>
      <w:hyperlink r:id="rId22" w:tgtFrame="_new" w:history="1">
        <w:r w:rsidRPr="00D1261A">
          <w:rPr>
            <w:rStyle w:val="Hyperlink"/>
            <w:sz w:val="22"/>
            <w:szCs w:val="22"/>
          </w:rPr>
          <w:t>https://www.who.int/publications/i/item/9789240036727</w:t>
        </w:r>
      </w:hyperlink>
      <w:r w:rsidRPr="00D1261A">
        <w:rPr>
          <w:sz w:val="22"/>
          <w:szCs w:val="22"/>
        </w:rPr>
        <w:t xml:space="preserve"> (Accessed: 8 March 2026).</w:t>
      </w:r>
    </w:p>
    <w:p w14:paraId="6CB388DA" w14:textId="77777777" w:rsidR="00FA45C6" w:rsidRPr="00D1261A" w:rsidRDefault="00FA45C6" w:rsidP="00D1261A">
      <w:pPr>
        <w:rPr>
          <w:sz w:val="22"/>
          <w:szCs w:val="22"/>
        </w:rPr>
      </w:pPr>
      <w:r w:rsidRPr="00D1261A">
        <w:rPr>
          <w:sz w:val="22"/>
          <w:szCs w:val="22"/>
        </w:rPr>
        <w:t xml:space="preserve">World Health Organization (WHO) (2023) </w:t>
      </w:r>
      <w:r w:rsidRPr="00D1261A">
        <w:rPr>
          <w:i/>
          <w:iCs/>
          <w:sz w:val="22"/>
          <w:szCs w:val="22"/>
        </w:rPr>
        <w:t>Climate change and health</w:t>
      </w:r>
      <w:r w:rsidRPr="00D1261A">
        <w:rPr>
          <w:sz w:val="22"/>
          <w:szCs w:val="22"/>
        </w:rPr>
        <w:t xml:space="preserve">. Available at: </w:t>
      </w:r>
      <w:hyperlink r:id="rId23" w:tgtFrame="_new" w:history="1">
        <w:r w:rsidRPr="00D1261A">
          <w:rPr>
            <w:rStyle w:val="Hyperlink"/>
            <w:sz w:val="22"/>
            <w:szCs w:val="22"/>
          </w:rPr>
          <w:t>https://www.who.int/news-room/fact-sheets/detail/climate-change-and-health</w:t>
        </w:r>
      </w:hyperlink>
      <w:r w:rsidRPr="00D1261A">
        <w:rPr>
          <w:sz w:val="22"/>
          <w:szCs w:val="22"/>
        </w:rPr>
        <w:t xml:space="preserve"> (Accessed: 9 March 2026).</w:t>
      </w:r>
    </w:p>
    <w:p w14:paraId="3E96066F" w14:textId="77777777" w:rsidR="00FA45C6" w:rsidRPr="00D1261A" w:rsidRDefault="00FA45C6" w:rsidP="00D1261A">
      <w:pPr>
        <w:rPr>
          <w:sz w:val="22"/>
          <w:szCs w:val="22"/>
        </w:rPr>
      </w:pPr>
      <w:r w:rsidRPr="00D1261A">
        <w:rPr>
          <w:sz w:val="22"/>
          <w:szCs w:val="22"/>
        </w:rPr>
        <w:t xml:space="preserve">World Health Organization (WHO) (2023) </w:t>
      </w:r>
      <w:r w:rsidRPr="00D1261A">
        <w:rPr>
          <w:i/>
          <w:iCs/>
          <w:sz w:val="22"/>
          <w:szCs w:val="22"/>
        </w:rPr>
        <w:t>Universal health coverage (UHC)</w:t>
      </w:r>
      <w:r w:rsidRPr="00D1261A">
        <w:rPr>
          <w:sz w:val="22"/>
          <w:szCs w:val="22"/>
        </w:rPr>
        <w:t>. Available at: https://www.who.int/news-room/fact-sheets/detail/universal-health-coverage-(uhc) (Accessed: 22 February 2026).</w:t>
      </w:r>
    </w:p>
    <w:p w14:paraId="4883EE6D" w14:textId="77777777" w:rsidR="00D1261A" w:rsidRPr="004E7A1B" w:rsidRDefault="00D1261A" w:rsidP="00D1261A">
      <w:pPr>
        <w:rPr>
          <w:sz w:val="22"/>
          <w:szCs w:val="22"/>
        </w:rPr>
      </w:pPr>
    </w:p>
    <w:sectPr w:rsidR="00D1261A" w:rsidRPr="004E7A1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3302F" w14:textId="77777777" w:rsidR="00CD2298" w:rsidRDefault="00CD2298" w:rsidP="004E7A1B">
      <w:pPr>
        <w:spacing w:after="0" w:line="240" w:lineRule="auto"/>
      </w:pPr>
      <w:r>
        <w:separator/>
      </w:r>
    </w:p>
  </w:endnote>
  <w:endnote w:type="continuationSeparator" w:id="0">
    <w:p w14:paraId="5B6716F5" w14:textId="77777777" w:rsidR="00CD2298" w:rsidRDefault="00CD2298" w:rsidP="004E7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626364"/>
      <w:docPartObj>
        <w:docPartGallery w:val="Page Numbers (Bottom of Page)"/>
        <w:docPartUnique/>
      </w:docPartObj>
    </w:sdtPr>
    <w:sdtEndPr>
      <w:rPr>
        <w:noProof/>
      </w:rPr>
    </w:sdtEndPr>
    <w:sdtContent>
      <w:p w14:paraId="37F7D5BB" w14:textId="5EAFC0B4" w:rsidR="004E7A1B" w:rsidRDefault="004E7A1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876B6E8" w14:textId="77777777" w:rsidR="004E7A1B" w:rsidRDefault="004E7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FDAB3" w14:textId="77777777" w:rsidR="00CD2298" w:rsidRDefault="00CD2298" w:rsidP="004E7A1B">
      <w:pPr>
        <w:spacing w:after="0" w:line="240" w:lineRule="auto"/>
      </w:pPr>
      <w:r>
        <w:separator/>
      </w:r>
    </w:p>
  </w:footnote>
  <w:footnote w:type="continuationSeparator" w:id="0">
    <w:p w14:paraId="7E49A16B" w14:textId="77777777" w:rsidR="00CD2298" w:rsidRDefault="00CD2298" w:rsidP="004E7A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B7"/>
    <w:rsid w:val="00154DBF"/>
    <w:rsid w:val="004E7A1B"/>
    <w:rsid w:val="005E48B7"/>
    <w:rsid w:val="00843E7D"/>
    <w:rsid w:val="00A47E66"/>
    <w:rsid w:val="00B54B0D"/>
    <w:rsid w:val="00CD2298"/>
    <w:rsid w:val="00D1261A"/>
    <w:rsid w:val="00F83E52"/>
    <w:rsid w:val="00FA4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3A6D4"/>
  <w15:chartTrackingRefBased/>
  <w15:docId w15:val="{E0863538-2C40-4042-B386-27E4DC60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8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48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48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8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8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8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48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48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8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8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8B7"/>
    <w:rPr>
      <w:rFonts w:eastAsiaTheme="majorEastAsia" w:cstheme="majorBidi"/>
      <w:color w:val="272727" w:themeColor="text1" w:themeTint="D8"/>
    </w:rPr>
  </w:style>
  <w:style w:type="paragraph" w:styleId="Title">
    <w:name w:val="Title"/>
    <w:basedOn w:val="Normal"/>
    <w:next w:val="Normal"/>
    <w:link w:val="TitleChar"/>
    <w:uiPriority w:val="10"/>
    <w:qFormat/>
    <w:rsid w:val="005E48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8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8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8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8B7"/>
    <w:pPr>
      <w:spacing w:before="160"/>
      <w:jc w:val="center"/>
    </w:pPr>
    <w:rPr>
      <w:i/>
      <w:iCs/>
      <w:color w:val="404040" w:themeColor="text1" w:themeTint="BF"/>
    </w:rPr>
  </w:style>
  <w:style w:type="character" w:customStyle="1" w:styleId="QuoteChar">
    <w:name w:val="Quote Char"/>
    <w:basedOn w:val="DefaultParagraphFont"/>
    <w:link w:val="Quote"/>
    <w:uiPriority w:val="29"/>
    <w:rsid w:val="005E48B7"/>
    <w:rPr>
      <w:i/>
      <w:iCs/>
      <w:color w:val="404040" w:themeColor="text1" w:themeTint="BF"/>
    </w:rPr>
  </w:style>
  <w:style w:type="paragraph" w:styleId="ListParagraph">
    <w:name w:val="List Paragraph"/>
    <w:basedOn w:val="Normal"/>
    <w:uiPriority w:val="34"/>
    <w:qFormat/>
    <w:rsid w:val="005E48B7"/>
    <w:pPr>
      <w:ind w:left="720"/>
      <w:contextualSpacing/>
    </w:pPr>
  </w:style>
  <w:style w:type="character" w:styleId="IntenseEmphasis">
    <w:name w:val="Intense Emphasis"/>
    <w:basedOn w:val="DefaultParagraphFont"/>
    <w:uiPriority w:val="21"/>
    <w:qFormat/>
    <w:rsid w:val="005E48B7"/>
    <w:rPr>
      <w:i/>
      <w:iCs/>
      <w:color w:val="0F4761" w:themeColor="accent1" w:themeShade="BF"/>
    </w:rPr>
  </w:style>
  <w:style w:type="paragraph" w:styleId="IntenseQuote">
    <w:name w:val="Intense Quote"/>
    <w:basedOn w:val="Normal"/>
    <w:next w:val="Normal"/>
    <w:link w:val="IntenseQuoteChar"/>
    <w:uiPriority w:val="30"/>
    <w:qFormat/>
    <w:rsid w:val="005E48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8B7"/>
    <w:rPr>
      <w:i/>
      <w:iCs/>
      <w:color w:val="0F4761" w:themeColor="accent1" w:themeShade="BF"/>
    </w:rPr>
  </w:style>
  <w:style w:type="character" w:styleId="IntenseReference">
    <w:name w:val="Intense Reference"/>
    <w:basedOn w:val="DefaultParagraphFont"/>
    <w:uiPriority w:val="32"/>
    <w:qFormat/>
    <w:rsid w:val="005E48B7"/>
    <w:rPr>
      <w:b/>
      <w:bCs/>
      <w:smallCaps/>
      <w:color w:val="0F4761" w:themeColor="accent1" w:themeShade="BF"/>
      <w:spacing w:val="5"/>
    </w:rPr>
  </w:style>
  <w:style w:type="character" w:styleId="Hyperlink">
    <w:name w:val="Hyperlink"/>
    <w:basedOn w:val="DefaultParagraphFont"/>
    <w:uiPriority w:val="99"/>
    <w:unhideWhenUsed/>
    <w:rsid w:val="00D1261A"/>
    <w:rPr>
      <w:color w:val="467886" w:themeColor="hyperlink"/>
      <w:u w:val="single"/>
    </w:rPr>
  </w:style>
  <w:style w:type="character" w:styleId="UnresolvedMention">
    <w:name w:val="Unresolved Mention"/>
    <w:basedOn w:val="DefaultParagraphFont"/>
    <w:uiPriority w:val="99"/>
    <w:semiHidden/>
    <w:unhideWhenUsed/>
    <w:rsid w:val="00D1261A"/>
    <w:rPr>
      <w:color w:val="605E5C"/>
      <w:shd w:val="clear" w:color="auto" w:fill="E1DFDD"/>
    </w:rPr>
  </w:style>
  <w:style w:type="paragraph" w:styleId="TOCHeading">
    <w:name w:val="TOC Heading"/>
    <w:basedOn w:val="Heading1"/>
    <w:next w:val="Normal"/>
    <w:uiPriority w:val="39"/>
    <w:unhideWhenUsed/>
    <w:qFormat/>
    <w:rsid w:val="004E7A1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E7A1B"/>
    <w:pPr>
      <w:spacing w:after="100"/>
    </w:pPr>
  </w:style>
  <w:style w:type="paragraph" w:styleId="TOC2">
    <w:name w:val="toc 2"/>
    <w:basedOn w:val="Normal"/>
    <w:next w:val="Normal"/>
    <w:autoRedefine/>
    <w:uiPriority w:val="39"/>
    <w:unhideWhenUsed/>
    <w:rsid w:val="004E7A1B"/>
    <w:pPr>
      <w:spacing w:after="100"/>
      <w:ind w:left="240"/>
    </w:pPr>
  </w:style>
  <w:style w:type="paragraph" w:styleId="TOC3">
    <w:name w:val="toc 3"/>
    <w:basedOn w:val="Normal"/>
    <w:next w:val="Normal"/>
    <w:autoRedefine/>
    <w:uiPriority w:val="39"/>
    <w:unhideWhenUsed/>
    <w:rsid w:val="004E7A1B"/>
    <w:pPr>
      <w:spacing w:after="100"/>
      <w:ind w:left="480"/>
    </w:pPr>
  </w:style>
  <w:style w:type="paragraph" w:styleId="Header">
    <w:name w:val="header"/>
    <w:basedOn w:val="Normal"/>
    <w:link w:val="HeaderChar"/>
    <w:uiPriority w:val="99"/>
    <w:unhideWhenUsed/>
    <w:rsid w:val="004E7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A1B"/>
  </w:style>
  <w:style w:type="paragraph" w:styleId="Footer">
    <w:name w:val="footer"/>
    <w:basedOn w:val="Normal"/>
    <w:link w:val="FooterChar"/>
    <w:uiPriority w:val="99"/>
    <w:unhideWhenUsed/>
    <w:rsid w:val="004E7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13" Type="http://schemas.openxmlformats.org/officeDocument/2006/relationships/hyperlink" Target="https://www.oecd.org/health/health-at-a-glance/" TargetMode="External"/><Relationship Id="rId18" Type="http://schemas.openxmlformats.org/officeDocument/2006/relationships/hyperlink" Target="https://unstats.un.org/sdgs/report/2023/"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who.int/initiatives/sdg3-global-action-plan" TargetMode="External"/><Relationship Id="rId7" Type="http://schemas.openxmlformats.org/officeDocument/2006/relationships/hyperlink" Target="https://www.theccc.org.uk/publication/2023-progress-report-to-parliament/" TargetMode="External"/><Relationship Id="rId12" Type="http://schemas.openxmlformats.org/officeDocument/2006/relationships/hyperlink" Target="https://www.health.org.uk/publications/reports/the-marmot-review-10-years-on" TargetMode="External"/><Relationship Id="rId17" Type="http://schemas.openxmlformats.org/officeDocument/2006/relationships/hyperlink" Target="https://sdgs.un.org/2030agenda"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lation.gov.uk/uksi/2019/1056/contents/made" TargetMode="External"/><Relationship Id="rId20" Type="http://schemas.openxmlformats.org/officeDocument/2006/relationships/hyperlink" Target="https://databank.worldbank.org/source/world-development-indicators" TargetMode="External"/><Relationship Id="rId1" Type="http://schemas.openxmlformats.org/officeDocument/2006/relationships/styles" Target="styles.xml"/><Relationship Id="rId6" Type="http://schemas.openxmlformats.org/officeDocument/2006/relationships/hyperlink" Target="https://books.google.com/books?id=HJhqAAAAMAAJ" TargetMode="External"/><Relationship Id="rId11" Type="http://schemas.openxmlformats.org/officeDocument/2006/relationships/hyperlink" Target="https://www.ipcc.ch/report/ar6/syr/"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lancetcountdown.org/2023-report/" TargetMode="External"/><Relationship Id="rId23" Type="http://schemas.openxmlformats.org/officeDocument/2006/relationships/hyperlink" Target="https://www.who.int/news-room/fact-sheets/detail/climate-change-and-health" TargetMode="External"/><Relationship Id="rId10" Type="http://schemas.openxmlformats.org/officeDocument/2006/relationships/hyperlink" Target="https://www.theglobalfund.org/en/results/" TargetMode="External"/><Relationship Id="rId19" Type="http://schemas.openxmlformats.org/officeDocument/2006/relationships/hyperlink" Target="https://hdr.undp.org/content/human-development-report-2021-22" TargetMode="External"/><Relationship Id="rId4" Type="http://schemas.openxmlformats.org/officeDocument/2006/relationships/footnotes" Target="footnotes.xml"/><Relationship Id="rId9" Type="http://schemas.openxmlformats.org/officeDocument/2006/relationships/hyperlink" Target="https://www.gavi.org/programmes-impact/our-impact" TargetMode="External"/><Relationship Id="rId14" Type="http://schemas.openxmlformats.org/officeDocument/2006/relationships/hyperlink" Target="https://www.ons.gov.uk/peoplepopulationandcommunity/healthandsocialcare/healthandlifeexpectancies" TargetMode="External"/><Relationship Id="rId22" Type="http://schemas.openxmlformats.org/officeDocument/2006/relationships/hyperlink" Target="https://www.who.int/publications/i/item/97892400367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3468</Words>
  <Characters>19769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(Y12) Zain Adam</dc:creator>
  <cp:keywords/>
  <dc:description/>
  <cp:lastModifiedBy>(Y12) Zain Adam</cp:lastModifiedBy>
  <cp:revision>3</cp:revision>
  <dcterms:created xsi:type="dcterms:W3CDTF">2026-03-21T23:31:00Z</dcterms:created>
  <dcterms:modified xsi:type="dcterms:W3CDTF">2026-03-22T00:07:00Z</dcterms:modified>
</cp:coreProperties>
</file>