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3A35A" w14:textId="77777777" w:rsidR="00F22EEE" w:rsidRPr="00884C34" w:rsidRDefault="00F22EEE" w:rsidP="00F22EEE">
      <w:pPr>
        <w:pStyle w:val="2"/>
        <w:jc w:val="center"/>
        <w:rPr>
          <w:rFonts w:eastAsiaTheme="minorHAnsi"/>
          <w:color w:val="auto"/>
          <w:sz w:val="32"/>
          <w:szCs w:val="32"/>
          <w:lang w:val="en-US"/>
        </w:rPr>
      </w:pPr>
      <w:bookmarkStart w:id="0" w:name="_Toc131438789"/>
      <w:r w:rsidRPr="00884C34">
        <w:rPr>
          <w:rFonts w:eastAsiaTheme="minorHAnsi"/>
          <w:color w:val="auto"/>
          <w:sz w:val="32"/>
          <w:szCs w:val="32"/>
        </w:rPr>
        <w:t>University of Wales Trinity St David</w:t>
      </w:r>
      <w:bookmarkEnd w:id="0"/>
    </w:p>
    <w:p w14:paraId="1E7E6334" w14:textId="77777777" w:rsidR="00F22EEE" w:rsidRDefault="00F22EEE" w:rsidP="00F22EEE">
      <w:pPr>
        <w:jc w:val="center"/>
        <w:rPr>
          <w:rFonts w:ascii="Times New Roman" w:hAnsi="Times New Roman" w:cs="Times New Roman"/>
          <w:b/>
          <w:sz w:val="24"/>
          <w:szCs w:val="24"/>
        </w:rPr>
      </w:pPr>
      <w:r>
        <w:rPr>
          <w:b/>
          <w:noProof/>
        </w:rPr>
        <w:drawing>
          <wp:inline distT="0" distB="0" distL="0" distR="0" wp14:anchorId="7DE70543" wp14:editId="22C1CD28">
            <wp:extent cx="1743075" cy="1714500"/>
            <wp:effectExtent l="0" t="0" r="0" b="0"/>
            <wp:docPr id="1611719216"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1714500"/>
                    </a:xfrm>
                    <a:prstGeom prst="rect">
                      <a:avLst/>
                    </a:prstGeom>
                    <a:noFill/>
                    <a:ln>
                      <a:noFill/>
                    </a:ln>
                  </pic:spPr>
                </pic:pic>
              </a:graphicData>
            </a:graphic>
          </wp:inline>
        </w:drawing>
      </w:r>
    </w:p>
    <w:p w14:paraId="71B07B82" w14:textId="77777777" w:rsidR="00F22EEE" w:rsidRDefault="00F22EEE" w:rsidP="00F22EEE">
      <w:pPr>
        <w:jc w:val="center"/>
        <w:rPr>
          <w:rFonts w:ascii="Times New Roman" w:hAnsi="Times New Roman" w:cs="Times New Roman"/>
          <w:b/>
          <w:sz w:val="24"/>
          <w:szCs w:val="24"/>
        </w:rPr>
      </w:pPr>
    </w:p>
    <w:p w14:paraId="1A7F1E38" w14:textId="77777777" w:rsidR="00F22EEE" w:rsidRDefault="00F22EEE" w:rsidP="00F22EEE">
      <w:pPr>
        <w:jc w:val="center"/>
        <w:rPr>
          <w:rFonts w:ascii="Times New Roman" w:hAnsi="Times New Roman" w:cs="Times New Roman"/>
          <w:b/>
          <w:sz w:val="32"/>
          <w:szCs w:val="32"/>
        </w:rPr>
      </w:pPr>
      <w:r>
        <w:rPr>
          <w:rFonts w:ascii="Times New Roman" w:hAnsi="Times New Roman" w:cs="Times New Roman"/>
          <w:b/>
          <w:sz w:val="32"/>
          <w:szCs w:val="32"/>
        </w:rPr>
        <w:t>Assignment 2</w:t>
      </w:r>
    </w:p>
    <w:p w14:paraId="19B704B7" w14:textId="77777777" w:rsidR="00F22EEE" w:rsidRDefault="00F22EEE" w:rsidP="00F22EEE">
      <w:pPr>
        <w:jc w:val="center"/>
        <w:rPr>
          <w:rFonts w:ascii="Times New Roman" w:hAnsi="Times New Roman" w:cs="Times New Roman"/>
          <w:b/>
          <w:sz w:val="32"/>
          <w:szCs w:val="32"/>
        </w:rPr>
      </w:pPr>
      <w:r>
        <w:rPr>
          <w:rFonts w:ascii="Times New Roman" w:hAnsi="Times New Roman" w:cs="Times New Roman"/>
          <w:b/>
          <w:sz w:val="32"/>
          <w:szCs w:val="32"/>
        </w:rPr>
        <w:t>Name: Petar Mitev (2122707)</w:t>
      </w:r>
    </w:p>
    <w:p w14:paraId="1D3CA711" w14:textId="77777777" w:rsidR="00F22EEE" w:rsidRPr="00884C34" w:rsidRDefault="00F22EEE" w:rsidP="00F22EEE">
      <w:pPr>
        <w:jc w:val="center"/>
        <w:rPr>
          <w:rFonts w:ascii="Times New Roman" w:hAnsi="Times New Roman" w:cs="Times New Roman"/>
          <w:b/>
          <w:sz w:val="32"/>
          <w:szCs w:val="32"/>
        </w:rPr>
      </w:pPr>
      <w:r w:rsidRPr="00884C34">
        <w:rPr>
          <w:rFonts w:ascii="Times New Roman" w:hAnsi="Times New Roman" w:cs="Times New Roman"/>
          <w:b/>
          <w:sz w:val="32"/>
          <w:szCs w:val="32"/>
        </w:rPr>
        <w:t xml:space="preserve">Module: </w:t>
      </w:r>
      <w:r w:rsidRPr="00884C34">
        <w:rPr>
          <w:rFonts w:ascii="Times New Roman" w:hAnsi="Times New Roman" w:cs="Times New Roman"/>
          <w:b/>
          <w:bCs/>
          <w:sz w:val="32"/>
          <w:szCs w:val="32"/>
        </w:rPr>
        <w:t>Project Manageme</w:t>
      </w:r>
      <w:r>
        <w:rPr>
          <w:rFonts w:ascii="Times New Roman" w:hAnsi="Times New Roman" w:cs="Times New Roman"/>
          <w:b/>
          <w:bCs/>
          <w:sz w:val="32"/>
          <w:szCs w:val="32"/>
        </w:rPr>
        <w:t>nt</w:t>
      </w:r>
    </w:p>
    <w:p w14:paraId="3AE1EEB3" w14:textId="77777777" w:rsidR="00F22EEE" w:rsidRPr="00884C34" w:rsidRDefault="00F22EEE" w:rsidP="00F22EEE">
      <w:pPr>
        <w:jc w:val="center"/>
        <w:rPr>
          <w:rFonts w:ascii="Times New Roman" w:hAnsi="Times New Roman" w:cs="Times New Roman"/>
          <w:b/>
          <w:sz w:val="32"/>
          <w:szCs w:val="32"/>
        </w:rPr>
      </w:pPr>
      <w:r w:rsidRPr="00884C34">
        <w:rPr>
          <w:rFonts w:ascii="Times New Roman" w:hAnsi="Times New Roman" w:cs="Times New Roman"/>
          <w:b/>
          <w:sz w:val="32"/>
          <w:szCs w:val="32"/>
        </w:rPr>
        <w:t>Lecturer:</w:t>
      </w:r>
      <w:r w:rsidRPr="00884C34">
        <w:rPr>
          <w:rFonts w:ascii="Times New Roman" w:eastAsiaTheme="minorEastAsia" w:hAnsi="Times New Roman" w:cs="Times New Roman"/>
          <w:color w:val="000000" w:themeColor="text1"/>
          <w:kern w:val="24"/>
          <w:sz w:val="44"/>
          <w:szCs w:val="44"/>
          <w:lang w:eastAsia="bg-BG"/>
        </w:rPr>
        <w:t xml:space="preserve"> </w:t>
      </w:r>
      <w:r w:rsidRPr="00884C34">
        <w:rPr>
          <w:rFonts w:ascii="Times New Roman" w:hAnsi="Times New Roman" w:cs="Times New Roman"/>
          <w:b/>
          <w:bCs/>
          <w:sz w:val="32"/>
          <w:szCs w:val="32"/>
        </w:rPr>
        <w:t>Md Sadeque Imam Shaikh</w:t>
      </w:r>
    </w:p>
    <w:p w14:paraId="088F135C" w14:textId="77777777" w:rsidR="00F22EEE" w:rsidRDefault="00F22EEE" w:rsidP="00F22EEE">
      <w:pPr>
        <w:jc w:val="center"/>
        <w:rPr>
          <w:b/>
          <w:sz w:val="32"/>
          <w:szCs w:val="32"/>
          <w:lang w:val="bg-BG"/>
        </w:rPr>
      </w:pPr>
    </w:p>
    <w:p w14:paraId="73E66B16" w14:textId="77777777" w:rsidR="00F22EEE" w:rsidRDefault="00F22EEE" w:rsidP="00F22EEE">
      <w:pPr>
        <w:jc w:val="center"/>
        <w:rPr>
          <w:rFonts w:ascii="Times New Roman" w:hAnsi="Times New Roman" w:cs="Times New Roman"/>
          <w:b/>
          <w:sz w:val="32"/>
          <w:szCs w:val="32"/>
          <w:lang w:val="en-US"/>
        </w:rPr>
      </w:pPr>
    </w:p>
    <w:p w14:paraId="69A733CF" w14:textId="77777777" w:rsidR="00F22EEE" w:rsidRDefault="00F22EEE" w:rsidP="00F22EEE">
      <w:pPr>
        <w:jc w:val="center"/>
        <w:rPr>
          <w:rFonts w:ascii="Times New Roman" w:hAnsi="Times New Roman" w:cs="Times New Roman"/>
          <w:b/>
          <w:sz w:val="32"/>
          <w:szCs w:val="32"/>
        </w:rPr>
      </w:pPr>
    </w:p>
    <w:p w14:paraId="4E7B801D" w14:textId="77777777" w:rsidR="00F22EEE" w:rsidRDefault="00F22EEE" w:rsidP="00F22EEE">
      <w:pPr>
        <w:jc w:val="center"/>
        <w:rPr>
          <w:rFonts w:ascii="Times New Roman" w:hAnsi="Times New Roman" w:cs="Times New Roman"/>
          <w:b/>
          <w:sz w:val="24"/>
          <w:szCs w:val="24"/>
        </w:rPr>
      </w:pPr>
    </w:p>
    <w:p w14:paraId="72EEB24C" w14:textId="77777777" w:rsidR="00F22EEE" w:rsidRDefault="00F22EEE" w:rsidP="00F22EEE">
      <w:pPr>
        <w:jc w:val="center"/>
        <w:rPr>
          <w:rFonts w:ascii="Times New Roman" w:hAnsi="Times New Roman" w:cs="Times New Roman"/>
          <w:b/>
          <w:sz w:val="24"/>
          <w:szCs w:val="24"/>
        </w:rPr>
      </w:pPr>
    </w:p>
    <w:p w14:paraId="4A3AFEAD" w14:textId="77777777" w:rsidR="00F22EEE" w:rsidRDefault="00F22EEE" w:rsidP="00F22EEE">
      <w:pPr>
        <w:jc w:val="center"/>
        <w:rPr>
          <w:rFonts w:ascii="Times New Roman" w:hAnsi="Times New Roman" w:cs="Times New Roman"/>
          <w:b/>
          <w:sz w:val="24"/>
          <w:szCs w:val="24"/>
        </w:rPr>
      </w:pPr>
    </w:p>
    <w:p w14:paraId="5449106F" w14:textId="77777777" w:rsidR="00F22EEE" w:rsidRDefault="00F22EEE" w:rsidP="00F22EEE">
      <w:pPr>
        <w:jc w:val="center"/>
        <w:rPr>
          <w:rFonts w:ascii="Times New Roman" w:hAnsi="Times New Roman" w:cs="Times New Roman"/>
          <w:b/>
          <w:sz w:val="24"/>
          <w:szCs w:val="24"/>
        </w:rPr>
      </w:pPr>
    </w:p>
    <w:p w14:paraId="12084725" w14:textId="77777777" w:rsidR="00F22EEE" w:rsidRDefault="00F22EEE" w:rsidP="00F22EEE">
      <w:pPr>
        <w:jc w:val="center"/>
        <w:rPr>
          <w:rFonts w:ascii="Times New Roman" w:hAnsi="Times New Roman" w:cs="Times New Roman"/>
          <w:b/>
          <w:sz w:val="24"/>
          <w:szCs w:val="24"/>
        </w:rPr>
      </w:pPr>
    </w:p>
    <w:p w14:paraId="629E2198" w14:textId="77777777" w:rsidR="00F22EEE" w:rsidRDefault="00F22EEE" w:rsidP="00F22EEE">
      <w:pPr>
        <w:rPr>
          <w:rFonts w:ascii="Times New Roman" w:hAnsi="Times New Roman" w:cs="Times New Roman"/>
          <w:b/>
          <w:sz w:val="24"/>
          <w:szCs w:val="24"/>
        </w:rPr>
      </w:pPr>
    </w:p>
    <w:p w14:paraId="74464CD2" w14:textId="787992AB" w:rsidR="00B4749F" w:rsidRDefault="00B4749F" w:rsidP="00F22EEE">
      <w:pPr>
        <w:spacing w:line="360" w:lineRule="auto"/>
        <w:rPr>
          <w:rFonts w:ascii="Times New Roman" w:hAnsi="Times New Roman" w:cs="Times New Roman"/>
          <w:b/>
          <w:i/>
          <w:color w:val="000000" w:themeColor="text1"/>
          <w:sz w:val="36"/>
          <w:szCs w:val="24"/>
        </w:rPr>
      </w:pPr>
    </w:p>
    <w:p w14:paraId="6AFCA96C" w14:textId="77777777" w:rsidR="00F22EEE" w:rsidRDefault="00F22EEE" w:rsidP="00F22EEE">
      <w:pPr>
        <w:spacing w:line="360" w:lineRule="auto"/>
        <w:rPr>
          <w:rFonts w:ascii="Times New Roman" w:hAnsi="Times New Roman" w:cs="Times New Roman"/>
          <w:b/>
          <w:bCs/>
          <w:i/>
          <w:iCs/>
          <w:sz w:val="36"/>
          <w:szCs w:val="36"/>
        </w:rPr>
      </w:pPr>
    </w:p>
    <w:p w14:paraId="70C847ED" w14:textId="77777777" w:rsidR="00B4749F" w:rsidRDefault="00B4749F" w:rsidP="00B4749F">
      <w:pPr>
        <w:spacing w:line="360" w:lineRule="auto"/>
        <w:rPr>
          <w:rFonts w:ascii="Times New Roman" w:hAnsi="Times New Roman" w:cs="Times New Roman"/>
          <w:b/>
          <w:bCs/>
          <w:i/>
          <w:iCs/>
          <w:sz w:val="36"/>
          <w:szCs w:val="36"/>
        </w:rPr>
      </w:pPr>
    </w:p>
    <w:p w14:paraId="0B6A3024" w14:textId="21AEBC55" w:rsidR="00BA0F39" w:rsidRPr="00794C8E" w:rsidRDefault="00BA0F39" w:rsidP="00B4749F">
      <w:pPr>
        <w:spacing w:line="360" w:lineRule="auto"/>
        <w:jc w:val="center"/>
        <w:rPr>
          <w:rFonts w:ascii="Times New Roman" w:hAnsi="Times New Roman" w:cs="Times New Roman"/>
          <w:b/>
          <w:bCs/>
          <w:i/>
          <w:iCs/>
          <w:sz w:val="36"/>
          <w:szCs w:val="36"/>
        </w:rPr>
      </w:pPr>
      <w:r w:rsidRPr="00794C8E">
        <w:rPr>
          <w:rFonts w:ascii="Times New Roman" w:hAnsi="Times New Roman" w:cs="Times New Roman"/>
          <w:b/>
          <w:bCs/>
          <w:i/>
          <w:iCs/>
          <w:sz w:val="36"/>
          <w:szCs w:val="36"/>
        </w:rPr>
        <w:lastRenderedPageBreak/>
        <w:t xml:space="preserve"> Essay</w:t>
      </w:r>
    </w:p>
    <w:p w14:paraId="58612898" w14:textId="77777777" w:rsidR="005D0709"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604966975"/>
        <w:docPartObj>
          <w:docPartGallery w:val="Table of Contents"/>
          <w:docPartUnique/>
        </w:docPartObj>
      </w:sdtPr>
      <w:sdtEndPr>
        <w:rPr>
          <w:b/>
          <w:bCs/>
          <w:noProof/>
        </w:rPr>
      </w:sdtEndPr>
      <w:sdtContent>
        <w:p w14:paraId="05E283A4" w14:textId="601DB013" w:rsidR="005D0709" w:rsidRPr="00F22EEE" w:rsidRDefault="005D0709" w:rsidP="005D0709">
          <w:pPr>
            <w:pStyle w:val="a8"/>
            <w:spacing w:line="360" w:lineRule="auto"/>
            <w:jc w:val="both"/>
            <w:rPr>
              <w:rFonts w:ascii="Times New Roman" w:hAnsi="Times New Roman" w:cs="Times New Roman"/>
              <w:b/>
              <w:bCs/>
              <w:color w:val="auto"/>
              <w:sz w:val="24"/>
              <w:szCs w:val="24"/>
            </w:rPr>
          </w:pPr>
          <w:r w:rsidRPr="00F22EEE">
            <w:rPr>
              <w:rFonts w:ascii="Times New Roman" w:hAnsi="Times New Roman" w:cs="Times New Roman"/>
              <w:b/>
              <w:bCs/>
              <w:color w:val="auto"/>
              <w:sz w:val="24"/>
              <w:szCs w:val="24"/>
            </w:rPr>
            <w:t>Table of Contents</w:t>
          </w:r>
        </w:p>
        <w:p w14:paraId="6377CEAB" w14:textId="651208B2" w:rsidR="005D0709" w:rsidRPr="005D0709" w:rsidRDefault="005D0709" w:rsidP="005D0709">
          <w:pPr>
            <w:pStyle w:val="11"/>
            <w:tabs>
              <w:tab w:val="right" w:leader="dot" w:pos="9350"/>
            </w:tabs>
            <w:spacing w:line="360" w:lineRule="auto"/>
            <w:jc w:val="both"/>
            <w:rPr>
              <w:rFonts w:ascii="Times New Roman" w:hAnsi="Times New Roman" w:cs="Times New Roman"/>
              <w:noProof/>
              <w:sz w:val="24"/>
              <w:szCs w:val="24"/>
            </w:rPr>
          </w:pPr>
          <w:r w:rsidRPr="005D0709">
            <w:rPr>
              <w:rFonts w:ascii="Times New Roman" w:hAnsi="Times New Roman" w:cs="Times New Roman"/>
              <w:sz w:val="24"/>
              <w:szCs w:val="24"/>
            </w:rPr>
            <w:fldChar w:fldCharType="begin"/>
          </w:r>
          <w:r w:rsidRPr="005D0709">
            <w:rPr>
              <w:rFonts w:ascii="Times New Roman" w:hAnsi="Times New Roman" w:cs="Times New Roman"/>
              <w:sz w:val="24"/>
              <w:szCs w:val="24"/>
            </w:rPr>
            <w:instrText xml:space="preserve"> TOC \o "1-3" \h \z \u </w:instrText>
          </w:r>
          <w:r w:rsidRPr="005D0709">
            <w:rPr>
              <w:rFonts w:ascii="Times New Roman" w:hAnsi="Times New Roman" w:cs="Times New Roman"/>
              <w:sz w:val="24"/>
              <w:szCs w:val="24"/>
            </w:rPr>
            <w:fldChar w:fldCharType="separate"/>
          </w:r>
          <w:hyperlink w:anchor="_Toc151387936" w:history="1">
            <w:r w:rsidRPr="005D0709">
              <w:rPr>
                <w:rStyle w:val="a9"/>
                <w:rFonts w:ascii="Times New Roman" w:hAnsi="Times New Roman" w:cs="Times New Roman"/>
                <w:noProof/>
                <w:color w:val="auto"/>
                <w:sz w:val="24"/>
                <w:szCs w:val="24"/>
              </w:rPr>
              <w:t>Introduction</w:t>
            </w:r>
            <w:r w:rsidRPr="005D0709">
              <w:rPr>
                <w:rFonts w:ascii="Times New Roman" w:hAnsi="Times New Roman" w:cs="Times New Roman"/>
                <w:noProof/>
                <w:webHidden/>
                <w:sz w:val="24"/>
                <w:szCs w:val="24"/>
              </w:rPr>
              <w:tab/>
            </w:r>
            <w:r w:rsidRPr="005D0709">
              <w:rPr>
                <w:rFonts w:ascii="Times New Roman" w:hAnsi="Times New Roman" w:cs="Times New Roman"/>
                <w:noProof/>
                <w:webHidden/>
                <w:sz w:val="24"/>
                <w:szCs w:val="24"/>
              </w:rPr>
              <w:fldChar w:fldCharType="begin"/>
            </w:r>
            <w:r w:rsidRPr="005D0709">
              <w:rPr>
                <w:rFonts w:ascii="Times New Roman" w:hAnsi="Times New Roman" w:cs="Times New Roman"/>
                <w:noProof/>
                <w:webHidden/>
                <w:sz w:val="24"/>
                <w:szCs w:val="24"/>
              </w:rPr>
              <w:instrText xml:space="preserve"> PAGEREF _Toc151387936 \h </w:instrText>
            </w:r>
            <w:r w:rsidRPr="005D0709">
              <w:rPr>
                <w:rFonts w:ascii="Times New Roman" w:hAnsi="Times New Roman" w:cs="Times New Roman"/>
                <w:noProof/>
                <w:webHidden/>
                <w:sz w:val="24"/>
                <w:szCs w:val="24"/>
              </w:rPr>
            </w:r>
            <w:r w:rsidRPr="005D0709">
              <w:rPr>
                <w:rFonts w:ascii="Times New Roman" w:hAnsi="Times New Roman" w:cs="Times New Roman"/>
                <w:noProof/>
                <w:webHidden/>
                <w:sz w:val="24"/>
                <w:szCs w:val="24"/>
              </w:rPr>
              <w:fldChar w:fldCharType="separate"/>
            </w:r>
            <w:r w:rsidRPr="005D0709">
              <w:rPr>
                <w:rFonts w:ascii="Times New Roman" w:hAnsi="Times New Roman" w:cs="Times New Roman"/>
                <w:noProof/>
                <w:webHidden/>
                <w:sz w:val="24"/>
                <w:szCs w:val="24"/>
              </w:rPr>
              <w:t>2</w:t>
            </w:r>
            <w:r w:rsidRPr="005D0709">
              <w:rPr>
                <w:rFonts w:ascii="Times New Roman" w:hAnsi="Times New Roman" w:cs="Times New Roman"/>
                <w:noProof/>
                <w:webHidden/>
                <w:sz w:val="24"/>
                <w:szCs w:val="24"/>
              </w:rPr>
              <w:fldChar w:fldCharType="end"/>
            </w:r>
          </w:hyperlink>
        </w:p>
        <w:p w14:paraId="06405835" w14:textId="4B2AD9F1" w:rsidR="005D0709" w:rsidRPr="005D0709" w:rsidRDefault="00000000" w:rsidP="005D0709">
          <w:pPr>
            <w:pStyle w:val="11"/>
            <w:tabs>
              <w:tab w:val="right" w:leader="dot" w:pos="9350"/>
            </w:tabs>
            <w:spacing w:line="360" w:lineRule="auto"/>
            <w:jc w:val="both"/>
            <w:rPr>
              <w:rFonts w:ascii="Times New Roman" w:hAnsi="Times New Roman" w:cs="Times New Roman"/>
              <w:noProof/>
              <w:sz w:val="24"/>
              <w:szCs w:val="24"/>
            </w:rPr>
          </w:pPr>
          <w:hyperlink w:anchor="_Toc151387937" w:history="1">
            <w:r w:rsidR="005D0709" w:rsidRPr="005D0709">
              <w:rPr>
                <w:rStyle w:val="a9"/>
                <w:rFonts w:ascii="Times New Roman" w:hAnsi="Times New Roman" w:cs="Times New Roman"/>
                <w:noProof/>
                <w:color w:val="auto"/>
                <w:sz w:val="24"/>
                <w:szCs w:val="24"/>
              </w:rPr>
              <w:t>The Body</w:t>
            </w:r>
            <w:r w:rsidR="005D0709" w:rsidRPr="005D0709">
              <w:rPr>
                <w:rFonts w:ascii="Times New Roman" w:hAnsi="Times New Roman" w:cs="Times New Roman"/>
                <w:noProof/>
                <w:webHidden/>
                <w:sz w:val="24"/>
                <w:szCs w:val="24"/>
              </w:rPr>
              <w:tab/>
            </w:r>
            <w:r w:rsidR="005D0709" w:rsidRPr="005D0709">
              <w:rPr>
                <w:rFonts w:ascii="Times New Roman" w:hAnsi="Times New Roman" w:cs="Times New Roman"/>
                <w:noProof/>
                <w:webHidden/>
                <w:sz w:val="24"/>
                <w:szCs w:val="24"/>
              </w:rPr>
              <w:fldChar w:fldCharType="begin"/>
            </w:r>
            <w:r w:rsidR="005D0709" w:rsidRPr="005D0709">
              <w:rPr>
                <w:rFonts w:ascii="Times New Roman" w:hAnsi="Times New Roman" w:cs="Times New Roman"/>
                <w:noProof/>
                <w:webHidden/>
                <w:sz w:val="24"/>
                <w:szCs w:val="24"/>
              </w:rPr>
              <w:instrText xml:space="preserve"> PAGEREF _Toc151387937 \h </w:instrText>
            </w:r>
            <w:r w:rsidR="005D0709" w:rsidRPr="005D0709">
              <w:rPr>
                <w:rFonts w:ascii="Times New Roman" w:hAnsi="Times New Roman" w:cs="Times New Roman"/>
                <w:noProof/>
                <w:webHidden/>
                <w:sz w:val="24"/>
                <w:szCs w:val="24"/>
              </w:rPr>
            </w:r>
            <w:r w:rsidR="005D0709" w:rsidRPr="005D0709">
              <w:rPr>
                <w:rFonts w:ascii="Times New Roman" w:hAnsi="Times New Roman" w:cs="Times New Roman"/>
                <w:noProof/>
                <w:webHidden/>
                <w:sz w:val="24"/>
                <w:szCs w:val="24"/>
              </w:rPr>
              <w:fldChar w:fldCharType="separate"/>
            </w:r>
            <w:r w:rsidR="005D0709" w:rsidRPr="005D0709">
              <w:rPr>
                <w:rFonts w:ascii="Times New Roman" w:hAnsi="Times New Roman" w:cs="Times New Roman"/>
                <w:noProof/>
                <w:webHidden/>
                <w:sz w:val="24"/>
                <w:szCs w:val="24"/>
              </w:rPr>
              <w:t>2</w:t>
            </w:r>
            <w:r w:rsidR="005D0709" w:rsidRPr="005D0709">
              <w:rPr>
                <w:rFonts w:ascii="Times New Roman" w:hAnsi="Times New Roman" w:cs="Times New Roman"/>
                <w:noProof/>
                <w:webHidden/>
                <w:sz w:val="24"/>
                <w:szCs w:val="24"/>
              </w:rPr>
              <w:fldChar w:fldCharType="end"/>
            </w:r>
          </w:hyperlink>
        </w:p>
        <w:p w14:paraId="6D8493D0" w14:textId="7A4EA825" w:rsidR="005D0709" w:rsidRPr="005D0709" w:rsidRDefault="00000000" w:rsidP="005D0709">
          <w:pPr>
            <w:pStyle w:val="11"/>
            <w:tabs>
              <w:tab w:val="right" w:leader="dot" w:pos="9350"/>
            </w:tabs>
            <w:spacing w:line="360" w:lineRule="auto"/>
            <w:jc w:val="both"/>
            <w:rPr>
              <w:rFonts w:ascii="Times New Roman" w:hAnsi="Times New Roman" w:cs="Times New Roman"/>
              <w:noProof/>
              <w:sz w:val="24"/>
              <w:szCs w:val="24"/>
            </w:rPr>
          </w:pPr>
          <w:hyperlink w:anchor="_Toc151387938" w:history="1">
            <w:r w:rsidR="005D0709" w:rsidRPr="005D0709">
              <w:rPr>
                <w:rStyle w:val="a9"/>
                <w:rFonts w:ascii="Times New Roman" w:hAnsi="Times New Roman" w:cs="Times New Roman"/>
                <w:noProof/>
                <w:color w:val="auto"/>
                <w:sz w:val="24"/>
                <w:szCs w:val="24"/>
              </w:rPr>
              <w:t>Conclusion</w:t>
            </w:r>
            <w:r w:rsidR="005D0709" w:rsidRPr="005D0709">
              <w:rPr>
                <w:rFonts w:ascii="Times New Roman" w:hAnsi="Times New Roman" w:cs="Times New Roman"/>
                <w:noProof/>
                <w:webHidden/>
                <w:sz w:val="24"/>
                <w:szCs w:val="24"/>
              </w:rPr>
              <w:tab/>
            </w:r>
            <w:r w:rsidR="005D0709" w:rsidRPr="005D0709">
              <w:rPr>
                <w:rFonts w:ascii="Times New Roman" w:hAnsi="Times New Roman" w:cs="Times New Roman"/>
                <w:noProof/>
                <w:webHidden/>
                <w:sz w:val="24"/>
                <w:szCs w:val="24"/>
              </w:rPr>
              <w:fldChar w:fldCharType="begin"/>
            </w:r>
            <w:r w:rsidR="005D0709" w:rsidRPr="005D0709">
              <w:rPr>
                <w:rFonts w:ascii="Times New Roman" w:hAnsi="Times New Roman" w:cs="Times New Roman"/>
                <w:noProof/>
                <w:webHidden/>
                <w:sz w:val="24"/>
                <w:szCs w:val="24"/>
              </w:rPr>
              <w:instrText xml:space="preserve"> PAGEREF _Toc151387938 \h </w:instrText>
            </w:r>
            <w:r w:rsidR="005D0709" w:rsidRPr="005D0709">
              <w:rPr>
                <w:rFonts w:ascii="Times New Roman" w:hAnsi="Times New Roman" w:cs="Times New Roman"/>
                <w:noProof/>
                <w:webHidden/>
                <w:sz w:val="24"/>
                <w:szCs w:val="24"/>
              </w:rPr>
            </w:r>
            <w:r w:rsidR="005D0709" w:rsidRPr="005D0709">
              <w:rPr>
                <w:rFonts w:ascii="Times New Roman" w:hAnsi="Times New Roman" w:cs="Times New Roman"/>
                <w:noProof/>
                <w:webHidden/>
                <w:sz w:val="24"/>
                <w:szCs w:val="24"/>
              </w:rPr>
              <w:fldChar w:fldCharType="separate"/>
            </w:r>
            <w:r w:rsidR="005D0709" w:rsidRPr="005D0709">
              <w:rPr>
                <w:rFonts w:ascii="Times New Roman" w:hAnsi="Times New Roman" w:cs="Times New Roman"/>
                <w:noProof/>
                <w:webHidden/>
                <w:sz w:val="24"/>
                <w:szCs w:val="24"/>
              </w:rPr>
              <w:t>7</w:t>
            </w:r>
            <w:r w:rsidR="005D0709" w:rsidRPr="005D0709">
              <w:rPr>
                <w:rFonts w:ascii="Times New Roman" w:hAnsi="Times New Roman" w:cs="Times New Roman"/>
                <w:noProof/>
                <w:webHidden/>
                <w:sz w:val="24"/>
                <w:szCs w:val="24"/>
              </w:rPr>
              <w:fldChar w:fldCharType="end"/>
            </w:r>
          </w:hyperlink>
        </w:p>
        <w:p w14:paraId="12277300" w14:textId="34239D1E" w:rsidR="005D0709" w:rsidRPr="005D0709" w:rsidRDefault="00000000" w:rsidP="005D0709">
          <w:pPr>
            <w:pStyle w:val="11"/>
            <w:tabs>
              <w:tab w:val="right" w:leader="dot" w:pos="9350"/>
            </w:tabs>
            <w:spacing w:line="360" w:lineRule="auto"/>
            <w:jc w:val="both"/>
            <w:rPr>
              <w:rFonts w:ascii="Times New Roman" w:hAnsi="Times New Roman" w:cs="Times New Roman"/>
              <w:noProof/>
              <w:sz w:val="24"/>
              <w:szCs w:val="24"/>
            </w:rPr>
          </w:pPr>
          <w:hyperlink w:anchor="_Toc151387939" w:history="1">
            <w:r w:rsidR="005D0709" w:rsidRPr="005D0709">
              <w:rPr>
                <w:rStyle w:val="a9"/>
                <w:rFonts w:ascii="Times New Roman" w:hAnsi="Times New Roman" w:cs="Times New Roman"/>
                <w:noProof/>
                <w:color w:val="auto"/>
                <w:sz w:val="24"/>
                <w:szCs w:val="24"/>
              </w:rPr>
              <w:t>References</w:t>
            </w:r>
            <w:r w:rsidR="005D0709" w:rsidRPr="005D0709">
              <w:rPr>
                <w:rFonts w:ascii="Times New Roman" w:hAnsi="Times New Roman" w:cs="Times New Roman"/>
                <w:noProof/>
                <w:webHidden/>
                <w:sz w:val="24"/>
                <w:szCs w:val="24"/>
              </w:rPr>
              <w:tab/>
            </w:r>
            <w:r w:rsidR="005D0709" w:rsidRPr="005D0709">
              <w:rPr>
                <w:rFonts w:ascii="Times New Roman" w:hAnsi="Times New Roman" w:cs="Times New Roman"/>
                <w:noProof/>
                <w:webHidden/>
                <w:sz w:val="24"/>
                <w:szCs w:val="24"/>
              </w:rPr>
              <w:fldChar w:fldCharType="begin"/>
            </w:r>
            <w:r w:rsidR="005D0709" w:rsidRPr="005D0709">
              <w:rPr>
                <w:rFonts w:ascii="Times New Roman" w:hAnsi="Times New Roman" w:cs="Times New Roman"/>
                <w:noProof/>
                <w:webHidden/>
                <w:sz w:val="24"/>
                <w:szCs w:val="24"/>
              </w:rPr>
              <w:instrText xml:space="preserve"> PAGEREF _Toc151387939 \h </w:instrText>
            </w:r>
            <w:r w:rsidR="005D0709" w:rsidRPr="005D0709">
              <w:rPr>
                <w:rFonts w:ascii="Times New Roman" w:hAnsi="Times New Roman" w:cs="Times New Roman"/>
                <w:noProof/>
                <w:webHidden/>
                <w:sz w:val="24"/>
                <w:szCs w:val="24"/>
              </w:rPr>
            </w:r>
            <w:r w:rsidR="005D0709" w:rsidRPr="005D0709">
              <w:rPr>
                <w:rFonts w:ascii="Times New Roman" w:hAnsi="Times New Roman" w:cs="Times New Roman"/>
                <w:noProof/>
                <w:webHidden/>
                <w:sz w:val="24"/>
                <w:szCs w:val="24"/>
              </w:rPr>
              <w:fldChar w:fldCharType="separate"/>
            </w:r>
            <w:r w:rsidR="005D0709" w:rsidRPr="005D0709">
              <w:rPr>
                <w:rFonts w:ascii="Times New Roman" w:hAnsi="Times New Roman" w:cs="Times New Roman"/>
                <w:noProof/>
                <w:webHidden/>
                <w:sz w:val="24"/>
                <w:szCs w:val="24"/>
              </w:rPr>
              <w:t>8</w:t>
            </w:r>
            <w:r w:rsidR="005D0709" w:rsidRPr="005D0709">
              <w:rPr>
                <w:rFonts w:ascii="Times New Roman" w:hAnsi="Times New Roman" w:cs="Times New Roman"/>
                <w:noProof/>
                <w:webHidden/>
                <w:sz w:val="24"/>
                <w:szCs w:val="24"/>
              </w:rPr>
              <w:fldChar w:fldCharType="end"/>
            </w:r>
          </w:hyperlink>
        </w:p>
        <w:p w14:paraId="5DE0CC12" w14:textId="554F5932" w:rsidR="005D0709"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noProof/>
              <w:sz w:val="24"/>
              <w:szCs w:val="24"/>
            </w:rPr>
            <w:fldChar w:fldCharType="end"/>
          </w:r>
        </w:p>
      </w:sdtContent>
    </w:sdt>
    <w:p w14:paraId="3B04101A" w14:textId="77777777" w:rsidR="005D0709" w:rsidRPr="005D0709" w:rsidRDefault="005D0709" w:rsidP="005D0709">
      <w:pPr>
        <w:spacing w:line="360" w:lineRule="auto"/>
        <w:jc w:val="both"/>
        <w:rPr>
          <w:rFonts w:ascii="Times New Roman" w:hAnsi="Times New Roman" w:cs="Times New Roman"/>
          <w:sz w:val="24"/>
          <w:szCs w:val="24"/>
        </w:rPr>
      </w:pPr>
    </w:p>
    <w:p w14:paraId="51923175" w14:textId="77777777" w:rsidR="005D0709" w:rsidRPr="005D0709" w:rsidRDefault="005D0709" w:rsidP="005D0709">
      <w:pPr>
        <w:spacing w:line="360" w:lineRule="auto"/>
        <w:jc w:val="both"/>
        <w:rPr>
          <w:rFonts w:ascii="Times New Roman" w:eastAsiaTheme="majorEastAsia" w:hAnsi="Times New Roman" w:cs="Times New Roman"/>
          <w:b/>
          <w:sz w:val="24"/>
          <w:szCs w:val="24"/>
        </w:rPr>
      </w:pPr>
      <w:bookmarkStart w:id="1" w:name="_Toc151387936"/>
      <w:r w:rsidRPr="005D0709">
        <w:rPr>
          <w:rFonts w:ascii="Times New Roman" w:hAnsi="Times New Roman" w:cs="Times New Roman"/>
          <w:sz w:val="24"/>
          <w:szCs w:val="24"/>
        </w:rPr>
        <w:br w:type="page"/>
      </w:r>
    </w:p>
    <w:p w14:paraId="03C57992" w14:textId="10F63D16" w:rsidR="00BA0F39" w:rsidRPr="005D0709" w:rsidRDefault="00BA0F39" w:rsidP="005D0709">
      <w:pPr>
        <w:pStyle w:val="1"/>
        <w:spacing w:line="360" w:lineRule="auto"/>
        <w:jc w:val="both"/>
        <w:rPr>
          <w:rFonts w:ascii="Times New Roman" w:hAnsi="Times New Roman" w:cs="Times New Roman"/>
          <w:color w:val="auto"/>
          <w:sz w:val="24"/>
          <w:szCs w:val="24"/>
        </w:rPr>
      </w:pPr>
      <w:r w:rsidRPr="005D0709">
        <w:rPr>
          <w:rFonts w:ascii="Times New Roman" w:hAnsi="Times New Roman" w:cs="Times New Roman"/>
          <w:color w:val="auto"/>
          <w:sz w:val="24"/>
          <w:szCs w:val="24"/>
        </w:rPr>
        <w:lastRenderedPageBreak/>
        <w:t>Introduction</w:t>
      </w:r>
      <w:bookmarkEnd w:id="1"/>
    </w:p>
    <w:p w14:paraId="49D59B1F" w14:textId="5C10B7F3" w:rsidR="00BA0F39" w:rsidRPr="005D0709" w:rsidRDefault="00BA0F39"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Google KGX1 is a noteworthy example of success in the realm of business in the era of swift technical advancements as well as growing concern regarding sustainability. The project, Google KGX1 is located in the King’s cross, London</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(Taws, 2019)</w:t>
      </w:r>
      <w:r w:rsidRPr="005D0709">
        <w:rPr>
          <w:rFonts w:ascii="Times New Roman" w:hAnsi="Times New Roman" w:cs="Times New Roman"/>
          <w:sz w:val="24"/>
          <w:szCs w:val="24"/>
        </w:rPr>
        <w:t xml:space="preserve">. It represents Google's pledge to creativity as well as sustainable management of business. The organization through its latest project can form strong ties with its neighbourhood. The purpose of this report is to analyse the possibility of respective projects to impact the development of the IT industry of the UK.  </w:t>
      </w:r>
    </w:p>
    <w:p w14:paraId="22ACE03C" w14:textId="77777777" w:rsidR="00BA0F39" w:rsidRPr="005D0709" w:rsidRDefault="00BA0F39"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For the following report, an organized methodology will be used. It will initiate with critical assessment of the project’s performance in context with various standards, for instance, economic effect, innovation, timely completion as well as community engagement and regulatory agreement. Furthermore, emphasis will be placed on the stakeholder’s involvement, risk management, sustainability as well as community integration and budget transparency.   </w:t>
      </w:r>
    </w:p>
    <w:p w14:paraId="5D232DD2" w14:textId="6798784C" w:rsidR="00BA0F39" w:rsidRPr="005D0709" w:rsidRDefault="00BA0F39"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Moreover, the report will be brought to a conclusion with a few </w:t>
      </w:r>
      <w:r w:rsidR="00F22EEE" w:rsidRPr="005D0709">
        <w:rPr>
          <w:rFonts w:ascii="Times New Roman" w:hAnsi="Times New Roman" w:cs="Times New Roman"/>
          <w:sz w:val="24"/>
          <w:szCs w:val="24"/>
        </w:rPr>
        <w:t>suggestions</w:t>
      </w:r>
      <w:r w:rsidRPr="005D0709">
        <w:rPr>
          <w:rFonts w:ascii="Times New Roman" w:hAnsi="Times New Roman" w:cs="Times New Roman"/>
          <w:sz w:val="24"/>
          <w:szCs w:val="24"/>
        </w:rPr>
        <w:t xml:space="preserve"> in the context of the development of IT projects as well as industry which intends to accomplishment and decrease the complications caused by the Google KGX1 project.  the purpose of this report is to offer valuable guidance for organizations, in the context of innovation, suitable as well as community-oriented projects which can further develop the entire IT sector as well as impact a broader realm of business.          </w:t>
      </w:r>
    </w:p>
    <w:p w14:paraId="29A1AAD4" w14:textId="77777777" w:rsidR="00BA0F39" w:rsidRPr="005D0709" w:rsidRDefault="00BA0F39" w:rsidP="005D0709">
      <w:pPr>
        <w:pStyle w:val="1"/>
        <w:spacing w:line="360" w:lineRule="auto"/>
        <w:jc w:val="both"/>
        <w:rPr>
          <w:rFonts w:ascii="Times New Roman" w:hAnsi="Times New Roman" w:cs="Times New Roman"/>
          <w:color w:val="auto"/>
          <w:sz w:val="24"/>
          <w:szCs w:val="24"/>
        </w:rPr>
      </w:pPr>
      <w:bookmarkStart w:id="2" w:name="_Toc151387937"/>
      <w:r w:rsidRPr="005D0709">
        <w:rPr>
          <w:rFonts w:ascii="Times New Roman" w:hAnsi="Times New Roman" w:cs="Times New Roman"/>
          <w:color w:val="auto"/>
          <w:sz w:val="24"/>
          <w:szCs w:val="24"/>
        </w:rPr>
        <w:t>The Body</w:t>
      </w:r>
      <w:bookmarkEnd w:id="2"/>
    </w:p>
    <w:p w14:paraId="3A23632E" w14:textId="77777777" w:rsidR="00BA0F39" w:rsidRPr="005D0709" w:rsidRDefault="00BA0F39"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 xml:space="preserve">1. Project failure or success </w:t>
      </w:r>
    </w:p>
    <w:p w14:paraId="7AA09F38" w14:textId="1229C2F2" w:rsidR="00BA0F39" w:rsidRPr="005D0709" w:rsidRDefault="00BA0F39"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The project KGX1 situated in the King’s Cross, presents itself as a crucial investment in creating sustainable as well as innovative head offices for google</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(Dey et al., 2020)</w:t>
      </w:r>
      <w:r w:rsidRPr="005D0709">
        <w:rPr>
          <w:rFonts w:ascii="Times New Roman" w:hAnsi="Times New Roman" w:cs="Times New Roman"/>
          <w:sz w:val="24"/>
          <w:szCs w:val="24"/>
        </w:rPr>
        <w:t xml:space="preserve">. For the IT industry of the United Kingdom, success as well as failure of the projects is a crucial cornerstone for the advancement of the respective industry. the following segment will offer an evaluation of the potential impact of the project on several critical aspects.    </w:t>
      </w:r>
    </w:p>
    <w:p w14:paraId="7F091A6E" w14:textId="77777777" w:rsidR="00BA0F39" w:rsidRPr="005D0709" w:rsidRDefault="00BA0F39"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 xml:space="preserve">a. Sustainability and Innovation </w:t>
      </w:r>
    </w:p>
    <w:p w14:paraId="1B47EE2A" w14:textId="1795E606" w:rsidR="00BA0F39" w:rsidRPr="005D0709" w:rsidRDefault="00BA0F3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Success:</w:t>
      </w:r>
      <w:r w:rsidRPr="005D0709">
        <w:rPr>
          <w:rFonts w:ascii="Times New Roman" w:hAnsi="Times New Roman" w:cs="Times New Roman"/>
          <w:sz w:val="24"/>
          <w:szCs w:val="24"/>
        </w:rPr>
        <w:t xml:space="preserve"> the project KGX1 is synchronised with the organization’s pledge to environmental consciousness as well as innovation. The building of the organization consisting of the characteristic wedge-shaped design as well as the usage of steel, glass and timber has provided the </w:t>
      </w:r>
      <w:r w:rsidRPr="005D0709">
        <w:rPr>
          <w:rFonts w:ascii="Times New Roman" w:hAnsi="Times New Roman" w:cs="Times New Roman"/>
          <w:sz w:val="24"/>
          <w:szCs w:val="24"/>
        </w:rPr>
        <w:lastRenderedPageBreak/>
        <w:t>organization an innovative edge. The organization is focused on attaining the LEED ‘Gold’ and BREEAM ‘Excellent’ environmental certifications as well as adopting eco-friendly designs showcases the organization’s strong pledge to sustainability</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(Dey et al., 2020)</w:t>
      </w:r>
      <w:r w:rsidRPr="005D0709">
        <w:rPr>
          <w:rFonts w:ascii="Times New Roman" w:hAnsi="Times New Roman" w:cs="Times New Roman"/>
          <w:sz w:val="24"/>
          <w:szCs w:val="24"/>
        </w:rPr>
        <w:t xml:space="preserve">.    </w:t>
      </w:r>
    </w:p>
    <w:p w14:paraId="31889301" w14:textId="1060B310" w:rsidR="00BA0F39" w:rsidRPr="005D0709" w:rsidRDefault="00BA0F39"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As per the IT industry, the project KGX1 establishes a high criterion for the environmentally conscious design of the workplace. The following project can further present itself as an inspirational model for various other organizations within the IT industry intending to adopt sustainably as well as innovation within their workplaces. The entire IT sector can work forward to reduce carbon footprints as well as encourage the use of environmentally friendly materials, ethical material sourcing and energy-efficient technologies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(Skeete et al., 2020)</w:t>
      </w:r>
      <w:r w:rsidRPr="005D0709">
        <w:rPr>
          <w:rFonts w:ascii="Times New Roman" w:hAnsi="Times New Roman" w:cs="Times New Roman"/>
          <w:sz w:val="24"/>
          <w:szCs w:val="24"/>
        </w:rPr>
        <w:t xml:space="preserve">.  The future of the IT sector significantly depends on the performance of KGX1 as the concern regarding the sustainability of the planet is growing.  </w:t>
      </w:r>
    </w:p>
    <w:p w14:paraId="7DE16A00" w14:textId="77777777" w:rsidR="00604A9B" w:rsidRPr="005D0709" w:rsidRDefault="00604A9B"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 xml:space="preserve">b. Impact on economy </w:t>
      </w:r>
    </w:p>
    <w:p w14:paraId="4BAC7AC9" w14:textId="2AEC84A9" w:rsidR="00604A9B" w:rsidRPr="005D0709" w:rsidRDefault="00604A9B"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Potential success:</w:t>
      </w:r>
      <w:r w:rsidRPr="005D0709">
        <w:rPr>
          <w:rFonts w:ascii="Times New Roman" w:hAnsi="Times New Roman" w:cs="Times New Roman"/>
          <w:sz w:val="24"/>
          <w:szCs w:val="24"/>
        </w:rPr>
        <w:t xml:space="preserve">  one of the main goals of the project is to support the Kings Cross’s knowledge-based growth of the economy. In this case, the project KGX1 can accomplish such goals, through the creation of jobs, appealing talents as well as contributing to the economy on a local level</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(Al-Shaer and Zaman, 2019)</w:t>
      </w:r>
      <w:r w:rsidRPr="005D0709">
        <w:rPr>
          <w:rFonts w:ascii="Times New Roman" w:hAnsi="Times New Roman" w:cs="Times New Roman"/>
          <w:sz w:val="24"/>
          <w:szCs w:val="24"/>
        </w:rPr>
        <w:t>. Through such measures, the project provides significant success and opportunity for growth for the IT sector in the United Kingdom.</w:t>
      </w:r>
    </w:p>
    <w:p w14:paraId="32EF435E" w14:textId="633F480E" w:rsidR="00604A9B" w:rsidRPr="005D0709" w:rsidRDefault="00604A9B"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The IT industry of the United Kingdom plays a significant role in developing as well as boosting the country’s economic expansion like any other country around the globe. In the same context, the growth of innovation hubs as well as technology clusters has been proven as the government’s one of the strategic priorities. Therefore, projects such as KGX1 can be significantly helpful for the accomplishment of such goals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(Ahrens and Ferry, 2021)</w:t>
      </w:r>
      <w:r w:rsidRPr="005D0709">
        <w:rPr>
          <w:rFonts w:ascii="Times New Roman" w:hAnsi="Times New Roman" w:cs="Times New Roman"/>
          <w:sz w:val="24"/>
          <w:szCs w:val="24"/>
        </w:rPr>
        <w:t xml:space="preserve">. The project’s performance will not only affect Google but the entire sector of IT by appealing to various tech organizations in the area. Furthermore, a flourishing technological culture can lead to knowledge sharing, job creation as well and economic growth enhancing the growth potential of the IT industry.          </w:t>
      </w:r>
    </w:p>
    <w:p w14:paraId="1FF83887" w14:textId="77777777" w:rsidR="00604A9B" w:rsidRPr="005D0709" w:rsidRDefault="00604A9B"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c. Community Engagement</w:t>
      </w:r>
    </w:p>
    <w:p w14:paraId="109D628C" w14:textId="7D8E1082" w:rsidR="00604A9B"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 xml:space="preserve">Potential </w:t>
      </w:r>
      <w:r w:rsidR="00604A9B" w:rsidRPr="005D0709">
        <w:rPr>
          <w:rFonts w:ascii="Times New Roman" w:hAnsi="Times New Roman" w:cs="Times New Roman"/>
          <w:b/>
          <w:bCs/>
          <w:sz w:val="24"/>
          <w:szCs w:val="24"/>
        </w:rPr>
        <w:t xml:space="preserve">success: </w:t>
      </w:r>
      <w:r w:rsidR="00604A9B" w:rsidRPr="005D0709">
        <w:rPr>
          <w:rFonts w:ascii="Times New Roman" w:hAnsi="Times New Roman" w:cs="Times New Roman"/>
          <w:sz w:val="24"/>
          <w:szCs w:val="24"/>
        </w:rPr>
        <w:t xml:space="preserve">another main goal of the project KGX1 is the engagement of the community. That is if the projects can fulfil their promise as well as contribute to the community. Such can </w:t>
      </w:r>
      <w:r w:rsidR="00604A9B" w:rsidRPr="005D0709">
        <w:rPr>
          <w:rFonts w:ascii="Times New Roman" w:hAnsi="Times New Roman" w:cs="Times New Roman"/>
          <w:sz w:val="24"/>
          <w:szCs w:val="24"/>
        </w:rPr>
        <w:lastRenderedPageBreak/>
        <w:t>serve as ideal for the organization in the IT industry seeking location for investment as well integration with local communities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(Ahrens and Ferry, 2021)</w:t>
      </w:r>
      <w:r w:rsidR="00604A9B" w:rsidRPr="005D0709">
        <w:rPr>
          <w:rFonts w:ascii="Times New Roman" w:hAnsi="Times New Roman" w:cs="Times New Roman"/>
          <w:sz w:val="24"/>
          <w:szCs w:val="24"/>
        </w:rPr>
        <w:t xml:space="preserve">. </w:t>
      </w:r>
    </w:p>
    <w:p w14:paraId="00DA3DA0" w14:textId="336230BA" w:rsidR="00604A9B" w:rsidRPr="005D0709" w:rsidRDefault="00604A9B"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For organizations in the IT industry, their interaction with the local communities has turned quite significant as the sector evolves. Therefore, the project’s success can lead to significant positive contributions for local communities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(Ahrens and Ferry, 2021)</w:t>
      </w:r>
      <w:r w:rsidRPr="005D0709">
        <w:rPr>
          <w:rFonts w:ascii="Times New Roman" w:hAnsi="Times New Roman" w:cs="Times New Roman"/>
          <w:sz w:val="24"/>
          <w:szCs w:val="24"/>
        </w:rPr>
        <w:t xml:space="preserve">. Such can be achieved through creating job opportunities, improving infrastructure as well and offering tribute to the local communities. The success of the project can, therefore, create goodwill as well as form strong bonds with the local communities. </w:t>
      </w:r>
    </w:p>
    <w:p w14:paraId="4F7ACF68" w14:textId="1EBD81E1" w:rsidR="00604A9B" w:rsidRPr="005D0709" w:rsidRDefault="00604A9B"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For instance, the main offices of Amazon established in Seattle have contributed to the local communities by offering job opportunities as well as economic stimulus. Therefore, the local communities can develop with the large-sized IT organization</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(Fair, 2019)</w:t>
      </w:r>
      <w:r w:rsidRPr="005D0709">
        <w:rPr>
          <w:rFonts w:ascii="Times New Roman" w:hAnsi="Times New Roman" w:cs="Times New Roman"/>
          <w:sz w:val="24"/>
          <w:szCs w:val="24"/>
        </w:rPr>
        <w:t xml:space="preserve">.  A relationship based on mutual benefit not only facilitates growth and benefits for both parties but creates a harmonious relationship. As for the project KGX1, the characteristics aspect is that it can serve as ideal for the integration of community.                   </w:t>
      </w:r>
    </w:p>
    <w:p w14:paraId="3573B009" w14:textId="77777777" w:rsidR="00604A9B" w:rsidRPr="005D0709" w:rsidRDefault="00604A9B"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d. Timely Completion</w:t>
      </w:r>
    </w:p>
    <w:p w14:paraId="323513C0" w14:textId="0AD5E5D5" w:rsidR="00604A9B" w:rsidRPr="005D0709" w:rsidRDefault="00604A9B"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Pending assessment:</w:t>
      </w:r>
      <w:r w:rsidRPr="005D0709">
        <w:rPr>
          <w:rFonts w:ascii="Times New Roman" w:hAnsi="Times New Roman" w:cs="Times New Roman"/>
          <w:sz w:val="24"/>
          <w:szCs w:val="24"/>
        </w:rPr>
        <w:t xml:space="preserve"> the project’s schedule has been hindered due to the pandemic. the chief aspect of the project KGX1 is its capacity to adapt to uncertain times as well as unpredictable scenarios and finished by the year 2024</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(Van et al., 2023)</w:t>
      </w:r>
      <w:r w:rsidRPr="005D0709">
        <w:rPr>
          <w:rFonts w:ascii="Times New Roman" w:hAnsi="Times New Roman" w:cs="Times New Roman"/>
          <w:sz w:val="24"/>
          <w:szCs w:val="24"/>
        </w:rPr>
        <w:t xml:space="preserve">.     </w:t>
      </w:r>
    </w:p>
    <w:p w14:paraId="52EE3553" w14:textId="26FD4EA3"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In the IT sector, projects of large scale are required to be finished on their due dates. Specifically in the IT sector efficiency offers a competitive edge within the market. The project’s resilience as well as effectiveness can be measured through its capacity to adapt to the unanticipated obstacles, for instance, the pandemic that caused delays for the project</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(Loureiro et al., 2020)</w:t>
      </w:r>
      <w:r w:rsidRPr="005D0709">
        <w:rPr>
          <w:rFonts w:ascii="Times New Roman" w:hAnsi="Times New Roman" w:cs="Times New Roman"/>
          <w:sz w:val="24"/>
          <w:szCs w:val="24"/>
        </w:rPr>
        <w:t xml:space="preserve">.   to measure the project’s ability to adapt to such circumstances, its success will be closely monitored by the completion year 2024.     </w:t>
      </w:r>
    </w:p>
    <w:p w14:paraId="178083A7" w14:textId="77777777" w:rsidR="006850C2" w:rsidRPr="005D0709" w:rsidRDefault="006850C2"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e. Regulatory Compliance</w:t>
      </w:r>
    </w:p>
    <w:p w14:paraId="3847509F" w14:textId="02C2AD4C" w:rsidR="006850C2"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 xml:space="preserve">Pending </w:t>
      </w:r>
      <w:r w:rsidR="006850C2" w:rsidRPr="005D0709">
        <w:rPr>
          <w:rFonts w:ascii="Times New Roman" w:hAnsi="Times New Roman" w:cs="Times New Roman"/>
          <w:b/>
          <w:bCs/>
          <w:sz w:val="24"/>
          <w:szCs w:val="24"/>
        </w:rPr>
        <w:t>assessment:</w:t>
      </w:r>
      <w:r w:rsidR="006850C2" w:rsidRPr="005D0709">
        <w:rPr>
          <w:rFonts w:ascii="Times New Roman" w:hAnsi="Times New Roman" w:cs="Times New Roman"/>
          <w:sz w:val="24"/>
          <w:szCs w:val="24"/>
        </w:rPr>
        <w:t xml:space="preserve"> it is crucial to obey the regulations as the project holds several complications. The project’s performance can be shifted as well as altered to various aspects and delays to unforeseeable scenarios. </w:t>
      </w:r>
    </w:p>
    <w:p w14:paraId="22ECAB05" w14:textId="1EECE9D7"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lastRenderedPageBreak/>
        <w:t>For projects of large scale, regulatory compliance is one the most crucial aspects. It is, therefore, essential for the project to be able to effectively negotiate with the regulatory challenges as well as ensure compliance with the regional laws as well as requirements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(Gupta et al., 2020)</w:t>
      </w:r>
      <w:r w:rsidRPr="005D0709">
        <w:rPr>
          <w:rFonts w:ascii="Times New Roman" w:hAnsi="Times New Roman" w:cs="Times New Roman"/>
          <w:sz w:val="24"/>
          <w:szCs w:val="24"/>
        </w:rPr>
        <w:t xml:space="preserve">. Furthermore, any kind of problems as well as delays may affect the project’s budget.  </w:t>
      </w:r>
    </w:p>
    <w:p w14:paraId="6C69AEB0" w14:textId="3B0A1037"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In the context of the project KGX1, it has been experienced and learned through regulatory compliance that data privacy as well as security is especially strict in the IT industry</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(Darwish and Smart, 2020)</w:t>
      </w:r>
      <w:r w:rsidRPr="005D0709">
        <w:rPr>
          <w:rFonts w:ascii="Times New Roman" w:hAnsi="Times New Roman" w:cs="Times New Roman"/>
          <w:sz w:val="24"/>
          <w:szCs w:val="24"/>
        </w:rPr>
        <w:t xml:space="preserve">. regularity compliance is not only crucial for avoiding legal repercussions but also for business. The ability of project KGX1 will enable various other projects to effectively navigate through regulatory compliance specifically in the IT sector. </w:t>
      </w:r>
    </w:p>
    <w:p w14:paraId="2D5F87E8" w14:textId="06EF7181"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The respective project presents itself as an extensive investment in sustainable as well as innovative head office for Google. Furthermore, the future of the IT industry of the United Kingdom is significantly dependent on the performance of the project.  moreover, the project can present itself as an ideal example for various other IT organizations as the project showcases the organization’s commitment to sustainability, innovation as well and community engagement</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(Burdon et al., 2022)</w:t>
      </w:r>
      <w:r w:rsidRPr="005D0709">
        <w:rPr>
          <w:rFonts w:ascii="Times New Roman" w:hAnsi="Times New Roman" w:cs="Times New Roman"/>
          <w:sz w:val="24"/>
          <w:szCs w:val="24"/>
        </w:rPr>
        <w:t xml:space="preserve">. The success of the project will be determined by the project’s ability to substitute a knowledge-based economy, that interacts with the community as well as overcome the challenges such as pandemic-causing delays.                       </w:t>
      </w:r>
    </w:p>
    <w:p w14:paraId="44ED8D66" w14:textId="77777777" w:rsidR="006850C2" w:rsidRPr="005D0709" w:rsidRDefault="006850C2"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2. Lessons Learned</w:t>
      </w:r>
    </w:p>
    <w:p w14:paraId="68564BC8" w14:textId="77777777"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The respective project, KGX1 offer various valuable lessons for the future of the IT industry as well as their activities.   </w:t>
      </w:r>
    </w:p>
    <w:p w14:paraId="51A62DAB" w14:textId="77777777" w:rsidR="006850C2" w:rsidRPr="005D0709" w:rsidRDefault="006850C2"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a. Risk Management</w:t>
      </w:r>
    </w:p>
    <w:p w14:paraId="6F32D62E" w14:textId="4DA2E78A" w:rsidR="006850C2"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Lesson</w:t>
      </w:r>
      <w:r w:rsidR="006850C2" w:rsidRPr="005D0709">
        <w:rPr>
          <w:rFonts w:ascii="Times New Roman" w:hAnsi="Times New Roman" w:cs="Times New Roman"/>
          <w:b/>
          <w:bCs/>
          <w:sz w:val="24"/>
          <w:szCs w:val="24"/>
        </w:rPr>
        <w:t>:</w:t>
      </w:r>
      <w:r w:rsidR="006850C2" w:rsidRPr="005D0709">
        <w:rPr>
          <w:rFonts w:ascii="Times New Roman" w:hAnsi="Times New Roman" w:cs="Times New Roman"/>
          <w:sz w:val="24"/>
          <w:szCs w:val="24"/>
        </w:rPr>
        <w:t xml:space="preserve"> The pandemic caused delays in the schedule of the project; placing special emphasis on risk management. It brings focus on the importance of effective risk management as well as backup plans for projects which are large scale</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(Burdon et al., 2022).</w:t>
      </w:r>
      <w:r w:rsidR="006850C2" w:rsidRPr="005D0709">
        <w:rPr>
          <w:rFonts w:ascii="Times New Roman" w:hAnsi="Times New Roman" w:cs="Times New Roman"/>
          <w:sz w:val="24"/>
          <w:szCs w:val="24"/>
        </w:rPr>
        <w:t xml:space="preserve"> From such issues, the organization can understand the importance of flexibility against unpredictable scenarios in the schedules of upcoming projects.       </w:t>
      </w:r>
    </w:p>
    <w:p w14:paraId="0C4F937B" w14:textId="1741D7C7"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Therefore, another crucial aspect of the project is risk management. For large venture organizations, it is essential to project as well as recognize risks and generate moderate plans as </w:t>
      </w:r>
      <w:r w:rsidRPr="005D0709">
        <w:rPr>
          <w:rFonts w:ascii="Times New Roman" w:hAnsi="Times New Roman" w:cs="Times New Roman"/>
          <w:sz w:val="24"/>
          <w:szCs w:val="24"/>
        </w:rPr>
        <w:lastRenderedPageBreak/>
        <w:t>well as backup plans. Regardless of the unpredictability of the pandemic, it has placed special emphasis on readiness as well as flexibility of the projects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(Burdon et al., 2022).</w:t>
      </w:r>
      <w:r w:rsidRPr="005D0709">
        <w:rPr>
          <w:rFonts w:ascii="Times New Roman" w:hAnsi="Times New Roman" w:cs="Times New Roman"/>
          <w:sz w:val="24"/>
          <w:szCs w:val="24"/>
        </w:rPr>
        <w:t xml:space="preserve"> </w:t>
      </w:r>
    </w:p>
    <w:p w14:paraId="63D99765" w14:textId="77777777" w:rsidR="006850C2"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For instance, various challenges as well as issues arose in the context of building the Sydney Opera House. However, the projects withheld resilience as well as the ability to overcome unpredictable challenges. Such an example offers valuable insights in the context of risk management.         </w:t>
      </w:r>
    </w:p>
    <w:p w14:paraId="2D91E2FF" w14:textId="77777777" w:rsidR="006850C2" w:rsidRPr="005D0709" w:rsidRDefault="006850C2"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b. Sustainability Commitment</w:t>
      </w:r>
    </w:p>
    <w:p w14:paraId="50BE1A4A" w14:textId="7F0092C2" w:rsidR="006850C2"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Lesson</w:t>
      </w:r>
      <w:r w:rsidR="006850C2" w:rsidRPr="005D0709">
        <w:rPr>
          <w:rFonts w:ascii="Times New Roman" w:hAnsi="Times New Roman" w:cs="Times New Roman"/>
          <w:b/>
          <w:bCs/>
          <w:sz w:val="24"/>
          <w:szCs w:val="24"/>
        </w:rPr>
        <w:t xml:space="preserve">: </w:t>
      </w:r>
      <w:r w:rsidR="006850C2" w:rsidRPr="005D0709">
        <w:rPr>
          <w:rFonts w:ascii="Times New Roman" w:hAnsi="Times New Roman" w:cs="Times New Roman"/>
          <w:sz w:val="24"/>
          <w:szCs w:val="24"/>
        </w:rPr>
        <w:t xml:space="preserve">the project’s KGX1 is focused on eco-friendly design as well as environmental stability. It, therefore, offers valuable insights for various other organizations. The organization is further aiming for green certificates as well as emphasising the importance of the project’s impact on the environment. </w:t>
      </w:r>
    </w:p>
    <w:p w14:paraId="447B3102" w14:textId="764BF762" w:rsidR="00BF755B" w:rsidRPr="005D0709" w:rsidRDefault="006850C2"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Sustainability can be considered as a strategic advantage for the respective organization rather than only a moral imperative</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(Larmar et al., 2021)</w:t>
      </w:r>
      <w:r w:rsidRPr="005D0709">
        <w:rPr>
          <w:rFonts w:ascii="Times New Roman" w:hAnsi="Times New Roman" w:cs="Times New Roman"/>
          <w:sz w:val="24"/>
          <w:szCs w:val="24"/>
        </w:rPr>
        <w:t>.   Therefore, organizations can align themselves with the market trends and values by following the sustainability measures in their projects.  In respect to the IT industry organizations are most especially energy-intensive, therefore adopting environmentally friendly practices can prove themselves to be significantly helpful.   Further illustrating the concept, google data centres are power-driven by 100 per cent renewable energy which represents the organization’s dedication to sustainability.</w:t>
      </w:r>
      <w:r w:rsidR="000F1D34" w:rsidRPr="005D0709">
        <w:rPr>
          <w:rFonts w:ascii="Times New Roman" w:hAnsi="Times New Roman" w:cs="Times New Roman"/>
          <w:sz w:val="24"/>
          <w:szCs w:val="24"/>
        </w:rPr>
        <w:t xml:space="preserve">    </w:t>
      </w:r>
      <w:r w:rsidR="00185462" w:rsidRPr="005D0709">
        <w:rPr>
          <w:rFonts w:ascii="Times New Roman" w:hAnsi="Times New Roman" w:cs="Times New Roman"/>
          <w:sz w:val="24"/>
          <w:szCs w:val="24"/>
        </w:rPr>
        <w:t xml:space="preserve"> </w:t>
      </w:r>
    </w:p>
    <w:p w14:paraId="29E4D839" w14:textId="77777777" w:rsidR="00FE434A" w:rsidRPr="005D0709" w:rsidRDefault="00FE434A"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Community Integration</w:t>
      </w:r>
    </w:p>
    <w:p w14:paraId="4B47BD86" w14:textId="77777777" w:rsidR="00FE434A"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 xml:space="preserve">Lesson: </w:t>
      </w:r>
      <w:r w:rsidRPr="005D0709">
        <w:rPr>
          <w:rFonts w:ascii="Times New Roman" w:hAnsi="Times New Roman" w:cs="Times New Roman"/>
          <w:sz w:val="24"/>
          <w:szCs w:val="24"/>
        </w:rPr>
        <w:t xml:space="preserve">emphasis placed on community engagement represents the importance of creating a friendly as well as mutually beneficial, relationship with the local community. Therefore, projects must consider the benefit of the local communities as well. </w:t>
      </w:r>
    </w:p>
    <w:p w14:paraId="1A3EAE13" w14:textId="0579FAB4" w:rsidR="00FE434A"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Large organizations tend to influence their local communities around their locations. In the same context for the organization positively influencing the local communities is considered as a strategic imperative</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(Larmar et al., 2021)</w:t>
      </w:r>
      <w:r w:rsidRPr="005D0709">
        <w:rPr>
          <w:rFonts w:ascii="Times New Roman" w:hAnsi="Times New Roman" w:cs="Times New Roman"/>
          <w:sz w:val="24"/>
          <w:szCs w:val="24"/>
        </w:rPr>
        <w:t xml:space="preserve">. For instance, Amazon’s HQ2 project in Virginia, promises the local communities to create a new urban campus taking into consideration the community beliefs showcasing how essential integration of community.       </w:t>
      </w:r>
    </w:p>
    <w:p w14:paraId="71A8D40F" w14:textId="77777777" w:rsidR="00FE434A" w:rsidRPr="005D0709" w:rsidRDefault="00FE434A"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d. Budget Management</w:t>
      </w:r>
    </w:p>
    <w:p w14:paraId="74DC3663" w14:textId="3C163A7D" w:rsidR="00FE434A"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lastRenderedPageBreak/>
        <w:t>Lesson</w:t>
      </w:r>
      <w:r w:rsidR="00FE434A" w:rsidRPr="005D0709">
        <w:rPr>
          <w:rFonts w:ascii="Times New Roman" w:hAnsi="Times New Roman" w:cs="Times New Roman"/>
          <w:b/>
          <w:bCs/>
          <w:sz w:val="24"/>
          <w:szCs w:val="24"/>
        </w:rPr>
        <w:t>:</w:t>
      </w:r>
      <w:r w:rsidR="00FE434A" w:rsidRPr="005D0709">
        <w:rPr>
          <w:rFonts w:ascii="Times New Roman" w:hAnsi="Times New Roman" w:cs="Times New Roman"/>
          <w:sz w:val="24"/>
          <w:szCs w:val="24"/>
        </w:rPr>
        <w:t xml:space="preserve"> the project KGX1’s thorough analysis of the budget provides valuable insight into the context of effective resource distribution as well as management of finance. Effective utilization of resources as well as avoiding excessive expenses are two advantages of transparent budgeting. </w:t>
      </w:r>
    </w:p>
    <w:p w14:paraId="3F1F6661" w14:textId="148AFCFD" w:rsidR="00FE434A"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Therefore, managing the budget of the project effectively is crucial. Maintaining the cost-effectiveness of resource allocation as well as avoiding excess expenditures, allocation of resources as well and transparent budgeting </w:t>
      </w:r>
      <w:r w:rsidR="006B0720" w:rsidRPr="005D0709">
        <w:rPr>
          <w:rFonts w:ascii="Times New Roman" w:hAnsi="Times New Roman" w:cs="Times New Roman"/>
          <w:sz w:val="24"/>
          <w:szCs w:val="24"/>
        </w:rPr>
        <w:t>is</w:t>
      </w:r>
      <w:r w:rsidRPr="005D0709">
        <w:rPr>
          <w:rFonts w:ascii="Times New Roman" w:hAnsi="Times New Roman" w:cs="Times New Roman"/>
          <w:sz w:val="24"/>
          <w:szCs w:val="24"/>
        </w:rPr>
        <w:t xml:space="preserve"> essential for projects</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(Larmar et al., 2021)</w:t>
      </w:r>
      <w:r w:rsidRPr="005D0709">
        <w:rPr>
          <w:rFonts w:ascii="Times New Roman" w:hAnsi="Times New Roman" w:cs="Times New Roman"/>
          <w:sz w:val="24"/>
          <w:szCs w:val="24"/>
        </w:rPr>
        <w:t xml:space="preserve">. For instance, the Burj Khalifa, in Dubai is a great example of understanding the importance of budget management for large-scale projects.          </w:t>
      </w:r>
    </w:p>
    <w:p w14:paraId="32A77F2A" w14:textId="77777777" w:rsidR="00FE434A" w:rsidRPr="005D0709" w:rsidRDefault="00FE434A"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e. Stakeholder Engagement</w:t>
      </w:r>
    </w:p>
    <w:p w14:paraId="5EC6459F" w14:textId="38D16235" w:rsidR="00FE434A"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Lesson</w:t>
      </w:r>
      <w:r w:rsidR="00FE434A" w:rsidRPr="005D0709">
        <w:rPr>
          <w:rFonts w:ascii="Times New Roman" w:hAnsi="Times New Roman" w:cs="Times New Roman"/>
          <w:b/>
          <w:bCs/>
          <w:sz w:val="24"/>
          <w:szCs w:val="24"/>
        </w:rPr>
        <w:t>:</w:t>
      </w:r>
      <w:r w:rsidR="00FE434A" w:rsidRPr="005D0709">
        <w:rPr>
          <w:rFonts w:ascii="Times New Roman" w:hAnsi="Times New Roman" w:cs="Times New Roman"/>
          <w:sz w:val="24"/>
          <w:szCs w:val="24"/>
        </w:rPr>
        <w:t xml:space="preserve"> to facilitate success for the project it is crucial to effectively manage the stakeholders. The success of the projects is dependent on clear communication as well as considering the requirements of the stakeholders. </w:t>
      </w:r>
    </w:p>
    <w:p w14:paraId="7769DD05" w14:textId="3F4B021D" w:rsidR="00FE434A"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A wide array of entities consists of stakeholders involved, for instance, the government agencies as well as local communities, contractors, employees, suppliers and project owners. To fulfil the requirements of the stakeholders as well as maintain communication effectively is one of the crucial aspects of the project. such can be understood from the London Olympics 2021 project</w:t>
      </w:r>
      <w:r w:rsidR="00343BE4" w:rsidRPr="005D0709">
        <w:rPr>
          <w:rFonts w:ascii="Times New Roman" w:hAnsi="Times New Roman" w:cs="Times New Roman"/>
          <w:sz w:val="24"/>
          <w:szCs w:val="24"/>
        </w:rPr>
        <w:t xml:space="preserve"> </w:t>
      </w:r>
      <w:r w:rsidR="00343BE4" w:rsidRPr="005D0709">
        <w:rPr>
          <w:rFonts w:ascii="Times New Roman" w:hAnsi="Times New Roman" w:cs="Times New Roman"/>
          <w:kern w:val="0"/>
          <w:sz w:val="24"/>
          <w:szCs w:val="24"/>
          <w14:ligatures w14:val="none"/>
        </w:rPr>
        <w:t>(Larmar et al., 2021).</w:t>
      </w:r>
      <w:r w:rsidRPr="005D0709">
        <w:rPr>
          <w:rFonts w:ascii="Times New Roman" w:hAnsi="Times New Roman" w:cs="Times New Roman"/>
          <w:sz w:val="24"/>
          <w:szCs w:val="24"/>
        </w:rPr>
        <w:t xml:space="preserve"> </w:t>
      </w:r>
    </w:p>
    <w:p w14:paraId="3350F71D" w14:textId="77777777" w:rsidR="00FE434A"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Consequently, the lesson learned from the KGX1 consists of stakeholder engagement, risk management, budget transparency as well as sustainability commitment and community integration. Such lessons are crucial as well as significantly valuable for the upcoming projects of the IT industry as well as familiar industries. All such lessons will enable the organization to create a positive impact on the environment, economy as well and communities.          </w:t>
      </w:r>
    </w:p>
    <w:p w14:paraId="4424D566" w14:textId="08F33E6A" w:rsidR="00FE434A" w:rsidRPr="005D0709" w:rsidRDefault="00FE434A"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 xml:space="preserve">3. </w:t>
      </w:r>
      <w:r w:rsidR="00343BE4" w:rsidRPr="005D0709">
        <w:rPr>
          <w:rFonts w:ascii="Times New Roman" w:hAnsi="Times New Roman" w:cs="Times New Roman"/>
          <w:b/>
          <w:bCs/>
          <w:sz w:val="24"/>
          <w:szCs w:val="24"/>
        </w:rPr>
        <w:t>Suggestions</w:t>
      </w:r>
    </w:p>
    <w:p w14:paraId="541B76EE" w14:textId="2F97A8AB" w:rsidR="00FE434A"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Following are the </w:t>
      </w:r>
      <w:r w:rsidR="00343BE4" w:rsidRPr="005D0709">
        <w:rPr>
          <w:rFonts w:ascii="Times New Roman" w:hAnsi="Times New Roman" w:cs="Times New Roman"/>
          <w:sz w:val="24"/>
          <w:szCs w:val="24"/>
        </w:rPr>
        <w:t>suggestions</w:t>
      </w:r>
      <w:r w:rsidRPr="005D0709">
        <w:rPr>
          <w:rFonts w:ascii="Times New Roman" w:hAnsi="Times New Roman" w:cs="Times New Roman"/>
          <w:sz w:val="24"/>
          <w:szCs w:val="24"/>
        </w:rPr>
        <w:t xml:space="preserve"> based on the analysis. The </w:t>
      </w:r>
      <w:r w:rsidR="00343BE4" w:rsidRPr="005D0709">
        <w:rPr>
          <w:rFonts w:ascii="Times New Roman" w:hAnsi="Times New Roman" w:cs="Times New Roman"/>
          <w:sz w:val="24"/>
          <w:szCs w:val="24"/>
        </w:rPr>
        <w:t>suggestions</w:t>
      </w:r>
      <w:r w:rsidRPr="005D0709">
        <w:rPr>
          <w:rFonts w:ascii="Times New Roman" w:hAnsi="Times New Roman" w:cs="Times New Roman"/>
          <w:sz w:val="24"/>
          <w:szCs w:val="24"/>
        </w:rPr>
        <w:t xml:space="preserve"> are for upcoming projects in the IT industry as well as similar industries.    </w:t>
      </w:r>
    </w:p>
    <w:p w14:paraId="3CAE703D" w14:textId="77777777" w:rsidR="00FE434A" w:rsidRPr="005D0709" w:rsidRDefault="00FE434A"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a. Sustainability Commitment</w:t>
      </w:r>
    </w:p>
    <w:p w14:paraId="0B149D98" w14:textId="0E867CE7" w:rsidR="00FE434A"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Suggestions</w:t>
      </w:r>
      <w:r w:rsidR="00FE434A" w:rsidRPr="005D0709">
        <w:rPr>
          <w:rFonts w:ascii="Times New Roman" w:hAnsi="Times New Roman" w:cs="Times New Roman"/>
          <w:b/>
          <w:bCs/>
          <w:sz w:val="24"/>
          <w:szCs w:val="24"/>
        </w:rPr>
        <w:t xml:space="preserve">: </w:t>
      </w:r>
      <w:r w:rsidR="00FE434A" w:rsidRPr="005D0709">
        <w:rPr>
          <w:rFonts w:ascii="Times New Roman" w:hAnsi="Times New Roman" w:cs="Times New Roman"/>
          <w:sz w:val="24"/>
          <w:szCs w:val="24"/>
        </w:rPr>
        <w:t xml:space="preserve">promote sustainability of the environment through the incorporation of environmentally friendly </w:t>
      </w:r>
      <w:r w:rsidR="00D501D9" w:rsidRPr="005D0709">
        <w:rPr>
          <w:rFonts w:ascii="Times New Roman" w:hAnsi="Times New Roman" w:cs="Times New Roman"/>
          <w:sz w:val="24"/>
          <w:szCs w:val="24"/>
        </w:rPr>
        <w:t>design</w:t>
      </w:r>
      <w:r w:rsidR="00FE434A" w:rsidRPr="005D0709">
        <w:rPr>
          <w:rFonts w:ascii="Times New Roman" w:hAnsi="Times New Roman" w:cs="Times New Roman"/>
          <w:sz w:val="24"/>
          <w:szCs w:val="24"/>
        </w:rPr>
        <w:t xml:space="preserve"> standards as well as aiming for green certificates. Such is not only </w:t>
      </w:r>
      <w:r w:rsidR="00FE434A" w:rsidRPr="005D0709">
        <w:rPr>
          <w:rFonts w:ascii="Times New Roman" w:hAnsi="Times New Roman" w:cs="Times New Roman"/>
          <w:sz w:val="24"/>
          <w:szCs w:val="24"/>
        </w:rPr>
        <w:lastRenderedPageBreak/>
        <w:t xml:space="preserve">crucial for the environment but also beneficial for the organization in aligning itself with the current market values as well as trends. </w:t>
      </w:r>
    </w:p>
    <w:p w14:paraId="1109A727" w14:textId="30EE83FF" w:rsidR="00625C33" w:rsidRPr="005D0709" w:rsidRDefault="00FE434A"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Therefore, organizations within the IT industry are suggested to adopt sustainability management of business, as well as environmentally friendly practises through the employment of renewable energy as well as striving for green certificates. For instance, Apple’s commitment to 100 per cent products of carbon-neutral as well as Google’s renewable energy purchasing are ideal examples of industries' commitment to sustainability.   </w:t>
      </w:r>
      <w:r w:rsidR="003276A6" w:rsidRPr="005D0709">
        <w:rPr>
          <w:rFonts w:ascii="Times New Roman" w:hAnsi="Times New Roman" w:cs="Times New Roman"/>
          <w:sz w:val="24"/>
          <w:szCs w:val="24"/>
        </w:rPr>
        <w:t xml:space="preserve">  </w:t>
      </w:r>
      <w:r w:rsidR="008528C5" w:rsidRPr="005D0709">
        <w:rPr>
          <w:rFonts w:ascii="Times New Roman" w:hAnsi="Times New Roman" w:cs="Times New Roman"/>
          <w:sz w:val="24"/>
          <w:szCs w:val="24"/>
        </w:rPr>
        <w:t xml:space="preserve">  </w:t>
      </w:r>
      <w:r w:rsidR="004B6333" w:rsidRPr="005D0709">
        <w:rPr>
          <w:rFonts w:ascii="Times New Roman" w:hAnsi="Times New Roman" w:cs="Times New Roman"/>
          <w:sz w:val="24"/>
          <w:szCs w:val="24"/>
        </w:rPr>
        <w:t xml:space="preserve">  </w:t>
      </w:r>
      <w:r w:rsidR="0003485B" w:rsidRPr="005D0709">
        <w:rPr>
          <w:rFonts w:ascii="Times New Roman" w:hAnsi="Times New Roman" w:cs="Times New Roman"/>
          <w:sz w:val="24"/>
          <w:szCs w:val="24"/>
        </w:rPr>
        <w:t xml:space="preserve"> </w:t>
      </w:r>
      <w:r w:rsidR="00B11210" w:rsidRPr="005D0709">
        <w:rPr>
          <w:rFonts w:ascii="Times New Roman" w:hAnsi="Times New Roman" w:cs="Times New Roman"/>
          <w:sz w:val="24"/>
          <w:szCs w:val="24"/>
        </w:rPr>
        <w:t xml:space="preserve">   </w:t>
      </w:r>
    </w:p>
    <w:p w14:paraId="560116B7" w14:textId="77777777" w:rsidR="00AB642E" w:rsidRPr="005D0709" w:rsidRDefault="00AB642E"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b. Community Integration:</w:t>
      </w:r>
    </w:p>
    <w:p w14:paraId="02D152EF" w14:textId="25ECAC6B" w:rsidR="00AB642E"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Suggestions</w:t>
      </w:r>
      <w:r w:rsidR="00AB642E" w:rsidRPr="005D0709">
        <w:rPr>
          <w:rFonts w:ascii="Times New Roman" w:hAnsi="Times New Roman" w:cs="Times New Roman"/>
          <w:b/>
          <w:bCs/>
          <w:sz w:val="24"/>
          <w:szCs w:val="24"/>
        </w:rPr>
        <w:t>:</w:t>
      </w:r>
      <w:r w:rsidR="00AB642E" w:rsidRPr="005D0709">
        <w:rPr>
          <w:rFonts w:ascii="Times New Roman" w:hAnsi="Times New Roman" w:cs="Times New Roman"/>
          <w:sz w:val="24"/>
          <w:szCs w:val="24"/>
        </w:rPr>
        <w:t xml:space="preserve"> enthusiastically involve the local communities as well as certify that the project offers mutual benefits. This entails infrastructure enhancements, job opportunities as well and support for local businesses. </w:t>
      </w:r>
    </w:p>
    <w:p w14:paraId="3367563E" w14:textId="77777777" w:rsidR="00AB642E" w:rsidRPr="005D0709" w:rsidRDefault="00AB642E"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Projects, therefore, should actively explore ways through which they can integrate the local community. Thus, creating a mutually beneficial relationship. For instance, the Microsoft datacentre community Development Agreement in Ireland emphasises the positive influence of community integration.    </w:t>
      </w:r>
    </w:p>
    <w:p w14:paraId="1E6463F1" w14:textId="77777777" w:rsidR="00AB642E" w:rsidRPr="005D0709" w:rsidRDefault="00AB642E"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c. Risk Management</w:t>
      </w:r>
    </w:p>
    <w:p w14:paraId="0C5ACFBF" w14:textId="201A09E7" w:rsidR="00AB642E"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Suggestions</w:t>
      </w:r>
      <w:r w:rsidR="00AB642E" w:rsidRPr="005D0709">
        <w:rPr>
          <w:rFonts w:ascii="Times New Roman" w:hAnsi="Times New Roman" w:cs="Times New Roman"/>
          <w:b/>
          <w:bCs/>
          <w:sz w:val="24"/>
          <w:szCs w:val="24"/>
        </w:rPr>
        <w:t>:</w:t>
      </w:r>
      <w:r w:rsidR="00AB642E" w:rsidRPr="005D0709">
        <w:rPr>
          <w:rFonts w:ascii="Times New Roman" w:hAnsi="Times New Roman" w:cs="Times New Roman"/>
          <w:sz w:val="24"/>
          <w:szCs w:val="24"/>
        </w:rPr>
        <w:t xml:space="preserve"> develop flexible timelines to overcome unpredictable issues as well as challenges. Develop wide-ranging risk moderation plans. For a project of a large scale, risk management is extremely crucial.  </w:t>
      </w:r>
    </w:p>
    <w:p w14:paraId="12E098E6" w14:textId="77777777" w:rsidR="00AB642E" w:rsidRPr="005D0709" w:rsidRDefault="00AB642E"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Vigorous risk management is considered a cornerstone for planning of project. project needs to prepare for unpredictable scenarios and challenges as well as prepare backup plans. The London Heathrow Terminal 5 project is an ideal example of comprehending the importance of risk management.    </w:t>
      </w:r>
    </w:p>
    <w:p w14:paraId="4D56601C" w14:textId="77777777" w:rsidR="00AB642E" w:rsidRPr="005D0709" w:rsidRDefault="00AB642E"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d. Budget Transparency</w:t>
      </w:r>
    </w:p>
    <w:p w14:paraId="05B1E0A0" w14:textId="71523345" w:rsidR="00AB642E"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Suggestions</w:t>
      </w:r>
      <w:r w:rsidR="00AB642E" w:rsidRPr="005D0709">
        <w:rPr>
          <w:rFonts w:ascii="Times New Roman" w:hAnsi="Times New Roman" w:cs="Times New Roman"/>
          <w:b/>
          <w:bCs/>
          <w:sz w:val="24"/>
          <w:szCs w:val="24"/>
        </w:rPr>
        <w:t>:</w:t>
      </w:r>
      <w:r w:rsidR="00AB642E" w:rsidRPr="005D0709">
        <w:rPr>
          <w:rFonts w:ascii="Times New Roman" w:hAnsi="Times New Roman" w:cs="Times New Roman"/>
          <w:sz w:val="24"/>
          <w:szCs w:val="24"/>
        </w:rPr>
        <w:t xml:space="preserve"> offer in-depth budget interruptions as well as distribution to efficiently plan resources as well as control of finance.  Such measures allow the organization to avoid over-expenditure as well as ensure cost-effective distribution of resources.    </w:t>
      </w:r>
    </w:p>
    <w:p w14:paraId="1403146C" w14:textId="77777777" w:rsidR="00AB642E" w:rsidRPr="005D0709" w:rsidRDefault="00AB642E"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lastRenderedPageBreak/>
        <w:t xml:space="preserve">For the budget management, transparency is essential. To ensure the effective distribution of resources, detailed budget breakdowns can be used. For instance, Amazon’s HQ2 project in Virginia represents the transparent management of budgets in large-scale projects.      </w:t>
      </w:r>
    </w:p>
    <w:p w14:paraId="553332D9" w14:textId="77777777" w:rsidR="00AB642E" w:rsidRPr="005D0709" w:rsidRDefault="00AB642E" w:rsidP="005D0709">
      <w:pPr>
        <w:spacing w:line="360" w:lineRule="auto"/>
        <w:jc w:val="both"/>
        <w:rPr>
          <w:rFonts w:ascii="Times New Roman" w:hAnsi="Times New Roman" w:cs="Times New Roman"/>
          <w:b/>
          <w:bCs/>
          <w:sz w:val="24"/>
          <w:szCs w:val="24"/>
        </w:rPr>
      </w:pPr>
      <w:r w:rsidRPr="005D0709">
        <w:rPr>
          <w:rFonts w:ascii="Times New Roman" w:hAnsi="Times New Roman" w:cs="Times New Roman"/>
          <w:b/>
          <w:bCs/>
          <w:sz w:val="24"/>
          <w:szCs w:val="24"/>
        </w:rPr>
        <w:t xml:space="preserve">e. Stakeholder Engagement: </w:t>
      </w:r>
    </w:p>
    <w:p w14:paraId="283290D7" w14:textId="51F7844C" w:rsidR="00AB642E" w:rsidRPr="005D0709" w:rsidRDefault="005D0709" w:rsidP="005D0709">
      <w:pPr>
        <w:spacing w:line="360" w:lineRule="auto"/>
        <w:jc w:val="both"/>
        <w:rPr>
          <w:rFonts w:ascii="Times New Roman" w:hAnsi="Times New Roman" w:cs="Times New Roman"/>
          <w:sz w:val="24"/>
          <w:szCs w:val="24"/>
        </w:rPr>
      </w:pPr>
      <w:r w:rsidRPr="005D0709">
        <w:rPr>
          <w:rFonts w:ascii="Times New Roman" w:hAnsi="Times New Roman" w:cs="Times New Roman"/>
          <w:b/>
          <w:bCs/>
          <w:sz w:val="24"/>
          <w:szCs w:val="24"/>
        </w:rPr>
        <w:t>Suggestions</w:t>
      </w:r>
      <w:r w:rsidR="00AB642E" w:rsidRPr="005D0709">
        <w:rPr>
          <w:rFonts w:ascii="Times New Roman" w:hAnsi="Times New Roman" w:cs="Times New Roman"/>
          <w:b/>
          <w:bCs/>
          <w:sz w:val="24"/>
          <w:szCs w:val="24"/>
        </w:rPr>
        <w:t xml:space="preserve">: </w:t>
      </w:r>
      <w:r w:rsidR="00AB642E" w:rsidRPr="005D0709">
        <w:rPr>
          <w:rFonts w:ascii="Times New Roman" w:hAnsi="Times New Roman" w:cs="Times New Roman"/>
          <w:sz w:val="24"/>
          <w:szCs w:val="24"/>
        </w:rPr>
        <w:t xml:space="preserve"> place emphasis on the effective involvement of stakeholders.  Such entails project owners, the local community as well as government agencies, suppliers, employees and contractors. For the success of the project, it is crucial to meet the requirements of the stakeholders as well as maintain clear communication.   </w:t>
      </w:r>
    </w:p>
    <w:p w14:paraId="36EB5210" w14:textId="77777777" w:rsidR="00AB642E" w:rsidRPr="005D0709" w:rsidRDefault="00AB642E"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However, the process of involving stakeholders can be complicated as well as complex. To ensure the success of the project it is essential to maintain effective communication as well as fulfil the requirements of all stakeholders. In complex projects, stakeholder involvement is extremely crucial. such has been demonstrated through the Panama Canal expansion project. </w:t>
      </w:r>
    </w:p>
    <w:p w14:paraId="7CB7EE00" w14:textId="66DC2392" w:rsidR="00AB642E" w:rsidRPr="005D0709" w:rsidRDefault="00AB642E"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Budget transparency, risk management as well as sustainability, community engagement and stakeholder involvement are all considered crucial for the success of projects. Through execution of such </w:t>
      </w:r>
      <w:r w:rsidR="00343BE4" w:rsidRPr="005D0709">
        <w:rPr>
          <w:rFonts w:ascii="Times New Roman" w:hAnsi="Times New Roman" w:cs="Times New Roman"/>
          <w:sz w:val="24"/>
          <w:szCs w:val="24"/>
        </w:rPr>
        <w:t>sugesstions</w:t>
      </w:r>
      <w:r w:rsidRPr="005D0709">
        <w:rPr>
          <w:rFonts w:ascii="Times New Roman" w:hAnsi="Times New Roman" w:cs="Times New Roman"/>
          <w:sz w:val="24"/>
          <w:szCs w:val="24"/>
        </w:rPr>
        <w:t xml:space="preserve"> within the IT industry, as well as similar industries can have a significant positive influence. As for the KGX1, as it finishes by the year 2024, it can significantly enhance the entire IT industry as well as contribute to forming a sustainable future as well as integrated.             </w:t>
      </w:r>
    </w:p>
    <w:p w14:paraId="37326D10" w14:textId="77777777" w:rsidR="00AB642E" w:rsidRPr="005D0709" w:rsidRDefault="00AB642E" w:rsidP="005D0709">
      <w:pPr>
        <w:pStyle w:val="1"/>
        <w:spacing w:line="360" w:lineRule="auto"/>
        <w:jc w:val="both"/>
        <w:rPr>
          <w:rFonts w:ascii="Times New Roman" w:hAnsi="Times New Roman" w:cs="Times New Roman"/>
          <w:color w:val="auto"/>
          <w:sz w:val="24"/>
          <w:szCs w:val="24"/>
        </w:rPr>
      </w:pPr>
      <w:bookmarkStart w:id="3" w:name="_Toc151387938"/>
      <w:r w:rsidRPr="005D0709">
        <w:rPr>
          <w:rFonts w:ascii="Times New Roman" w:hAnsi="Times New Roman" w:cs="Times New Roman"/>
          <w:color w:val="auto"/>
          <w:sz w:val="24"/>
          <w:szCs w:val="24"/>
        </w:rPr>
        <w:t>Conclusion</w:t>
      </w:r>
      <w:bookmarkEnd w:id="3"/>
    </w:p>
    <w:p w14:paraId="248ECA6B" w14:textId="77777777" w:rsidR="00AB642E" w:rsidRPr="005D0709" w:rsidRDefault="00AB642E"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 xml:space="preserve">Consequently, the Kings Cross Google KGX1, a London-based project contains the potential to be successful in future as well as significantly revolutionise the entire IT industry. it serves as an ideal example for the industry as Google has been able to align itself with the current trend of the market as well as values as the organization has committed itself to innovation, sustainability as well and community engagement.    </w:t>
      </w:r>
    </w:p>
    <w:p w14:paraId="0D8117EC"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br w:type="page"/>
      </w:r>
    </w:p>
    <w:p w14:paraId="722DAE86" w14:textId="3B9CE81B" w:rsidR="00AA59C6" w:rsidRPr="005D0709" w:rsidRDefault="00AB642E" w:rsidP="005D0709">
      <w:pPr>
        <w:pStyle w:val="1"/>
        <w:spacing w:line="360" w:lineRule="auto"/>
        <w:jc w:val="both"/>
        <w:rPr>
          <w:rFonts w:ascii="Times New Roman" w:hAnsi="Times New Roman" w:cs="Times New Roman"/>
          <w:color w:val="auto"/>
          <w:sz w:val="24"/>
          <w:szCs w:val="24"/>
        </w:rPr>
      </w:pPr>
      <w:bookmarkStart w:id="4" w:name="_Toc151387939"/>
      <w:r w:rsidRPr="005D0709">
        <w:rPr>
          <w:rFonts w:ascii="Times New Roman" w:hAnsi="Times New Roman" w:cs="Times New Roman"/>
          <w:color w:val="auto"/>
          <w:sz w:val="24"/>
          <w:szCs w:val="24"/>
        </w:rPr>
        <w:lastRenderedPageBreak/>
        <w:t>References</w:t>
      </w:r>
      <w:bookmarkEnd w:id="4"/>
    </w:p>
    <w:p w14:paraId="5B956744"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Ahrens, T. and Ferry, L., 2021. Accounting and accountability practices in times of crisis: a Foucauldian perspective on the UK government's response to COVID-19 for England. Accounting, Auditing &amp; Accountability Journal, 34(6), pp.1332-1344.</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0DA77FBC"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Al-Shaer, H. and Zaman, M., 2019. CEO compensation and sustainability reporting assurance: Evidence from the UK. Journal of Business Ethics, 158, pp.233-252.</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6DDC1594"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Burdon, D., Potts, T., Barnard, S., Boyes, S.J. and Lannin, A., 2022. Linking natural capital, benefits and beneficiaries: The role of participatory mapping and logic chains for community engagement. Environmental Science &amp; Policy, 134, pp.85-99.</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2F34B724"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Darwish, S. and Smart, F., 2020. Innovative Roles in Leading Community Engagement and Cooperation with employers: Case Study from a Bahraini University. Journal of Economics and Economic Education Research, 21(4).</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1462BAF8"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Dey, P.K., Malesios, C., De, D., Chowdhury, S. and Abdelaziz, F.B., 2020. The impact of lean management practices and sustainably‐oriented innovation on sustainability performance of small and medium‐sized enterprises: empirical evidence from the UK. British Journal of Management, 31(1), pp.141-161.</w:t>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2AAB7C3C" w14:textId="48227AA0"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Fair, J., 2019. Can you see what I see? Differing perspectives between low and micro-budget filmmakers and film development agencies. Studies in Arts and Humanities, 5(2), pp.65-79.</w:t>
      </w:r>
      <w:r w:rsidRPr="005D0709">
        <w:rPr>
          <w:rFonts w:ascii="Times New Roman" w:hAnsi="Times New Roman" w:cs="Times New Roman"/>
          <w:sz w:val="24"/>
          <w:szCs w:val="24"/>
        </w:rPr>
        <w:tab/>
      </w:r>
    </w:p>
    <w:p w14:paraId="0FC9CFDC"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Gupta, K., Crilly, D. and Greckhamer, T., 2020. Stakeholder engagement strategies, national institutions, and firm performance: A configurational perspective. Strategic Management Journal, 41(10), pp.1869-1900.</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4C37D807" w14:textId="6DC72211"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Larmar, S., Sunuwar, M., Sherpa, H., Joshi, R. and Jordan, L.P., 2021. Strengthening community engagement in Nepal during COVID-19: Community-based training and development to reduce child labour. Asia Pacific Journal of Social Work and Development, 31(1-2), pp.23-30.</w:t>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15676BB9"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Loureiro, S.M.C., Romero, J. and Bilro, R.G., 2020. Stakeholder engagement in co-creation processes for innovation: A systematic literature review and case study. Journal of Business Research, 119, pp.388-409.</w:t>
      </w:r>
      <w:r w:rsidRPr="005D0709">
        <w:rPr>
          <w:rFonts w:ascii="Times New Roman" w:hAnsi="Times New Roman" w:cs="Times New Roman"/>
          <w:sz w:val="24"/>
          <w:szCs w:val="24"/>
        </w:rPr>
        <w:tab/>
      </w:r>
    </w:p>
    <w:p w14:paraId="3B9C5041"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lastRenderedPageBreak/>
        <w:t>Skeete, J.P., Wells, P., Dong, X., Heidrich, O. and Harper, G., 2020. Beyond the EVent horizon: Battery waste, recycling, and sustainability in the United Kingdom electric vehicle transition. Energy Research &amp; Social Science, 69, p.101581.</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76BFA25B"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Taws, R., 2019. At King's Cross Amalia Pica’s ‘Semaphores’. London Review of Books, 41(20), p.16.</w:t>
      </w:r>
      <w:r w:rsidRPr="005D0709">
        <w:rPr>
          <w:rFonts w:ascii="Times New Roman" w:hAnsi="Times New Roman" w:cs="Times New Roman"/>
          <w:sz w:val="24"/>
          <w:szCs w:val="24"/>
        </w:rPr>
        <w:tab/>
      </w:r>
      <w:r w:rsidRPr="005D0709">
        <w:rPr>
          <w:rFonts w:ascii="Times New Roman" w:hAnsi="Times New Roman" w:cs="Times New Roman"/>
          <w:sz w:val="24"/>
          <w:szCs w:val="24"/>
        </w:rPr>
        <w:tab/>
      </w:r>
    </w:p>
    <w:p w14:paraId="30C4679C" w14:textId="77777777" w:rsidR="00343BE4" w:rsidRPr="005D0709" w:rsidRDefault="00343BE4" w:rsidP="005D0709">
      <w:pPr>
        <w:spacing w:line="360" w:lineRule="auto"/>
        <w:jc w:val="both"/>
        <w:rPr>
          <w:rFonts w:ascii="Times New Roman" w:hAnsi="Times New Roman" w:cs="Times New Roman"/>
          <w:sz w:val="24"/>
          <w:szCs w:val="24"/>
        </w:rPr>
      </w:pPr>
      <w:r w:rsidRPr="005D0709">
        <w:rPr>
          <w:rFonts w:ascii="Times New Roman" w:hAnsi="Times New Roman" w:cs="Times New Roman"/>
          <w:sz w:val="24"/>
          <w:szCs w:val="24"/>
        </w:rPr>
        <w:t>Van Raalte, C., Wallis, R. and Pekalski, D., 2023. More than just a few ‘bad apples’: the need for a risk management approach to the problem of workplace bullying in the UK’s television industry. Creative Industries Journal, pp.1-18.</w:t>
      </w:r>
      <w:r w:rsidRPr="005D0709">
        <w:rPr>
          <w:rFonts w:ascii="Times New Roman" w:hAnsi="Times New Roman" w:cs="Times New Roman"/>
          <w:sz w:val="24"/>
          <w:szCs w:val="24"/>
        </w:rPr>
        <w:tab/>
      </w:r>
      <w:r w:rsidRPr="005D0709">
        <w:rPr>
          <w:rFonts w:ascii="Times New Roman" w:hAnsi="Times New Roman" w:cs="Times New Roman"/>
          <w:sz w:val="24"/>
          <w:szCs w:val="24"/>
        </w:rPr>
        <w:tab/>
      </w:r>
      <w:r w:rsidRPr="005D0709">
        <w:rPr>
          <w:rFonts w:ascii="Times New Roman" w:hAnsi="Times New Roman" w:cs="Times New Roman"/>
          <w:sz w:val="24"/>
          <w:szCs w:val="24"/>
        </w:rPr>
        <w:tab/>
      </w:r>
    </w:p>
    <w:sectPr w:rsidR="00343BE4" w:rsidRPr="005D070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D2120" w14:textId="77777777" w:rsidR="00BC1B70" w:rsidRDefault="00BC1B70" w:rsidP="005D0709">
      <w:pPr>
        <w:spacing w:after="0" w:line="240" w:lineRule="auto"/>
      </w:pPr>
      <w:r>
        <w:separator/>
      </w:r>
    </w:p>
  </w:endnote>
  <w:endnote w:type="continuationSeparator" w:id="0">
    <w:p w14:paraId="5F94A116" w14:textId="77777777" w:rsidR="00BC1B70" w:rsidRDefault="00BC1B70" w:rsidP="005D0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543358"/>
      <w:docPartObj>
        <w:docPartGallery w:val="Page Numbers (Bottom of Page)"/>
        <w:docPartUnique/>
      </w:docPartObj>
    </w:sdtPr>
    <w:sdtEndPr>
      <w:rPr>
        <w:noProof/>
      </w:rPr>
    </w:sdtEndPr>
    <w:sdtContent>
      <w:p w14:paraId="3F572739" w14:textId="7CD53E66" w:rsidR="005D0709" w:rsidRDefault="005D0709">
        <w:pPr>
          <w:pStyle w:val="a6"/>
          <w:jc w:val="right"/>
        </w:pPr>
        <w:r>
          <w:fldChar w:fldCharType="begin"/>
        </w:r>
        <w:r>
          <w:instrText xml:space="preserve"> PAGE   \* MERGEFORMAT </w:instrText>
        </w:r>
        <w:r>
          <w:fldChar w:fldCharType="separate"/>
        </w:r>
        <w:r>
          <w:rPr>
            <w:noProof/>
          </w:rPr>
          <w:t>2</w:t>
        </w:r>
        <w:r>
          <w:rPr>
            <w:noProof/>
          </w:rPr>
          <w:fldChar w:fldCharType="end"/>
        </w:r>
      </w:p>
    </w:sdtContent>
  </w:sdt>
  <w:p w14:paraId="018EEBD0" w14:textId="77777777" w:rsidR="005D0709" w:rsidRDefault="005D070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60EB5" w14:textId="77777777" w:rsidR="00BC1B70" w:rsidRDefault="00BC1B70" w:rsidP="005D0709">
      <w:pPr>
        <w:spacing w:after="0" w:line="240" w:lineRule="auto"/>
      </w:pPr>
      <w:r>
        <w:separator/>
      </w:r>
    </w:p>
  </w:footnote>
  <w:footnote w:type="continuationSeparator" w:id="0">
    <w:p w14:paraId="48F9A875" w14:textId="77777777" w:rsidR="00BC1B70" w:rsidRDefault="00BC1B70" w:rsidP="005D07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B7EE4"/>
    <w:multiLevelType w:val="hybridMultilevel"/>
    <w:tmpl w:val="A9B03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3147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01"/>
    <w:rsid w:val="0000143F"/>
    <w:rsid w:val="00014F0F"/>
    <w:rsid w:val="0002019C"/>
    <w:rsid w:val="000259A6"/>
    <w:rsid w:val="0003237E"/>
    <w:rsid w:val="0003485B"/>
    <w:rsid w:val="00041EFC"/>
    <w:rsid w:val="00044E7C"/>
    <w:rsid w:val="00044EE0"/>
    <w:rsid w:val="00060BEE"/>
    <w:rsid w:val="000A519D"/>
    <w:rsid w:val="000B10AF"/>
    <w:rsid w:val="000C0BE6"/>
    <w:rsid w:val="000F1D34"/>
    <w:rsid w:val="000F2011"/>
    <w:rsid w:val="00131D45"/>
    <w:rsid w:val="00137FB8"/>
    <w:rsid w:val="0015593D"/>
    <w:rsid w:val="00172C1A"/>
    <w:rsid w:val="00180B7E"/>
    <w:rsid w:val="00185462"/>
    <w:rsid w:val="00186655"/>
    <w:rsid w:val="00190AAE"/>
    <w:rsid w:val="001A09BC"/>
    <w:rsid w:val="001A2469"/>
    <w:rsid w:val="001A26D5"/>
    <w:rsid w:val="001A3324"/>
    <w:rsid w:val="001B15DF"/>
    <w:rsid w:val="001B2D86"/>
    <w:rsid w:val="001C6A50"/>
    <w:rsid w:val="001D47D8"/>
    <w:rsid w:val="001D5AF9"/>
    <w:rsid w:val="001E747F"/>
    <w:rsid w:val="00256B64"/>
    <w:rsid w:val="002A2A65"/>
    <w:rsid w:val="002D24E0"/>
    <w:rsid w:val="002D259D"/>
    <w:rsid w:val="002E36D0"/>
    <w:rsid w:val="003027F1"/>
    <w:rsid w:val="00305814"/>
    <w:rsid w:val="00320DFE"/>
    <w:rsid w:val="00321046"/>
    <w:rsid w:val="003276A6"/>
    <w:rsid w:val="00330DB5"/>
    <w:rsid w:val="00343BE4"/>
    <w:rsid w:val="0035073E"/>
    <w:rsid w:val="0035404E"/>
    <w:rsid w:val="0037239D"/>
    <w:rsid w:val="003775FA"/>
    <w:rsid w:val="00383942"/>
    <w:rsid w:val="003A5C2A"/>
    <w:rsid w:val="003C7B83"/>
    <w:rsid w:val="003E0EA1"/>
    <w:rsid w:val="003F74F8"/>
    <w:rsid w:val="00406B92"/>
    <w:rsid w:val="00414652"/>
    <w:rsid w:val="00430512"/>
    <w:rsid w:val="00446F21"/>
    <w:rsid w:val="00452E8A"/>
    <w:rsid w:val="00493FFA"/>
    <w:rsid w:val="004A4873"/>
    <w:rsid w:val="004B6333"/>
    <w:rsid w:val="004B7256"/>
    <w:rsid w:val="004D1ABA"/>
    <w:rsid w:val="004E56AB"/>
    <w:rsid w:val="0052358C"/>
    <w:rsid w:val="00530686"/>
    <w:rsid w:val="00532119"/>
    <w:rsid w:val="0054352C"/>
    <w:rsid w:val="00553AC3"/>
    <w:rsid w:val="005771AC"/>
    <w:rsid w:val="0059198F"/>
    <w:rsid w:val="00593D25"/>
    <w:rsid w:val="005B1DF6"/>
    <w:rsid w:val="005C2E6C"/>
    <w:rsid w:val="005D0709"/>
    <w:rsid w:val="005D53C3"/>
    <w:rsid w:val="00604A9B"/>
    <w:rsid w:val="00620CBF"/>
    <w:rsid w:val="006231C2"/>
    <w:rsid w:val="00625C33"/>
    <w:rsid w:val="00634764"/>
    <w:rsid w:val="006401B1"/>
    <w:rsid w:val="00641646"/>
    <w:rsid w:val="006430E6"/>
    <w:rsid w:val="00645DC8"/>
    <w:rsid w:val="00646DB2"/>
    <w:rsid w:val="006808C8"/>
    <w:rsid w:val="006850C2"/>
    <w:rsid w:val="00687DD3"/>
    <w:rsid w:val="0069515D"/>
    <w:rsid w:val="006A4F65"/>
    <w:rsid w:val="006B0720"/>
    <w:rsid w:val="006C00FD"/>
    <w:rsid w:val="006D1E8C"/>
    <w:rsid w:val="006D6A1C"/>
    <w:rsid w:val="006F3177"/>
    <w:rsid w:val="007515CD"/>
    <w:rsid w:val="0079057E"/>
    <w:rsid w:val="00794C8E"/>
    <w:rsid w:val="007B215E"/>
    <w:rsid w:val="007C61C9"/>
    <w:rsid w:val="007F32C1"/>
    <w:rsid w:val="00807617"/>
    <w:rsid w:val="0082497C"/>
    <w:rsid w:val="008353E9"/>
    <w:rsid w:val="0084656E"/>
    <w:rsid w:val="008528C5"/>
    <w:rsid w:val="008629FF"/>
    <w:rsid w:val="00865E9D"/>
    <w:rsid w:val="008664A1"/>
    <w:rsid w:val="00867A4D"/>
    <w:rsid w:val="0087211F"/>
    <w:rsid w:val="0087598F"/>
    <w:rsid w:val="008E3B41"/>
    <w:rsid w:val="008F49F1"/>
    <w:rsid w:val="008F7E48"/>
    <w:rsid w:val="0090217F"/>
    <w:rsid w:val="00912E28"/>
    <w:rsid w:val="0093740A"/>
    <w:rsid w:val="009416C9"/>
    <w:rsid w:val="00975EDA"/>
    <w:rsid w:val="009846A9"/>
    <w:rsid w:val="009931C2"/>
    <w:rsid w:val="00993C49"/>
    <w:rsid w:val="009B6CC9"/>
    <w:rsid w:val="009C1FF6"/>
    <w:rsid w:val="009D47F5"/>
    <w:rsid w:val="009E0ED2"/>
    <w:rsid w:val="00A02D82"/>
    <w:rsid w:val="00A15A2A"/>
    <w:rsid w:val="00A21DAC"/>
    <w:rsid w:val="00A26D2B"/>
    <w:rsid w:val="00A30433"/>
    <w:rsid w:val="00A304B2"/>
    <w:rsid w:val="00A315A4"/>
    <w:rsid w:val="00A4575B"/>
    <w:rsid w:val="00A471A4"/>
    <w:rsid w:val="00A72767"/>
    <w:rsid w:val="00A748DD"/>
    <w:rsid w:val="00A835B2"/>
    <w:rsid w:val="00AA59C6"/>
    <w:rsid w:val="00AB642E"/>
    <w:rsid w:val="00AB7953"/>
    <w:rsid w:val="00AD3AA0"/>
    <w:rsid w:val="00AD6112"/>
    <w:rsid w:val="00AE6356"/>
    <w:rsid w:val="00AF12CC"/>
    <w:rsid w:val="00B00516"/>
    <w:rsid w:val="00B00C2D"/>
    <w:rsid w:val="00B11210"/>
    <w:rsid w:val="00B4749F"/>
    <w:rsid w:val="00B66BD7"/>
    <w:rsid w:val="00B75280"/>
    <w:rsid w:val="00B91B05"/>
    <w:rsid w:val="00BA0F39"/>
    <w:rsid w:val="00BB0E2E"/>
    <w:rsid w:val="00BB3D55"/>
    <w:rsid w:val="00BC1B70"/>
    <w:rsid w:val="00BC75F4"/>
    <w:rsid w:val="00BF755B"/>
    <w:rsid w:val="00C13B34"/>
    <w:rsid w:val="00C33E4E"/>
    <w:rsid w:val="00C363F6"/>
    <w:rsid w:val="00C60FE8"/>
    <w:rsid w:val="00C61EF7"/>
    <w:rsid w:val="00C73EF6"/>
    <w:rsid w:val="00C93D00"/>
    <w:rsid w:val="00C93F88"/>
    <w:rsid w:val="00C9669F"/>
    <w:rsid w:val="00CB6C1B"/>
    <w:rsid w:val="00CB718A"/>
    <w:rsid w:val="00CC1E3E"/>
    <w:rsid w:val="00CC453B"/>
    <w:rsid w:val="00CF1616"/>
    <w:rsid w:val="00CF6E17"/>
    <w:rsid w:val="00D209E3"/>
    <w:rsid w:val="00D24F71"/>
    <w:rsid w:val="00D25DED"/>
    <w:rsid w:val="00D3300B"/>
    <w:rsid w:val="00D36E9F"/>
    <w:rsid w:val="00D42253"/>
    <w:rsid w:val="00D501D9"/>
    <w:rsid w:val="00D6602B"/>
    <w:rsid w:val="00D674FD"/>
    <w:rsid w:val="00D7672E"/>
    <w:rsid w:val="00D90F71"/>
    <w:rsid w:val="00D96CCF"/>
    <w:rsid w:val="00DC6ABE"/>
    <w:rsid w:val="00DD51A8"/>
    <w:rsid w:val="00E007F0"/>
    <w:rsid w:val="00E05DA8"/>
    <w:rsid w:val="00E070DC"/>
    <w:rsid w:val="00E417F2"/>
    <w:rsid w:val="00E5149F"/>
    <w:rsid w:val="00E84466"/>
    <w:rsid w:val="00E94524"/>
    <w:rsid w:val="00EC7A99"/>
    <w:rsid w:val="00F00910"/>
    <w:rsid w:val="00F05572"/>
    <w:rsid w:val="00F22EEE"/>
    <w:rsid w:val="00F3578D"/>
    <w:rsid w:val="00F5356A"/>
    <w:rsid w:val="00F6384A"/>
    <w:rsid w:val="00F92D8D"/>
    <w:rsid w:val="00F94A83"/>
    <w:rsid w:val="00FA7A01"/>
    <w:rsid w:val="00FE434A"/>
    <w:rsid w:val="00FE6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BB60"/>
  <w15:chartTrackingRefBased/>
  <w15:docId w15:val="{F3640CAE-92A1-4AB9-9D71-D37143DCC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autoRedefine/>
    <w:uiPriority w:val="9"/>
    <w:qFormat/>
    <w:rsid w:val="0052358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2">
    <w:name w:val="heading 2"/>
    <w:basedOn w:val="a"/>
    <w:next w:val="a"/>
    <w:link w:val="20"/>
    <w:autoRedefine/>
    <w:uiPriority w:val="9"/>
    <w:unhideWhenUsed/>
    <w:qFormat/>
    <w:rsid w:val="0052358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2358C"/>
    <w:rPr>
      <w:rFonts w:asciiTheme="majorHAnsi" w:eastAsiaTheme="majorEastAsia" w:hAnsiTheme="majorHAnsi" w:cstheme="majorBidi"/>
      <w:b/>
      <w:color w:val="2F5496" w:themeColor="accent1" w:themeShade="BF"/>
      <w:sz w:val="32"/>
      <w:szCs w:val="32"/>
    </w:rPr>
  </w:style>
  <w:style w:type="character" w:customStyle="1" w:styleId="20">
    <w:name w:val="Заглавие 2 Знак"/>
    <w:basedOn w:val="a0"/>
    <w:link w:val="2"/>
    <w:uiPriority w:val="9"/>
    <w:rsid w:val="0052358C"/>
    <w:rPr>
      <w:rFonts w:asciiTheme="majorHAnsi" w:eastAsiaTheme="majorEastAsia" w:hAnsiTheme="majorHAnsi" w:cstheme="majorBidi"/>
      <w:b/>
      <w:color w:val="2F5496" w:themeColor="accent1" w:themeShade="BF"/>
      <w:sz w:val="26"/>
      <w:szCs w:val="26"/>
    </w:rPr>
  </w:style>
  <w:style w:type="paragraph" w:styleId="a3">
    <w:name w:val="List Paragraph"/>
    <w:basedOn w:val="a"/>
    <w:uiPriority w:val="34"/>
    <w:qFormat/>
    <w:rsid w:val="00AB642E"/>
    <w:pPr>
      <w:ind w:left="720"/>
      <w:contextualSpacing/>
    </w:pPr>
  </w:style>
  <w:style w:type="paragraph" w:styleId="a4">
    <w:name w:val="header"/>
    <w:basedOn w:val="a"/>
    <w:link w:val="a5"/>
    <w:uiPriority w:val="99"/>
    <w:unhideWhenUsed/>
    <w:rsid w:val="005D0709"/>
    <w:pPr>
      <w:tabs>
        <w:tab w:val="center" w:pos="4680"/>
        <w:tab w:val="right" w:pos="9360"/>
      </w:tabs>
      <w:spacing w:after="0" w:line="240" w:lineRule="auto"/>
    </w:pPr>
  </w:style>
  <w:style w:type="character" w:customStyle="1" w:styleId="a5">
    <w:name w:val="Горен колонтитул Знак"/>
    <w:basedOn w:val="a0"/>
    <w:link w:val="a4"/>
    <w:uiPriority w:val="99"/>
    <w:rsid w:val="005D0709"/>
    <w:rPr>
      <w:lang w:val="en-GB"/>
    </w:rPr>
  </w:style>
  <w:style w:type="paragraph" w:styleId="a6">
    <w:name w:val="footer"/>
    <w:basedOn w:val="a"/>
    <w:link w:val="a7"/>
    <w:uiPriority w:val="99"/>
    <w:unhideWhenUsed/>
    <w:rsid w:val="005D0709"/>
    <w:pPr>
      <w:tabs>
        <w:tab w:val="center" w:pos="4680"/>
        <w:tab w:val="right" w:pos="9360"/>
      </w:tabs>
      <w:spacing w:after="0" w:line="240" w:lineRule="auto"/>
    </w:pPr>
  </w:style>
  <w:style w:type="character" w:customStyle="1" w:styleId="a7">
    <w:name w:val="Долен колонтитул Знак"/>
    <w:basedOn w:val="a0"/>
    <w:link w:val="a6"/>
    <w:uiPriority w:val="99"/>
    <w:rsid w:val="005D0709"/>
    <w:rPr>
      <w:lang w:val="en-GB"/>
    </w:rPr>
  </w:style>
  <w:style w:type="paragraph" w:styleId="a8">
    <w:name w:val="TOC Heading"/>
    <w:basedOn w:val="1"/>
    <w:next w:val="a"/>
    <w:uiPriority w:val="39"/>
    <w:unhideWhenUsed/>
    <w:qFormat/>
    <w:rsid w:val="005D0709"/>
    <w:pPr>
      <w:outlineLvl w:val="9"/>
    </w:pPr>
    <w:rPr>
      <w:b w:val="0"/>
      <w:kern w:val="0"/>
      <w:lang w:val="en-US"/>
      <w14:ligatures w14:val="none"/>
    </w:rPr>
  </w:style>
  <w:style w:type="paragraph" w:styleId="11">
    <w:name w:val="toc 1"/>
    <w:basedOn w:val="a"/>
    <w:next w:val="a"/>
    <w:autoRedefine/>
    <w:uiPriority w:val="39"/>
    <w:unhideWhenUsed/>
    <w:rsid w:val="005D0709"/>
    <w:pPr>
      <w:spacing w:after="100"/>
    </w:pPr>
  </w:style>
  <w:style w:type="character" w:styleId="a9">
    <w:name w:val="Hyperlink"/>
    <w:basedOn w:val="a0"/>
    <w:uiPriority w:val="99"/>
    <w:unhideWhenUsed/>
    <w:rsid w:val="005D0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9159B-BF53-4730-8BC3-F7777CAFF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3107</Words>
  <Characters>17713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Petar Ognyanov Mitev (2122707)</cp:lastModifiedBy>
  <cp:revision>3</cp:revision>
  <dcterms:created xsi:type="dcterms:W3CDTF">2023-12-19T12:38:00Z</dcterms:created>
  <dcterms:modified xsi:type="dcterms:W3CDTF">2023-12-19T12:50:00Z</dcterms:modified>
</cp:coreProperties>
</file>