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50C8" w:rsidRDefault="00BA3BB2" w:rsidP="008A3AD2">
      <w:pPr>
        <w:spacing w:line="360" w:lineRule="auto"/>
        <w:rPr>
          <w:rFonts w:ascii="Arial" w:hAnsi="Arial" w:cs="Arial"/>
          <w:sz w:val="24"/>
        </w:rPr>
      </w:pPr>
      <w:r>
        <w:rPr>
          <w:rFonts w:ascii="Arial" w:hAnsi="Arial" w:cs="Arial"/>
          <w:sz w:val="24"/>
        </w:rPr>
        <w:t>This review will explore the importance of activity in the elderly</w:t>
      </w:r>
      <w:r w:rsidR="00EA271E">
        <w:rPr>
          <w:rFonts w:ascii="Arial" w:hAnsi="Arial" w:cs="Arial"/>
          <w:sz w:val="24"/>
        </w:rPr>
        <w:t xml:space="preserve">, some </w:t>
      </w:r>
      <w:bookmarkStart w:id="0" w:name="_GoBack"/>
      <w:bookmarkEnd w:id="0"/>
      <w:r w:rsidR="007250C8">
        <w:rPr>
          <w:rFonts w:ascii="Arial" w:hAnsi="Arial" w:cs="Arial"/>
          <w:sz w:val="24"/>
        </w:rPr>
        <w:t>with dementia</w:t>
      </w:r>
      <w:r>
        <w:rPr>
          <w:rFonts w:ascii="Arial" w:hAnsi="Arial" w:cs="Arial"/>
          <w:sz w:val="24"/>
        </w:rPr>
        <w:t xml:space="preserve"> and the theory’s that support it. The review will focus on a recent media</w:t>
      </w:r>
      <w:r w:rsidR="00D84D04">
        <w:rPr>
          <w:rFonts w:ascii="Arial" w:hAnsi="Arial" w:cs="Arial"/>
          <w:sz w:val="24"/>
        </w:rPr>
        <w:t xml:space="preserve"> story entitled ‘It touches their</w:t>
      </w:r>
      <w:r>
        <w:rPr>
          <w:rFonts w:ascii="Arial" w:hAnsi="Arial" w:cs="Arial"/>
          <w:sz w:val="24"/>
        </w:rPr>
        <w:t xml:space="preserve"> souls’: Opera finds new audience in care homes</w:t>
      </w:r>
      <w:r w:rsidR="007864C6">
        <w:rPr>
          <w:rFonts w:ascii="Arial" w:hAnsi="Arial" w:cs="Arial"/>
          <w:sz w:val="24"/>
        </w:rPr>
        <w:t>, published in the Guardian</w:t>
      </w:r>
      <w:r>
        <w:rPr>
          <w:rFonts w:ascii="Arial" w:hAnsi="Arial" w:cs="Arial"/>
          <w:sz w:val="24"/>
        </w:rPr>
        <w:t>.</w:t>
      </w:r>
      <w:r w:rsidR="007250C8">
        <w:rPr>
          <w:rFonts w:ascii="Arial" w:hAnsi="Arial" w:cs="Arial"/>
          <w:sz w:val="24"/>
        </w:rPr>
        <w:t xml:space="preserve"> </w:t>
      </w:r>
    </w:p>
    <w:p w:rsidR="001B345C" w:rsidRDefault="007250C8" w:rsidP="008A3AD2">
      <w:pPr>
        <w:spacing w:line="360" w:lineRule="auto"/>
        <w:rPr>
          <w:rFonts w:ascii="Arial" w:hAnsi="Arial" w:cs="Arial"/>
          <w:sz w:val="24"/>
        </w:rPr>
      </w:pPr>
      <w:r>
        <w:rPr>
          <w:rFonts w:ascii="Arial" w:hAnsi="Arial" w:cs="Arial"/>
          <w:sz w:val="24"/>
        </w:rPr>
        <w:t xml:space="preserve">The Alzheimer’s Research UK define dementia as “not a disease in itself. It is a word used to describe a group of symptoms that occur when brain cells stop working properly. This can affect how you think, remember and communicate”. There are an estimated 850,000 people living with dementia in the UK, and many individuals are working towards improving quality of life for these people. </w:t>
      </w:r>
    </w:p>
    <w:p w:rsidR="00BA3BB2" w:rsidRDefault="00BA3BB2" w:rsidP="008A3AD2">
      <w:pPr>
        <w:spacing w:line="360" w:lineRule="auto"/>
        <w:rPr>
          <w:rFonts w:ascii="Arial" w:hAnsi="Arial" w:cs="Arial"/>
          <w:sz w:val="24"/>
        </w:rPr>
      </w:pPr>
    </w:p>
    <w:p w:rsidR="00915F0B" w:rsidRDefault="005F57FF" w:rsidP="008A3AD2">
      <w:pPr>
        <w:spacing w:line="360" w:lineRule="auto"/>
        <w:rPr>
          <w:rFonts w:ascii="Arial" w:hAnsi="Arial" w:cs="Arial"/>
          <w:sz w:val="24"/>
        </w:rPr>
      </w:pPr>
      <w:r>
        <w:rPr>
          <w:rFonts w:ascii="Arial" w:hAnsi="Arial" w:cs="Arial"/>
          <w:sz w:val="24"/>
        </w:rPr>
        <w:t>The article is about an opera singer</w:t>
      </w:r>
      <w:r w:rsidR="00915F0B">
        <w:rPr>
          <w:rFonts w:ascii="Arial" w:hAnsi="Arial" w:cs="Arial"/>
          <w:sz w:val="24"/>
        </w:rPr>
        <w:t>, Francesca Lanza, who sang in Old Vicarage</w:t>
      </w:r>
      <w:r>
        <w:rPr>
          <w:rFonts w:ascii="Arial" w:hAnsi="Arial" w:cs="Arial"/>
          <w:sz w:val="24"/>
        </w:rPr>
        <w:t xml:space="preserve"> care home in Dorset. </w:t>
      </w:r>
      <w:r w:rsidR="007250C8">
        <w:rPr>
          <w:rFonts w:ascii="Arial" w:hAnsi="Arial" w:cs="Arial"/>
          <w:sz w:val="24"/>
        </w:rPr>
        <w:t>The article portrays the difference activities can make on individuals in care homes, day centres and hospices</w:t>
      </w:r>
      <w:r w:rsidR="007250C8">
        <w:rPr>
          <w:rFonts w:ascii="Arial" w:hAnsi="Arial" w:cs="Arial"/>
          <w:sz w:val="24"/>
        </w:rPr>
        <w:t>. The aim is to</w:t>
      </w:r>
      <w:r>
        <w:rPr>
          <w:rFonts w:ascii="Arial" w:hAnsi="Arial" w:cs="Arial"/>
          <w:sz w:val="24"/>
        </w:rPr>
        <w:t xml:space="preserve"> bring opera to those who are unable to go and experience it for themselves.</w:t>
      </w:r>
      <w:r w:rsidR="00915F0B">
        <w:rPr>
          <w:rFonts w:ascii="Arial" w:hAnsi="Arial" w:cs="Arial"/>
          <w:sz w:val="24"/>
        </w:rPr>
        <w:t xml:space="preserve"> The staff members and residents gathered into a room to watch the show, the article shows how one by one, residents began to become more interested in the show. By the end of it, most of the residents were singing along, smiling. </w:t>
      </w:r>
      <w:r w:rsidR="00A041B3">
        <w:rPr>
          <w:rFonts w:ascii="Arial" w:hAnsi="Arial" w:cs="Arial"/>
          <w:sz w:val="24"/>
        </w:rPr>
        <w:t xml:space="preserve">A resident commented after the show saying </w:t>
      </w:r>
      <w:r w:rsidR="00A041B3" w:rsidRPr="00A041B3">
        <w:rPr>
          <w:rFonts w:ascii="Arial" w:hAnsi="Arial" w:cs="Arial"/>
          <w:color w:val="121212"/>
          <w:sz w:val="24"/>
          <w:szCs w:val="27"/>
          <w:shd w:val="clear" w:color="auto" w:fill="FFFFFF"/>
        </w:rPr>
        <w:t>“I really think everyone enjoyed themselves. I used to do a lot of singing so anything that involves music is up my street. I really have enjoyed this afternoon. It’s been many years since I have been to the opera.”</w:t>
      </w:r>
    </w:p>
    <w:p w:rsidR="00BA3BB2" w:rsidRDefault="00915F0B" w:rsidP="008A3AD2">
      <w:pPr>
        <w:spacing w:line="360" w:lineRule="auto"/>
        <w:rPr>
          <w:rFonts w:ascii="Arial" w:hAnsi="Arial" w:cs="Arial"/>
          <w:sz w:val="24"/>
        </w:rPr>
      </w:pPr>
      <w:r>
        <w:rPr>
          <w:rFonts w:ascii="Arial" w:hAnsi="Arial" w:cs="Arial"/>
          <w:sz w:val="24"/>
        </w:rPr>
        <w:t>By putting activity in place, it</w:t>
      </w:r>
      <w:r w:rsidR="00BB00A5">
        <w:rPr>
          <w:rFonts w:ascii="Arial" w:hAnsi="Arial" w:cs="Arial"/>
          <w:sz w:val="24"/>
        </w:rPr>
        <w:t xml:space="preserve"> lifts the spirits of not only the residents, but the staff members too. </w:t>
      </w:r>
      <w:r w:rsidR="005F57FF" w:rsidRPr="005F57FF">
        <w:rPr>
          <w:rFonts w:ascii="Arial" w:hAnsi="Arial" w:cs="Arial"/>
          <w:color w:val="121212"/>
          <w:sz w:val="24"/>
          <w:szCs w:val="24"/>
          <w:shd w:val="clear" w:color="auto" w:fill="FFFFFF"/>
        </w:rPr>
        <w:t>Stevenson says. “They bring so much energy and it’s so powerful for everyone. It’s emotional and can really touch r</w:t>
      </w:r>
      <w:r w:rsidR="00A041B3">
        <w:rPr>
          <w:rFonts w:ascii="Arial" w:hAnsi="Arial" w:cs="Arial"/>
          <w:color w:val="121212"/>
          <w:sz w:val="24"/>
          <w:szCs w:val="24"/>
          <w:shd w:val="clear" w:color="auto" w:fill="FFFFFF"/>
        </w:rPr>
        <w:t>esidents’ souls and uplift them</w:t>
      </w:r>
      <w:r w:rsidR="00BB00A5">
        <w:rPr>
          <w:rFonts w:ascii="Arial" w:hAnsi="Arial" w:cs="Arial"/>
          <w:color w:val="121212"/>
          <w:sz w:val="24"/>
          <w:szCs w:val="27"/>
          <w:shd w:val="clear" w:color="auto" w:fill="FFFFFF"/>
        </w:rPr>
        <w:t xml:space="preserve">. </w:t>
      </w:r>
      <w:r>
        <w:rPr>
          <w:rFonts w:ascii="Arial" w:hAnsi="Arial" w:cs="Arial"/>
          <w:color w:val="121212"/>
          <w:sz w:val="24"/>
          <w:szCs w:val="27"/>
          <w:shd w:val="clear" w:color="auto" w:fill="FFFFFF"/>
        </w:rPr>
        <w:t xml:space="preserve">Staff members also go on to </w:t>
      </w:r>
      <w:r w:rsidRPr="00915F0B">
        <w:rPr>
          <w:rFonts w:ascii="Arial" w:hAnsi="Arial" w:cs="Arial"/>
          <w:color w:val="121212"/>
          <w:sz w:val="24"/>
          <w:szCs w:val="24"/>
          <w:shd w:val="clear" w:color="auto" w:fill="FFFFFF"/>
        </w:rPr>
        <w:t>say “This is care at its best, really. The residents are all smiling and happy. That buzz will last; even those with dementia who will forget the performance won’t lose how it made them feel. That feeling of wellbeing is what you can achieve with good quality activities.”</w:t>
      </w:r>
    </w:p>
    <w:p w:rsidR="0013600F" w:rsidRPr="00D61B09" w:rsidRDefault="0013600F" w:rsidP="008A3AD2">
      <w:pPr>
        <w:spacing w:line="360" w:lineRule="auto"/>
        <w:rPr>
          <w:rFonts w:ascii="Arial" w:hAnsi="Arial" w:cs="Arial"/>
          <w:color w:val="FF0000"/>
          <w:sz w:val="24"/>
        </w:rPr>
      </w:pPr>
    </w:p>
    <w:p w:rsidR="00454D3A" w:rsidRDefault="00614843" w:rsidP="008A3AD2">
      <w:pPr>
        <w:spacing w:line="360" w:lineRule="auto"/>
        <w:rPr>
          <w:rFonts w:ascii="Arial" w:hAnsi="Arial" w:cs="Arial"/>
          <w:sz w:val="24"/>
        </w:rPr>
      </w:pPr>
      <w:r>
        <w:rPr>
          <w:rFonts w:ascii="Arial" w:hAnsi="Arial" w:cs="Arial"/>
          <w:sz w:val="24"/>
        </w:rPr>
        <w:t>The article portrays the importance and benefits of what they are trying to achieve by putting the Activity Theory in place. By bringing the opera show to the residential home, there were mixed views from the residents, as some were enthralled</w:t>
      </w:r>
      <w:r w:rsidR="00E21840">
        <w:rPr>
          <w:rFonts w:ascii="Arial" w:hAnsi="Arial" w:cs="Arial"/>
          <w:sz w:val="24"/>
        </w:rPr>
        <w:t xml:space="preserve"> and </w:t>
      </w:r>
      <w:r w:rsidR="00E21840">
        <w:rPr>
          <w:rFonts w:ascii="Arial" w:hAnsi="Arial" w:cs="Arial"/>
          <w:sz w:val="24"/>
        </w:rPr>
        <w:lastRenderedPageBreak/>
        <w:t>excited</w:t>
      </w:r>
      <w:r>
        <w:rPr>
          <w:rFonts w:ascii="Arial" w:hAnsi="Arial" w:cs="Arial"/>
          <w:sz w:val="24"/>
        </w:rPr>
        <w:t xml:space="preserve">, but others held fingers to their ears. </w:t>
      </w:r>
      <w:r w:rsidR="00E21840">
        <w:rPr>
          <w:rFonts w:ascii="Arial" w:hAnsi="Arial" w:cs="Arial"/>
          <w:sz w:val="24"/>
        </w:rPr>
        <w:t>Furthermore</w:t>
      </w:r>
      <w:r>
        <w:rPr>
          <w:rFonts w:ascii="Arial" w:hAnsi="Arial" w:cs="Arial"/>
          <w:sz w:val="24"/>
        </w:rPr>
        <w:t xml:space="preserve">, the main aim </w:t>
      </w:r>
      <w:r w:rsidR="00E21840">
        <w:rPr>
          <w:rFonts w:ascii="Arial" w:hAnsi="Arial" w:cs="Arial"/>
          <w:sz w:val="24"/>
        </w:rPr>
        <w:t xml:space="preserve">of the opera show </w:t>
      </w:r>
      <w:r>
        <w:rPr>
          <w:rFonts w:ascii="Arial" w:hAnsi="Arial" w:cs="Arial"/>
          <w:sz w:val="24"/>
        </w:rPr>
        <w:t>was to involve the residents</w:t>
      </w:r>
      <w:r w:rsidR="00E21840">
        <w:rPr>
          <w:rFonts w:ascii="Arial" w:hAnsi="Arial" w:cs="Arial"/>
          <w:sz w:val="24"/>
        </w:rPr>
        <w:t xml:space="preserve"> and encourage them to engage in activity, which then</w:t>
      </w:r>
      <w:r>
        <w:rPr>
          <w:rFonts w:ascii="Arial" w:hAnsi="Arial" w:cs="Arial"/>
          <w:sz w:val="24"/>
        </w:rPr>
        <w:t xml:space="preserve"> uplifti</w:t>
      </w:r>
      <w:r w:rsidR="00E21840">
        <w:rPr>
          <w:rFonts w:ascii="Arial" w:hAnsi="Arial" w:cs="Arial"/>
          <w:sz w:val="24"/>
        </w:rPr>
        <w:t>ng their spirits and made</w:t>
      </w:r>
      <w:r>
        <w:rPr>
          <w:rFonts w:ascii="Arial" w:hAnsi="Arial" w:cs="Arial"/>
          <w:sz w:val="24"/>
        </w:rPr>
        <w:t xml:space="preserve"> them feel joyful. The </w:t>
      </w:r>
      <w:r w:rsidR="00E21840">
        <w:rPr>
          <w:rFonts w:ascii="Arial" w:hAnsi="Arial" w:cs="Arial"/>
          <w:sz w:val="24"/>
        </w:rPr>
        <w:t xml:space="preserve">overall </w:t>
      </w:r>
      <w:r>
        <w:rPr>
          <w:rFonts w:ascii="Arial" w:hAnsi="Arial" w:cs="Arial"/>
          <w:sz w:val="24"/>
        </w:rPr>
        <w:t xml:space="preserve">importance </w:t>
      </w:r>
      <w:r w:rsidR="00E21840">
        <w:rPr>
          <w:rFonts w:ascii="Arial" w:hAnsi="Arial" w:cs="Arial"/>
          <w:sz w:val="24"/>
        </w:rPr>
        <w:t xml:space="preserve">of the article </w:t>
      </w:r>
      <w:r>
        <w:rPr>
          <w:rFonts w:ascii="Arial" w:hAnsi="Arial" w:cs="Arial"/>
          <w:sz w:val="24"/>
        </w:rPr>
        <w:t xml:space="preserve">was to show how quality activities can make a difference to </w:t>
      </w:r>
      <w:r w:rsidR="00E21840">
        <w:rPr>
          <w:rFonts w:ascii="Arial" w:hAnsi="Arial" w:cs="Arial"/>
          <w:sz w:val="24"/>
        </w:rPr>
        <w:t>patient’s</w:t>
      </w:r>
      <w:r>
        <w:rPr>
          <w:rFonts w:ascii="Arial" w:hAnsi="Arial" w:cs="Arial"/>
          <w:sz w:val="24"/>
        </w:rPr>
        <w:t xml:space="preserve"> moods</w:t>
      </w:r>
      <w:r w:rsidR="009472A8">
        <w:rPr>
          <w:rFonts w:ascii="Arial" w:hAnsi="Arial" w:cs="Arial"/>
          <w:sz w:val="24"/>
        </w:rPr>
        <w:t xml:space="preserve">, </w:t>
      </w:r>
      <w:r w:rsidR="00454D3A">
        <w:rPr>
          <w:rFonts w:ascii="Arial" w:hAnsi="Arial" w:cs="Arial"/>
          <w:sz w:val="24"/>
        </w:rPr>
        <w:t>and</w:t>
      </w:r>
      <w:r w:rsidR="009472A8">
        <w:rPr>
          <w:rFonts w:ascii="Arial" w:hAnsi="Arial" w:cs="Arial"/>
          <w:sz w:val="24"/>
        </w:rPr>
        <w:t xml:space="preserve"> the staff members moods too</w:t>
      </w:r>
      <w:r w:rsidR="00E21840">
        <w:rPr>
          <w:rFonts w:ascii="Arial" w:hAnsi="Arial" w:cs="Arial"/>
          <w:sz w:val="24"/>
        </w:rPr>
        <w:t>, in a positive way</w:t>
      </w:r>
      <w:r>
        <w:rPr>
          <w:rFonts w:ascii="Arial" w:hAnsi="Arial" w:cs="Arial"/>
          <w:sz w:val="24"/>
        </w:rPr>
        <w:t xml:space="preserve">. </w:t>
      </w:r>
      <w:r w:rsidR="00454D3A">
        <w:rPr>
          <w:rFonts w:ascii="Arial" w:hAnsi="Arial" w:cs="Arial"/>
          <w:sz w:val="24"/>
        </w:rPr>
        <w:t>One patient was reminded by the opera show of how they used to love singing.</w:t>
      </w:r>
      <w:r w:rsidR="00E21840">
        <w:rPr>
          <w:rFonts w:ascii="Arial" w:hAnsi="Arial" w:cs="Arial"/>
          <w:sz w:val="24"/>
        </w:rPr>
        <w:t xml:space="preserve"> By adding the </w:t>
      </w:r>
      <w:r w:rsidR="00454D3A">
        <w:rPr>
          <w:rFonts w:ascii="Arial" w:hAnsi="Arial" w:cs="Arial"/>
          <w:sz w:val="24"/>
        </w:rPr>
        <w:t xml:space="preserve">positivity </w:t>
      </w:r>
      <w:r w:rsidR="00E21840">
        <w:rPr>
          <w:rFonts w:ascii="Arial" w:hAnsi="Arial" w:cs="Arial"/>
          <w:sz w:val="24"/>
        </w:rPr>
        <w:t xml:space="preserve">of the activity </w:t>
      </w:r>
      <w:r w:rsidR="00454D3A">
        <w:rPr>
          <w:rFonts w:ascii="Arial" w:hAnsi="Arial" w:cs="Arial"/>
          <w:sz w:val="24"/>
        </w:rPr>
        <w:t xml:space="preserve">into the residential home, it improves </w:t>
      </w:r>
      <w:r w:rsidR="00E21840">
        <w:rPr>
          <w:rFonts w:ascii="Arial" w:hAnsi="Arial" w:cs="Arial"/>
          <w:sz w:val="24"/>
        </w:rPr>
        <w:t xml:space="preserve">overall </w:t>
      </w:r>
      <w:r w:rsidR="00454D3A">
        <w:rPr>
          <w:rFonts w:ascii="Arial" w:hAnsi="Arial" w:cs="Arial"/>
          <w:sz w:val="24"/>
        </w:rPr>
        <w:t>quality of life, helps dementia patients remember what they used to love and makes the residents feel a part of something.</w:t>
      </w:r>
      <w:r w:rsidR="009C3492">
        <w:rPr>
          <w:rFonts w:ascii="Arial" w:hAnsi="Arial" w:cs="Arial"/>
          <w:sz w:val="24"/>
        </w:rPr>
        <w:t xml:space="preserve"> The article supports the Activity theory and shows that </w:t>
      </w:r>
      <w:r w:rsidR="00F60022">
        <w:rPr>
          <w:rFonts w:ascii="Arial" w:hAnsi="Arial" w:cs="Arial"/>
          <w:sz w:val="24"/>
        </w:rPr>
        <w:t xml:space="preserve">it works and </w:t>
      </w:r>
      <w:r w:rsidR="009C3492">
        <w:rPr>
          <w:rFonts w:ascii="Arial" w:hAnsi="Arial" w:cs="Arial"/>
          <w:sz w:val="24"/>
        </w:rPr>
        <w:t xml:space="preserve">activity has a positive outcome for all. </w:t>
      </w:r>
    </w:p>
    <w:p w:rsidR="00361E18" w:rsidRDefault="00614843" w:rsidP="008A3AD2">
      <w:pPr>
        <w:spacing w:line="360" w:lineRule="auto"/>
        <w:rPr>
          <w:rFonts w:ascii="Arial" w:hAnsi="Arial" w:cs="Arial"/>
          <w:sz w:val="24"/>
        </w:rPr>
      </w:pPr>
      <w:r>
        <w:rPr>
          <w:rFonts w:ascii="Arial" w:hAnsi="Arial" w:cs="Arial"/>
          <w:sz w:val="24"/>
        </w:rPr>
        <w:t xml:space="preserve">The Activity Theory was proposed and published by Havinghurst and Albrecht in 1963. </w:t>
      </w:r>
      <w:r w:rsidR="00171191">
        <w:rPr>
          <w:rFonts w:ascii="Arial" w:hAnsi="Arial" w:cs="Arial"/>
          <w:sz w:val="24"/>
        </w:rPr>
        <w:t>It proposes that</w:t>
      </w:r>
      <w:r w:rsidR="00127AA6">
        <w:rPr>
          <w:rFonts w:ascii="Arial" w:hAnsi="Arial" w:cs="Arial"/>
          <w:sz w:val="24"/>
        </w:rPr>
        <w:t xml:space="preserve"> middle aged</w:t>
      </w:r>
      <w:r w:rsidR="00171191">
        <w:rPr>
          <w:rFonts w:ascii="Arial" w:hAnsi="Arial" w:cs="Arial"/>
          <w:sz w:val="24"/>
        </w:rPr>
        <w:t xml:space="preserve"> people must keep active and socially interact to achieve positive ageing</w:t>
      </w:r>
      <w:r w:rsidR="005A3974">
        <w:rPr>
          <w:rFonts w:ascii="Arial" w:hAnsi="Arial" w:cs="Arial"/>
          <w:sz w:val="24"/>
        </w:rPr>
        <w:t xml:space="preserve"> and active middle-aged roles are appropriate to maintain in older years, but to a lesser degree</w:t>
      </w:r>
      <w:r w:rsidR="00171191">
        <w:rPr>
          <w:rFonts w:ascii="Arial" w:hAnsi="Arial" w:cs="Arial"/>
          <w:sz w:val="24"/>
        </w:rPr>
        <w:t>.</w:t>
      </w:r>
      <w:r w:rsidR="005A3974">
        <w:rPr>
          <w:rFonts w:ascii="Arial" w:hAnsi="Arial" w:cs="Arial"/>
          <w:sz w:val="24"/>
        </w:rPr>
        <w:t xml:space="preserve"> (Bengtson and Haber, 1975).</w:t>
      </w:r>
      <w:r w:rsidR="00171191">
        <w:rPr>
          <w:rFonts w:ascii="Arial" w:hAnsi="Arial" w:cs="Arial"/>
          <w:sz w:val="24"/>
        </w:rPr>
        <w:t xml:space="preserve"> </w:t>
      </w:r>
      <w:r>
        <w:rPr>
          <w:rFonts w:ascii="Arial" w:hAnsi="Arial" w:cs="Arial"/>
          <w:sz w:val="24"/>
        </w:rPr>
        <w:t xml:space="preserve">The theory states that “staying occupied and involved is necessary to having a satisfying late life” (Havinghurst, Neugarten, &amp; Tobin, 1963). </w:t>
      </w:r>
      <w:r w:rsidR="00361E18">
        <w:rPr>
          <w:rFonts w:ascii="Arial" w:hAnsi="Arial" w:cs="Arial"/>
          <w:sz w:val="24"/>
        </w:rPr>
        <w:t xml:space="preserve">The researchers did not involve the activities that are linked, but believe that activity is associated with psychological health, and that staying active helps to prolong middle age. </w:t>
      </w:r>
    </w:p>
    <w:p w:rsidR="00465D4C" w:rsidRDefault="00465D4C" w:rsidP="008A3AD2">
      <w:pPr>
        <w:spacing w:line="360" w:lineRule="auto"/>
        <w:rPr>
          <w:rFonts w:ascii="Arial" w:hAnsi="Arial" w:cs="Arial"/>
          <w:sz w:val="24"/>
        </w:rPr>
      </w:pPr>
      <w:r>
        <w:rPr>
          <w:rFonts w:ascii="Arial" w:hAnsi="Arial" w:cs="Arial"/>
          <w:sz w:val="24"/>
        </w:rPr>
        <w:t xml:space="preserve">One piece of evidence that supports the Activity Theory is an article called ‘Examining Supportive Evidence for Psychosocial Theories of Aging within the Oral History Narratives of Centenarians’ published in 2017, which was carried out by Heinz, M., Cone, N., Rosa, G.D., Bishop, A.J., and Finchum, T, aimed to assess and compare evidence of psychosocial theories of aging within oral history narratives from a subsample of 20 centenarians from the Oklahoma 100 Year Life Oral History Project. Nine were male and eleven were female. Participants were all 100 years of age or older. All participants stated they were comfortable with taking part in the oral history interview. The oral history interview involved questions about their lives, traditions and memories they had growing up, life events, secrets to longevity and what gave them purpose. After the oral history interviews took place in single sessions, the data was gathered by the researchers. Overall, they found examples depicting the Activity Theory were most prominent within the participants, examples included physical or socio-cognitive reengagements. Many of the participants still worked, although some were retired, they still enjoyed the physical act of </w:t>
      </w:r>
      <w:r>
        <w:rPr>
          <w:rFonts w:ascii="Arial" w:hAnsi="Arial" w:cs="Arial"/>
          <w:sz w:val="24"/>
        </w:rPr>
        <w:lastRenderedPageBreak/>
        <w:t>chores/exercise, and expressed how they felt activities may have influenced their longevity. Although the analysis focused on seven theories; activity theory was the most prominent. The centenarians described how they were very active into older adulthood, and it was only in cases of disability or impairment that the participants disengaged from socialising. It was found that gardening or planting gave some of the centenarian’s purpose. Research by Wang and Leng (2016) found that gardening is beneficial to older adults who have mobility impairments, as it significantly decreases the possibility of mortality. This research supports the Activity Theory.</w:t>
      </w:r>
    </w:p>
    <w:p w:rsidR="00465D4C" w:rsidRDefault="00465D4C" w:rsidP="008A3AD2">
      <w:pPr>
        <w:spacing w:line="360" w:lineRule="auto"/>
        <w:rPr>
          <w:rFonts w:ascii="Arial" w:hAnsi="Arial" w:cs="Arial"/>
          <w:sz w:val="24"/>
        </w:rPr>
      </w:pPr>
      <w:r>
        <w:rPr>
          <w:rFonts w:ascii="Arial" w:hAnsi="Arial" w:cs="Arial"/>
          <w:sz w:val="24"/>
        </w:rPr>
        <w:t xml:space="preserve">Although there are a lot of evidence which support the Activity Theory, there are critiques of the theory too. Diggs (2008) suggests concern that there are a greater number of influential factors that can explain the connection between life satisfaction and increased activity level. Structural conditions can affect their physical and mental health. However, the Activity Theory ignores the conditions. For example, socioeconomic status, personality and lifestyle. According to the critic, the Activity theory overestimates older adults to maintain their ability to stay active. Although some can, some do not have the ability to remain active. </w:t>
      </w:r>
    </w:p>
    <w:p w:rsidR="00465D4C" w:rsidRDefault="00465D4C" w:rsidP="008A3AD2">
      <w:pPr>
        <w:spacing w:line="360" w:lineRule="auto"/>
        <w:rPr>
          <w:rFonts w:ascii="Arial" w:hAnsi="Arial" w:cs="Arial"/>
          <w:sz w:val="24"/>
        </w:rPr>
      </w:pPr>
    </w:p>
    <w:p w:rsidR="00DE65C2" w:rsidRPr="00872AC8" w:rsidRDefault="00DE65C2" w:rsidP="008A3AD2">
      <w:pPr>
        <w:spacing w:line="360" w:lineRule="auto"/>
        <w:rPr>
          <w:rFonts w:ascii="Arial" w:hAnsi="Arial" w:cs="Arial"/>
          <w:sz w:val="24"/>
        </w:rPr>
      </w:pPr>
    </w:p>
    <w:p w:rsidR="0003525F" w:rsidRDefault="00872AC8" w:rsidP="008A3AD2">
      <w:pPr>
        <w:spacing w:line="360" w:lineRule="auto"/>
        <w:rPr>
          <w:rFonts w:ascii="Arial" w:hAnsi="Arial" w:cs="Arial"/>
          <w:sz w:val="24"/>
        </w:rPr>
      </w:pPr>
      <w:r>
        <w:rPr>
          <w:rFonts w:ascii="Arial" w:hAnsi="Arial" w:cs="Arial"/>
          <w:sz w:val="24"/>
        </w:rPr>
        <w:t xml:space="preserve">Alongside the Activity Theory, there is Social </w:t>
      </w:r>
      <w:r w:rsidR="00171191">
        <w:rPr>
          <w:rFonts w:ascii="Arial" w:hAnsi="Arial" w:cs="Arial"/>
          <w:sz w:val="24"/>
        </w:rPr>
        <w:t>Participation</w:t>
      </w:r>
      <w:r>
        <w:rPr>
          <w:rFonts w:ascii="Arial" w:hAnsi="Arial" w:cs="Arial"/>
          <w:sz w:val="24"/>
        </w:rPr>
        <w:t xml:space="preserve"> Theory.</w:t>
      </w:r>
      <w:r w:rsidR="005C75C4">
        <w:rPr>
          <w:rFonts w:ascii="Arial" w:hAnsi="Arial" w:cs="Arial"/>
          <w:sz w:val="24"/>
        </w:rPr>
        <w:t xml:space="preserve"> The theory involves “making social and emotional connections with people and the community, and has been considered an important component influencing the health and psychological well-being of older people” (Baltes,1996; Dykstra, 1990; Tomaka, Thompson, &amp; Palacious, 2006).</w:t>
      </w:r>
      <w:r>
        <w:rPr>
          <w:rFonts w:ascii="Arial" w:hAnsi="Arial" w:cs="Arial"/>
          <w:sz w:val="24"/>
        </w:rPr>
        <w:t xml:space="preserve"> </w:t>
      </w:r>
      <w:r w:rsidR="00171191">
        <w:rPr>
          <w:rFonts w:ascii="Arial" w:hAnsi="Arial" w:cs="Arial"/>
          <w:sz w:val="24"/>
        </w:rPr>
        <w:t>According to Levasseur, et al.,</w:t>
      </w:r>
      <w:r w:rsidR="005C75C4">
        <w:rPr>
          <w:rFonts w:ascii="Arial" w:hAnsi="Arial" w:cs="Arial"/>
          <w:sz w:val="24"/>
        </w:rPr>
        <w:t xml:space="preserve"> (2010),</w:t>
      </w:r>
      <w:r w:rsidR="00171191">
        <w:rPr>
          <w:rFonts w:ascii="Arial" w:hAnsi="Arial" w:cs="Arial"/>
          <w:sz w:val="24"/>
        </w:rPr>
        <w:t xml:space="preserve"> there is no agreement on its definition and underlying dimensions. However, it is a key factor when achieving a successful, healthy ageing progress. </w:t>
      </w:r>
      <w:r w:rsidR="00E21840">
        <w:rPr>
          <w:rFonts w:ascii="Arial" w:hAnsi="Arial" w:cs="Arial"/>
          <w:sz w:val="24"/>
        </w:rPr>
        <w:t xml:space="preserve">Social engagement is achieved through having contact with people. There has been research documented about the links between social engagement and general health and mental health. There has been reported benefits of social engagement on psychological well-being, which includes decreased rates of fewer depressive symptoms (Cacioppo &amp; Hughes, 2006), and higher levels of happiness and quality of life. (Graney, 1997; Thompson &amp; Heller, 1990).  </w:t>
      </w:r>
    </w:p>
    <w:p w:rsidR="007C0922" w:rsidRDefault="007C0922" w:rsidP="008A3AD2">
      <w:pPr>
        <w:spacing w:line="360" w:lineRule="auto"/>
        <w:rPr>
          <w:rFonts w:ascii="Arial" w:hAnsi="Arial" w:cs="Arial"/>
          <w:sz w:val="24"/>
        </w:rPr>
      </w:pPr>
      <w:r>
        <w:rPr>
          <w:rFonts w:ascii="Arial" w:hAnsi="Arial" w:cs="Arial"/>
          <w:sz w:val="24"/>
        </w:rPr>
        <w:lastRenderedPageBreak/>
        <w:t>A piece of evidence that supports Social Engagement Theory is an article called ‘The Relationship of Social Engagement to Psychological Well-being of Older Adults in Assisted Living Facilities’ published in 2009 by Park. The aim of the article is to explore social engagement and its association to the psychological well-being of older adults living in assisted living facilities</w:t>
      </w:r>
      <w:r w:rsidR="008071C5">
        <w:rPr>
          <w:rFonts w:ascii="Arial" w:hAnsi="Arial" w:cs="Arial"/>
          <w:sz w:val="24"/>
        </w:rPr>
        <w:t xml:space="preserve"> (AFL’s)</w:t>
      </w:r>
      <w:r>
        <w:rPr>
          <w:rFonts w:ascii="Arial" w:hAnsi="Arial" w:cs="Arial"/>
          <w:sz w:val="24"/>
        </w:rPr>
        <w:t>. The study focuses mainly on life satisfaction and the depressi</w:t>
      </w:r>
      <w:r w:rsidR="008071C5">
        <w:rPr>
          <w:rFonts w:ascii="Arial" w:hAnsi="Arial" w:cs="Arial"/>
          <w:sz w:val="24"/>
        </w:rPr>
        <w:t xml:space="preserve">ve symptoms of resident’s lives, and aim to answer ‘what is the association of social engagement with life satisfaction and depressive symptoms within older adults living in AFL’s. 82 residents took part in a face-to-face interview which was conducted of a battery of questions. For example, “Do you enjoy mealtimes at this AFL?”, the interviews took between 60-90 minutes. Overall, the residents rated their health as fair to good. In terms of social engagement, the participants seemed to have a strong perceived social provision and scored relatively high. When results were gathered by the researcher, it showed that higher life satisfaction was associated with greater reciprocity and social activity participation, and that having good mealtime enjoyment, friendliness of staff and other residents was associated with having fewer depressive symptoms. </w:t>
      </w:r>
      <w:r w:rsidR="00465D4C">
        <w:rPr>
          <w:rFonts w:ascii="Arial" w:hAnsi="Arial" w:cs="Arial"/>
          <w:sz w:val="24"/>
        </w:rPr>
        <w:t xml:space="preserve">Findings from this research was relatively like Street et al. (2007), who found that residents reported having a positive well-being when they were pleased with the food quality at their facilities, and those with social relationships. The study also had a few limitations, one of these included that during the participant selection, the study may have excluded those who were more cognitively impaired and socially isolated. Research shows that elders who are cognitively impaired are more than likely to be disengaged from activities and social engagement. (Bitzan &amp; Druzich, 1990). </w:t>
      </w:r>
    </w:p>
    <w:p w:rsidR="00B40ED7" w:rsidRDefault="00B40ED7" w:rsidP="008A3AD2">
      <w:pPr>
        <w:spacing w:line="360" w:lineRule="auto"/>
        <w:rPr>
          <w:rFonts w:ascii="Arial" w:hAnsi="Arial" w:cs="Arial"/>
          <w:sz w:val="24"/>
        </w:rPr>
      </w:pPr>
    </w:p>
    <w:p w:rsidR="00B40ED7" w:rsidRDefault="00B40ED7" w:rsidP="008A3AD2">
      <w:pPr>
        <w:spacing w:line="360" w:lineRule="auto"/>
        <w:rPr>
          <w:rFonts w:ascii="Arial" w:hAnsi="Arial" w:cs="Arial"/>
          <w:sz w:val="24"/>
        </w:rPr>
      </w:pPr>
      <w:r>
        <w:rPr>
          <w:rFonts w:ascii="Arial" w:hAnsi="Arial" w:cs="Arial"/>
          <w:sz w:val="24"/>
        </w:rPr>
        <w:t>This review has explored the importance of the Activity Theory and Social Engagement Theory, and the supportive evidence that proves whether the both theories work or not in residential care homes. Despite high levels of dementia in the UK, many individuals are trying to go into residential homes to help improve lives of dementia patients. However, there is more that needs to be done, such as more research to advance quality of life.</w:t>
      </w:r>
    </w:p>
    <w:p w:rsidR="00B40ED7" w:rsidRDefault="00B40ED7" w:rsidP="00D84D04">
      <w:pPr>
        <w:spacing w:line="360" w:lineRule="auto"/>
        <w:rPr>
          <w:rFonts w:ascii="Arial" w:hAnsi="Arial" w:cs="Arial"/>
          <w:sz w:val="24"/>
        </w:rPr>
      </w:pPr>
    </w:p>
    <w:p w:rsidR="00454D3A" w:rsidRDefault="00454D3A">
      <w:pPr>
        <w:rPr>
          <w:rFonts w:ascii="Arial" w:hAnsi="Arial" w:cs="Arial"/>
          <w:color w:val="FF0000"/>
          <w:sz w:val="24"/>
        </w:rPr>
      </w:pPr>
      <w:r>
        <w:rPr>
          <w:rFonts w:ascii="Arial" w:hAnsi="Arial" w:cs="Arial"/>
          <w:color w:val="FF0000"/>
          <w:sz w:val="24"/>
        </w:rPr>
        <w:br w:type="page"/>
      </w:r>
    </w:p>
    <w:p w:rsidR="008A3AD2" w:rsidRDefault="008A3AD2" w:rsidP="00D84D04">
      <w:pPr>
        <w:spacing w:line="360" w:lineRule="auto"/>
        <w:rPr>
          <w:rFonts w:ascii="Times New Roman" w:hAnsi="Times New Roman" w:cs="Times New Roman"/>
          <w:color w:val="000000"/>
          <w:sz w:val="24"/>
          <w:szCs w:val="42"/>
          <w:shd w:val="clear" w:color="auto" w:fill="FFFFFF"/>
        </w:rPr>
      </w:pPr>
      <w:r>
        <w:rPr>
          <w:rFonts w:ascii="Times New Roman" w:hAnsi="Times New Roman" w:cs="Times New Roman"/>
          <w:color w:val="000000"/>
          <w:sz w:val="24"/>
          <w:szCs w:val="42"/>
          <w:shd w:val="clear" w:color="auto" w:fill="FFFFFF"/>
        </w:rPr>
        <w:lastRenderedPageBreak/>
        <w:t>Alzheimers R</w:t>
      </w:r>
      <w:r w:rsidRPr="008A3AD2">
        <w:rPr>
          <w:rFonts w:ascii="Times New Roman" w:hAnsi="Times New Roman" w:cs="Times New Roman"/>
          <w:color w:val="000000"/>
          <w:sz w:val="24"/>
          <w:szCs w:val="42"/>
          <w:shd w:val="clear" w:color="auto" w:fill="FFFFFF"/>
        </w:rPr>
        <w:t xml:space="preserve">esearch </w:t>
      </w:r>
      <w:r>
        <w:rPr>
          <w:rFonts w:ascii="Times New Roman" w:hAnsi="Times New Roman" w:cs="Times New Roman"/>
          <w:color w:val="000000"/>
          <w:sz w:val="24"/>
          <w:szCs w:val="42"/>
          <w:shd w:val="clear" w:color="auto" w:fill="FFFFFF"/>
        </w:rPr>
        <w:t>UK</w:t>
      </w:r>
      <w:r w:rsidRPr="008A3AD2">
        <w:rPr>
          <w:rFonts w:ascii="Times New Roman" w:hAnsi="Times New Roman" w:cs="Times New Roman"/>
          <w:color w:val="000000"/>
          <w:sz w:val="24"/>
          <w:szCs w:val="42"/>
          <w:shd w:val="clear" w:color="auto" w:fill="FFFFFF"/>
        </w:rPr>
        <w:t>. (2015). </w:t>
      </w:r>
      <w:r w:rsidRPr="008A3AD2">
        <w:rPr>
          <w:rFonts w:ascii="Times New Roman" w:hAnsi="Times New Roman" w:cs="Times New Roman"/>
          <w:i/>
          <w:iCs/>
          <w:color w:val="000000"/>
          <w:sz w:val="24"/>
          <w:szCs w:val="42"/>
          <w:shd w:val="clear" w:color="auto" w:fill="FFFFFF"/>
        </w:rPr>
        <w:t>All About Dementia</w:t>
      </w:r>
      <w:r w:rsidRPr="008A3AD2">
        <w:rPr>
          <w:rFonts w:ascii="Times New Roman" w:hAnsi="Times New Roman" w:cs="Times New Roman"/>
          <w:color w:val="000000"/>
          <w:sz w:val="24"/>
          <w:szCs w:val="42"/>
          <w:shd w:val="clear" w:color="auto" w:fill="FFFFFF"/>
        </w:rPr>
        <w:t xml:space="preserve">. Retrieved 25 March, 2018, from </w:t>
      </w:r>
      <w:hyperlink r:id="rId6" w:history="1">
        <w:r w:rsidRPr="008A3AD2">
          <w:rPr>
            <w:rStyle w:val="Hyperlink"/>
            <w:rFonts w:ascii="Times New Roman" w:hAnsi="Times New Roman" w:cs="Times New Roman"/>
            <w:sz w:val="24"/>
            <w:szCs w:val="42"/>
            <w:shd w:val="clear" w:color="auto" w:fill="FFFFFF"/>
          </w:rPr>
          <w:t>https://www.alzheimersresearchuk.org/wp-content/uploads/2015/01/All-about-dementia.pdf</w:t>
        </w:r>
      </w:hyperlink>
    </w:p>
    <w:p w:rsidR="008A3AD2" w:rsidRPr="008A3AD2" w:rsidRDefault="008A3AD2" w:rsidP="00D84D04">
      <w:pPr>
        <w:spacing w:line="360" w:lineRule="auto"/>
        <w:rPr>
          <w:rFonts w:ascii="Times New Roman" w:hAnsi="Times New Roman" w:cs="Times New Roman"/>
          <w:color w:val="000000"/>
          <w:sz w:val="24"/>
          <w:szCs w:val="42"/>
          <w:shd w:val="clear" w:color="auto" w:fill="FFFFFF"/>
        </w:rPr>
      </w:pPr>
    </w:p>
    <w:p w:rsidR="005C75C4" w:rsidRDefault="00E21840" w:rsidP="00D84D04">
      <w:pPr>
        <w:spacing w:line="360" w:lineRule="auto"/>
        <w:rPr>
          <w:rFonts w:ascii="Times New Roman" w:hAnsi="Times New Roman" w:cs="Times New Roman"/>
          <w:sz w:val="24"/>
        </w:rPr>
      </w:pPr>
      <w:r>
        <w:rPr>
          <w:rFonts w:ascii="Times New Roman" w:hAnsi="Times New Roman" w:cs="Times New Roman"/>
          <w:sz w:val="24"/>
        </w:rPr>
        <w:t xml:space="preserve">Baltes, M.M. (1996). </w:t>
      </w:r>
      <w:r>
        <w:rPr>
          <w:rFonts w:ascii="Times New Roman" w:hAnsi="Times New Roman" w:cs="Times New Roman"/>
          <w:i/>
          <w:sz w:val="24"/>
        </w:rPr>
        <w:t xml:space="preserve">The many faces of dependency in old age. </w:t>
      </w:r>
      <w:r>
        <w:rPr>
          <w:rFonts w:ascii="Times New Roman" w:hAnsi="Times New Roman" w:cs="Times New Roman"/>
          <w:sz w:val="24"/>
        </w:rPr>
        <w:t>New York: Cambridge University Press.</w:t>
      </w:r>
    </w:p>
    <w:p w:rsidR="008A3AD2" w:rsidRDefault="008A3AD2" w:rsidP="00D84D04">
      <w:pPr>
        <w:spacing w:line="360" w:lineRule="auto"/>
        <w:rPr>
          <w:rFonts w:ascii="Times New Roman" w:hAnsi="Times New Roman" w:cs="Times New Roman"/>
          <w:sz w:val="24"/>
        </w:rPr>
      </w:pPr>
    </w:p>
    <w:p w:rsidR="005A3974" w:rsidRDefault="005A3974" w:rsidP="00D84D04">
      <w:pPr>
        <w:spacing w:line="360" w:lineRule="auto"/>
        <w:rPr>
          <w:rFonts w:ascii="Times New Roman" w:hAnsi="Times New Roman" w:cs="Times New Roman"/>
          <w:sz w:val="24"/>
        </w:rPr>
      </w:pPr>
      <w:r>
        <w:rPr>
          <w:rFonts w:ascii="Times New Roman" w:hAnsi="Times New Roman" w:cs="Times New Roman"/>
          <w:sz w:val="24"/>
        </w:rPr>
        <w:t xml:space="preserve">Bengtson, V.L., &amp; Haber, D.A. (1975). Sociological approaches to aging. In Woodruff, D.S., Birren, J.E. (Eds.). </w:t>
      </w:r>
      <w:r w:rsidRPr="005A3974">
        <w:rPr>
          <w:rFonts w:ascii="Times New Roman" w:hAnsi="Times New Roman" w:cs="Times New Roman"/>
          <w:i/>
          <w:sz w:val="24"/>
        </w:rPr>
        <w:t>Aging: Scientific perspectives and social issues</w:t>
      </w:r>
      <w:r>
        <w:rPr>
          <w:rFonts w:ascii="Times New Roman" w:hAnsi="Times New Roman" w:cs="Times New Roman"/>
          <w:sz w:val="24"/>
        </w:rPr>
        <w:t>. New York. (pp. 71, 87)</w:t>
      </w:r>
    </w:p>
    <w:p w:rsidR="008A3AD2" w:rsidRDefault="008A3AD2" w:rsidP="00D84D04">
      <w:pPr>
        <w:spacing w:line="360" w:lineRule="auto"/>
        <w:rPr>
          <w:rFonts w:ascii="Times New Roman" w:hAnsi="Times New Roman" w:cs="Times New Roman"/>
          <w:sz w:val="24"/>
        </w:rPr>
      </w:pPr>
    </w:p>
    <w:p w:rsidR="00465D4C" w:rsidRDefault="00465D4C" w:rsidP="00D84D04">
      <w:pPr>
        <w:spacing w:line="360" w:lineRule="auto"/>
        <w:rPr>
          <w:rFonts w:ascii="Times New Roman" w:hAnsi="Times New Roman" w:cs="Times New Roman"/>
          <w:sz w:val="24"/>
        </w:rPr>
      </w:pPr>
      <w:r>
        <w:rPr>
          <w:rFonts w:ascii="Times New Roman" w:hAnsi="Times New Roman" w:cs="Times New Roman"/>
          <w:sz w:val="24"/>
        </w:rPr>
        <w:t>Britzan, J.E., &amp; Druzich, J.M. (1990). Interpersonal relationships of nursing home residents. Gerontologist, 30(3), (pp. 385-390).</w:t>
      </w:r>
    </w:p>
    <w:p w:rsidR="008A3AD2" w:rsidRPr="00E21840" w:rsidRDefault="008A3AD2" w:rsidP="00D84D04">
      <w:pPr>
        <w:spacing w:line="360" w:lineRule="auto"/>
        <w:rPr>
          <w:rFonts w:ascii="Times New Roman" w:hAnsi="Times New Roman" w:cs="Times New Roman"/>
          <w:sz w:val="24"/>
        </w:rPr>
      </w:pPr>
    </w:p>
    <w:p w:rsidR="00127AA6" w:rsidRDefault="00127AA6" w:rsidP="00D84D04">
      <w:pPr>
        <w:spacing w:line="360" w:lineRule="auto"/>
        <w:rPr>
          <w:rFonts w:ascii="Times New Roman" w:hAnsi="Times New Roman" w:cs="Times New Roman"/>
          <w:sz w:val="24"/>
        </w:rPr>
      </w:pPr>
      <w:r>
        <w:rPr>
          <w:rFonts w:ascii="Times New Roman" w:hAnsi="Times New Roman" w:cs="Times New Roman"/>
          <w:sz w:val="24"/>
        </w:rPr>
        <w:t xml:space="preserve">Cacioppo, J.T., &amp; Hughes, M.E. (2006). Lonliness as a specific risk factor for depressive symptoms: Cross-sectional and longitudinal analyses. </w:t>
      </w:r>
      <w:r>
        <w:rPr>
          <w:rFonts w:ascii="Times New Roman" w:hAnsi="Times New Roman" w:cs="Times New Roman"/>
          <w:i/>
          <w:sz w:val="24"/>
        </w:rPr>
        <w:t xml:space="preserve">Psychology and Aging. </w:t>
      </w:r>
      <w:r>
        <w:rPr>
          <w:rFonts w:ascii="Times New Roman" w:hAnsi="Times New Roman" w:cs="Times New Roman"/>
          <w:sz w:val="24"/>
        </w:rPr>
        <w:t>(pp. 140-151).</w:t>
      </w:r>
    </w:p>
    <w:p w:rsidR="008A3AD2" w:rsidRDefault="008A3AD2" w:rsidP="00D84D04">
      <w:pPr>
        <w:spacing w:line="360" w:lineRule="auto"/>
        <w:rPr>
          <w:rFonts w:ascii="Times New Roman" w:hAnsi="Times New Roman" w:cs="Times New Roman"/>
          <w:sz w:val="24"/>
        </w:rPr>
      </w:pPr>
    </w:p>
    <w:p w:rsidR="00F56317" w:rsidRDefault="00F56317" w:rsidP="00D84D04">
      <w:pPr>
        <w:spacing w:line="360" w:lineRule="auto"/>
        <w:rPr>
          <w:rFonts w:ascii="Times New Roman" w:hAnsi="Times New Roman" w:cs="Times New Roman"/>
          <w:sz w:val="24"/>
        </w:rPr>
      </w:pPr>
      <w:r>
        <w:rPr>
          <w:rFonts w:ascii="Times New Roman" w:hAnsi="Times New Roman" w:cs="Times New Roman"/>
          <w:sz w:val="24"/>
        </w:rPr>
        <w:t xml:space="preserve">Diggs, J. (2008). Encyclopedia of Aging and Public Health. In Loue, S.J.D., &amp; Sajatovic, M. (Eds.). </w:t>
      </w:r>
      <w:r>
        <w:rPr>
          <w:rFonts w:ascii="Times New Roman" w:hAnsi="Times New Roman" w:cs="Times New Roman"/>
          <w:i/>
          <w:sz w:val="24"/>
        </w:rPr>
        <w:t xml:space="preserve">Springer Science &amp; Business Media. </w:t>
      </w:r>
      <w:r>
        <w:rPr>
          <w:rFonts w:ascii="Times New Roman" w:hAnsi="Times New Roman" w:cs="Times New Roman"/>
          <w:sz w:val="24"/>
        </w:rPr>
        <w:t xml:space="preserve">Boston, USA. </w:t>
      </w:r>
    </w:p>
    <w:p w:rsidR="008A3AD2" w:rsidRPr="00F56317" w:rsidRDefault="008A3AD2" w:rsidP="00D84D04">
      <w:pPr>
        <w:spacing w:line="360" w:lineRule="auto"/>
        <w:rPr>
          <w:rFonts w:ascii="Times New Roman" w:hAnsi="Times New Roman" w:cs="Times New Roman"/>
          <w:sz w:val="24"/>
        </w:rPr>
      </w:pPr>
    </w:p>
    <w:p w:rsidR="00127AA6" w:rsidRDefault="00127AA6" w:rsidP="00D84D04">
      <w:pPr>
        <w:spacing w:line="360" w:lineRule="auto"/>
        <w:rPr>
          <w:rFonts w:ascii="Times New Roman" w:hAnsi="Times New Roman" w:cs="Times New Roman"/>
          <w:sz w:val="24"/>
        </w:rPr>
      </w:pPr>
      <w:r>
        <w:rPr>
          <w:rFonts w:ascii="Times New Roman" w:hAnsi="Times New Roman" w:cs="Times New Roman"/>
          <w:sz w:val="24"/>
        </w:rPr>
        <w:t xml:space="preserve">Graney, M.J. (1975). Happiness and social participation in aging. </w:t>
      </w:r>
      <w:r w:rsidRPr="00127AA6">
        <w:rPr>
          <w:rFonts w:ascii="Times New Roman" w:hAnsi="Times New Roman" w:cs="Times New Roman"/>
          <w:i/>
          <w:sz w:val="24"/>
        </w:rPr>
        <w:t>Journal of Gerontology</w:t>
      </w:r>
      <w:r>
        <w:rPr>
          <w:rFonts w:ascii="Times New Roman" w:hAnsi="Times New Roman" w:cs="Times New Roman"/>
          <w:sz w:val="24"/>
        </w:rPr>
        <w:t xml:space="preserve">, 30(6), (pp. 701-706). </w:t>
      </w:r>
    </w:p>
    <w:p w:rsidR="008A3AD2" w:rsidRPr="00127AA6" w:rsidRDefault="008A3AD2" w:rsidP="00D84D04">
      <w:pPr>
        <w:spacing w:line="360" w:lineRule="auto"/>
        <w:rPr>
          <w:rFonts w:ascii="Times New Roman" w:hAnsi="Times New Roman" w:cs="Times New Roman"/>
          <w:sz w:val="24"/>
        </w:rPr>
      </w:pPr>
    </w:p>
    <w:p w:rsidR="00171191" w:rsidRDefault="00454D3A" w:rsidP="00D84D04">
      <w:pPr>
        <w:spacing w:line="360" w:lineRule="auto"/>
        <w:rPr>
          <w:rFonts w:ascii="Times New Roman" w:hAnsi="Times New Roman" w:cs="Times New Roman"/>
          <w:sz w:val="24"/>
        </w:rPr>
      </w:pPr>
      <w:r>
        <w:rPr>
          <w:rFonts w:ascii="Times New Roman" w:hAnsi="Times New Roman" w:cs="Times New Roman"/>
          <w:sz w:val="24"/>
        </w:rPr>
        <w:t xml:space="preserve">Havinghurst, R.J., Neugarten, B.L., &amp; Tobin, S.S. (1963). Disengagement, personality and life satisfaction in the later years. In P.Hensen (Ed.), </w:t>
      </w:r>
      <w:r>
        <w:rPr>
          <w:rFonts w:ascii="Times New Roman" w:hAnsi="Times New Roman" w:cs="Times New Roman"/>
          <w:i/>
          <w:sz w:val="24"/>
        </w:rPr>
        <w:t xml:space="preserve">Age with a future </w:t>
      </w:r>
      <w:r>
        <w:rPr>
          <w:rFonts w:ascii="Times New Roman" w:hAnsi="Times New Roman" w:cs="Times New Roman"/>
          <w:sz w:val="24"/>
        </w:rPr>
        <w:t xml:space="preserve">(pp. 419-425). Copenhagen, Denmark: Munksgoasrd. </w:t>
      </w:r>
    </w:p>
    <w:p w:rsidR="008A3AD2" w:rsidRDefault="008A3AD2" w:rsidP="00D84D04">
      <w:pPr>
        <w:spacing w:line="360" w:lineRule="auto"/>
        <w:rPr>
          <w:rFonts w:ascii="Times New Roman" w:hAnsi="Times New Roman" w:cs="Times New Roman"/>
          <w:sz w:val="24"/>
        </w:rPr>
      </w:pPr>
    </w:p>
    <w:p w:rsidR="00171191" w:rsidRPr="00465D4C" w:rsidRDefault="00171191" w:rsidP="00465D4C">
      <w:pPr>
        <w:pStyle w:val="Heading1"/>
        <w:spacing w:before="0" w:beforeAutospacing="0" w:after="0" w:afterAutospacing="0" w:line="480" w:lineRule="atLeast"/>
        <w:rPr>
          <w:b w:val="0"/>
          <w:bCs w:val="0"/>
          <w:sz w:val="24"/>
          <w:szCs w:val="24"/>
        </w:rPr>
      </w:pPr>
      <w:r w:rsidRPr="00171191">
        <w:rPr>
          <w:b w:val="0"/>
          <w:sz w:val="24"/>
          <w:szCs w:val="24"/>
        </w:rPr>
        <w:lastRenderedPageBreak/>
        <w:t xml:space="preserve">Levasseaur, M., Richard, L., Gauvin, L., &amp; Raymond, E. (2010). </w:t>
      </w:r>
      <w:r w:rsidRPr="00171191">
        <w:rPr>
          <w:b w:val="0"/>
          <w:bCs w:val="0"/>
          <w:sz w:val="24"/>
          <w:szCs w:val="24"/>
        </w:rPr>
        <w:t>Inventory and analysis of definitions of social participation found in the aging literature: Proposed taxonomy of social activities</w:t>
      </w:r>
      <w:r>
        <w:rPr>
          <w:b w:val="0"/>
          <w:bCs w:val="0"/>
          <w:sz w:val="24"/>
          <w:szCs w:val="24"/>
        </w:rPr>
        <w:t xml:space="preserve">. </w:t>
      </w:r>
      <w:r>
        <w:rPr>
          <w:b w:val="0"/>
          <w:bCs w:val="0"/>
          <w:i/>
          <w:sz w:val="24"/>
          <w:szCs w:val="24"/>
        </w:rPr>
        <w:t xml:space="preserve">Social Science &amp; Medicine. </w:t>
      </w:r>
      <w:r>
        <w:rPr>
          <w:b w:val="0"/>
          <w:bCs w:val="0"/>
          <w:sz w:val="24"/>
          <w:szCs w:val="24"/>
        </w:rPr>
        <w:t xml:space="preserve">(pp. 2141-2149). </w:t>
      </w:r>
    </w:p>
    <w:p w:rsidR="002D28E5" w:rsidRDefault="002D28E5" w:rsidP="00D84D04">
      <w:pPr>
        <w:spacing w:line="360" w:lineRule="auto"/>
        <w:rPr>
          <w:rFonts w:ascii="Times New Roman" w:hAnsi="Times New Roman" w:cs="Times New Roman"/>
          <w:sz w:val="24"/>
        </w:rPr>
      </w:pPr>
    </w:p>
    <w:p w:rsidR="008A3AD2" w:rsidRDefault="008A3AD2" w:rsidP="00D84D04">
      <w:pPr>
        <w:spacing w:line="360" w:lineRule="auto"/>
        <w:rPr>
          <w:rFonts w:ascii="Times New Roman" w:hAnsi="Times New Roman" w:cs="Times New Roman"/>
          <w:sz w:val="24"/>
        </w:rPr>
      </w:pPr>
    </w:p>
    <w:p w:rsidR="002D28E5" w:rsidRDefault="002D28E5" w:rsidP="002D28E5">
      <w:pPr>
        <w:spacing w:line="360" w:lineRule="auto"/>
        <w:rPr>
          <w:rFonts w:ascii="Times New Roman" w:hAnsi="Times New Roman" w:cs="Times New Roman"/>
          <w:sz w:val="24"/>
        </w:rPr>
      </w:pPr>
      <w:r w:rsidRPr="002D28E5">
        <w:rPr>
          <w:rFonts w:ascii="Times New Roman" w:hAnsi="Times New Roman" w:cs="Times New Roman"/>
          <w:sz w:val="24"/>
          <w:szCs w:val="24"/>
          <w:shd w:val="clear" w:color="auto" w:fill="FFFFFF"/>
        </w:rPr>
        <w:t>Prince, M</w:t>
      </w:r>
      <w:r w:rsidR="00E21840">
        <w:rPr>
          <w:rFonts w:ascii="Times New Roman" w:hAnsi="Times New Roman" w:cs="Times New Roman"/>
          <w:sz w:val="24"/>
          <w:szCs w:val="24"/>
          <w:shd w:val="clear" w:color="auto" w:fill="FFFFFF"/>
        </w:rPr>
        <w:t>.,</w:t>
      </w:r>
      <w:r w:rsidRPr="002D28E5">
        <w:rPr>
          <w:rFonts w:ascii="Times New Roman" w:hAnsi="Times New Roman" w:cs="Times New Roman"/>
          <w:sz w:val="24"/>
          <w:szCs w:val="24"/>
          <w:shd w:val="clear" w:color="auto" w:fill="FFFFFF"/>
        </w:rPr>
        <w:t xml:space="preserve"> et al</w:t>
      </w:r>
      <w:r w:rsidR="00E21840">
        <w:rPr>
          <w:rFonts w:ascii="Times New Roman" w:hAnsi="Times New Roman" w:cs="Times New Roman"/>
          <w:sz w:val="24"/>
          <w:szCs w:val="24"/>
          <w:shd w:val="clear" w:color="auto" w:fill="FFFFFF"/>
        </w:rPr>
        <w:t>.</w:t>
      </w:r>
      <w:r w:rsidRPr="002D28E5">
        <w:rPr>
          <w:rFonts w:ascii="Times New Roman" w:hAnsi="Times New Roman" w:cs="Times New Roman"/>
          <w:sz w:val="24"/>
          <w:szCs w:val="24"/>
          <w:shd w:val="clear" w:color="auto" w:fill="FFFFFF"/>
        </w:rPr>
        <w:t xml:space="preserve"> (2014)</w:t>
      </w:r>
      <w:r w:rsidR="00E21840">
        <w:rPr>
          <w:rFonts w:ascii="Times New Roman" w:hAnsi="Times New Roman" w:cs="Times New Roman"/>
          <w:sz w:val="24"/>
          <w:szCs w:val="24"/>
          <w:shd w:val="clear" w:color="auto" w:fill="FFFFFF"/>
        </w:rPr>
        <w:t>.</w:t>
      </w:r>
      <w:r w:rsidRPr="002D28E5">
        <w:rPr>
          <w:rFonts w:ascii="Times New Roman" w:hAnsi="Times New Roman" w:cs="Times New Roman"/>
          <w:sz w:val="24"/>
          <w:szCs w:val="24"/>
          <w:shd w:val="clear" w:color="auto" w:fill="FFFFFF"/>
        </w:rPr>
        <w:t xml:space="preserve"> Dem</w:t>
      </w:r>
      <w:r w:rsidR="00E21840">
        <w:rPr>
          <w:rFonts w:ascii="Times New Roman" w:hAnsi="Times New Roman" w:cs="Times New Roman"/>
          <w:sz w:val="24"/>
          <w:szCs w:val="24"/>
          <w:shd w:val="clear" w:color="auto" w:fill="FFFFFF"/>
        </w:rPr>
        <w:t xml:space="preserve">entia UK: Update Second Edition. </w:t>
      </w:r>
      <w:r w:rsidRPr="002D28E5">
        <w:rPr>
          <w:rFonts w:ascii="Times New Roman" w:hAnsi="Times New Roman" w:cs="Times New Roman"/>
          <w:sz w:val="24"/>
          <w:szCs w:val="24"/>
          <w:shd w:val="clear" w:color="auto" w:fill="FFFFFF"/>
        </w:rPr>
        <w:t>King’s College London and the London School of Economics for the Alzheimer’s Society</w:t>
      </w:r>
      <w:r>
        <w:rPr>
          <w:rFonts w:ascii="Times New Roman" w:hAnsi="Times New Roman" w:cs="Times New Roman"/>
          <w:sz w:val="24"/>
          <w:szCs w:val="24"/>
          <w:shd w:val="clear" w:color="auto" w:fill="FFFFFF"/>
        </w:rPr>
        <w:t xml:space="preserve">. Cited in: </w:t>
      </w:r>
      <w:hyperlink r:id="rId7" w:history="1">
        <w:r w:rsidRPr="006A3650">
          <w:rPr>
            <w:rStyle w:val="Hyperlink"/>
            <w:rFonts w:ascii="Times New Roman" w:hAnsi="Times New Roman" w:cs="Times New Roman"/>
            <w:sz w:val="24"/>
          </w:rPr>
          <w:t>https://www.dementiastatistics.org/statistics-about-dementia/prevalence/</w:t>
        </w:r>
      </w:hyperlink>
    </w:p>
    <w:p w:rsidR="008A3AD2" w:rsidRDefault="008A3AD2" w:rsidP="002D28E5">
      <w:pPr>
        <w:spacing w:line="360" w:lineRule="auto"/>
        <w:rPr>
          <w:rFonts w:ascii="Times New Roman" w:hAnsi="Times New Roman" w:cs="Times New Roman"/>
          <w:sz w:val="24"/>
        </w:rPr>
      </w:pPr>
    </w:p>
    <w:p w:rsidR="002D28E5" w:rsidRDefault="00465D4C" w:rsidP="002D28E5">
      <w:pPr>
        <w:spacing w:line="360" w:lineRule="auto"/>
        <w:rPr>
          <w:rFonts w:ascii="Times New Roman" w:hAnsi="Times New Roman" w:cs="Times New Roman"/>
          <w:sz w:val="24"/>
        </w:rPr>
      </w:pPr>
      <w:r>
        <w:rPr>
          <w:rFonts w:ascii="Times New Roman" w:hAnsi="Times New Roman" w:cs="Times New Roman"/>
          <w:sz w:val="24"/>
        </w:rPr>
        <w:t xml:space="preserve">Street, D., Burge, S., Quadagno, J., &amp; Barrett, A. (2007). The salience of social relationships for resident well-being in assisted living. </w:t>
      </w:r>
      <w:r>
        <w:rPr>
          <w:rFonts w:ascii="Times New Roman" w:hAnsi="Times New Roman" w:cs="Times New Roman"/>
          <w:i/>
          <w:sz w:val="24"/>
        </w:rPr>
        <w:t>Journal of Gerontology</w:t>
      </w:r>
      <w:r w:rsidRPr="00465D4C">
        <w:rPr>
          <w:rFonts w:ascii="Times New Roman" w:hAnsi="Times New Roman" w:cs="Times New Roman"/>
          <w:i/>
          <w:sz w:val="24"/>
        </w:rPr>
        <w:t xml:space="preserve"> Series B: Social Sciences.</w:t>
      </w:r>
      <w:r>
        <w:rPr>
          <w:rFonts w:ascii="Times New Roman" w:hAnsi="Times New Roman" w:cs="Times New Roman"/>
          <w:sz w:val="24"/>
        </w:rPr>
        <w:t xml:space="preserve"> 62(B), S129-S134.</w:t>
      </w:r>
    </w:p>
    <w:p w:rsidR="008A3AD2" w:rsidRDefault="008A3AD2" w:rsidP="002D28E5">
      <w:pPr>
        <w:spacing w:line="360" w:lineRule="auto"/>
        <w:rPr>
          <w:rFonts w:ascii="Times New Roman" w:hAnsi="Times New Roman" w:cs="Times New Roman"/>
          <w:sz w:val="24"/>
        </w:rPr>
      </w:pPr>
    </w:p>
    <w:p w:rsidR="002D28E5" w:rsidRPr="008A3AD2" w:rsidRDefault="00F56317" w:rsidP="00D84D04">
      <w:pPr>
        <w:spacing w:line="360" w:lineRule="auto"/>
        <w:rPr>
          <w:rFonts w:ascii="Times New Roman" w:hAnsi="Times New Roman" w:cs="Times New Roman"/>
          <w:sz w:val="24"/>
          <w:szCs w:val="24"/>
        </w:rPr>
      </w:pPr>
      <w:r w:rsidRPr="008A3AD2">
        <w:rPr>
          <w:rFonts w:ascii="Times New Roman" w:hAnsi="Times New Roman" w:cs="Times New Roman"/>
          <w:sz w:val="24"/>
          <w:szCs w:val="24"/>
        </w:rPr>
        <w:t>Wang, J., &amp;</w:t>
      </w:r>
      <w:r w:rsidRPr="008A3AD2">
        <w:rPr>
          <w:rFonts w:ascii="Times New Roman" w:hAnsi="Times New Roman" w:cs="Times New Roman"/>
          <w:sz w:val="24"/>
          <w:szCs w:val="24"/>
        </w:rPr>
        <w:t xml:space="preserve"> Lêng, C.H.</w:t>
      </w:r>
      <w:r w:rsidRPr="008A3AD2">
        <w:rPr>
          <w:rFonts w:ascii="Times New Roman" w:hAnsi="Times New Roman" w:cs="Times New Roman"/>
          <w:sz w:val="24"/>
          <w:szCs w:val="24"/>
        </w:rPr>
        <w:t xml:space="preserve"> (2016).</w:t>
      </w:r>
      <w:r w:rsidRPr="008A3AD2">
        <w:rPr>
          <w:rFonts w:ascii="Times New Roman" w:hAnsi="Times New Roman" w:cs="Times New Roman"/>
          <w:sz w:val="24"/>
          <w:szCs w:val="24"/>
        </w:rPr>
        <w:t xml:space="preserve"> Daily home gardening improved survival for older people with mobility limitations: An 11-year follow-up study</w:t>
      </w:r>
      <w:r w:rsidRPr="008A3AD2">
        <w:rPr>
          <w:rFonts w:ascii="Times New Roman" w:hAnsi="Times New Roman" w:cs="Times New Roman"/>
          <w:sz w:val="24"/>
          <w:szCs w:val="24"/>
        </w:rPr>
        <w:t xml:space="preserve"> in Taiwan. (pp.947–959)</w:t>
      </w:r>
    </w:p>
    <w:p w:rsidR="00F56317" w:rsidRPr="007250C8" w:rsidRDefault="00F56317" w:rsidP="00D84D04">
      <w:pPr>
        <w:spacing w:line="360" w:lineRule="auto"/>
        <w:rPr>
          <w:rFonts w:ascii="Times New Roman" w:hAnsi="Times New Roman" w:cs="Times New Roman"/>
          <w:sz w:val="24"/>
        </w:rPr>
      </w:pPr>
    </w:p>
    <w:p w:rsidR="00454D3A" w:rsidRPr="00454D3A" w:rsidRDefault="00454D3A" w:rsidP="00D84D04">
      <w:pPr>
        <w:spacing w:line="360" w:lineRule="auto"/>
        <w:rPr>
          <w:rFonts w:ascii="Times New Roman" w:hAnsi="Times New Roman" w:cs="Times New Roman"/>
          <w:sz w:val="24"/>
        </w:rPr>
      </w:pPr>
    </w:p>
    <w:sectPr w:rsidR="00454D3A" w:rsidRPr="00454D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4D3A" w:rsidRDefault="00454D3A" w:rsidP="00454D3A">
      <w:pPr>
        <w:spacing w:after="0" w:line="240" w:lineRule="auto"/>
      </w:pPr>
      <w:r>
        <w:separator/>
      </w:r>
    </w:p>
  </w:endnote>
  <w:endnote w:type="continuationSeparator" w:id="0">
    <w:p w:rsidR="00454D3A" w:rsidRDefault="00454D3A" w:rsidP="00454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4D3A" w:rsidRDefault="00454D3A" w:rsidP="00454D3A">
      <w:pPr>
        <w:spacing w:after="0" w:line="240" w:lineRule="auto"/>
      </w:pPr>
      <w:r>
        <w:separator/>
      </w:r>
    </w:p>
  </w:footnote>
  <w:footnote w:type="continuationSeparator" w:id="0">
    <w:p w:rsidR="00454D3A" w:rsidRDefault="00454D3A" w:rsidP="00454D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345C"/>
    <w:rsid w:val="0003525F"/>
    <w:rsid w:val="000D002D"/>
    <w:rsid w:val="000D7F88"/>
    <w:rsid w:val="00127AA6"/>
    <w:rsid w:val="0013600F"/>
    <w:rsid w:val="00171191"/>
    <w:rsid w:val="001B345C"/>
    <w:rsid w:val="001B3EA7"/>
    <w:rsid w:val="0024105A"/>
    <w:rsid w:val="002521CF"/>
    <w:rsid w:val="00294FBC"/>
    <w:rsid w:val="002D28E5"/>
    <w:rsid w:val="003108BD"/>
    <w:rsid w:val="00336EA6"/>
    <w:rsid w:val="00361E18"/>
    <w:rsid w:val="00454D3A"/>
    <w:rsid w:val="00465D4C"/>
    <w:rsid w:val="00540880"/>
    <w:rsid w:val="00553643"/>
    <w:rsid w:val="005A3974"/>
    <w:rsid w:val="005C75C4"/>
    <w:rsid w:val="005F57FF"/>
    <w:rsid w:val="00614843"/>
    <w:rsid w:val="00614A4F"/>
    <w:rsid w:val="00683058"/>
    <w:rsid w:val="007250C8"/>
    <w:rsid w:val="00736F79"/>
    <w:rsid w:val="007864C6"/>
    <w:rsid w:val="007A250E"/>
    <w:rsid w:val="007C0922"/>
    <w:rsid w:val="008071C5"/>
    <w:rsid w:val="00845FD8"/>
    <w:rsid w:val="00872AC8"/>
    <w:rsid w:val="008A30F8"/>
    <w:rsid w:val="008A3AD2"/>
    <w:rsid w:val="008C1701"/>
    <w:rsid w:val="00915F0B"/>
    <w:rsid w:val="009472A8"/>
    <w:rsid w:val="0095594C"/>
    <w:rsid w:val="009C3492"/>
    <w:rsid w:val="00A041B3"/>
    <w:rsid w:val="00AA3031"/>
    <w:rsid w:val="00AE2BD4"/>
    <w:rsid w:val="00B40ED7"/>
    <w:rsid w:val="00BA3BB2"/>
    <w:rsid w:val="00BB00A5"/>
    <w:rsid w:val="00D44576"/>
    <w:rsid w:val="00D61B09"/>
    <w:rsid w:val="00D84D04"/>
    <w:rsid w:val="00DE65C2"/>
    <w:rsid w:val="00E21840"/>
    <w:rsid w:val="00EA271E"/>
    <w:rsid w:val="00F30FEB"/>
    <w:rsid w:val="00F56317"/>
    <w:rsid w:val="00F60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DD4EF"/>
  <w15:chartTrackingRefBased/>
  <w15:docId w15:val="{F4140990-02CC-42B1-9E48-3F3FEC6FE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7119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4D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D3A"/>
  </w:style>
  <w:style w:type="paragraph" w:styleId="Footer">
    <w:name w:val="footer"/>
    <w:basedOn w:val="Normal"/>
    <w:link w:val="FooterChar"/>
    <w:uiPriority w:val="99"/>
    <w:unhideWhenUsed/>
    <w:rsid w:val="00454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D3A"/>
  </w:style>
  <w:style w:type="character" w:styleId="Hyperlink">
    <w:name w:val="Hyperlink"/>
    <w:basedOn w:val="DefaultParagraphFont"/>
    <w:uiPriority w:val="99"/>
    <w:unhideWhenUsed/>
    <w:rsid w:val="007250C8"/>
    <w:rPr>
      <w:color w:val="0563C1" w:themeColor="hyperlink"/>
      <w:u w:val="single"/>
    </w:rPr>
  </w:style>
  <w:style w:type="character" w:styleId="UnresolvedMention">
    <w:name w:val="Unresolved Mention"/>
    <w:basedOn w:val="DefaultParagraphFont"/>
    <w:uiPriority w:val="99"/>
    <w:semiHidden/>
    <w:unhideWhenUsed/>
    <w:rsid w:val="007250C8"/>
    <w:rPr>
      <w:color w:val="808080"/>
      <w:shd w:val="clear" w:color="auto" w:fill="E6E6E6"/>
    </w:rPr>
  </w:style>
  <w:style w:type="character" w:customStyle="1" w:styleId="Heading1Char">
    <w:name w:val="Heading 1 Char"/>
    <w:basedOn w:val="DefaultParagraphFont"/>
    <w:link w:val="Heading1"/>
    <w:uiPriority w:val="9"/>
    <w:rsid w:val="00171191"/>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1711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159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ementiastatistics.org/statistics-about-dementia/preval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lzheimersresearchuk.org/wp-content/uploads/2015/01/All-about-dementia.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6</Pages>
  <Words>1765</Words>
  <Characters>10065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milesy02@aol.com</dc:creator>
  <cp:keywords/>
  <dc:description/>
  <cp:lastModifiedBy>milesy02@aol.com</cp:lastModifiedBy>
  <cp:revision>12</cp:revision>
  <dcterms:created xsi:type="dcterms:W3CDTF">2018-03-25T09:30:00Z</dcterms:created>
  <dcterms:modified xsi:type="dcterms:W3CDTF">2018-03-25T13:34:00Z</dcterms:modified>
</cp:coreProperties>
</file>