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DC6AB" w14:textId="77777777" w:rsidR="00887162" w:rsidRPr="00921025" w:rsidRDefault="00887162" w:rsidP="001426CF">
      <w:pPr>
        <w:rPr>
          <w:rFonts w:asciiTheme="minorHAnsi" w:eastAsia="Times New Roman" w:hAnsiTheme="minorHAnsi" w:cstheme="minorHAnsi"/>
          <w:color w:val="1D2125"/>
          <w:lang w:eastAsia="en-GB"/>
        </w:rPr>
      </w:pPr>
      <w:bookmarkStart w:id="0" w:name="OLE_LINK9"/>
      <w:bookmarkStart w:id="1" w:name="OLE_LINK10"/>
    </w:p>
    <w:p w14:paraId="219EF020" w14:textId="77777777" w:rsidR="001426CF" w:rsidRPr="00921025" w:rsidRDefault="001426CF" w:rsidP="001426CF">
      <w:pPr>
        <w:rPr>
          <w:rFonts w:asciiTheme="minorHAnsi" w:eastAsia="Times New Roman" w:hAnsiTheme="minorHAnsi" w:cstheme="minorHAnsi"/>
          <w:color w:val="1D2125"/>
          <w:lang w:eastAsia="en-GB"/>
        </w:rPr>
      </w:pPr>
    </w:p>
    <w:p w14:paraId="579EFA57" w14:textId="77777777" w:rsidR="001426CF" w:rsidRPr="00921025" w:rsidRDefault="001426CF" w:rsidP="001426CF">
      <w:pPr>
        <w:rPr>
          <w:rFonts w:asciiTheme="minorHAnsi" w:eastAsia="Times New Roman" w:hAnsiTheme="minorHAnsi" w:cstheme="minorHAnsi"/>
          <w:color w:val="1D2125"/>
          <w:lang w:eastAsia="en-GB"/>
        </w:rPr>
      </w:pPr>
    </w:p>
    <w:p w14:paraId="6EA9781D" w14:textId="77777777" w:rsidR="003707F8" w:rsidRPr="00921025" w:rsidRDefault="003707F8" w:rsidP="0020244E">
      <w:pPr>
        <w:ind w:firstLine="426"/>
        <w:jc w:val="right"/>
        <w:rPr>
          <w:rFonts w:asciiTheme="minorHAnsi" w:eastAsia="Times New Roman" w:hAnsiTheme="minorHAnsi" w:cstheme="minorHAnsi"/>
          <w:color w:val="1D2125"/>
          <w:lang w:eastAsia="en-GB"/>
        </w:rPr>
      </w:pPr>
    </w:p>
    <w:p w14:paraId="0902B8E1" w14:textId="3E7A87E0" w:rsidR="003707F8" w:rsidRPr="00921025" w:rsidRDefault="003707F8" w:rsidP="0020244E">
      <w:pPr>
        <w:ind w:firstLine="426"/>
        <w:jc w:val="right"/>
        <w:rPr>
          <w:rFonts w:asciiTheme="minorHAnsi" w:eastAsia="Times New Roman" w:hAnsiTheme="minorHAnsi" w:cstheme="minorHAnsi"/>
          <w:color w:val="1D2125"/>
          <w:lang w:eastAsia="en-GB"/>
        </w:rPr>
      </w:pPr>
    </w:p>
    <w:p w14:paraId="234B6437"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E506082"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C931C7E"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2B8C945" w14:textId="77777777" w:rsidR="00E74270" w:rsidRPr="00921025" w:rsidRDefault="00A634DD"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imes New Roman" w:hAnsiTheme="minorHAnsi" w:cstheme="minorHAnsi"/>
          <w:b/>
          <w:bCs/>
          <w:color w:val="1D2125"/>
          <w:lang w:eastAsia="en-GB"/>
        </w:rPr>
      </w:pPr>
      <w:r w:rsidRPr="00921025">
        <w:rPr>
          <w:rFonts w:asciiTheme="minorHAnsi" w:eastAsia="Times New Roman" w:hAnsiTheme="minorHAnsi" w:cstheme="minorHAnsi"/>
          <w:color w:val="1D2125"/>
          <w:lang w:eastAsia="en-GB"/>
        </w:rPr>
        <w:t>A Theological Commentary on Cyril’s ‘The Unity of Christ’</w:t>
      </w:r>
    </w:p>
    <w:p w14:paraId="060E1816" w14:textId="77777777" w:rsidR="00E74270" w:rsidRPr="00921025" w:rsidRDefault="00E74270"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imes New Roman" w:hAnsiTheme="minorHAnsi" w:cstheme="minorHAnsi"/>
          <w:color w:val="1D2125"/>
          <w:lang w:eastAsia="en-GB"/>
        </w:rPr>
      </w:pPr>
    </w:p>
    <w:p w14:paraId="65BECA6D" w14:textId="77777777" w:rsidR="00E74270" w:rsidRPr="00921025" w:rsidRDefault="00E74270" w:rsidP="0020244E">
      <w:pPr>
        <w:ind w:firstLine="426"/>
        <w:jc w:val="center"/>
        <w:rPr>
          <w:rFonts w:asciiTheme="minorHAnsi" w:eastAsia="Times New Roman" w:hAnsiTheme="minorHAnsi" w:cstheme="minorHAnsi"/>
          <w:color w:val="1D2125"/>
          <w:lang w:eastAsia="en-GB"/>
        </w:rPr>
      </w:pPr>
    </w:p>
    <w:p w14:paraId="63689E8A" w14:textId="77777777" w:rsidR="00E74270" w:rsidRPr="00921025" w:rsidRDefault="00E74270" w:rsidP="0020244E">
      <w:pPr>
        <w:ind w:firstLine="426"/>
        <w:jc w:val="right"/>
        <w:rPr>
          <w:rFonts w:asciiTheme="minorHAnsi" w:eastAsia="Times New Roman" w:hAnsiTheme="minorHAnsi" w:cstheme="minorHAnsi"/>
          <w:color w:val="1D2125"/>
          <w:lang w:eastAsia="en-GB"/>
        </w:rPr>
      </w:pPr>
    </w:p>
    <w:p w14:paraId="3F96F4B7"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D36EF7E"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F8E7489"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77199BB6"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2C777D32"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7F0AA62D"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6960355"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40ABECD"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3B46A00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F76196B"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0B9CE6E"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330FA0C"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8F57F04"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D16A26F"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386237F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2B09EF0D"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372483EA"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EE578B5"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4548349"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93D3E9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D97141B"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77EAFCD6"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CF2A451"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396739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DDD6296"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11C0290"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6A9B21A1" w14:textId="6BACC7C5" w:rsidR="00887162" w:rsidRPr="00921025" w:rsidRDefault="00887162" w:rsidP="0020244E">
      <w:pPr>
        <w:ind w:firstLine="426"/>
        <w:rPr>
          <w:rFonts w:asciiTheme="minorHAnsi" w:eastAsia="Times New Roman" w:hAnsiTheme="minorHAnsi" w:cstheme="minorHAnsi"/>
          <w:color w:val="1D2125"/>
          <w:lang w:eastAsia="en-GB"/>
        </w:rPr>
      </w:pPr>
      <w:r w:rsidRPr="00921025">
        <w:rPr>
          <w:rFonts w:asciiTheme="minorHAnsi" w:eastAsia="Times New Roman" w:hAnsiTheme="minorHAnsi" w:cstheme="minorHAnsi"/>
          <w:color w:val="1D2125"/>
          <w:lang w:eastAsia="en-GB"/>
        </w:rPr>
        <w:t xml:space="preserve">Word Count: </w:t>
      </w:r>
      <w:r w:rsidR="00044EDF">
        <w:rPr>
          <w:rFonts w:asciiTheme="minorHAnsi" w:eastAsia="Times New Roman" w:hAnsiTheme="minorHAnsi" w:cstheme="minorHAnsi"/>
          <w:color w:val="1D2125"/>
          <w:lang w:eastAsia="en-GB"/>
        </w:rPr>
        <w:t>393</w:t>
      </w:r>
      <w:r w:rsidR="008C59B3">
        <w:rPr>
          <w:rFonts w:asciiTheme="minorHAnsi" w:eastAsia="Times New Roman" w:hAnsiTheme="minorHAnsi" w:cstheme="minorHAnsi"/>
          <w:color w:val="1D2125"/>
          <w:lang w:eastAsia="en-GB"/>
        </w:rPr>
        <w:t>8</w:t>
      </w:r>
      <w:r w:rsidR="00A634DD" w:rsidRPr="00921025">
        <w:rPr>
          <w:rFonts w:asciiTheme="minorHAnsi" w:eastAsia="Times New Roman" w:hAnsiTheme="minorHAnsi" w:cstheme="minorHAnsi"/>
          <w:color w:val="1D2125"/>
          <w:lang w:eastAsia="en-GB"/>
        </w:rPr>
        <w:t xml:space="preserve"> </w:t>
      </w:r>
      <w:r w:rsidR="00044EDF">
        <w:rPr>
          <w:rFonts w:asciiTheme="minorHAnsi" w:eastAsia="Times New Roman" w:hAnsiTheme="minorHAnsi" w:cstheme="minorHAnsi"/>
          <w:color w:val="1D2125"/>
          <w:lang w:eastAsia="en-GB"/>
        </w:rPr>
        <w:t>ex</w:t>
      </w:r>
      <w:r w:rsidRPr="00921025">
        <w:rPr>
          <w:rFonts w:asciiTheme="minorHAnsi" w:eastAsia="Times New Roman" w:hAnsiTheme="minorHAnsi" w:cstheme="minorHAnsi"/>
          <w:color w:val="1D2125"/>
          <w:lang w:eastAsia="en-GB"/>
        </w:rPr>
        <w:t>cl. section headings</w:t>
      </w:r>
      <w:r w:rsidR="00044EDF">
        <w:rPr>
          <w:rFonts w:asciiTheme="minorHAnsi" w:eastAsia="Times New Roman" w:hAnsiTheme="minorHAnsi" w:cstheme="minorHAnsi"/>
          <w:color w:val="1D2125"/>
          <w:lang w:eastAsia="en-GB"/>
        </w:rPr>
        <w:t xml:space="preserve">, </w:t>
      </w:r>
      <w:r w:rsidRPr="00921025">
        <w:rPr>
          <w:rFonts w:asciiTheme="minorHAnsi" w:eastAsia="Times New Roman" w:hAnsiTheme="minorHAnsi" w:cstheme="minorHAnsi"/>
          <w:color w:val="1D2125"/>
          <w:lang w:eastAsia="en-GB"/>
        </w:rPr>
        <w:t>scripture references</w:t>
      </w:r>
      <w:r w:rsidR="001426CF" w:rsidRPr="00921025">
        <w:rPr>
          <w:rFonts w:asciiTheme="minorHAnsi" w:eastAsia="Times New Roman" w:hAnsiTheme="minorHAnsi" w:cstheme="minorHAnsi"/>
          <w:color w:val="1D2125"/>
          <w:lang w:eastAsia="en-GB"/>
        </w:rPr>
        <w:t xml:space="preserve"> and longer quotations</w:t>
      </w:r>
    </w:p>
    <w:p w14:paraId="5C661D17"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476E202" w14:textId="77777777" w:rsidR="00E74270" w:rsidRPr="00921025" w:rsidRDefault="00E74270"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imes New Roman" w:hAnsiTheme="minorHAnsi" w:cstheme="minorHAnsi"/>
          <w:b/>
          <w:bCs/>
          <w:color w:val="C00000"/>
          <w:bdr w:val="none" w:sz="0" w:space="0" w:color="auto"/>
          <w:lang w:eastAsia="en-GB"/>
        </w:rPr>
      </w:pPr>
      <w:r w:rsidRPr="00921025">
        <w:rPr>
          <w:rFonts w:asciiTheme="minorHAnsi" w:hAnsiTheme="minorHAnsi" w:cstheme="minorHAnsi"/>
          <w:b/>
          <w:bCs/>
          <w:color w:val="C00000"/>
        </w:rPr>
        <w:br w:type="page"/>
      </w:r>
    </w:p>
    <w:p w14:paraId="15DE9670" w14:textId="26ECCD51" w:rsidR="00A634DD" w:rsidRPr="00282B53" w:rsidRDefault="00A634DD" w:rsidP="00282B53">
      <w:pPr>
        <w:pStyle w:val="NormalWeb"/>
        <w:spacing w:before="0" w:beforeAutospacing="0" w:after="0" w:afterAutospacing="0"/>
        <w:ind w:firstLine="426"/>
        <w:jc w:val="center"/>
        <w:rPr>
          <w:rFonts w:asciiTheme="minorHAnsi" w:hAnsiTheme="minorHAnsi" w:cstheme="minorHAnsi"/>
          <w:b/>
          <w:bCs/>
          <w:color w:val="000000"/>
        </w:rPr>
      </w:pPr>
      <w:r w:rsidRPr="00921025">
        <w:rPr>
          <w:rFonts w:asciiTheme="minorHAnsi" w:hAnsiTheme="minorHAnsi" w:cstheme="minorHAnsi"/>
          <w:b/>
          <w:bCs/>
          <w:color w:val="000000"/>
        </w:rPr>
        <w:lastRenderedPageBreak/>
        <w:t>CONTENTS</w:t>
      </w:r>
    </w:p>
    <w:p w14:paraId="58EC90A4" w14:textId="58C1F470" w:rsidR="00D671B2" w:rsidRPr="006A648C" w:rsidRDefault="004615B2">
      <w:pPr>
        <w:pStyle w:val="TOC1"/>
        <w:tabs>
          <w:tab w:val="right" w:leader="dot" w:pos="9010"/>
        </w:tabs>
        <w:rPr>
          <w:rFonts w:eastAsiaTheme="minorEastAsia" w:cstheme="minorBidi"/>
          <w:b w:val="0"/>
          <w:bCs w:val="0"/>
          <w:noProof/>
          <w:kern w:val="2"/>
          <w:sz w:val="36"/>
          <w:szCs w:val="36"/>
          <w:bdr w:val="none" w:sz="0" w:space="0" w:color="auto"/>
          <w:lang w:eastAsia="en-GB"/>
          <w14:ligatures w14:val="standardContextual"/>
        </w:rPr>
      </w:pPr>
      <w:r w:rsidRPr="006A648C">
        <w:rPr>
          <w:rFonts w:eastAsiaTheme="majorEastAsia"/>
          <w:b w:val="0"/>
          <w:bCs w:val="0"/>
          <w:sz w:val="24"/>
          <w:szCs w:val="24"/>
          <w:bdr w:val="none" w:sz="0" w:space="0" w:color="auto"/>
          <w:lang w:val="en-US"/>
        </w:rPr>
        <w:fldChar w:fldCharType="begin"/>
      </w:r>
      <w:r w:rsidRPr="006A648C">
        <w:rPr>
          <w:rFonts w:eastAsiaTheme="majorEastAsia"/>
          <w:b w:val="0"/>
          <w:bCs w:val="0"/>
          <w:sz w:val="24"/>
          <w:szCs w:val="24"/>
          <w:bdr w:val="none" w:sz="0" w:space="0" w:color="auto"/>
          <w:lang w:val="en-US"/>
        </w:rPr>
        <w:instrText xml:space="preserve"> TOC \o "1-3" \h \z \u </w:instrText>
      </w:r>
      <w:r w:rsidRPr="006A648C">
        <w:rPr>
          <w:rFonts w:eastAsiaTheme="majorEastAsia"/>
          <w:b w:val="0"/>
          <w:bCs w:val="0"/>
          <w:sz w:val="24"/>
          <w:szCs w:val="24"/>
          <w:bdr w:val="none" w:sz="0" w:space="0" w:color="auto"/>
          <w:lang w:val="en-US"/>
        </w:rPr>
        <w:fldChar w:fldCharType="separate"/>
      </w:r>
      <w:hyperlink w:anchor="_Toc163223616" w:history="1">
        <w:r w:rsidR="00D671B2" w:rsidRPr="006A648C">
          <w:rPr>
            <w:rStyle w:val="Hyperlink"/>
            <w:b w:val="0"/>
            <w:bCs w:val="0"/>
            <w:noProof/>
            <w:sz w:val="24"/>
            <w:szCs w:val="24"/>
          </w:rPr>
          <w:t>Introduction</w:t>
        </w:r>
        <w:r w:rsidR="00D671B2" w:rsidRPr="006A648C">
          <w:rPr>
            <w:b w:val="0"/>
            <w:bCs w:val="0"/>
            <w:noProof/>
            <w:webHidden/>
            <w:sz w:val="24"/>
            <w:szCs w:val="24"/>
          </w:rPr>
          <w:tab/>
        </w:r>
        <w:r w:rsidR="00D671B2" w:rsidRPr="006A648C">
          <w:rPr>
            <w:b w:val="0"/>
            <w:bCs w:val="0"/>
            <w:noProof/>
            <w:webHidden/>
            <w:sz w:val="24"/>
            <w:szCs w:val="24"/>
          </w:rPr>
          <w:fldChar w:fldCharType="begin"/>
        </w:r>
        <w:r w:rsidR="00D671B2" w:rsidRPr="006A648C">
          <w:rPr>
            <w:b w:val="0"/>
            <w:bCs w:val="0"/>
            <w:noProof/>
            <w:webHidden/>
            <w:sz w:val="24"/>
            <w:szCs w:val="24"/>
          </w:rPr>
          <w:instrText xml:space="preserve"> PAGEREF _Toc163223616 \h </w:instrText>
        </w:r>
        <w:r w:rsidR="00D671B2" w:rsidRPr="006A648C">
          <w:rPr>
            <w:b w:val="0"/>
            <w:bCs w:val="0"/>
            <w:noProof/>
            <w:webHidden/>
            <w:sz w:val="24"/>
            <w:szCs w:val="24"/>
          </w:rPr>
        </w:r>
        <w:r w:rsidR="00D671B2" w:rsidRPr="006A648C">
          <w:rPr>
            <w:b w:val="0"/>
            <w:bCs w:val="0"/>
            <w:noProof/>
            <w:webHidden/>
            <w:sz w:val="24"/>
            <w:szCs w:val="24"/>
          </w:rPr>
          <w:fldChar w:fldCharType="separate"/>
        </w:r>
        <w:r w:rsidR="00D671B2" w:rsidRPr="006A648C">
          <w:rPr>
            <w:b w:val="0"/>
            <w:bCs w:val="0"/>
            <w:noProof/>
            <w:webHidden/>
            <w:sz w:val="24"/>
            <w:szCs w:val="24"/>
          </w:rPr>
          <w:t>3</w:t>
        </w:r>
        <w:r w:rsidR="00D671B2" w:rsidRPr="006A648C">
          <w:rPr>
            <w:b w:val="0"/>
            <w:bCs w:val="0"/>
            <w:noProof/>
            <w:webHidden/>
            <w:sz w:val="24"/>
            <w:szCs w:val="24"/>
          </w:rPr>
          <w:fldChar w:fldCharType="end"/>
        </w:r>
      </w:hyperlink>
    </w:p>
    <w:p w14:paraId="0675DBD8" w14:textId="2BC55466" w:rsidR="00D671B2" w:rsidRPr="006A648C" w:rsidRDefault="00D671B2">
      <w:pPr>
        <w:pStyle w:val="TOC1"/>
        <w:tabs>
          <w:tab w:val="right" w:leader="dot" w:pos="9010"/>
        </w:tabs>
        <w:rPr>
          <w:rFonts w:eastAsiaTheme="minorEastAsia" w:cstheme="minorBidi"/>
          <w:b w:val="0"/>
          <w:bCs w:val="0"/>
          <w:noProof/>
          <w:kern w:val="2"/>
          <w:sz w:val="36"/>
          <w:szCs w:val="36"/>
          <w:bdr w:val="none" w:sz="0" w:space="0" w:color="auto"/>
          <w:lang w:eastAsia="en-GB"/>
          <w14:ligatures w14:val="standardContextual"/>
        </w:rPr>
      </w:pPr>
      <w:hyperlink w:anchor="_Toc163223617" w:history="1">
        <w:r w:rsidRPr="006A648C">
          <w:rPr>
            <w:rStyle w:val="Hyperlink"/>
            <w:b w:val="0"/>
            <w:bCs w:val="0"/>
            <w:noProof/>
            <w:sz w:val="24"/>
            <w:szCs w:val="24"/>
          </w:rPr>
          <w:t>Contextual Background</w:t>
        </w:r>
        <w:r w:rsidRPr="006A648C">
          <w:rPr>
            <w:b w:val="0"/>
            <w:bCs w:val="0"/>
            <w:noProof/>
            <w:webHidden/>
            <w:sz w:val="24"/>
            <w:szCs w:val="24"/>
          </w:rPr>
          <w:tab/>
        </w:r>
        <w:r w:rsidRPr="006A648C">
          <w:rPr>
            <w:b w:val="0"/>
            <w:bCs w:val="0"/>
            <w:noProof/>
            <w:webHidden/>
            <w:sz w:val="24"/>
            <w:szCs w:val="24"/>
          </w:rPr>
          <w:fldChar w:fldCharType="begin"/>
        </w:r>
        <w:r w:rsidRPr="006A648C">
          <w:rPr>
            <w:b w:val="0"/>
            <w:bCs w:val="0"/>
            <w:noProof/>
            <w:webHidden/>
            <w:sz w:val="24"/>
            <w:szCs w:val="24"/>
          </w:rPr>
          <w:instrText xml:space="preserve"> PAGEREF _Toc163223617 \h </w:instrText>
        </w:r>
        <w:r w:rsidRPr="006A648C">
          <w:rPr>
            <w:b w:val="0"/>
            <w:bCs w:val="0"/>
            <w:noProof/>
            <w:webHidden/>
            <w:sz w:val="24"/>
            <w:szCs w:val="24"/>
          </w:rPr>
        </w:r>
        <w:r w:rsidRPr="006A648C">
          <w:rPr>
            <w:b w:val="0"/>
            <w:bCs w:val="0"/>
            <w:noProof/>
            <w:webHidden/>
            <w:sz w:val="24"/>
            <w:szCs w:val="24"/>
          </w:rPr>
          <w:fldChar w:fldCharType="separate"/>
        </w:r>
        <w:r w:rsidRPr="006A648C">
          <w:rPr>
            <w:b w:val="0"/>
            <w:bCs w:val="0"/>
            <w:noProof/>
            <w:webHidden/>
            <w:sz w:val="24"/>
            <w:szCs w:val="24"/>
          </w:rPr>
          <w:t>4</w:t>
        </w:r>
        <w:r w:rsidRPr="006A648C">
          <w:rPr>
            <w:b w:val="0"/>
            <w:bCs w:val="0"/>
            <w:noProof/>
            <w:webHidden/>
            <w:sz w:val="24"/>
            <w:szCs w:val="24"/>
          </w:rPr>
          <w:fldChar w:fldCharType="end"/>
        </w:r>
      </w:hyperlink>
    </w:p>
    <w:p w14:paraId="727F8F09" w14:textId="6FF10148" w:rsidR="00D671B2" w:rsidRPr="006A648C" w:rsidRDefault="00D671B2">
      <w:pPr>
        <w:pStyle w:val="TOC1"/>
        <w:tabs>
          <w:tab w:val="right" w:leader="dot" w:pos="9010"/>
        </w:tabs>
        <w:rPr>
          <w:rFonts w:eastAsiaTheme="minorEastAsia" w:cstheme="minorBidi"/>
          <w:b w:val="0"/>
          <w:bCs w:val="0"/>
          <w:noProof/>
          <w:kern w:val="2"/>
          <w:sz w:val="36"/>
          <w:szCs w:val="36"/>
          <w:bdr w:val="none" w:sz="0" w:space="0" w:color="auto"/>
          <w:lang w:eastAsia="en-GB"/>
          <w14:ligatures w14:val="standardContextual"/>
        </w:rPr>
      </w:pPr>
      <w:hyperlink w:anchor="_Toc163223618" w:history="1">
        <w:r w:rsidRPr="006A648C">
          <w:rPr>
            <w:rStyle w:val="Hyperlink"/>
            <w:b w:val="0"/>
            <w:bCs w:val="0"/>
            <w:noProof/>
            <w:sz w:val="24"/>
            <w:szCs w:val="24"/>
          </w:rPr>
          <w:t>‘On the Unity of Christ</w:t>
        </w:r>
        <w:r w:rsidRPr="006A648C">
          <w:rPr>
            <w:b w:val="0"/>
            <w:bCs w:val="0"/>
            <w:noProof/>
            <w:webHidden/>
            <w:sz w:val="24"/>
            <w:szCs w:val="24"/>
          </w:rPr>
          <w:tab/>
        </w:r>
        <w:r w:rsidRPr="006A648C">
          <w:rPr>
            <w:b w:val="0"/>
            <w:bCs w:val="0"/>
            <w:noProof/>
            <w:webHidden/>
            <w:sz w:val="24"/>
            <w:szCs w:val="24"/>
          </w:rPr>
          <w:fldChar w:fldCharType="begin"/>
        </w:r>
        <w:r w:rsidRPr="006A648C">
          <w:rPr>
            <w:b w:val="0"/>
            <w:bCs w:val="0"/>
            <w:noProof/>
            <w:webHidden/>
            <w:sz w:val="24"/>
            <w:szCs w:val="24"/>
          </w:rPr>
          <w:instrText xml:space="preserve"> PAGEREF _Toc163223618 \h </w:instrText>
        </w:r>
        <w:r w:rsidRPr="006A648C">
          <w:rPr>
            <w:b w:val="0"/>
            <w:bCs w:val="0"/>
            <w:noProof/>
            <w:webHidden/>
            <w:sz w:val="24"/>
            <w:szCs w:val="24"/>
          </w:rPr>
        </w:r>
        <w:r w:rsidRPr="006A648C">
          <w:rPr>
            <w:b w:val="0"/>
            <w:bCs w:val="0"/>
            <w:noProof/>
            <w:webHidden/>
            <w:sz w:val="24"/>
            <w:szCs w:val="24"/>
          </w:rPr>
          <w:fldChar w:fldCharType="separate"/>
        </w:r>
        <w:r w:rsidRPr="006A648C">
          <w:rPr>
            <w:b w:val="0"/>
            <w:bCs w:val="0"/>
            <w:noProof/>
            <w:webHidden/>
            <w:sz w:val="24"/>
            <w:szCs w:val="24"/>
          </w:rPr>
          <w:t>5</w:t>
        </w:r>
        <w:r w:rsidRPr="006A648C">
          <w:rPr>
            <w:b w:val="0"/>
            <w:bCs w:val="0"/>
            <w:noProof/>
            <w:webHidden/>
            <w:sz w:val="24"/>
            <w:szCs w:val="24"/>
          </w:rPr>
          <w:fldChar w:fldCharType="end"/>
        </w:r>
      </w:hyperlink>
    </w:p>
    <w:p w14:paraId="229F347F" w14:textId="6607E2F7" w:rsidR="00D671B2" w:rsidRPr="006A648C" w:rsidRDefault="00D671B2">
      <w:pPr>
        <w:pStyle w:val="TOC2"/>
        <w:tabs>
          <w:tab w:val="right" w:leader="dot" w:pos="9010"/>
        </w:tabs>
        <w:rPr>
          <w:rFonts w:eastAsiaTheme="minorEastAsia" w:cstheme="minorBidi"/>
          <w:i w:val="0"/>
          <w:iCs w:val="0"/>
          <w:noProof/>
          <w:kern w:val="2"/>
          <w:sz w:val="36"/>
          <w:szCs w:val="36"/>
          <w:bdr w:val="none" w:sz="0" w:space="0" w:color="auto"/>
          <w:lang w:eastAsia="en-GB"/>
          <w14:ligatures w14:val="standardContextual"/>
        </w:rPr>
      </w:pPr>
      <w:hyperlink w:anchor="_Toc163223619" w:history="1">
        <w:r w:rsidRPr="006A648C">
          <w:rPr>
            <w:rStyle w:val="Hyperlink"/>
            <w:noProof/>
            <w:sz w:val="24"/>
            <w:szCs w:val="24"/>
          </w:rPr>
          <w:t>Mother of God or Mother of Christ?</w:t>
        </w:r>
        <w:r w:rsidRPr="006A648C">
          <w:rPr>
            <w:noProof/>
            <w:webHidden/>
            <w:sz w:val="24"/>
            <w:szCs w:val="24"/>
          </w:rPr>
          <w:tab/>
        </w:r>
        <w:r w:rsidRPr="006A648C">
          <w:rPr>
            <w:noProof/>
            <w:webHidden/>
            <w:sz w:val="24"/>
            <w:szCs w:val="24"/>
          </w:rPr>
          <w:fldChar w:fldCharType="begin"/>
        </w:r>
        <w:r w:rsidRPr="006A648C">
          <w:rPr>
            <w:noProof/>
            <w:webHidden/>
            <w:sz w:val="24"/>
            <w:szCs w:val="24"/>
          </w:rPr>
          <w:instrText xml:space="preserve"> PAGEREF _Toc163223619 \h </w:instrText>
        </w:r>
        <w:r w:rsidRPr="006A648C">
          <w:rPr>
            <w:noProof/>
            <w:webHidden/>
            <w:sz w:val="24"/>
            <w:szCs w:val="24"/>
          </w:rPr>
        </w:r>
        <w:r w:rsidRPr="006A648C">
          <w:rPr>
            <w:noProof/>
            <w:webHidden/>
            <w:sz w:val="24"/>
            <w:szCs w:val="24"/>
          </w:rPr>
          <w:fldChar w:fldCharType="separate"/>
        </w:r>
        <w:r w:rsidRPr="006A648C">
          <w:rPr>
            <w:noProof/>
            <w:webHidden/>
            <w:sz w:val="24"/>
            <w:szCs w:val="24"/>
          </w:rPr>
          <w:t>8</w:t>
        </w:r>
        <w:r w:rsidRPr="006A648C">
          <w:rPr>
            <w:noProof/>
            <w:webHidden/>
            <w:sz w:val="24"/>
            <w:szCs w:val="24"/>
          </w:rPr>
          <w:fldChar w:fldCharType="end"/>
        </w:r>
      </w:hyperlink>
    </w:p>
    <w:p w14:paraId="50ADB916" w14:textId="1CAC2A7D" w:rsidR="00D671B2" w:rsidRPr="006A648C" w:rsidRDefault="00D671B2">
      <w:pPr>
        <w:pStyle w:val="TOC2"/>
        <w:tabs>
          <w:tab w:val="right" w:leader="dot" w:pos="9010"/>
        </w:tabs>
        <w:rPr>
          <w:rFonts w:eastAsiaTheme="minorEastAsia" w:cstheme="minorBidi"/>
          <w:i w:val="0"/>
          <w:iCs w:val="0"/>
          <w:noProof/>
          <w:kern w:val="2"/>
          <w:sz w:val="36"/>
          <w:szCs w:val="36"/>
          <w:bdr w:val="none" w:sz="0" w:space="0" w:color="auto"/>
          <w:lang w:eastAsia="en-GB"/>
          <w14:ligatures w14:val="standardContextual"/>
        </w:rPr>
      </w:pPr>
      <w:hyperlink w:anchor="_Toc163223620" w:history="1">
        <w:r w:rsidRPr="006A648C">
          <w:rPr>
            <w:rStyle w:val="Hyperlink"/>
            <w:rFonts w:eastAsiaTheme="minorHAnsi"/>
            <w:noProof/>
            <w:sz w:val="24"/>
            <w:szCs w:val="24"/>
          </w:rPr>
          <w:t>Christ’s Self-Emptying</w:t>
        </w:r>
        <w:r w:rsidRPr="006A648C">
          <w:rPr>
            <w:noProof/>
            <w:webHidden/>
            <w:sz w:val="24"/>
            <w:szCs w:val="24"/>
          </w:rPr>
          <w:tab/>
        </w:r>
        <w:r w:rsidRPr="006A648C">
          <w:rPr>
            <w:noProof/>
            <w:webHidden/>
            <w:sz w:val="24"/>
            <w:szCs w:val="24"/>
          </w:rPr>
          <w:fldChar w:fldCharType="begin"/>
        </w:r>
        <w:r w:rsidRPr="006A648C">
          <w:rPr>
            <w:noProof/>
            <w:webHidden/>
            <w:sz w:val="24"/>
            <w:szCs w:val="24"/>
          </w:rPr>
          <w:instrText xml:space="preserve"> PAGEREF _Toc163223620 \h </w:instrText>
        </w:r>
        <w:r w:rsidRPr="006A648C">
          <w:rPr>
            <w:noProof/>
            <w:webHidden/>
            <w:sz w:val="24"/>
            <w:szCs w:val="24"/>
          </w:rPr>
        </w:r>
        <w:r w:rsidRPr="006A648C">
          <w:rPr>
            <w:noProof/>
            <w:webHidden/>
            <w:sz w:val="24"/>
            <w:szCs w:val="24"/>
          </w:rPr>
          <w:fldChar w:fldCharType="separate"/>
        </w:r>
        <w:r w:rsidRPr="006A648C">
          <w:rPr>
            <w:noProof/>
            <w:webHidden/>
            <w:sz w:val="24"/>
            <w:szCs w:val="24"/>
          </w:rPr>
          <w:t>10</w:t>
        </w:r>
        <w:r w:rsidRPr="006A648C">
          <w:rPr>
            <w:noProof/>
            <w:webHidden/>
            <w:sz w:val="24"/>
            <w:szCs w:val="24"/>
          </w:rPr>
          <w:fldChar w:fldCharType="end"/>
        </w:r>
      </w:hyperlink>
    </w:p>
    <w:p w14:paraId="33A26FBD" w14:textId="5A36FCCA" w:rsidR="00D671B2" w:rsidRPr="006A648C" w:rsidRDefault="00D671B2">
      <w:pPr>
        <w:pStyle w:val="TOC2"/>
        <w:tabs>
          <w:tab w:val="right" w:leader="dot" w:pos="9010"/>
        </w:tabs>
        <w:rPr>
          <w:rFonts w:eastAsiaTheme="minorEastAsia" w:cstheme="minorBidi"/>
          <w:i w:val="0"/>
          <w:iCs w:val="0"/>
          <w:noProof/>
          <w:kern w:val="2"/>
          <w:sz w:val="36"/>
          <w:szCs w:val="36"/>
          <w:bdr w:val="none" w:sz="0" w:space="0" w:color="auto"/>
          <w:lang w:eastAsia="en-GB"/>
          <w14:ligatures w14:val="standardContextual"/>
        </w:rPr>
      </w:pPr>
      <w:hyperlink w:anchor="_Toc163223621" w:history="1">
        <w:r w:rsidRPr="006A648C">
          <w:rPr>
            <w:rStyle w:val="Hyperlink"/>
            <w:noProof/>
            <w:sz w:val="24"/>
            <w:szCs w:val="24"/>
            <w:lang w:val="en-US"/>
          </w:rPr>
          <w:t>The Eucharist</w:t>
        </w:r>
        <w:r w:rsidRPr="006A648C">
          <w:rPr>
            <w:noProof/>
            <w:webHidden/>
            <w:sz w:val="24"/>
            <w:szCs w:val="24"/>
          </w:rPr>
          <w:tab/>
        </w:r>
        <w:r w:rsidRPr="006A648C">
          <w:rPr>
            <w:noProof/>
            <w:webHidden/>
            <w:sz w:val="24"/>
            <w:szCs w:val="24"/>
          </w:rPr>
          <w:fldChar w:fldCharType="begin"/>
        </w:r>
        <w:r w:rsidRPr="006A648C">
          <w:rPr>
            <w:noProof/>
            <w:webHidden/>
            <w:sz w:val="24"/>
            <w:szCs w:val="24"/>
          </w:rPr>
          <w:instrText xml:space="preserve"> PAGEREF _Toc163223621 \h </w:instrText>
        </w:r>
        <w:r w:rsidRPr="006A648C">
          <w:rPr>
            <w:noProof/>
            <w:webHidden/>
            <w:sz w:val="24"/>
            <w:szCs w:val="24"/>
          </w:rPr>
        </w:r>
        <w:r w:rsidRPr="006A648C">
          <w:rPr>
            <w:noProof/>
            <w:webHidden/>
            <w:sz w:val="24"/>
            <w:szCs w:val="24"/>
          </w:rPr>
          <w:fldChar w:fldCharType="separate"/>
        </w:r>
        <w:r w:rsidRPr="006A648C">
          <w:rPr>
            <w:noProof/>
            <w:webHidden/>
            <w:sz w:val="24"/>
            <w:szCs w:val="24"/>
          </w:rPr>
          <w:t>15</w:t>
        </w:r>
        <w:r w:rsidRPr="006A648C">
          <w:rPr>
            <w:noProof/>
            <w:webHidden/>
            <w:sz w:val="24"/>
            <w:szCs w:val="24"/>
          </w:rPr>
          <w:fldChar w:fldCharType="end"/>
        </w:r>
      </w:hyperlink>
    </w:p>
    <w:p w14:paraId="79A56AF7" w14:textId="75E98E08" w:rsidR="00D671B2" w:rsidRPr="006A648C" w:rsidRDefault="00D671B2">
      <w:pPr>
        <w:pStyle w:val="TOC2"/>
        <w:tabs>
          <w:tab w:val="right" w:leader="dot" w:pos="9010"/>
        </w:tabs>
        <w:rPr>
          <w:rFonts w:eastAsiaTheme="minorEastAsia" w:cstheme="minorBidi"/>
          <w:i w:val="0"/>
          <w:iCs w:val="0"/>
          <w:noProof/>
          <w:kern w:val="2"/>
          <w:sz w:val="36"/>
          <w:szCs w:val="36"/>
          <w:bdr w:val="none" w:sz="0" w:space="0" w:color="auto"/>
          <w:lang w:eastAsia="en-GB"/>
          <w14:ligatures w14:val="standardContextual"/>
        </w:rPr>
      </w:pPr>
      <w:hyperlink w:anchor="_Toc163223622" w:history="1">
        <w:r w:rsidRPr="006A648C">
          <w:rPr>
            <w:rStyle w:val="Hyperlink"/>
            <w:noProof/>
            <w:sz w:val="24"/>
            <w:szCs w:val="24"/>
          </w:rPr>
          <w:t>Salvation</w:t>
        </w:r>
        <w:r w:rsidRPr="006A648C">
          <w:rPr>
            <w:noProof/>
            <w:webHidden/>
            <w:sz w:val="24"/>
            <w:szCs w:val="24"/>
          </w:rPr>
          <w:tab/>
        </w:r>
        <w:r w:rsidRPr="006A648C">
          <w:rPr>
            <w:noProof/>
            <w:webHidden/>
            <w:sz w:val="24"/>
            <w:szCs w:val="24"/>
          </w:rPr>
          <w:fldChar w:fldCharType="begin"/>
        </w:r>
        <w:r w:rsidRPr="006A648C">
          <w:rPr>
            <w:noProof/>
            <w:webHidden/>
            <w:sz w:val="24"/>
            <w:szCs w:val="24"/>
          </w:rPr>
          <w:instrText xml:space="preserve"> PAGEREF _Toc163223622 \h </w:instrText>
        </w:r>
        <w:r w:rsidRPr="006A648C">
          <w:rPr>
            <w:noProof/>
            <w:webHidden/>
            <w:sz w:val="24"/>
            <w:szCs w:val="24"/>
          </w:rPr>
        </w:r>
        <w:r w:rsidRPr="006A648C">
          <w:rPr>
            <w:noProof/>
            <w:webHidden/>
            <w:sz w:val="24"/>
            <w:szCs w:val="24"/>
          </w:rPr>
          <w:fldChar w:fldCharType="separate"/>
        </w:r>
        <w:r w:rsidRPr="006A648C">
          <w:rPr>
            <w:noProof/>
            <w:webHidden/>
            <w:sz w:val="24"/>
            <w:szCs w:val="24"/>
          </w:rPr>
          <w:t>17</w:t>
        </w:r>
        <w:r w:rsidRPr="006A648C">
          <w:rPr>
            <w:noProof/>
            <w:webHidden/>
            <w:sz w:val="24"/>
            <w:szCs w:val="24"/>
          </w:rPr>
          <w:fldChar w:fldCharType="end"/>
        </w:r>
      </w:hyperlink>
    </w:p>
    <w:p w14:paraId="5A05869B" w14:textId="37A830A2" w:rsidR="00D671B2" w:rsidRPr="006A648C" w:rsidRDefault="00D671B2">
      <w:pPr>
        <w:pStyle w:val="TOC2"/>
        <w:tabs>
          <w:tab w:val="right" w:leader="dot" w:pos="9010"/>
        </w:tabs>
        <w:rPr>
          <w:rFonts w:eastAsiaTheme="minorEastAsia" w:cstheme="minorBidi"/>
          <w:i w:val="0"/>
          <w:iCs w:val="0"/>
          <w:noProof/>
          <w:kern w:val="2"/>
          <w:sz w:val="36"/>
          <w:szCs w:val="36"/>
          <w:bdr w:val="none" w:sz="0" w:space="0" w:color="auto"/>
          <w:lang w:eastAsia="en-GB"/>
          <w14:ligatures w14:val="standardContextual"/>
        </w:rPr>
      </w:pPr>
      <w:hyperlink w:anchor="_Toc163223623" w:history="1">
        <w:r w:rsidRPr="006A648C">
          <w:rPr>
            <w:rStyle w:val="Hyperlink"/>
            <w:noProof/>
            <w:sz w:val="24"/>
            <w:szCs w:val="24"/>
          </w:rPr>
          <w:t>Eschatology</w:t>
        </w:r>
        <w:r w:rsidRPr="006A648C">
          <w:rPr>
            <w:noProof/>
            <w:webHidden/>
            <w:sz w:val="24"/>
            <w:szCs w:val="24"/>
          </w:rPr>
          <w:tab/>
        </w:r>
        <w:r w:rsidRPr="006A648C">
          <w:rPr>
            <w:noProof/>
            <w:webHidden/>
            <w:sz w:val="24"/>
            <w:szCs w:val="24"/>
          </w:rPr>
          <w:fldChar w:fldCharType="begin"/>
        </w:r>
        <w:r w:rsidRPr="006A648C">
          <w:rPr>
            <w:noProof/>
            <w:webHidden/>
            <w:sz w:val="24"/>
            <w:szCs w:val="24"/>
          </w:rPr>
          <w:instrText xml:space="preserve"> PAGEREF _Toc163223623 \h </w:instrText>
        </w:r>
        <w:r w:rsidRPr="006A648C">
          <w:rPr>
            <w:noProof/>
            <w:webHidden/>
            <w:sz w:val="24"/>
            <w:szCs w:val="24"/>
          </w:rPr>
        </w:r>
        <w:r w:rsidRPr="006A648C">
          <w:rPr>
            <w:noProof/>
            <w:webHidden/>
            <w:sz w:val="24"/>
            <w:szCs w:val="24"/>
          </w:rPr>
          <w:fldChar w:fldCharType="separate"/>
        </w:r>
        <w:r w:rsidRPr="006A648C">
          <w:rPr>
            <w:noProof/>
            <w:webHidden/>
            <w:sz w:val="24"/>
            <w:szCs w:val="24"/>
          </w:rPr>
          <w:t>18</w:t>
        </w:r>
        <w:r w:rsidRPr="006A648C">
          <w:rPr>
            <w:noProof/>
            <w:webHidden/>
            <w:sz w:val="24"/>
            <w:szCs w:val="24"/>
          </w:rPr>
          <w:fldChar w:fldCharType="end"/>
        </w:r>
      </w:hyperlink>
    </w:p>
    <w:p w14:paraId="2109D256" w14:textId="64BEB455" w:rsidR="00D671B2" w:rsidRPr="006A648C" w:rsidRDefault="00D671B2">
      <w:pPr>
        <w:pStyle w:val="TOC1"/>
        <w:tabs>
          <w:tab w:val="right" w:leader="dot" w:pos="9010"/>
        </w:tabs>
        <w:rPr>
          <w:rFonts w:eastAsiaTheme="minorEastAsia" w:cstheme="minorBidi"/>
          <w:b w:val="0"/>
          <w:bCs w:val="0"/>
          <w:noProof/>
          <w:kern w:val="2"/>
          <w:sz w:val="36"/>
          <w:szCs w:val="36"/>
          <w:bdr w:val="none" w:sz="0" w:space="0" w:color="auto"/>
          <w:lang w:eastAsia="en-GB"/>
          <w14:ligatures w14:val="standardContextual"/>
        </w:rPr>
      </w:pPr>
      <w:hyperlink w:anchor="_Toc163223624" w:history="1">
        <w:r w:rsidRPr="006A648C">
          <w:rPr>
            <w:rStyle w:val="Hyperlink"/>
            <w:b w:val="0"/>
            <w:bCs w:val="0"/>
            <w:noProof/>
            <w:sz w:val="24"/>
            <w:szCs w:val="24"/>
          </w:rPr>
          <w:t>Concluding Remarks</w:t>
        </w:r>
        <w:r w:rsidRPr="006A648C">
          <w:rPr>
            <w:b w:val="0"/>
            <w:bCs w:val="0"/>
            <w:noProof/>
            <w:webHidden/>
            <w:sz w:val="24"/>
            <w:szCs w:val="24"/>
          </w:rPr>
          <w:tab/>
        </w:r>
        <w:r w:rsidRPr="006A648C">
          <w:rPr>
            <w:b w:val="0"/>
            <w:bCs w:val="0"/>
            <w:noProof/>
            <w:webHidden/>
            <w:sz w:val="24"/>
            <w:szCs w:val="24"/>
          </w:rPr>
          <w:fldChar w:fldCharType="begin"/>
        </w:r>
        <w:r w:rsidRPr="006A648C">
          <w:rPr>
            <w:b w:val="0"/>
            <w:bCs w:val="0"/>
            <w:noProof/>
            <w:webHidden/>
            <w:sz w:val="24"/>
            <w:szCs w:val="24"/>
          </w:rPr>
          <w:instrText xml:space="preserve"> PAGEREF _Toc163223624 \h </w:instrText>
        </w:r>
        <w:r w:rsidRPr="006A648C">
          <w:rPr>
            <w:b w:val="0"/>
            <w:bCs w:val="0"/>
            <w:noProof/>
            <w:webHidden/>
            <w:sz w:val="24"/>
            <w:szCs w:val="24"/>
          </w:rPr>
        </w:r>
        <w:r w:rsidRPr="006A648C">
          <w:rPr>
            <w:b w:val="0"/>
            <w:bCs w:val="0"/>
            <w:noProof/>
            <w:webHidden/>
            <w:sz w:val="24"/>
            <w:szCs w:val="24"/>
          </w:rPr>
          <w:fldChar w:fldCharType="separate"/>
        </w:r>
        <w:r w:rsidRPr="006A648C">
          <w:rPr>
            <w:b w:val="0"/>
            <w:bCs w:val="0"/>
            <w:noProof/>
            <w:webHidden/>
            <w:sz w:val="24"/>
            <w:szCs w:val="24"/>
          </w:rPr>
          <w:t>19</w:t>
        </w:r>
        <w:r w:rsidRPr="006A648C">
          <w:rPr>
            <w:b w:val="0"/>
            <w:bCs w:val="0"/>
            <w:noProof/>
            <w:webHidden/>
            <w:sz w:val="24"/>
            <w:szCs w:val="24"/>
          </w:rPr>
          <w:fldChar w:fldCharType="end"/>
        </w:r>
      </w:hyperlink>
    </w:p>
    <w:p w14:paraId="10D6E18C" w14:textId="7F6C9FD0" w:rsidR="00D671B2" w:rsidRPr="006A648C" w:rsidRDefault="00D671B2">
      <w:pPr>
        <w:pStyle w:val="TOC1"/>
        <w:tabs>
          <w:tab w:val="right" w:leader="dot" w:pos="9010"/>
        </w:tabs>
        <w:rPr>
          <w:rFonts w:eastAsiaTheme="minorEastAsia" w:cstheme="minorBidi"/>
          <w:b w:val="0"/>
          <w:bCs w:val="0"/>
          <w:noProof/>
          <w:kern w:val="2"/>
          <w:sz w:val="36"/>
          <w:szCs w:val="36"/>
          <w:bdr w:val="none" w:sz="0" w:space="0" w:color="auto"/>
          <w:lang w:eastAsia="en-GB"/>
          <w14:ligatures w14:val="standardContextual"/>
        </w:rPr>
      </w:pPr>
      <w:hyperlink w:anchor="_Toc163223625" w:history="1">
        <w:r w:rsidRPr="006A648C">
          <w:rPr>
            <w:rStyle w:val="Hyperlink"/>
            <w:rFonts w:eastAsiaTheme="minorHAnsi"/>
            <w:b w:val="0"/>
            <w:bCs w:val="0"/>
            <w:noProof/>
            <w:sz w:val="24"/>
            <w:szCs w:val="24"/>
          </w:rPr>
          <w:t>Bibliography</w:t>
        </w:r>
        <w:r w:rsidRPr="006A648C">
          <w:rPr>
            <w:b w:val="0"/>
            <w:bCs w:val="0"/>
            <w:noProof/>
            <w:webHidden/>
            <w:sz w:val="24"/>
            <w:szCs w:val="24"/>
          </w:rPr>
          <w:tab/>
        </w:r>
        <w:r w:rsidRPr="006A648C">
          <w:rPr>
            <w:b w:val="0"/>
            <w:bCs w:val="0"/>
            <w:noProof/>
            <w:webHidden/>
            <w:sz w:val="24"/>
            <w:szCs w:val="24"/>
          </w:rPr>
          <w:fldChar w:fldCharType="begin"/>
        </w:r>
        <w:r w:rsidRPr="006A648C">
          <w:rPr>
            <w:b w:val="0"/>
            <w:bCs w:val="0"/>
            <w:noProof/>
            <w:webHidden/>
            <w:sz w:val="24"/>
            <w:szCs w:val="24"/>
          </w:rPr>
          <w:instrText xml:space="preserve"> PAGEREF _Toc163223625 \h </w:instrText>
        </w:r>
        <w:r w:rsidRPr="006A648C">
          <w:rPr>
            <w:b w:val="0"/>
            <w:bCs w:val="0"/>
            <w:noProof/>
            <w:webHidden/>
            <w:sz w:val="24"/>
            <w:szCs w:val="24"/>
          </w:rPr>
        </w:r>
        <w:r w:rsidRPr="006A648C">
          <w:rPr>
            <w:b w:val="0"/>
            <w:bCs w:val="0"/>
            <w:noProof/>
            <w:webHidden/>
            <w:sz w:val="24"/>
            <w:szCs w:val="24"/>
          </w:rPr>
          <w:fldChar w:fldCharType="separate"/>
        </w:r>
        <w:r w:rsidRPr="006A648C">
          <w:rPr>
            <w:b w:val="0"/>
            <w:bCs w:val="0"/>
            <w:noProof/>
            <w:webHidden/>
            <w:sz w:val="24"/>
            <w:szCs w:val="24"/>
          </w:rPr>
          <w:t>21</w:t>
        </w:r>
        <w:r w:rsidRPr="006A648C">
          <w:rPr>
            <w:b w:val="0"/>
            <w:bCs w:val="0"/>
            <w:noProof/>
            <w:webHidden/>
            <w:sz w:val="24"/>
            <w:szCs w:val="24"/>
          </w:rPr>
          <w:fldChar w:fldCharType="end"/>
        </w:r>
      </w:hyperlink>
    </w:p>
    <w:p w14:paraId="5BFBD59A" w14:textId="1E976318" w:rsidR="00F340D4" w:rsidRPr="00921025" w:rsidRDefault="004615B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r w:rsidRPr="006A648C">
        <w:rPr>
          <w:rFonts w:asciiTheme="minorHAnsi" w:eastAsiaTheme="majorEastAsia" w:hAnsiTheme="minorHAnsi" w:cstheme="minorHAnsi"/>
          <w:bdr w:val="none" w:sz="0" w:space="0" w:color="auto"/>
          <w:lang w:val="en-US"/>
        </w:rPr>
        <w:fldChar w:fldCharType="end"/>
      </w:r>
    </w:p>
    <w:p w14:paraId="173E0841" w14:textId="77777777" w:rsidR="00A634DD" w:rsidRDefault="00A634DD"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p>
    <w:p w14:paraId="13DFE091" w14:textId="77777777" w:rsidR="006A648C" w:rsidRDefault="006A648C"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p>
    <w:p w14:paraId="16D0172E" w14:textId="77777777" w:rsidR="006A648C" w:rsidRPr="00921025" w:rsidRDefault="006A648C"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p>
    <w:p w14:paraId="41CF569E" w14:textId="77777777" w:rsidR="00A634DD"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heme="majorEastAsia" w:hAnsiTheme="minorHAnsi" w:cstheme="minorHAnsi"/>
          <w:b/>
          <w:bCs/>
          <w:bdr w:val="none" w:sz="0" w:space="0" w:color="auto"/>
          <w:lang w:val="en-US"/>
        </w:rPr>
      </w:pPr>
      <w:r w:rsidRPr="00921025">
        <w:rPr>
          <w:rFonts w:asciiTheme="minorHAnsi" w:eastAsiaTheme="majorEastAsia" w:hAnsiTheme="minorHAnsi" w:cstheme="minorHAnsi"/>
          <w:b/>
          <w:bCs/>
          <w:bdr w:val="none" w:sz="0" w:space="0" w:color="auto"/>
          <w:lang w:val="en-US"/>
        </w:rPr>
        <w:t>Abbreviations</w:t>
      </w:r>
    </w:p>
    <w:p w14:paraId="4A3ABD4B"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heme="majorEastAsia" w:hAnsiTheme="minorHAnsi" w:cstheme="minorHAnsi"/>
          <w:b/>
          <w:bCs/>
          <w:bdr w:val="none" w:sz="0" w:space="0" w:color="auto"/>
          <w:lang w:val="en-US"/>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3827"/>
      </w:tblGrid>
      <w:tr w:rsidR="004615B2" w:rsidRPr="00921025" w14:paraId="38460606" w14:textId="77777777" w:rsidTr="004615B2">
        <w:trPr>
          <w:jc w:val="center"/>
        </w:trPr>
        <w:tc>
          <w:tcPr>
            <w:tcW w:w="1838" w:type="dxa"/>
          </w:tcPr>
          <w:p w14:paraId="1874DA39" w14:textId="1173F9E8"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1 Cor</w:t>
            </w:r>
          </w:p>
        </w:tc>
        <w:tc>
          <w:tcPr>
            <w:tcW w:w="3827" w:type="dxa"/>
          </w:tcPr>
          <w:p w14:paraId="55E47414" w14:textId="06B73D5A"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1 Corinthians</w:t>
            </w:r>
          </w:p>
        </w:tc>
      </w:tr>
      <w:tr w:rsidR="004615B2" w:rsidRPr="00921025" w14:paraId="0A4B8F02" w14:textId="77777777" w:rsidTr="004615B2">
        <w:trPr>
          <w:jc w:val="center"/>
        </w:trPr>
        <w:tc>
          <w:tcPr>
            <w:tcW w:w="1838" w:type="dxa"/>
          </w:tcPr>
          <w:p w14:paraId="0CC8BC20" w14:textId="083534DB"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1 Pet</w:t>
            </w:r>
          </w:p>
        </w:tc>
        <w:tc>
          <w:tcPr>
            <w:tcW w:w="3827" w:type="dxa"/>
          </w:tcPr>
          <w:p w14:paraId="0BE5CF3A" w14:textId="31CBCD0C"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1 Peter</w:t>
            </w:r>
          </w:p>
        </w:tc>
      </w:tr>
      <w:tr w:rsidR="004615B2" w:rsidRPr="00921025" w14:paraId="3FB9F568" w14:textId="77777777" w:rsidTr="004615B2">
        <w:trPr>
          <w:jc w:val="center"/>
        </w:trPr>
        <w:tc>
          <w:tcPr>
            <w:tcW w:w="1838" w:type="dxa"/>
          </w:tcPr>
          <w:p w14:paraId="2437A445" w14:textId="492022C2"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Col</w:t>
            </w:r>
          </w:p>
        </w:tc>
        <w:tc>
          <w:tcPr>
            <w:tcW w:w="3827" w:type="dxa"/>
          </w:tcPr>
          <w:p w14:paraId="05A5ABBC" w14:textId="16EDC323"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Colossians</w:t>
            </w:r>
          </w:p>
        </w:tc>
      </w:tr>
      <w:tr w:rsidR="004615B2" w:rsidRPr="00921025" w14:paraId="324A9929" w14:textId="77777777" w:rsidTr="004615B2">
        <w:trPr>
          <w:jc w:val="center"/>
        </w:trPr>
        <w:tc>
          <w:tcPr>
            <w:tcW w:w="1838" w:type="dxa"/>
          </w:tcPr>
          <w:p w14:paraId="137A3994" w14:textId="4762FCE9"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Jn</w:t>
            </w:r>
          </w:p>
        </w:tc>
        <w:tc>
          <w:tcPr>
            <w:tcW w:w="3827" w:type="dxa"/>
          </w:tcPr>
          <w:p w14:paraId="52FF96D7" w14:textId="4C23A11E"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John</w:t>
            </w:r>
          </w:p>
        </w:tc>
      </w:tr>
      <w:tr w:rsidR="004615B2" w:rsidRPr="00921025" w14:paraId="28528A6C" w14:textId="77777777" w:rsidTr="004615B2">
        <w:trPr>
          <w:jc w:val="center"/>
        </w:trPr>
        <w:tc>
          <w:tcPr>
            <w:tcW w:w="1838" w:type="dxa"/>
          </w:tcPr>
          <w:p w14:paraId="71022A49" w14:textId="55CC4433"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Phil</w:t>
            </w:r>
          </w:p>
        </w:tc>
        <w:tc>
          <w:tcPr>
            <w:tcW w:w="3827" w:type="dxa"/>
          </w:tcPr>
          <w:p w14:paraId="7B1D2648" w14:textId="22C3D1D0" w:rsidR="004615B2" w:rsidRPr="00921025" w:rsidRDefault="004615B2"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r>
              <w:rPr>
                <w:rFonts w:asciiTheme="minorHAnsi" w:eastAsiaTheme="majorEastAsia" w:hAnsiTheme="minorHAnsi" w:cstheme="minorHAnsi"/>
                <w:bdr w:val="none" w:sz="0" w:space="0" w:color="auto"/>
                <w:lang w:val="en-US"/>
              </w:rPr>
              <w:t>Philippians</w:t>
            </w:r>
          </w:p>
        </w:tc>
      </w:tr>
      <w:tr w:rsidR="00332462" w:rsidRPr="00921025" w14:paraId="4318884C" w14:textId="77777777" w:rsidTr="004615B2">
        <w:trPr>
          <w:jc w:val="center"/>
        </w:trPr>
        <w:tc>
          <w:tcPr>
            <w:tcW w:w="1838" w:type="dxa"/>
          </w:tcPr>
          <w:p w14:paraId="4A7CD48A" w14:textId="77777777" w:rsidR="00332462" w:rsidRPr="00921025" w:rsidRDefault="006A2DAC"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sidRPr="00921025">
              <w:rPr>
                <w:rFonts w:asciiTheme="minorHAnsi" w:eastAsiaTheme="majorEastAsia" w:hAnsiTheme="minorHAnsi" w:cstheme="minorHAnsi"/>
                <w:bdr w:val="none" w:sz="0" w:space="0" w:color="auto"/>
                <w:lang w:val="en-US"/>
              </w:rPr>
              <w:t>QED</w:t>
            </w:r>
          </w:p>
        </w:tc>
        <w:tc>
          <w:tcPr>
            <w:tcW w:w="3827" w:type="dxa"/>
          </w:tcPr>
          <w:p w14:paraId="31F29A5C" w14:textId="77777777" w:rsidR="00332462" w:rsidRPr="00921025" w:rsidRDefault="006A2DAC"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proofErr w:type="spellStart"/>
            <w:r w:rsidRPr="00921025">
              <w:rPr>
                <w:rFonts w:asciiTheme="minorHAnsi" w:eastAsiaTheme="majorEastAsia" w:hAnsiTheme="minorHAnsi" w:cstheme="minorHAnsi"/>
                <w:bdr w:val="none" w:sz="0" w:space="0" w:color="auto"/>
                <w:lang w:val="en-US"/>
              </w:rPr>
              <w:t>Quod</w:t>
            </w:r>
            <w:proofErr w:type="spellEnd"/>
            <w:r w:rsidRPr="00921025">
              <w:rPr>
                <w:rFonts w:asciiTheme="minorHAnsi" w:eastAsiaTheme="majorEastAsia" w:hAnsiTheme="minorHAnsi" w:cstheme="minorHAnsi"/>
                <w:bdr w:val="none" w:sz="0" w:space="0" w:color="auto"/>
                <w:lang w:val="en-US"/>
              </w:rPr>
              <w:t xml:space="preserve"> </w:t>
            </w:r>
            <w:proofErr w:type="spellStart"/>
            <w:r w:rsidRPr="00921025">
              <w:rPr>
                <w:rFonts w:asciiTheme="minorHAnsi" w:eastAsiaTheme="majorEastAsia" w:hAnsiTheme="minorHAnsi" w:cstheme="minorHAnsi"/>
                <w:bdr w:val="none" w:sz="0" w:space="0" w:color="auto"/>
                <w:lang w:val="en-US"/>
              </w:rPr>
              <w:t>Erat</w:t>
            </w:r>
            <w:proofErr w:type="spellEnd"/>
            <w:r w:rsidRPr="00921025">
              <w:rPr>
                <w:rFonts w:asciiTheme="minorHAnsi" w:eastAsiaTheme="majorEastAsia" w:hAnsiTheme="minorHAnsi" w:cstheme="minorHAnsi"/>
                <w:bdr w:val="none" w:sz="0" w:space="0" w:color="auto"/>
                <w:lang w:val="en-US"/>
              </w:rPr>
              <w:t xml:space="preserve"> Demonstrandum (the argument has proved the theory being tested)</w:t>
            </w:r>
          </w:p>
        </w:tc>
      </w:tr>
      <w:tr w:rsidR="006A2DAC" w:rsidRPr="00921025" w14:paraId="49EB4AD4" w14:textId="77777777" w:rsidTr="004615B2">
        <w:trPr>
          <w:jc w:val="center"/>
        </w:trPr>
        <w:tc>
          <w:tcPr>
            <w:tcW w:w="1838" w:type="dxa"/>
          </w:tcPr>
          <w:p w14:paraId="1F31B363" w14:textId="77777777" w:rsidR="006A2DAC" w:rsidRPr="00921025" w:rsidRDefault="006A2DAC"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rPr>
                <w:rFonts w:asciiTheme="minorHAnsi" w:eastAsiaTheme="majorEastAsia" w:hAnsiTheme="minorHAnsi" w:cstheme="minorHAnsi"/>
                <w:bdr w:val="none" w:sz="0" w:space="0" w:color="auto"/>
                <w:lang w:val="en-US"/>
              </w:rPr>
            </w:pPr>
            <w:r w:rsidRPr="00921025">
              <w:rPr>
                <w:rFonts w:asciiTheme="minorHAnsi" w:eastAsiaTheme="majorEastAsia" w:hAnsiTheme="minorHAnsi" w:cstheme="minorHAnsi"/>
                <w:bdr w:val="none" w:sz="0" w:space="0" w:color="auto"/>
                <w:lang w:val="en-US"/>
              </w:rPr>
              <w:t>QUSC</w:t>
            </w:r>
          </w:p>
        </w:tc>
        <w:tc>
          <w:tcPr>
            <w:tcW w:w="3827" w:type="dxa"/>
          </w:tcPr>
          <w:p w14:paraId="50BBA665" w14:textId="77777777" w:rsidR="006A2DAC" w:rsidRPr="00921025" w:rsidRDefault="006A2DAC" w:rsidP="004615B2">
            <w:pPr>
              <w:pBdr>
                <w:top w:val="none" w:sz="0" w:space="0" w:color="auto"/>
                <w:left w:val="none" w:sz="0" w:space="0" w:color="auto"/>
                <w:bottom w:val="none" w:sz="0" w:space="0" w:color="auto"/>
                <w:right w:val="none" w:sz="0" w:space="0" w:color="auto"/>
                <w:between w:val="none" w:sz="0" w:space="0" w:color="auto"/>
                <w:bar w:val="none" w:sz="0" w:color="auto"/>
              </w:pBdr>
              <w:spacing w:after="120"/>
              <w:ind w:firstLine="36"/>
              <w:rPr>
                <w:rFonts w:asciiTheme="minorHAnsi" w:eastAsiaTheme="majorEastAsia" w:hAnsiTheme="minorHAnsi" w:cstheme="minorHAnsi"/>
                <w:bdr w:val="none" w:sz="0" w:space="0" w:color="auto"/>
                <w:lang w:val="en-US"/>
              </w:rPr>
            </w:pPr>
            <w:r w:rsidRPr="00921025">
              <w:rPr>
                <w:rFonts w:asciiTheme="minorHAnsi" w:eastAsiaTheme="majorEastAsia" w:hAnsiTheme="minorHAnsi" w:cstheme="minorHAnsi"/>
                <w:bdr w:val="none" w:sz="0" w:space="0" w:color="auto"/>
                <w:lang w:val="en-US"/>
              </w:rPr>
              <w:t>The text ‘</w:t>
            </w:r>
            <w:proofErr w:type="spellStart"/>
            <w:r w:rsidRPr="00921025">
              <w:rPr>
                <w:rFonts w:asciiTheme="minorHAnsi" w:eastAsiaTheme="majorEastAsia" w:hAnsiTheme="minorHAnsi" w:cstheme="minorHAnsi"/>
                <w:bdr w:val="none" w:sz="0" w:space="0" w:color="auto"/>
                <w:lang w:val="en-US"/>
              </w:rPr>
              <w:t>Quod</w:t>
            </w:r>
            <w:proofErr w:type="spellEnd"/>
            <w:r w:rsidRPr="00921025">
              <w:rPr>
                <w:rFonts w:asciiTheme="minorHAnsi" w:eastAsiaTheme="majorEastAsia" w:hAnsiTheme="minorHAnsi" w:cstheme="minorHAnsi"/>
                <w:bdr w:val="none" w:sz="0" w:space="0" w:color="auto"/>
                <w:lang w:val="en-US"/>
              </w:rPr>
              <w:t xml:space="preserve"> </w:t>
            </w:r>
            <w:proofErr w:type="spellStart"/>
            <w:r w:rsidRPr="00921025">
              <w:rPr>
                <w:rFonts w:asciiTheme="minorHAnsi" w:eastAsiaTheme="majorEastAsia" w:hAnsiTheme="minorHAnsi" w:cstheme="minorHAnsi"/>
                <w:bdr w:val="none" w:sz="0" w:space="0" w:color="auto"/>
                <w:lang w:val="en-US"/>
              </w:rPr>
              <w:t>Unus</w:t>
            </w:r>
            <w:proofErr w:type="spellEnd"/>
            <w:r w:rsidRPr="00921025">
              <w:rPr>
                <w:rFonts w:asciiTheme="minorHAnsi" w:eastAsiaTheme="majorEastAsia" w:hAnsiTheme="minorHAnsi" w:cstheme="minorHAnsi"/>
                <w:bdr w:val="none" w:sz="0" w:space="0" w:color="auto"/>
                <w:lang w:val="en-US"/>
              </w:rPr>
              <w:t xml:space="preserve"> Sit Christus’ (‘On the Unity of Christ’)</w:t>
            </w:r>
          </w:p>
        </w:tc>
      </w:tr>
    </w:tbl>
    <w:p w14:paraId="1915F8F5"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p w14:paraId="7AFC96DB" w14:textId="77777777" w:rsidR="00377531" w:rsidRPr="00921025" w:rsidRDefault="00377531"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imes New Roman" w:hAnsiTheme="minorHAnsi" w:cstheme="minorHAnsi"/>
          <w:color w:val="000000"/>
          <w:bdr w:val="none" w:sz="0" w:space="0" w:color="auto"/>
          <w:lang w:eastAsia="en-GB"/>
        </w:rPr>
      </w:pPr>
      <w:r w:rsidRPr="00921025">
        <w:rPr>
          <w:rFonts w:asciiTheme="minorHAnsi" w:hAnsiTheme="minorHAnsi" w:cstheme="minorHAnsi"/>
          <w:color w:val="000000"/>
        </w:rPr>
        <w:br w:type="page"/>
      </w:r>
    </w:p>
    <w:p w14:paraId="10212616" w14:textId="692DB054" w:rsidR="00282B53" w:rsidRPr="00282B53" w:rsidRDefault="00282B53" w:rsidP="008C59B3">
      <w:pPr>
        <w:pStyle w:val="Heading1"/>
        <w:spacing w:before="0" w:line="480" w:lineRule="auto"/>
        <w:rPr>
          <w:rFonts w:asciiTheme="minorHAnsi" w:hAnsiTheme="minorHAnsi" w:cstheme="minorHAnsi"/>
          <w:b/>
          <w:bCs/>
          <w:color w:val="auto"/>
          <w:sz w:val="24"/>
          <w:szCs w:val="24"/>
        </w:rPr>
      </w:pPr>
      <w:bookmarkStart w:id="2" w:name="_Toc163217579"/>
      <w:bookmarkStart w:id="3" w:name="OLE_LINK2"/>
      <w:bookmarkStart w:id="4" w:name="OLE_LINK4"/>
      <w:bookmarkStart w:id="5" w:name="_Toc163223616"/>
      <w:bookmarkEnd w:id="0"/>
      <w:bookmarkEnd w:id="1"/>
      <w:r w:rsidRPr="00282B53">
        <w:rPr>
          <w:rFonts w:asciiTheme="minorHAnsi" w:hAnsiTheme="minorHAnsi" w:cstheme="minorHAnsi"/>
          <w:b/>
          <w:bCs/>
          <w:color w:val="auto"/>
          <w:sz w:val="24"/>
          <w:szCs w:val="24"/>
        </w:rPr>
        <w:lastRenderedPageBreak/>
        <w:t>Introduction</w:t>
      </w:r>
      <w:bookmarkEnd w:id="2"/>
      <w:bookmarkEnd w:id="5"/>
    </w:p>
    <w:p w14:paraId="3D1F8F9F" w14:textId="370D3118" w:rsidR="00921025" w:rsidRPr="00921025" w:rsidRDefault="00921025" w:rsidP="008C59B3">
      <w:pPr>
        <w:spacing w:line="480" w:lineRule="auto"/>
        <w:ind w:firstLine="426"/>
        <w:jc w:val="center"/>
        <w:rPr>
          <w:rFonts w:asciiTheme="minorHAnsi" w:hAnsiTheme="minorHAnsi" w:cstheme="minorHAnsi"/>
          <w:b/>
          <w:bCs/>
        </w:rPr>
      </w:pPr>
      <w:r w:rsidRPr="00921025">
        <w:rPr>
          <w:rFonts w:asciiTheme="minorHAnsi" w:hAnsiTheme="minorHAnsi" w:cstheme="minorHAnsi"/>
          <w:i/>
          <w:iCs/>
        </w:rPr>
        <w:t>‘A perfect example of being in the wrong place at the wrong time’</w:t>
      </w:r>
      <w:r w:rsidRPr="00921025">
        <w:rPr>
          <w:rStyle w:val="FootnoteReference"/>
          <w:rFonts w:asciiTheme="minorHAnsi" w:hAnsiTheme="minorHAnsi" w:cstheme="minorHAnsi"/>
        </w:rPr>
        <w:footnoteReference w:id="1"/>
      </w:r>
    </w:p>
    <w:p w14:paraId="639ECFB4" w14:textId="48ABCA71" w:rsid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A sympathetic judgement on Nestorius in a generally hostile environment.</w:t>
      </w:r>
      <w:r w:rsidRPr="00921025">
        <w:rPr>
          <w:rStyle w:val="FootnoteReference"/>
          <w:rFonts w:asciiTheme="minorHAnsi" w:hAnsiTheme="minorHAnsi" w:cstheme="minorHAnsi"/>
        </w:rPr>
        <w:footnoteReference w:id="2"/>
      </w:r>
      <w:r w:rsidRPr="00921025">
        <w:rPr>
          <w:rFonts w:asciiTheme="minorHAnsi" w:hAnsiTheme="minorHAnsi" w:cstheme="minorHAnsi"/>
        </w:rPr>
        <w:t xml:space="preserve"> His own views were not especially radical: his mediating appellation for the Virgin Mary as </w:t>
      </w:r>
      <w:proofErr w:type="spellStart"/>
      <w:r w:rsidRPr="00921025">
        <w:rPr>
          <w:rFonts w:asciiTheme="minorHAnsi" w:hAnsiTheme="minorHAnsi" w:cstheme="minorHAnsi"/>
          <w:lang w:val="el-GR"/>
        </w:rPr>
        <w:t>Χριστοκοτος</w:t>
      </w:r>
      <w:proofErr w:type="spellEnd"/>
      <w:r w:rsidRPr="00921025">
        <w:rPr>
          <w:rFonts w:asciiTheme="minorHAnsi" w:hAnsiTheme="minorHAnsi" w:cstheme="minorHAnsi"/>
        </w:rPr>
        <w:t xml:space="preserve"> was to bring opposing factions together.</w:t>
      </w:r>
      <w:r w:rsidRPr="00921025">
        <w:rPr>
          <w:rStyle w:val="FootnoteReference"/>
          <w:rFonts w:asciiTheme="minorHAnsi" w:hAnsiTheme="minorHAnsi" w:cstheme="minorHAnsi"/>
        </w:rPr>
        <w:footnoteReference w:id="3"/>
      </w:r>
      <w:r w:rsidRPr="00921025">
        <w:rPr>
          <w:rFonts w:asciiTheme="minorHAnsi" w:hAnsiTheme="minorHAnsi" w:cstheme="minorHAnsi"/>
        </w:rPr>
        <w:t xml:space="preserve"> Or does Cyril of Alexandria’s ‘On the Unity of Christ’</w:t>
      </w:r>
      <w:r w:rsidRPr="00921025">
        <w:rPr>
          <w:rStyle w:val="FootnoteReference"/>
          <w:rFonts w:asciiTheme="minorHAnsi" w:hAnsiTheme="minorHAnsi" w:cstheme="minorHAnsi"/>
        </w:rPr>
        <w:footnoteReference w:id="4"/>
      </w:r>
      <w:r w:rsidRPr="00921025">
        <w:rPr>
          <w:rFonts w:asciiTheme="minorHAnsi" w:hAnsiTheme="minorHAnsi" w:cstheme="minorHAnsi"/>
        </w:rPr>
        <w:t xml:space="preserve"> characterise Nestorius more accurately? </w:t>
      </w:r>
      <w:r w:rsidRPr="00921025">
        <w:rPr>
          <w:rFonts w:asciiTheme="minorHAnsi" w:eastAsia="Times New Roman" w:hAnsiTheme="minorHAnsi" w:cstheme="minorHAnsi"/>
        </w:rPr>
        <w:t xml:space="preserve">The views of Alexandria (which its Patriarch, the ‘strong-minded, hot-tempered’ Cyril </w:t>
      </w:r>
      <w:r w:rsidRPr="00921025">
        <w:rPr>
          <w:rFonts w:asciiTheme="minorHAnsi" w:hAnsiTheme="minorHAnsi" w:cstheme="minorHAnsi"/>
        </w:rPr>
        <w:t xml:space="preserve">championed </w:t>
      </w:r>
      <w:r w:rsidRPr="00921025">
        <w:rPr>
          <w:rFonts w:asciiTheme="minorHAnsi" w:eastAsia="Times New Roman" w:hAnsiTheme="minorHAnsi" w:cstheme="minorHAnsi"/>
        </w:rPr>
        <w:t>in this period)</w:t>
      </w:r>
      <w:r w:rsidRPr="00921025">
        <w:rPr>
          <w:rStyle w:val="FootnoteReference"/>
          <w:rFonts w:asciiTheme="minorHAnsi" w:hAnsiTheme="minorHAnsi" w:cstheme="minorHAnsi"/>
        </w:rPr>
        <w:footnoteReference w:id="5"/>
      </w:r>
      <w:r w:rsidRPr="00921025">
        <w:rPr>
          <w:rFonts w:asciiTheme="minorHAnsi" w:eastAsia="Times New Roman" w:hAnsiTheme="minorHAnsi" w:cstheme="minorHAnsi"/>
        </w:rPr>
        <w:t xml:space="preserve"> contrasted with Antioch (under Nestorius, as an outsider, unexpectedly elevated as the Patriarch of Constantinople in 428), with their two major centres of Christological debate. The inevitable aggressive dispute between them ignited following Nestorius’ public preaching pronouncing </w:t>
      </w:r>
      <w:bookmarkStart w:id="6" w:name="OLE_LINK5"/>
      <w:proofErr w:type="spellStart"/>
      <w:r w:rsidRPr="00921025">
        <w:rPr>
          <w:rFonts w:asciiTheme="minorHAnsi" w:hAnsiTheme="minorHAnsi" w:cstheme="minorHAnsi"/>
          <w:lang w:val="el-GR"/>
        </w:rPr>
        <w:t>Χριστοκοτος</w:t>
      </w:r>
      <w:bookmarkEnd w:id="6"/>
      <w:proofErr w:type="spellEnd"/>
      <w:r w:rsidRPr="00921025">
        <w:rPr>
          <w:rFonts w:asciiTheme="minorHAnsi" w:eastAsia="Times New Roman" w:hAnsiTheme="minorHAnsi" w:cstheme="minorHAnsi"/>
        </w:rPr>
        <w:t xml:space="preserve"> as an accurate appellation for the virgin Mary.</w:t>
      </w:r>
      <w:r w:rsidRPr="00921025">
        <w:rPr>
          <w:rStyle w:val="FootnoteReference"/>
          <w:rFonts w:asciiTheme="minorHAnsi" w:hAnsiTheme="minorHAnsi" w:cstheme="minorHAnsi"/>
        </w:rPr>
        <w:footnoteReference w:id="6"/>
      </w:r>
      <w:r w:rsidRPr="00921025">
        <w:rPr>
          <w:rFonts w:asciiTheme="minorHAnsi" w:hAnsiTheme="minorHAnsi" w:cstheme="minorHAnsi"/>
        </w:rPr>
        <w:t xml:space="preserve"> QUSC, Cyril’s treatise written towards the end of his life between 435 and 440 A.D., presents dialogically Cyril’s counterarguments to confound and dismiss Nestorius’ perceived heretical teaching. The Council’s decisions attempting to resolve the Nestorian controversy established the western catholic church’s final, almost universally accepted, definitive orthodox Creed. This essay focuses on tracking Cyril’s argument analytically. </w:t>
      </w:r>
    </w:p>
    <w:p w14:paraId="509085AD" w14:textId="77777777" w:rsidR="00D671B2" w:rsidRDefault="00D671B2" w:rsidP="008C59B3">
      <w:pPr>
        <w:spacing w:line="480" w:lineRule="auto"/>
        <w:ind w:firstLine="426"/>
        <w:rPr>
          <w:rFonts w:asciiTheme="minorHAnsi" w:hAnsiTheme="minorHAnsi" w:cstheme="minorHAnsi"/>
        </w:rPr>
      </w:pPr>
    </w:p>
    <w:p w14:paraId="6A18ECC8" w14:textId="1B7CE3BB" w:rsidR="00282B53" w:rsidRPr="00282B53" w:rsidRDefault="00282B53" w:rsidP="008C59B3">
      <w:pPr>
        <w:pStyle w:val="Heading1"/>
        <w:spacing w:before="0" w:line="480" w:lineRule="auto"/>
        <w:rPr>
          <w:rFonts w:asciiTheme="minorHAnsi" w:hAnsiTheme="minorHAnsi" w:cstheme="minorHAnsi"/>
          <w:b/>
          <w:bCs/>
          <w:color w:val="auto"/>
          <w:sz w:val="24"/>
          <w:szCs w:val="24"/>
        </w:rPr>
      </w:pPr>
      <w:bookmarkStart w:id="7" w:name="_Toc163217580"/>
      <w:bookmarkStart w:id="8" w:name="_Toc163223617"/>
      <w:r w:rsidRPr="00282B53">
        <w:rPr>
          <w:rFonts w:asciiTheme="minorHAnsi" w:hAnsiTheme="minorHAnsi" w:cstheme="minorHAnsi"/>
          <w:b/>
          <w:bCs/>
          <w:color w:val="auto"/>
          <w:sz w:val="24"/>
          <w:szCs w:val="24"/>
        </w:rPr>
        <w:lastRenderedPageBreak/>
        <w:t>Contextual Background</w:t>
      </w:r>
      <w:bookmarkEnd w:id="7"/>
      <w:bookmarkEnd w:id="8"/>
    </w:p>
    <w:p w14:paraId="4B7F3ECB"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 xml:space="preserve">The fifth century saw a quest for a tighter theological definition of the person and work of Christ in the wake of the Nicaea/Constantinople Councils. The resulting bitter arguments </w:t>
      </w:r>
      <w:bookmarkStart w:id="9" w:name="OLE_LINK1"/>
      <w:r w:rsidRPr="00921025">
        <w:rPr>
          <w:rFonts w:asciiTheme="minorHAnsi" w:hAnsiTheme="minorHAnsi" w:cstheme="minorHAnsi"/>
        </w:rPr>
        <w:t>between the two prominent theological schools in Alexandria and Antioch saw views varying respectively between Christ as only one whole person but with two ‘wholes’ and two persons, one divine and one human, effectively creating a split personality and questioning the unity of Christ.</w:t>
      </w:r>
      <w:r w:rsidRPr="00921025">
        <w:rPr>
          <w:rStyle w:val="FootnoteReference"/>
          <w:rFonts w:asciiTheme="minorHAnsi" w:hAnsiTheme="minorHAnsi" w:cstheme="minorHAnsi"/>
        </w:rPr>
        <w:footnoteReference w:id="7"/>
      </w:r>
      <w:r w:rsidRPr="00921025">
        <w:rPr>
          <w:rFonts w:asciiTheme="minorHAnsi" w:hAnsiTheme="minorHAnsi" w:cstheme="minorHAnsi"/>
        </w:rPr>
        <w:t xml:space="preserve"> </w:t>
      </w:r>
    </w:p>
    <w:p w14:paraId="6B98C3A4"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Cyril followed in the footsteps of Athanasius, Gregory and others who set down the essential Orthodox thinking on the Incarnation and the doctrine of the Trinity. He tackled the resultant questions of the relationship between the divine and human natures of Christ and Orthodox theology of ‘redemption by deifying grace’.</w:t>
      </w:r>
      <w:r w:rsidRPr="00921025">
        <w:rPr>
          <w:rStyle w:val="FootnoteReference"/>
          <w:rFonts w:asciiTheme="minorHAnsi" w:hAnsiTheme="minorHAnsi" w:cstheme="minorHAnsi"/>
        </w:rPr>
        <w:footnoteReference w:id="8"/>
      </w:r>
      <w:r w:rsidRPr="00921025">
        <w:rPr>
          <w:rFonts w:asciiTheme="minorHAnsi" w:hAnsiTheme="minorHAnsi" w:cstheme="minorHAnsi"/>
        </w:rPr>
        <w:t xml:space="preserve"> Cyril saw the growing ecclesial influence of Constantinople and the views of Nestorius as potentially eclipsing the established theological primacy of his Alexandrian patriarchy and a personal attack on his status and his own views. In Cyril’s eyes, Nestorius’ public sermons seeking to reform and clarify the language surrounding long-held devotion to the Virgin Mary as ‘Mother of God’ confused the way the divine and human characteristics of Jesus were attributed</w:t>
      </w:r>
      <w:bookmarkEnd w:id="9"/>
      <w:r w:rsidRPr="00921025">
        <w:rPr>
          <w:rFonts w:asciiTheme="minorHAnsi" w:hAnsiTheme="minorHAnsi" w:cstheme="minorHAnsi"/>
        </w:rPr>
        <w:t>. Nestorius’ public pronouncement was an ill-advised and clumsy attempt to mediate between divisive factions. Was this, simply, ‘a dogmatic error’?</w:t>
      </w:r>
      <w:r w:rsidRPr="00921025">
        <w:rPr>
          <w:rStyle w:val="FootnoteReference"/>
          <w:rFonts w:asciiTheme="minorHAnsi" w:hAnsiTheme="minorHAnsi" w:cstheme="minorHAnsi"/>
        </w:rPr>
        <w:footnoteReference w:id="9"/>
      </w:r>
      <w:r w:rsidRPr="00921025">
        <w:rPr>
          <w:rFonts w:asciiTheme="minorHAnsi" w:hAnsiTheme="minorHAnsi" w:cstheme="minorHAnsi"/>
        </w:rPr>
        <w:t xml:space="preserve"> Perhaps, but this is specifically what Cyril vilifies in his opening remarks in QUSC, counting Nestorius (and his adherents) as ‘the dog </w:t>
      </w:r>
      <w:r w:rsidRPr="00921025">
        <w:rPr>
          <w:rFonts w:asciiTheme="minorHAnsi" w:hAnsiTheme="minorHAnsi" w:cstheme="minorHAnsi"/>
        </w:rPr>
        <w:lastRenderedPageBreak/>
        <w:t>who has returned to its vomit’</w:t>
      </w:r>
      <w:r w:rsidRPr="00921025">
        <w:rPr>
          <w:rStyle w:val="FootnoteReference"/>
          <w:rFonts w:asciiTheme="minorHAnsi" w:hAnsiTheme="minorHAnsi" w:cstheme="minorHAnsi"/>
        </w:rPr>
        <w:footnoteReference w:id="10"/>
      </w:r>
      <w:r w:rsidRPr="00921025">
        <w:rPr>
          <w:rFonts w:asciiTheme="minorHAnsi" w:hAnsiTheme="minorHAnsi" w:cstheme="minorHAnsi"/>
        </w:rPr>
        <w:t xml:space="preserve"> whose ideas represent ‘the ultimate in sacrilege and impiety’.</w:t>
      </w:r>
      <w:r w:rsidRPr="00921025">
        <w:rPr>
          <w:rStyle w:val="FootnoteReference"/>
          <w:rFonts w:asciiTheme="minorHAnsi" w:hAnsiTheme="minorHAnsi" w:cstheme="minorHAnsi"/>
        </w:rPr>
        <w:footnoteReference w:id="11"/>
      </w:r>
    </w:p>
    <w:p w14:paraId="5E9658DF" w14:textId="77777777" w:rsidR="00921025" w:rsidRDefault="00921025" w:rsidP="008C59B3">
      <w:pPr>
        <w:pStyle w:val="ListParagraph"/>
        <w:spacing w:line="480" w:lineRule="auto"/>
        <w:ind w:left="0" w:firstLine="426"/>
        <w:rPr>
          <w:rFonts w:asciiTheme="minorHAnsi" w:hAnsiTheme="minorHAnsi" w:cstheme="minorHAnsi"/>
        </w:rPr>
      </w:pPr>
      <w:r w:rsidRPr="00921025">
        <w:rPr>
          <w:rFonts w:asciiTheme="minorHAnsi" w:hAnsiTheme="minorHAnsi" w:cstheme="minorHAnsi"/>
        </w:rPr>
        <w:t xml:space="preserve">Alexandria’s high soteriology bore influences from secular metaphysical Greek philosophy. It focused on the Logos, Incarnation and the full redemption of humanity. Antioch’s contrasting, more synoptic-Gospel and Hebrew-scripture-based low Christology stressed Jesus’ life and human nature, fulfilling the Hebrew messianic redemptive prophecies. It insisted on maintaining separate boundaries between the </w:t>
      </w:r>
      <w:proofErr w:type="spellStart"/>
      <w:r w:rsidRPr="00921025">
        <w:rPr>
          <w:rFonts w:asciiTheme="minorHAnsi" w:hAnsiTheme="minorHAnsi" w:cstheme="minorHAnsi"/>
        </w:rPr>
        <w:t>impassible</w:t>
      </w:r>
      <w:proofErr w:type="spellEnd"/>
      <w:r w:rsidRPr="00921025">
        <w:rPr>
          <w:rFonts w:asciiTheme="minorHAnsi" w:hAnsiTheme="minorHAnsi" w:cstheme="minorHAnsi"/>
        </w:rPr>
        <w:t xml:space="preserve"> divine nature and his human nature, for fear of tainting the divine Word. Conversely, Alexandria fought against anything which attempted to separate human and divine. Tensions and rivalries of the Imperial and ecclesial history of this period are well documented,</w:t>
      </w:r>
      <w:r w:rsidRPr="00921025">
        <w:rPr>
          <w:rStyle w:val="FootnoteReference"/>
          <w:rFonts w:asciiTheme="minorHAnsi" w:hAnsiTheme="minorHAnsi" w:cstheme="minorHAnsi"/>
        </w:rPr>
        <w:footnoteReference w:id="12"/>
      </w:r>
      <w:r w:rsidRPr="00921025">
        <w:rPr>
          <w:rFonts w:asciiTheme="minorHAnsi" w:hAnsiTheme="minorHAnsi" w:cstheme="minorHAnsi"/>
        </w:rPr>
        <w:t xml:space="preserve"> but this is ‘more than </w:t>
      </w:r>
      <w:proofErr w:type="spellStart"/>
      <w:r w:rsidRPr="00921025">
        <w:rPr>
          <w:rFonts w:asciiTheme="minorHAnsi" w:hAnsiTheme="minorHAnsi" w:cstheme="minorHAnsi"/>
        </w:rPr>
        <w:t>ecclesio</w:t>
      </w:r>
      <w:proofErr w:type="spellEnd"/>
      <w:r w:rsidRPr="00921025">
        <w:rPr>
          <w:rFonts w:asciiTheme="minorHAnsi" w:hAnsiTheme="minorHAnsi" w:cstheme="minorHAnsi"/>
        </w:rPr>
        <w:t xml:space="preserve">-political rivalry’; it challenges ‘fundamental theological ideas of Christology, </w:t>
      </w:r>
      <w:proofErr w:type="spellStart"/>
      <w:r w:rsidRPr="00921025">
        <w:rPr>
          <w:rFonts w:asciiTheme="minorHAnsi" w:hAnsiTheme="minorHAnsi" w:cstheme="minorHAnsi"/>
        </w:rPr>
        <w:t>sacramentology</w:t>
      </w:r>
      <w:proofErr w:type="spellEnd"/>
      <w:r w:rsidRPr="00921025">
        <w:rPr>
          <w:rFonts w:asciiTheme="minorHAnsi" w:hAnsiTheme="minorHAnsi" w:cstheme="minorHAnsi"/>
        </w:rPr>
        <w:t xml:space="preserve"> and soteriology’.</w:t>
      </w:r>
      <w:r w:rsidRPr="00921025">
        <w:rPr>
          <w:rStyle w:val="FootnoteReference"/>
          <w:rFonts w:asciiTheme="minorHAnsi" w:hAnsiTheme="minorHAnsi" w:cstheme="minorHAnsi"/>
        </w:rPr>
        <w:footnoteReference w:id="13"/>
      </w:r>
      <w:r w:rsidRPr="00921025">
        <w:rPr>
          <w:rFonts w:asciiTheme="minorHAnsi" w:hAnsiTheme="minorHAnsi" w:cstheme="minorHAnsi"/>
        </w:rPr>
        <w:t xml:space="preserve"> Constantinople became ‘the primary battleground’,</w:t>
      </w:r>
      <w:r w:rsidRPr="00921025">
        <w:rPr>
          <w:rStyle w:val="FootnoteReference"/>
          <w:rFonts w:asciiTheme="minorHAnsi" w:hAnsiTheme="minorHAnsi" w:cstheme="minorHAnsi"/>
        </w:rPr>
        <w:footnoteReference w:id="14"/>
      </w:r>
      <w:r w:rsidRPr="00921025">
        <w:rPr>
          <w:rFonts w:asciiTheme="minorHAnsi" w:hAnsiTheme="minorHAnsi" w:cstheme="minorHAnsi"/>
        </w:rPr>
        <w:t xml:space="preserve"> Nestorius’ teaching the primary target. </w:t>
      </w:r>
    </w:p>
    <w:p w14:paraId="44B7C3AF" w14:textId="77777777" w:rsidR="00D671B2" w:rsidRDefault="00D671B2" w:rsidP="008C59B3">
      <w:pPr>
        <w:pStyle w:val="ListParagraph"/>
        <w:spacing w:line="480" w:lineRule="auto"/>
        <w:ind w:left="0" w:firstLine="426"/>
        <w:rPr>
          <w:rFonts w:asciiTheme="minorHAnsi" w:hAnsiTheme="minorHAnsi" w:cstheme="minorHAnsi"/>
        </w:rPr>
      </w:pPr>
    </w:p>
    <w:p w14:paraId="5C1BC9EE" w14:textId="70F8F676" w:rsidR="00282B53" w:rsidRPr="00282B53" w:rsidRDefault="00282B53" w:rsidP="008C59B3">
      <w:pPr>
        <w:pStyle w:val="Heading1"/>
        <w:spacing w:before="0" w:line="480" w:lineRule="auto"/>
        <w:rPr>
          <w:rFonts w:asciiTheme="minorHAnsi" w:hAnsiTheme="minorHAnsi" w:cstheme="minorHAnsi"/>
          <w:b/>
          <w:bCs/>
          <w:color w:val="auto"/>
          <w:sz w:val="24"/>
          <w:szCs w:val="24"/>
        </w:rPr>
      </w:pPr>
      <w:bookmarkStart w:id="10" w:name="_Toc163217581"/>
      <w:bookmarkStart w:id="11" w:name="_Toc163223618"/>
      <w:r w:rsidRPr="00282B53">
        <w:rPr>
          <w:rFonts w:asciiTheme="minorHAnsi" w:hAnsiTheme="minorHAnsi" w:cstheme="minorHAnsi"/>
          <w:b/>
          <w:bCs/>
          <w:color w:val="auto"/>
          <w:sz w:val="24"/>
          <w:szCs w:val="24"/>
        </w:rPr>
        <w:t>‘On the Unity of Christ</w:t>
      </w:r>
      <w:bookmarkEnd w:id="10"/>
      <w:bookmarkEnd w:id="11"/>
    </w:p>
    <w:p w14:paraId="0122B10D" w14:textId="77777777" w:rsidR="00921025" w:rsidRPr="00921025" w:rsidRDefault="00921025" w:rsidP="008C59B3">
      <w:pPr>
        <w:tabs>
          <w:tab w:val="left" w:pos="284"/>
        </w:tabs>
        <w:spacing w:line="480" w:lineRule="auto"/>
        <w:ind w:firstLine="284"/>
        <w:rPr>
          <w:rFonts w:asciiTheme="minorHAnsi" w:hAnsiTheme="minorHAnsi" w:cstheme="minorHAnsi"/>
        </w:rPr>
      </w:pPr>
      <w:r w:rsidRPr="00921025">
        <w:rPr>
          <w:rFonts w:asciiTheme="minorHAnsi" w:hAnsiTheme="minorHAnsi" w:cstheme="minorHAnsi"/>
        </w:rPr>
        <w:t xml:space="preserve">QUSC challenges Nestorius’ Christology in a non-linear, cyclical format, which, Cyril asserts, is founded on false theology and which often uses the same terms/words in different ways, coupled with scriptural misinterpretations. This affects the manner in which </w:t>
      </w:r>
      <w:r w:rsidRPr="00921025">
        <w:rPr>
          <w:rFonts w:asciiTheme="minorHAnsi" w:hAnsiTheme="minorHAnsi" w:cstheme="minorHAnsi"/>
        </w:rPr>
        <w:lastRenderedPageBreak/>
        <w:t xml:space="preserve">they each understood how the divine nature of the incarnate Christ related to his human nature. </w:t>
      </w:r>
    </w:p>
    <w:p w14:paraId="2AEEE2CA" w14:textId="77777777" w:rsidR="00921025" w:rsidRPr="00921025" w:rsidRDefault="00921025" w:rsidP="008C59B3">
      <w:pPr>
        <w:pStyle w:val="ListParagraph"/>
        <w:spacing w:line="480" w:lineRule="auto"/>
        <w:ind w:left="0" w:firstLine="426"/>
        <w:rPr>
          <w:rFonts w:asciiTheme="minorHAnsi" w:hAnsiTheme="minorHAnsi" w:cstheme="minorHAnsi"/>
        </w:rPr>
      </w:pPr>
      <w:r w:rsidRPr="00921025">
        <w:rPr>
          <w:rFonts w:asciiTheme="minorHAnsi" w:eastAsiaTheme="minorHAnsi" w:hAnsiTheme="minorHAnsi" w:cstheme="minorHAnsi"/>
          <w:bdr w:val="none" w:sz="0" w:space="0" w:color="auto"/>
          <w14:ligatures w14:val="standardContextual"/>
        </w:rPr>
        <w:t>In their arguments</w:t>
      </w:r>
      <w:r w:rsidRPr="00921025">
        <w:rPr>
          <w:rFonts w:asciiTheme="minorHAnsi" w:hAnsiTheme="minorHAnsi" w:cstheme="minorHAnsi"/>
        </w:rPr>
        <w:t xml:space="preserve"> both theologians retreat into their firmly-held Christological views for support. For Cyril, the </w:t>
      </w:r>
      <w:proofErr w:type="spellStart"/>
      <w:r w:rsidRPr="00921025">
        <w:rPr>
          <w:rFonts w:asciiTheme="minorHAnsi" w:hAnsiTheme="minorHAnsi" w:cstheme="minorHAnsi"/>
          <w:lang w:val="el-GR"/>
        </w:rPr>
        <w:t>Λογος</w:t>
      </w:r>
      <w:proofErr w:type="spellEnd"/>
      <w:r w:rsidRPr="00921025">
        <w:rPr>
          <w:rFonts w:asciiTheme="minorHAnsi" w:hAnsiTheme="minorHAnsi" w:cstheme="minorHAnsi"/>
        </w:rPr>
        <w:t>-</w:t>
      </w:r>
      <w:r w:rsidRPr="00921025">
        <w:rPr>
          <w:rFonts w:asciiTheme="minorHAnsi" w:hAnsiTheme="minorHAnsi" w:cstheme="minorHAnsi"/>
          <w:lang w:val="el-GR"/>
        </w:rPr>
        <w:t>σαρξ</w:t>
      </w:r>
      <w:r w:rsidRPr="00921025">
        <w:rPr>
          <w:rFonts w:asciiTheme="minorHAnsi" w:hAnsiTheme="minorHAnsi" w:cstheme="minorHAnsi"/>
        </w:rPr>
        <w:t xml:space="preserve"> of John 1:14 requires the Word </w:t>
      </w:r>
      <w:r w:rsidRPr="00921025">
        <w:rPr>
          <w:rFonts w:asciiTheme="minorHAnsi" w:hAnsiTheme="minorHAnsi" w:cstheme="minorHAnsi"/>
          <w:i/>
          <w:iCs/>
        </w:rPr>
        <w:t>becoming</w:t>
      </w:r>
      <w:r w:rsidRPr="00921025">
        <w:rPr>
          <w:rFonts w:asciiTheme="minorHAnsi" w:hAnsiTheme="minorHAnsi" w:cstheme="minorHAnsi"/>
        </w:rPr>
        <w:t xml:space="preserve"> flesh, the divine and human natures </w:t>
      </w:r>
      <w:r w:rsidRPr="00921025">
        <w:rPr>
          <w:rFonts w:asciiTheme="minorHAnsi" w:hAnsiTheme="minorHAnsi" w:cstheme="minorHAnsi"/>
          <w:i/>
          <w:iCs/>
        </w:rPr>
        <w:t>becoming</w:t>
      </w:r>
      <w:r w:rsidRPr="00921025">
        <w:rPr>
          <w:rFonts w:asciiTheme="minorHAnsi" w:hAnsiTheme="minorHAnsi" w:cstheme="minorHAnsi"/>
        </w:rPr>
        <w:t xml:space="preserve"> one. Christ’s self-emptying enables his fully </w:t>
      </w:r>
      <w:proofErr w:type="spellStart"/>
      <w:r w:rsidRPr="00921025">
        <w:rPr>
          <w:rFonts w:asciiTheme="minorHAnsi" w:hAnsiTheme="minorHAnsi" w:cstheme="minorHAnsi"/>
        </w:rPr>
        <w:t>enfleshed</w:t>
      </w:r>
      <w:proofErr w:type="spellEnd"/>
      <w:r w:rsidRPr="00921025">
        <w:rPr>
          <w:rFonts w:asciiTheme="minorHAnsi" w:hAnsiTheme="minorHAnsi" w:cstheme="minorHAnsi"/>
        </w:rPr>
        <w:t xml:space="preserve"> nature to undergo all human experiences, including death, save that his divine nature maintains his sinlessness. For Nestorius, separation of the divine and human natures is mandatory. At Incarnation, Christ’s oneness is effected through the divine </w:t>
      </w:r>
      <w:r w:rsidRPr="00921025">
        <w:rPr>
          <w:rFonts w:asciiTheme="minorHAnsi" w:hAnsiTheme="minorHAnsi" w:cstheme="minorHAnsi"/>
          <w:i/>
          <w:iCs/>
        </w:rPr>
        <w:t>conjoining</w:t>
      </w:r>
      <w:r w:rsidRPr="00921025">
        <w:rPr>
          <w:rFonts w:asciiTheme="minorHAnsi" w:hAnsiTheme="minorHAnsi" w:cstheme="minorHAnsi"/>
        </w:rPr>
        <w:t xml:space="preserve"> with the human. Thence it is one of the line of David who undergoes all human experiences.</w:t>
      </w:r>
      <w:r w:rsidRPr="00921025">
        <w:rPr>
          <w:rFonts w:asciiTheme="minorHAnsi" w:eastAsiaTheme="minorHAnsi" w:hAnsiTheme="minorHAnsi" w:cstheme="minorHAnsi"/>
          <w:bdr w:val="none" w:sz="0" w:space="0" w:color="auto"/>
          <w14:ligatures w14:val="standardContextual"/>
        </w:rPr>
        <w:t xml:space="preserve"> </w:t>
      </w:r>
      <w:r w:rsidRPr="00921025">
        <w:rPr>
          <w:rFonts w:asciiTheme="minorHAnsi" w:hAnsiTheme="minorHAnsi" w:cstheme="minorHAnsi"/>
        </w:rPr>
        <w:t xml:space="preserve">Cyril’s Christology and soteriology rely on the fundamental importance of two core scriptural texts: John 1:14 and Philippians 2:5-11 (an early hymn summarising the Incarnate Son’s economy of salvation) to which he repeatedly returns. His interpretation of John 1:14’s compressed Christology pushes Nestorius to defend a gamut of issues surrounding </w:t>
      </w:r>
      <w:r w:rsidRPr="00921025">
        <w:rPr>
          <w:rFonts w:asciiTheme="minorHAnsi" w:hAnsiTheme="minorHAnsi" w:cstheme="minorHAnsi"/>
          <w:i/>
          <w:iCs/>
        </w:rPr>
        <w:t>inter alia</w:t>
      </w:r>
      <w:r w:rsidRPr="00921025">
        <w:rPr>
          <w:rFonts w:asciiTheme="minorHAnsi" w:hAnsiTheme="minorHAnsi" w:cstheme="minorHAnsi"/>
        </w:rPr>
        <w:t xml:space="preserve"> the crucial nature of Christ’s birth through the virgin Mary, assumption or union of the Incarnate Christ’s two natures, the communication of attributes and the Word-of-God’s timelessness.</w:t>
      </w:r>
    </w:p>
    <w:p w14:paraId="297F3986"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Terms relating to person and nature (</w:t>
      </w:r>
      <w:proofErr w:type="spellStart"/>
      <w:r w:rsidRPr="00921025">
        <w:rPr>
          <w:rFonts w:asciiTheme="minorHAnsi" w:hAnsiTheme="minorHAnsi" w:cstheme="minorHAnsi"/>
          <w:i/>
          <w:iCs/>
        </w:rPr>
        <w:t>ousia</w:t>
      </w:r>
      <w:proofErr w:type="spellEnd"/>
      <w:r w:rsidRPr="00921025">
        <w:rPr>
          <w:rFonts w:asciiTheme="minorHAnsi" w:hAnsiTheme="minorHAnsi" w:cstheme="minorHAnsi"/>
          <w:i/>
          <w:iCs/>
        </w:rPr>
        <w:t xml:space="preserve">, physis, hypostasis </w:t>
      </w:r>
      <w:r w:rsidRPr="00921025">
        <w:rPr>
          <w:rFonts w:asciiTheme="minorHAnsi" w:hAnsiTheme="minorHAnsi" w:cstheme="minorHAnsi"/>
        </w:rPr>
        <w:t>and</w:t>
      </w:r>
      <w:r w:rsidRPr="00921025">
        <w:rPr>
          <w:rFonts w:asciiTheme="minorHAnsi" w:hAnsiTheme="minorHAnsi" w:cstheme="minorHAnsi"/>
          <w:i/>
          <w:iCs/>
        </w:rPr>
        <w:t xml:space="preserve"> prosopon</w:t>
      </w:r>
      <w:r w:rsidRPr="00921025">
        <w:rPr>
          <w:rFonts w:asciiTheme="minorHAnsi" w:hAnsiTheme="minorHAnsi" w:cstheme="minorHAnsi"/>
        </w:rPr>
        <w:t>) became confused and often interchanged.</w:t>
      </w:r>
      <w:r w:rsidRPr="00921025">
        <w:rPr>
          <w:rStyle w:val="FootnoteReference"/>
          <w:rFonts w:asciiTheme="minorHAnsi" w:hAnsiTheme="minorHAnsi" w:cstheme="minorHAnsi"/>
        </w:rPr>
        <w:footnoteReference w:id="15"/>
      </w:r>
      <w:r w:rsidRPr="00921025">
        <w:rPr>
          <w:rFonts w:asciiTheme="minorHAnsi" w:hAnsiTheme="minorHAnsi" w:cstheme="minorHAnsi"/>
        </w:rPr>
        <w:t xml:space="preserve"> For both Nestorius and Cyril, omniscience, omnipotence and omnipresence were essential attributes of God. It is in the relationship of the divine and human </w:t>
      </w:r>
      <w:r w:rsidRPr="00921025">
        <w:rPr>
          <w:rFonts w:asciiTheme="minorHAnsi" w:hAnsiTheme="minorHAnsi" w:cstheme="minorHAnsi"/>
          <w:i/>
          <w:iCs/>
        </w:rPr>
        <w:t>natures</w:t>
      </w:r>
      <w:r w:rsidRPr="00921025">
        <w:rPr>
          <w:rFonts w:asciiTheme="minorHAnsi" w:hAnsiTheme="minorHAnsi" w:cstheme="minorHAnsi"/>
        </w:rPr>
        <w:t xml:space="preserve"> of the Incarnate Son where the two differed and passionately disagreed. For Nestorius, the divine God would not, for example, suffer or thirst; mortal Man was </w:t>
      </w:r>
      <w:r w:rsidRPr="00921025">
        <w:rPr>
          <w:rFonts w:asciiTheme="minorHAnsi" w:hAnsiTheme="minorHAnsi" w:cstheme="minorHAnsi"/>
        </w:rPr>
        <w:lastRenderedPageBreak/>
        <w:t xml:space="preserve">incapable of being omnipotent/omnipresent/omniscient. Nestorius insisted on maintaining the necessary boundary between the two natures at Christ’s Incarnation to prevent corruptibility and creaturely suffering affecting the divine God; Christ could only be obedient and faithful in undoing human sin and death enabling man’s salvation through his full </w:t>
      </w:r>
      <w:r w:rsidRPr="00921025">
        <w:rPr>
          <w:rFonts w:asciiTheme="minorHAnsi" w:hAnsiTheme="minorHAnsi" w:cstheme="minorHAnsi"/>
          <w:i/>
          <w:iCs/>
        </w:rPr>
        <w:t>humanity</w:t>
      </w:r>
      <w:r w:rsidRPr="00921025">
        <w:rPr>
          <w:rFonts w:asciiTheme="minorHAnsi" w:hAnsiTheme="minorHAnsi" w:cstheme="minorHAnsi"/>
        </w:rPr>
        <w:t>.</w:t>
      </w:r>
      <w:r w:rsidRPr="00921025">
        <w:rPr>
          <w:rStyle w:val="FootnoteReference"/>
          <w:rFonts w:asciiTheme="minorHAnsi" w:hAnsiTheme="minorHAnsi" w:cstheme="minorHAnsi"/>
        </w:rPr>
        <w:footnoteReference w:id="16"/>
      </w:r>
      <w:r w:rsidRPr="00921025">
        <w:rPr>
          <w:rFonts w:asciiTheme="minorHAnsi" w:hAnsiTheme="minorHAnsi" w:cstheme="minorHAnsi"/>
        </w:rPr>
        <w:t xml:space="preserve"> For clarity, Nestorius argued that when referring divine things to the Saviour, his appropriate title should be ‘</w:t>
      </w:r>
      <w:r w:rsidRPr="00921025">
        <w:rPr>
          <w:rFonts w:asciiTheme="minorHAnsi" w:hAnsiTheme="minorHAnsi" w:cstheme="minorHAnsi"/>
          <w:i/>
          <w:iCs/>
        </w:rPr>
        <w:t>Word’</w:t>
      </w:r>
      <w:r w:rsidRPr="00921025">
        <w:rPr>
          <w:rFonts w:asciiTheme="minorHAnsi" w:hAnsiTheme="minorHAnsi" w:cstheme="minorHAnsi"/>
        </w:rPr>
        <w:t xml:space="preserve"> or ‘</w:t>
      </w:r>
      <w:r w:rsidRPr="00921025">
        <w:rPr>
          <w:rFonts w:asciiTheme="minorHAnsi" w:hAnsiTheme="minorHAnsi" w:cstheme="minorHAnsi"/>
          <w:i/>
          <w:iCs/>
        </w:rPr>
        <w:t>Son of God’</w:t>
      </w:r>
      <w:r w:rsidRPr="00921025">
        <w:rPr>
          <w:rFonts w:asciiTheme="minorHAnsi" w:hAnsiTheme="minorHAnsi" w:cstheme="minorHAnsi"/>
        </w:rPr>
        <w:t>; things applicable to both divine and human reality of the Lord should elicit the title ‘</w:t>
      </w:r>
      <w:r w:rsidRPr="00921025">
        <w:rPr>
          <w:rFonts w:asciiTheme="minorHAnsi" w:hAnsiTheme="minorHAnsi" w:cstheme="minorHAnsi"/>
          <w:i/>
          <w:iCs/>
        </w:rPr>
        <w:t>Christ’</w:t>
      </w:r>
      <w:r w:rsidRPr="00921025">
        <w:rPr>
          <w:rFonts w:asciiTheme="minorHAnsi" w:hAnsiTheme="minorHAnsi" w:cstheme="minorHAnsi"/>
        </w:rPr>
        <w:t xml:space="preserve"> but those referring to particularly human limitations, such as eating, suffering, ignorance, always required the designation </w:t>
      </w:r>
      <w:r w:rsidRPr="00921025">
        <w:rPr>
          <w:rFonts w:asciiTheme="minorHAnsi" w:hAnsiTheme="minorHAnsi" w:cstheme="minorHAnsi"/>
          <w:i/>
          <w:iCs/>
        </w:rPr>
        <w:t>‘Jesus’</w:t>
      </w:r>
      <w:r w:rsidRPr="00921025">
        <w:rPr>
          <w:rFonts w:asciiTheme="minorHAnsi" w:hAnsiTheme="minorHAnsi" w:cstheme="minorHAnsi"/>
        </w:rPr>
        <w:t>.</w:t>
      </w:r>
      <w:r w:rsidRPr="00921025">
        <w:rPr>
          <w:rStyle w:val="FootnoteReference"/>
          <w:rFonts w:asciiTheme="minorHAnsi" w:hAnsiTheme="minorHAnsi" w:cstheme="minorHAnsi"/>
        </w:rPr>
        <w:footnoteReference w:id="17"/>
      </w:r>
      <w:r w:rsidRPr="00921025">
        <w:rPr>
          <w:rFonts w:asciiTheme="minorHAnsi" w:hAnsiTheme="minorHAnsi" w:cstheme="minorHAnsi"/>
        </w:rPr>
        <w:t xml:space="preserve"> </w:t>
      </w:r>
    </w:p>
    <w:p w14:paraId="10CE9C5E" w14:textId="64C7A9DB"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 xml:space="preserve">Two concerns come immediately to mind: firstly, in the economy of salvation, this begs the question: Who died on the cross and who was resurrected? Indeed, it is unclear how Nestorius explains the nature of divinity and humanity </w:t>
      </w:r>
      <w:r w:rsidRPr="00921025">
        <w:rPr>
          <w:rFonts w:asciiTheme="minorHAnsi" w:hAnsiTheme="minorHAnsi" w:cstheme="minorHAnsi"/>
          <w:i/>
          <w:iCs/>
        </w:rPr>
        <w:t>between</w:t>
      </w:r>
      <w:r w:rsidRPr="00921025">
        <w:rPr>
          <w:rFonts w:asciiTheme="minorHAnsi" w:hAnsiTheme="minorHAnsi" w:cstheme="minorHAnsi"/>
        </w:rPr>
        <w:t xml:space="preserve"> death and resurrection. Secondly, semantic confusion is evident, since, surely, titles engender attributes and characteristics (</w:t>
      </w:r>
      <w:r w:rsidRPr="00921025">
        <w:rPr>
          <w:rFonts w:asciiTheme="minorHAnsi" w:hAnsiTheme="minorHAnsi" w:cstheme="minorHAnsi"/>
          <w:i/>
          <w:iCs/>
        </w:rPr>
        <w:t>prosopon</w:t>
      </w:r>
      <w:r w:rsidRPr="00921025">
        <w:rPr>
          <w:rFonts w:asciiTheme="minorHAnsi" w:hAnsiTheme="minorHAnsi" w:cstheme="minorHAnsi"/>
        </w:rPr>
        <w:t>), which Cyril debates with Nestorius repeatedly in QUSC through different situations and damningly refutes what Cyril can only see as obfuscation.</w:t>
      </w:r>
      <w:r w:rsidRPr="00921025">
        <w:rPr>
          <w:rStyle w:val="FootnoteReference"/>
          <w:rFonts w:asciiTheme="minorHAnsi" w:hAnsiTheme="minorHAnsi" w:cstheme="minorHAnsi"/>
        </w:rPr>
        <w:footnoteReference w:id="18"/>
      </w:r>
      <w:r w:rsidRPr="00921025">
        <w:rPr>
          <w:rFonts w:asciiTheme="minorHAnsi" w:hAnsiTheme="minorHAnsi" w:cstheme="minorHAnsi"/>
        </w:rPr>
        <w:t xml:space="preserve"> Cyril returns to the core of Alexandrian Christology, that is, the totality of the Christological and soteriological essence of the Word-Made-Flesh. Nestorius’ attempts to validate scripturally the conjunction and assumption of the divine Word with ‘a perfect man’ ‘of the line of Abraham and David’ were unconvincing, for ‘</w:t>
      </w:r>
      <w:proofErr w:type="spellStart"/>
      <w:r w:rsidRPr="00921025">
        <w:rPr>
          <w:rFonts w:asciiTheme="minorHAnsi" w:hAnsiTheme="minorHAnsi" w:cstheme="minorHAnsi"/>
        </w:rPr>
        <w:t>communicat</w:t>
      </w:r>
      <w:proofErr w:type="spellEnd"/>
      <w:r w:rsidRPr="00921025">
        <w:rPr>
          <w:rFonts w:asciiTheme="minorHAnsi" w:hAnsiTheme="minorHAnsi" w:cstheme="minorHAnsi"/>
        </w:rPr>
        <w:t>[</w:t>
      </w:r>
      <w:proofErr w:type="spellStart"/>
      <w:r w:rsidRPr="00921025">
        <w:rPr>
          <w:rFonts w:asciiTheme="minorHAnsi" w:hAnsiTheme="minorHAnsi" w:cstheme="minorHAnsi"/>
        </w:rPr>
        <w:t>ing</w:t>
      </w:r>
      <w:proofErr w:type="spellEnd"/>
      <w:r w:rsidRPr="00921025">
        <w:rPr>
          <w:rFonts w:asciiTheme="minorHAnsi" w:hAnsiTheme="minorHAnsi" w:cstheme="minorHAnsi"/>
        </w:rPr>
        <w:t xml:space="preserve">] the honour to this man conjoined with him’ does not remove potential for there to be two Sons or Lords ‘exalted </w:t>
      </w:r>
      <w:r w:rsidRPr="00921025">
        <w:rPr>
          <w:rFonts w:asciiTheme="minorHAnsi" w:hAnsiTheme="minorHAnsi" w:cstheme="minorHAnsi"/>
        </w:rPr>
        <w:lastRenderedPageBreak/>
        <w:t>into the glory of the Godhead’ with ‘pre-eminence over all things’.</w:t>
      </w:r>
      <w:r w:rsidRPr="00921025">
        <w:rPr>
          <w:rStyle w:val="FootnoteReference"/>
          <w:rFonts w:asciiTheme="minorHAnsi" w:hAnsiTheme="minorHAnsi" w:cstheme="minorHAnsi"/>
        </w:rPr>
        <w:footnoteReference w:id="19"/>
      </w:r>
      <w:r w:rsidRPr="00921025">
        <w:rPr>
          <w:rFonts w:asciiTheme="minorHAnsi" w:hAnsiTheme="minorHAnsi" w:cstheme="minorHAnsi"/>
        </w:rPr>
        <w:t xml:space="preserve"> Yet Nestorius believes the clarity of the union and unity of the Word-Made-Flesh clarifies and simplifies the ‘bond’ inherent in the ‘conjunction of divinity and humanity of the Incarnate Christ.</w:t>
      </w:r>
      <w:r w:rsidR="00381A7A">
        <w:rPr>
          <w:rFonts w:asciiTheme="minorHAnsi" w:hAnsiTheme="minorHAnsi" w:cstheme="minorHAnsi"/>
        </w:rPr>
        <w:t xml:space="preserve"> </w:t>
      </w:r>
      <w:r w:rsidRPr="00921025">
        <w:rPr>
          <w:rFonts w:asciiTheme="minorHAnsi" w:hAnsiTheme="minorHAnsi" w:cstheme="minorHAnsi"/>
        </w:rPr>
        <w:t>Cyril rightly judged this as ‘misguided and stupid’, for, in his Christological appreciation, the divine and human come together ‘in the mysterious and incomprehensible union without confusion or change’.</w:t>
      </w:r>
      <w:r w:rsidRPr="00921025">
        <w:rPr>
          <w:rStyle w:val="FootnoteReference"/>
          <w:rFonts w:asciiTheme="minorHAnsi" w:hAnsiTheme="minorHAnsi" w:cstheme="minorHAnsi"/>
        </w:rPr>
        <w:footnoteReference w:id="20"/>
      </w:r>
    </w:p>
    <w:p w14:paraId="61517356" w14:textId="77777777" w:rsid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Despite this occurring relatively early in QUSC, it stamps Alexandrian Christological authority on the initial outline of Cyril’s arguments on the Word-Made-Flesh of John 1:14 and its economic reality (Phil 2:5-8).</w:t>
      </w:r>
      <w:r w:rsidRPr="00921025">
        <w:rPr>
          <w:rStyle w:val="FootnoteReference"/>
          <w:rFonts w:asciiTheme="minorHAnsi" w:hAnsiTheme="minorHAnsi" w:cstheme="minorHAnsi"/>
        </w:rPr>
        <w:footnoteReference w:id="21"/>
      </w:r>
      <w:r w:rsidRPr="00921025">
        <w:rPr>
          <w:rFonts w:asciiTheme="minorHAnsi" w:hAnsiTheme="minorHAnsi" w:cstheme="minorHAnsi"/>
        </w:rPr>
        <w:t xml:space="preserve"> Later, the Council of Chalcedon (451) emphatically affirms Christ’s </w:t>
      </w:r>
      <w:proofErr w:type="spellStart"/>
      <w:r w:rsidRPr="00921025">
        <w:rPr>
          <w:rFonts w:asciiTheme="minorHAnsi" w:hAnsiTheme="minorHAnsi" w:cstheme="minorHAnsi"/>
          <w:i/>
          <w:iCs/>
          <w:lang w:val="el-GR"/>
        </w:rPr>
        <w:t>ὁμοούσιος</w:t>
      </w:r>
      <w:proofErr w:type="spellEnd"/>
      <w:r w:rsidRPr="00921025">
        <w:rPr>
          <w:rFonts w:asciiTheme="minorHAnsi" w:hAnsiTheme="minorHAnsi" w:cstheme="minorHAnsi"/>
          <w:i/>
          <w:iCs/>
        </w:rPr>
        <w:t xml:space="preserve"> </w:t>
      </w:r>
      <w:r w:rsidRPr="00921025">
        <w:rPr>
          <w:rFonts w:asciiTheme="minorHAnsi" w:hAnsiTheme="minorHAnsi" w:cstheme="minorHAnsi"/>
        </w:rPr>
        <w:t>with both the Father and man, the distinction of what is divine and human set at the level of ‘natures’ (</w:t>
      </w:r>
      <w:r w:rsidRPr="00921025">
        <w:rPr>
          <w:rFonts w:asciiTheme="minorHAnsi" w:hAnsiTheme="minorHAnsi" w:cstheme="minorHAnsi"/>
          <w:lang w:val="el-GR"/>
        </w:rPr>
        <w:t>φύσεις</w:t>
      </w:r>
      <w:r w:rsidRPr="00921025">
        <w:rPr>
          <w:rFonts w:asciiTheme="minorHAnsi" w:hAnsiTheme="minorHAnsi" w:cstheme="minorHAnsi"/>
        </w:rPr>
        <w:t>) and the unity of the Incarnate Word set at the level of ‘person’ (</w:t>
      </w:r>
      <w:proofErr w:type="spellStart"/>
      <w:r w:rsidRPr="00921025">
        <w:rPr>
          <w:rFonts w:asciiTheme="minorHAnsi" w:hAnsiTheme="minorHAnsi" w:cstheme="minorHAnsi"/>
          <w:i/>
          <w:iCs/>
          <w:lang w:val="el-GR"/>
        </w:rPr>
        <w:t>ὑποστασις</w:t>
      </w:r>
      <w:proofErr w:type="spellEnd"/>
      <w:r w:rsidRPr="00921025">
        <w:rPr>
          <w:rFonts w:asciiTheme="minorHAnsi" w:hAnsiTheme="minorHAnsi" w:cstheme="minorHAnsi"/>
        </w:rPr>
        <w:t>).</w:t>
      </w:r>
      <w:r w:rsidRPr="00921025">
        <w:rPr>
          <w:rStyle w:val="FootnoteReference"/>
          <w:rFonts w:asciiTheme="minorHAnsi" w:hAnsiTheme="minorHAnsi" w:cstheme="minorHAnsi"/>
        </w:rPr>
        <w:footnoteReference w:id="22"/>
      </w:r>
    </w:p>
    <w:p w14:paraId="412D2F87" w14:textId="77777777" w:rsidR="00D671B2" w:rsidRDefault="00D671B2" w:rsidP="008C59B3">
      <w:pPr>
        <w:spacing w:line="480" w:lineRule="auto"/>
        <w:ind w:firstLine="426"/>
        <w:rPr>
          <w:rFonts w:asciiTheme="minorHAnsi" w:hAnsiTheme="minorHAnsi" w:cstheme="minorHAnsi"/>
        </w:rPr>
      </w:pPr>
    </w:p>
    <w:p w14:paraId="6547B391" w14:textId="6C0F6BE0" w:rsidR="00282B53" w:rsidRPr="00282B53" w:rsidRDefault="00282B53" w:rsidP="008C59B3">
      <w:pPr>
        <w:pStyle w:val="Heading2"/>
        <w:spacing w:before="0" w:line="480" w:lineRule="auto"/>
        <w:rPr>
          <w:rFonts w:asciiTheme="minorHAnsi" w:hAnsiTheme="minorHAnsi" w:cstheme="minorHAnsi"/>
          <w:b/>
          <w:bCs/>
          <w:color w:val="auto"/>
          <w:sz w:val="24"/>
          <w:szCs w:val="24"/>
        </w:rPr>
      </w:pPr>
      <w:bookmarkStart w:id="12" w:name="_Toc163217582"/>
      <w:bookmarkStart w:id="13" w:name="_Toc163223619"/>
      <w:r w:rsidRPr="00282B53">
        <w:rPr>
          <w:rFonts w:asciiTheme="minorHAnsi" w:hAnsiTheme="minorHAnsi" w:cstheme="minorHAnsi"/>
          <w:b/>
          <w:bCs/>
          <w:color w:val="auto"/>
          <w:sz w:val="24"/>
          <w:szCs w:val="24"/>
        </w:rPr>
        <w:t>Mother of God or Mother of Christ?</w:t>
      </w:r>
      <w:bookmarkEnd w:id="12"/>
      <w:bookmarkEnd w:id="13"/>
    </w:p>
    <w:p w14:paraId="2EF0899B" w14:textId="77777777" w:rsidR="00921025" w:rsidRPr="00921025" w:rsidRDefault="00921025" w:rsidP="008C59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firstLine="426"/>
        <w:rPr>
          <w:rFonts w:asciiTheme="minorHAnsi" w:hAnsiTheme="minorHAnsi" w:cstheme="minorHAnsi"/>
        </w:rPr>
      </w:pPr>
      <w:r w:rsidRPr="00921025">
        <w:rPr>
          <w:rFonts w:asciiTheme="minorHAnsi" w:hAnsiTheme="minorHAnsi" w:cstheme="minorHAnsi"/>
        </w:rPr>
        <w:t xml:space="preserve">The economy of salvation expressed through John 1:14 and Philippians 2:5-8 requires the virgin Mary to be </w:t>
      </w:r>
      <w:bookmarkStart w:id="14" w:name="OLE_LINK3"/>
      <w:proofErr w:type="spellStart"/>
      <w:r w:rsidRPr="00921025">
        <w:rPr>
          <w:rFonts w:asciiTheme="minorHAnsi" w:hAnsiTheme="minorHAnsi" w:cstheme="minorHAnsi"/>
          <w:lang w:val="el-GR"/>
        </w:rPr>
        <w:t>Θεοτοκος</w:t>
      </w:r>
      <w:bookmarkEnd w:id="14"/>
      <w:proofErr w:type="spellEnd"/>
      <w:r w:rsidRPr="00921025">
        <w:rPr>
          <w:rFonts w:asciiTheme="minorHAnsi" w:hAnsiTheme="minorHAnsi" w:cstheme="minorHAnsi"/>
        </w:rPr>
        <w:t xml:space="preserve">. The essence of Cyril's theology vis-à-vis Nestorius, as Frances Young summarises, is first, maintaining a 'narrative of descent by keeping the unity' of the one eternally begotten of the Father, descending from heaven to earth and being crucified; secondly, appealing to the truth behind the name Emmanuel accorded to Jesus and, thirdly, Christ's essential kenotic action (Phil 2:5-8), which together provide the totality </w:t>
      </w:r>
      <w:r w:rsidRPr="00921025">
        <w:rPr>
          <w:rFonts w:asciiTheme="minorHAnsi" w:hAnsiTheme="minorHAnsi" w:cstheme="minorHAnsi"/>
        </w:rPr>
        <w:lastRenderedPageBreak/>
        <w:t>of Cyril’s soteriology and man’s redemption.</w:t>
      </w:r>
      <w:r w:rsidRPr="00921025">
        <w:rPr>
          <w:rStyle w:val="FootnoteReference"/>
          <w:rFonts w:asciiTheme="minorHAnsi" w:hAnsiTheme="minorHAnsi" w:cstheme="minorHAnsi"/>
        </w:rPr>
        <w:footnoteReference w:id="23"/>
      </w:r>
      <w:r w:rsidRPr="00921025">
        <w:rPr>
          <w:rFonts w:asciiTheme="minorHAnsi" w:hAnsiTheme="minorHAnsi" w:cstheme="minorHAnsi"/>
        </w:rPr>
        <w:t xml:space="preserve"> Cyril had already asserted his views of Mary as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xml:space="preserve"> within the Incarnation in his second letter to Nestorius:</w:t>
      </w:r>
    </w:p>
    <w:p w14:paraId="5CDBD89F" w14:textId="77777777" w:rsidR="00921025" w:rsidRPr="00921025" w:rsidRDefault="00921025" w:rsidP="008C59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1120" w:right="1082"/>
        <w:rPr>
          <w:rFonts w:asciiTheme="minorHAnsi" w:hAnsiTheme="minorHAnsi" w:cstheme="minorHAnsi"/>
        </w:rPr>
      </w:pPr>
      <w:r w:rsidRPr="00921025">
        <w:rPr>
          <w:rFonts w:asciiTheme="minorHAnsi" w:hAnsiTheme="minorHAnsi" w:cstheme="minorHAnsi"/>
          <w:color w:val="000000"/>
        </w:rPr>
        <w:t>The Word's becoming flesh means nothing else than that he partook of flesh and blood like us; he made our body his own, and came forth a man from woman without casting aside his deity, or his generation from God the Father, but rather in his assumption of flesh remaining what he was.</w:t>
      </w:r>
      <w:r w:rsidRPr="00921025">
        <w:rPr>
          <w:rStyle w:val="FootnoteReference"/>
          <w:rFonts w:asciiTheme="minorHAnsi" w:hAnsiTheme="minorHAnsi" w:cstheme="minorHAnsi"/>
          <w:color w:val="000000"/>
        </w:rPr>
        <w:footnoteReference w:id="24"/>
      </w:r>
    </w:p>
    <w:p w14:paraId="79123961" w14:textId="77777777" w:rsidR="00921025" w:rsidRPr="00921025" w:rsidRDefault="00921025" w:rsidP="008C59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firstLine="426"/>
        <w:rPr>
          <w:rFonts w:asciiTheme="minorHAnsi" w:hAnsiTheme="minorHAnsi" w:cstheme="minorHAnsi"/>
        </w:rPr>
      </w:pPr>
      <w:r w:rsidRPr="00921025">
        <w:rPr>
          <w:rFonts w:asciiTheme="minorHAnsi" w:hAnsiTheme="minorHAnsi" w:cstheme="minorHAnsi"/>
        </w:rPr>
        <w:t>Nestorius’ view, however, is simple and seemingly logical but contradictory: whilst accepting the consubstantial nature of the Word/Christ/Son of God and the Father and Christ’s full humanity, Mary could only give birth to a man as the ‘vehicle of divinity’, thus not giving birth to God.</w:t>
      </w:r>
      <w:r w:rsidRPr="00921025">
        <w:rPr>
          <w:rStyle w:val="FootnoteReference"/>
          <w:rFonts w:asciiTheme="minorHAnsi" w:hAnsiTheme="minorHAnsi" w:cstheme="minorHAnsi"/>
        </w:rPr>
        <w:footnoteReference w:id="25"/>
      </w:r>
      <w:r w:rsidRPr="00921025">
        <w:rPr>
          <w:rFonts w:asciiTheme="minorHAnsi" w:hAnsiTheme="minorHAnsi" w:cstheme="minorHAnsi"/>
        </w:rPr>
        <w:t xml:space="preserve"> God, was merely ‘</w:t>
      </w:r>
      <w:r w:rsidRPr="00921025">
        <w:rPr>
          <w:rFonts w:asciiTheme="minorHAnsi" w:hAnsiTheme="minorHAnsi" w:cstheme="minorHAnsi"/>
          <w:i/>
          <w:iCs/>
        </w:rPr>
        <w:t>with</w:t>
      </w:r>
      <w:r w:rsidRPr="00921025">
        <w:rPr>
          <w:rFonts w:asciiTheme="minorHAnsi" w:hAnsiTheme="minorHAnsi" w:cstheme="minorHAnsi"/>
        </w:rPr>
        <w:t xml:space="preserve"> us in the form of </w:t>
      </w:r>
      <w:r w:rsidRPr="00921025">
        <w:rPr>
          <w:rFonts w:asciiTheme="minorHAnsi" w:hAnsiTheme="minorHAnsi" w:cstheme="minorHAnsi"/>
          <w:i/>
          <w:iCs/>
        </w:rPr>
        <w:t>helping us’</w:t>
      </w:r>
      <w:r w:rsidRPr="00921025">
        <w:rPr>
          <w:rFonts w:asciiTheme="minorHAnsi" w:hAnsiTheme="minorHAnsi" w:cstheme="minorHAnsi"/>
        </w:rPr>
        <w:t xml:space="preserve"> because of the co-eternity and timelessness of God and the Word.</w:t>
      </w:r>
      <w:r w:rsidRPr="00921025">
        <w:rPr>
          <w:rStyle w:val="FootnoteReference"/>
          <w:rFonts w:asciiTheme="minorHAnsi" w:hAnsiTheme="minorHAnsi" w:cstheme="minorHAnsi"/>
        </w:rPr>
        <w:footnoteReference w:id="26"/>
      </w:r>
      <w:r w:rsidRPr="00921025">
        <w:rPr>
          <w:rFonts w:asciiTheme="minorHAnsi" w:hAnsiTheme="minorHAnsi" w:cstheme="minorHAnsi"/>
        </w:rPr>
        <w:t xml:space="preserve"> Cyril appears more incisive and semantically adept than Nestorius, immediately challenging his erroneous interpretations of ‘with’ and ‘became’, which ostensibly deny the true meaning of ‘Emmanuel’, the clear </w:t>
      </w:r>
      <w:proofErr w:type="spellStart"/>
      <w:r w:rsidRPr="00921025">
        <w:rPr>
          <w:rFonts w:asciiTheme="minorHAnsi" w:hAnsiTheme="minorHAnsi" w:cstheme="minorHAnsi"/>
        </w:rPr>
        <w:t>Isaianic</w:t>
      </w:r>
      <w:proofErr w:type="spellEnd"/>
      <w:r w:rsidRPr="00921025">
        <w:rPr>
          <w:rFonts w:asciiTheme="minorHAnsi" w:hAnsiTheme="minorHAnsi" w:cstheme="minorHAnsi"/>
        </w:rPr>
        <w:t xml:space="preserve"> and Matthean appellation for the coming Messiah. </w:t>
      </w:r>
    </w:p>
    <w:p w14:paraId="4B30347A" w14:textId="77777777" w:rsidR="00921025" w:rsidRPr="00921025" w:rsidRDefault="00921025" w:rsidP="008C59B3">
      <w:pPr>
        <w:pStyle w:val="ListParagraph"/>
        <w:spacing w:line="480" w:lineRule="auto"/>
        <w:ind w:left="0" w:firstLine="426"/>
        <w:rPr>
          <w:rFonts w:asciiTheme="minorHAnsi" w:eastAsiaTheme="minorHAnsi" w:hAnsiTheme="minorHAnsi" w:cstheme="minorHAnsi"/>
          <w:bdr w:val="none" w:sz="0" w:space="0" w:color="auto"/>
          <w14:ligatures w14:val="standardContextual"/>
        </w:rPr>
      </w:pPr>
      <w:r w:rsidRPr="00921025">
        <w:rPr>
          <w:rFonts w:asciiTheme="minorHAnsi" w:hAnsiTheme="minorHAnsi" w:cstheme="minorHAnsi"/>
          <w:bdr w:val="none" w:sz="0" w:space="0" w:color="auto"/>
        </w:rPr>
        <w:t xml:space="preserve">Likewise, perhaps disparagingly, </w:t>
      </w:r>
      <w:r w:rsidRPr="00921025">
        <w:rPr>
          <w:rFonts w:asciiTheme="minorHAnsi" w:eastAsiaTheme="minorHAnsi" w:hAnsiTheme="minorHAnsi" w:cstheme="minorHAnsi"/>
          <w:bdr w:val="none" w:sz="0" w:space="0" w:color="auto"/>
          <w14:ligatures w14:val="standardContextual"/>
        </w:rPr>
        <w:t>Cyril cites links between God’s initial creation of man and woman (with its marriage allusions in Genesis 2:24) and Hebrew’s mention of the honourable state of marriage. He argues cogently that God deliberately chose a different way to secure the birth of Christ through conception from the Spirit and God’s power ‘overshadowing’ Mary.</w:t>
      </w:r>
      <w:r w:rsidRPr="00921025">
        <w:rPr>
          <w:rStyle w:val="FootnoteReference"/>
          <w:rFonts w:asciiTheme="minorHAnsi" w:hAnsiTheme="minorHAnsi" w:cstheme="minorHAnsi"/>
        </w:rPr>
        <w:footnoteReference w:id="27"/>
      </w:r>
      <w:r w:rsidRPr="00921025">
        <w:rPr>
          <w:rFonts w:asciiTheme="minorHAnsi" w:eastAsiaTheme="minorHAnsi" w:hAnsiTheme="minorHAnsi" w:cstheme="minorHAnsi"/>
          <w:bdr w:val="none" w:sz="0" w:space="0" w:color="auto"/>
          <w14:ligatures w14:val="standardContextual"/>
        </w:rPr>
        <w:t xml:space="preserve"> (Nestorius seems to have learnt from his master to envisage </w:t>
      </w:r>
      <w:r w:rsidRPr="00921025">
        <w:rPr>
          <w:rFonts w:asciiTheme="minorHAnsi" w:eastAsiaTheme="minorHAnsi" w:hAnsiTheme="minorHAnsi" w:cstheme="minorHAnsi"/>
          <w:bdr w:val="none" w:sz="0" w:space="0" w:color="auto"/>
          <w14:ligatures w14:val="standardContextual"/>
        </w:rPr>
        <w:lastRenderedPageBreak/>
        <w:t>‘union/conjunction’ like the union between man and woman, becoming ‘one flesh’ yet retaining separate natures and persons).</w:t>
      </w:r>
      <w:r w:rsidRPr="00921025">
        <w:rPr>
          <w:rStyle w:val="FootnoteReference"/>
          <w:rFonts w:asciiTheme="minorHAnsi" w:hAnsiTheme="minorHAnsi" w:cstheme="minorHAnsi"/>
        </w:rPr>
        <w:footnoteReference w:id="28"/>
      </w:r>
      <w:r w:rsidRPr="00921025">
        <w:rPr>
          <w:rFonts w:asciiTheme="minorHAnsi" w:eastAsiaTheme="minorHAnsi" w:hAnsiTheme="minorHAnsi" w:cstheme="minorHAnsi"/>
          <w:bdr w:val="none" w:sz="0" w:space="0" w:color="auto"/>
          <w14:ligatures w14:val="standardContextual"/>
        </w:rPr>
        <w:t xml:space="preserve"> </w:t>
      </w:r>
    </w:p>
    <w:p w14:paraId="7D8EBCE0" w14:textId="6F318528" w:rsidR="00921025" w:rsidRDefault="00921025" w:rsidP="008C59B3">
      <w:pPr>
        <w:pStyle w:val="ListParagraph"/>
        <w:spacing w:line="480" w:lineRule="auto"/>
        <w:ind w:left="0" w:firstLine="426"/>
        <w:rPr>
          <w:rFonts w:asciiTheme="minorHAnsi" w:eastAsiaTheme="minorHAnsi" w:hAnsiTheme="minorHAnsi" w:cstheme="minorHAnsi"/>
          <w:bdr w:val="none" w:sz="0" w:space="0" w:color="auto"/>
          <w14:ligatures w14:val="standardContextual"/>
        </w:rPr>
      </w:pPr>
      <w:r w:rsidRPr="00921025">
        <w:rPr>
          <w:rFonts w:asciiTheme="minorHAnsi" w:eastAsiaTheme="minorHAnsi" w:hAnsiTheme="minorHAnsi" w:cstheme="minorHAnsi"/>
          <w:bdr w:val="none" w:sz="0" w:space="0" w:color="auto"/>
          <w14:ligatures w14:val="standardContextual"/>
        </w:rPr>
        <w:t xml:space="preserve">Through Christ’s Incarnation to a human mother, ‘the Word [was] made flesh united and endowed with a rational soul’, the careful wording avoiding former charges against Cyril of his closeness to </w:t>
      </w:r>
      <w:proofErr w:type="spellStart"/>
      <w:r w:rsidRPr="00921025">
        <w:rPr>
          <w:rFonts w:asciiTheme="minorHAnsi" w:eastAsiaTheme="minorHAnsi" w:hAnsiTheme="minorHAnsi" w:cstheme="minorHAnsi"/>
          <w:bdr w:val="none" w:sz="0" w:space="0" w:color="auto"/>
          <w14:ligatures w14:val="standardContextual"/>
        </w:rPr>
        <w:t>Apollinariansm</w:t>
      </w:r>
      <w:proofErr w:type="spellEnd"/>
      <w:r w:rsidRPr="00921025">
        <w:rPr>
          <w:rFonts w:asciiTheme="minorHAnsi" w:eastAsiaTheme="minorHAnsi" w:hAnsiTheme="minorHAnsi" w:cstheme="minorHAnsi"/>
          <w:bdr w:val="none" w:sz="0" w:space="0" w:color="auto"/>
          <w14:ligatures w14:val="standardContextual"/>
        </w:rPr>
        <w:t xml:space="preserve">. This is Cyril’s QED for the holy virgin not just </w:t>
      </w:r>
      <w:r w:rsidRPr="00921025">
        <w:rPr>
          <w:rFonts w:asciiTheme="minorHAnsi" w:eastAsiaTheme="minorHAnsi" w:hAnsiTheme="minorHAnsi" w:cstheme="minorHAnsi"/>
          <w:i/>
          <w:iCs/>
          <w:bdr w:val="none" w:sz="0" w:space="0" w:color="auto"/>
          <w14:ligatures w14:val="standardContextual"/>
        </w:rPr>
        <w:t>being called</w:t>
      </w:r>
      <w:r w:rsidRPr="00921025">
        <w:rPr>
          <w:rFonts w:asciiTheme="minorHAnsi" w:eastAsiaTheme="minorHAnsi" w:hAnsiTheme="minorHAnsi" w:cstheme="minorHAnsi"/>
          <w:bdr w:val="none" w:sz="0" w:space="0" w:color="auto"/>
          <w14:ligatures w14:val="standardContextual"/>
        </w:rPr>
        <w:t xml:space="preserve"> </w:t>
      </w:r>
      <w:proofErr w:type="spellStart"/>
      <w:r w:rsidRPr="00921025">
        <w:rPr>
          <w:rFonts w:asciiTheme="minorHAnsi" w:eastAsiaTheme="minorHAnsi" w:hAnsiTheme="minorHAnsi" w:cstheme="minorHAnsi"/>
          <w:bdr w:val="none" w:sz="0" w:space="0" w:color="auto"/>
          <w:lang w:val="el-GR"/>
          <w14:ligatures w14:val="standardContextual"/>
        </w:rPr>
        <w:t>Θεοτοκος</w:t>
      </w:r>
      <w:proofErr w:type="spellEnd"/>
      <w:r w:rsidRPr="00921025">
        <w:rPr>
          <w:rFonts w:asciiTheme="minorHAnsi" w:eastAsiaTheme="minorHAnsi" w:hAnsiTheme="minorHAnsi" w:cstheme="minorHAnsi"/>
          <w:bdr w:val="none" w:sz="0" w:space="0" w:color="auto"/>
          <w14:ligatures w14:val="standardContextual"/>
        </w:rPr>
        <w:t xml:space="preserve">, but </w:t>
      </w:r>
      <w:r w:rsidRPr="00921025">
        <w:rPr>
          <w:rFonts w:asciiTheme="minorHAnsi" w:eastAsiaTheme="minorHAnsi" w:hAnsiTheme="minorHAnsi" w:cstheme="minorHAnsi"/>
          <w:i/>
          <w:iCs/>
          <w:bdr w:val="none" w:sz="0" w:space="0" w:color="auto"/>
          <w14:ligatures w14:val="standardContextual"/>
        </w:rPr>
        <w:t>ontologically being</w:t>
      </w:r>
      <w:r w:rsidRPr="00921025">
        <w:rPr>
          <w:rFonts w:asciiTheme="minorHAnsi" w:eastAsiaTheme="minorHAnsi" w:hAnsiTheme="minorHAnsi" w:cstheme="minorHAnsi"/>
          <w:bdr w:val="none" w:sz="0" w:space="0" w:color="auto"/>
          <w14:ligatures w14:val="standardContextual"/>
        </w:rPr>
        <w:t xml:space="preserve"> the God-bearer.</w:t>
      </w:r>
      <w:r w:rsidRPr="00921025">
        <w:rPr>
          <w:rStyle w:val="FootnoteReference"/>
          <w:rFonts w:asciiTheme="minorHAnsi" w:hAnsiTheme="minorHAnsi" w:cstheme="minorHAnsi"/>
        </w:rPr>
        <w:footnoteReference w:id="29"/>
      </w:r>
      <w:r w:rsidRPr="00921025">
        <w:rPr>
          <w:rFonts w:asciiTheme="minorHAnsi" w:eastAsiaTheme="minorHAnsi" w:hAnsiTheme="minorHAnsi" w:cstheme="minorHAnsi"/>
          <w:bdr w:val="none" w:sz="0" w:space="0" w:color="auto"/>
          <w14:ligatures w14:val="standardContextual"/>
        </w:rPr>
        <w:t xml:space="preserve"> For Cyril, ‘being born of a woman’ is essential in God’s economy of salvation. These include his self-emptying in order to choose suffering to save those under corruption</w:t>
      </w:r>
      <w:r w:rsidRPr="00921025">
        <w:rPr>
          <w:rStyle w:val="FootnoteReference"/>
          <w:rFonts w:asciiTheme="minorHAnsi" w:hAnsiTheme="minorHAnsi" w:cstheme="minorHAnsi"/>
        </w:rPr>
        <w:footnoteReference w:id="30"/>
      </w:r>
      <w:r w:rsidRPr="00921025">
        <w:rPr>
          <w:rFonts w:asciiTheme="minorHAnsi" w:eastAsiaTheme="minorHAnsi" w:hAnsiTheme="minorHAnsi" w:cstheme="minorHAnsi"/>
          <w:bdr w:val="none" w:sz="0" w:space="0" w:color="auto"/>
          <w14:ligatures w14:val="standardContextual"/>
        </w:rPr>
        <w:t xml:space="preserve"> as one come down from heaven doing his Father’s will with eschatological implications (Jn 6:38-39).</w:t>
      </w:r>
      <w:r w:rsidRPr="00921025">
        <w:rPr>
          <w:rStyle w:val="FootnoteReference"/>
          <w:rFonts w:asciiTheme="minorHAnsi" w:hAnsiTheme="minorHAnsi" w:cstheme="minorHAnsi"/>
        </w:rPr>
        <w:footnoteReference w:id="31"/>
      </w:r>
      <w:r w:rsidRPr="00921025">
        <w:rPr>
          <w:rFonts w:asciiTheme="minorHAnsi" w:eastAsiaTheme="minorHAnsi" w:hAnsiTheme="minorHAnsi" w:cstheme="minorHAnsi"/>
          <w:bdr w:val="none" w:sz="0" w:space="0" w:color="auto"/>
          <w14:ligatures w14:val="standardContextual"/>
        </w:rPr>
        <w:t xml:space="preserve"> Indeed, the frequent return to ‘being born of a woman’ and Christ’s self-emptying become a foil to Nestorius’ arguments about the Word of God’s ‘conjunction’ with the perfect man, one of the line of David, being anointed and attributed with the title ‘Christ’.</w:t>
      </w:r>
      <w:r w:rsidRPr="00921025">
        <w:rPr>
          <w:rStyle w:val="FootnoteReference"/>
          <w:rFonts w:asciiTheme="minorHAnsi" w:hAnsiTheme="minorHAnsi" w:cstheme="minorHAnsi"/>
        </w:rPr>
        <w:footnoteReference w:id="32"/>
      </w:r>
      <w:r w:rsidRPr="00921025">
        <w:rPr>
          <w:rFonts w:asciiTheme="minorHAnsi" w:eastAsiaTheme="minorHAnsi" w:hAnsiTheme="minorHAnsi" w:cstheme="minorHAnsi"/>
          <w:bdr w:val="none" w:sz="0" w:space="0" w:color="auto"/>
          <w14:ligatures w14:val="standardContextual"/>
        </w:rPr>
        <w:t xml:space="preserve"> Ellen Concannon succinctly summarises the argument in QUSC over the Virgin Mary’s appellation, stating that Christ’s suffering is evident contextually in his birth. Denying Christ’s suffering in his Passion and death also denies Mary as </w:t>
      </w:r>
      <w:proofErr w:type="spellStart"/>
      <w:r w:rsidRPr="00921025">
        <w:rPr>
          <w:rFonts w:asciiTheme="minorHAnsi" w:eastAsiaTheme="minorHAnsi" w:hAnsiTheme="minorHAnsi" w:cstheme="minorHAnsi"/>
          <w:bdr w:val="none" w:sz="0" w:space="0" w:color="auto"/>
          <w:lang w:val="el-GR"/>
          <w14:ligatures w14:val="standardContextual"/>
        </w:rPr>
        <w:t>Θεοτοκος</w:t>
      </w:r>
      <w:proofErr w:type="spellEnd"/>
      <w:r w:rsidRPr="00921025">
        <w:rPr>
          <w:rFonts w:asciiTheme="minorHAnsi" w:eastAsiaTheme="minorHAnsi" w:hAnsiTheme="minorHAnsi" w:cstheme="minorHAnsi"/>
          <w:bdr w:val="none" w:sz="0" w:space="0" w:color="auto"/>
          <w14:ligatures w14:val="standardContextual"/>
        </w:rPr>
        <w:t>, which is ‘clearly heretical and against true faith’.</w:t>
      </w:r>
      <w:r w:rsidRPr="00921025">
        <w:rPr>
          <w:rStyle w:val="FootnoteReference"/>
          <w:rFonts w:asciiTheme="minorHAnsi" w:hAnsiTheme="minorHAnsi" w:cstheme="minorHAnsi"/>
        </w:rPr>
        <w:footnoteReference w:id="33"/>
      </w:r>
    </w:p>
    <w:p w14:paraId="5450E0B4" w14:textId="77777777" w:rsidR="00D671B2" w:rsidRDefault="00D671B2" w:rsidP="008C59B3">
      <w:pPr>
        <w:pStyle w:val="ListParagraph"/>
        <w:spacing w:line="480" w:lineRule="auto"/>
        <w:ind w:left="0" w:firstLine="426"/>
        <w:rPr>
          <w:rFonts w:asciiTheme="minorHAnsi" w:eastAsiaTheme="minorHAnsi" w:hAnsiTheme="minorHAnsi" w:cstheme="minorHAnsi"/>
          <w:bdr w:val="none" w:sz="0" w:space="0" w:color="auto"/>
          <w14:ligatures w14:val="standardContextual"/>
        </w:rPr>
      </w:pPr>
    </w:p>
    <w:p w14:paraId="1CF5EB8E" w14:textId="0ECC53F5" w:rsidR="00282B53" w:rsidRPr="00282B53" w:rsidRDefault="00282B53" w:rsidP="008C59B3">
      <w:pPr>
        <w:pStyle w:val="Heading2"/>
        <w:spacing w:before="0" w:line="480" w:lineRule="auto"/>
        <w:rPr>
          <w:rFonts w:asciiTheme="minorHAnsi" w:eastAsiaTheme="minorHAnsi" w:hAnsiTheme="minorHAnsi" w:cstheme="minorHAnsi"/>
          <w:b/>
          <w:bCs/>
          <w:color w:val="auto"/>
          <w:sz w:val="24"/>
          <w:szCs w:val="24"/>
          <w:bdr w:val="none" w:sz="0" w:space="0" w:color="auto"/>
        </w:rPr>
      </w:pPr>
      <w:bookmarkStart w:id="15" w:name="_Toc163217583"/>
      <w:bookmarkStart w:id="16" w:name="_Toc163223620"/>
      <w:r w:rsidRPr="00282B53">
        <w:rPr>
          <w:rFonts w:asciiTheme="minorHAnsi" w:eastAsiaTheme="minorHAnsi" w:hAnsiTheme="minorHAnsi" w:cstheme="minorHAnsi"/>
          <w:b/>
          <w:bCs/>
          <w:color w:val="auto"/>
          <w:sz w:val="24"/>
          <w:szCs w:val="24"/>
          <w:bdr w:val="none" w:sz="0" w:space="0" w:color="auto"/>
        </w:rPr>
        <w:t>Christ’s Self-Emptying</w:t>
      </w:r>
      <w:bookmarkEnd w:id="15"/>
      <w:bookmarkEnd w:id="16"/>
    </w:p>
    <w:p w14:paraId="78D28BAB"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 xml:space="preserve">Kenosis and </w:t>
      </w:r>
      <w:proofErr w:type="spellStart"/>
      <w:r w:rsidRPr="00921025">
        <w:rPr>
          <w:rFonts w:asciiTheme="minorHAnsi" w:hAnsiTheme="minorHAnsi" w:cstheme="minorHAnsi"/>
          <w:i/>
          <w:iCs/>
        </w:rPr>
        <w:t>communicatio</w:t>
      </w:r>
      <w:proofErr w:type="spellEnd"/>
      <w:r w:rsidRPr="00921025">
        <w:rPr>
          <w:rFonts w:asciiTheme="minorHAnsi" w:hAnsiTheme="minorHAnsi" w:cstheme="minorHAnsi"/>
          <w:i/>
          <w:iCs/>
        </w:rPr>
        <w:t xml:space="preserve"> </w:t>
      </w:r>
      <w:proofErr w:type="spellStart"/>
      <w:r w:rsidRPr="00921025">
        <w:rPr>
          <w:rFonts w:asciiTheme="minorHAnsi" w:hAnsiTheme="minorHAnsi" w:cstheme="minorHAnsi"/>
          <w:i/>
          <w:iCs/>
        </w:rPr>
        <w:t>idiomatum</w:t>
      </w:r>
      <w:proofErr w:type="spellEnd"/>
      <w:r w:rsidRPr="00921025">
        <w:rPr>
          <w:rFonts w:asciiTheme="minorHAnsi" w:hAnsiTheme="minorHAnsi" w:cstheme="minorHAnsi"/>
        </w:rPr>
        <w:t xml:space="preserve"> are intimately linked, just as they link back to the </w:t>
      </w:r>
      <w:proofErr w:type="spellStart"/>
      <w:r w:rsidRPr="00921025">
        <w:rPr>
          <w:rFonts w:asciiTheme="minorHAnsi" w:hAnsiTheme="minorHAnsi" w:cstheme="minorHAnsi"/>
          <w:i/>
          <w:iCs/>
          <w:lang w:val="el-GR"/>
        </w:rPr>
        <w:t>Λογος</w:t>
      </w:r>
      <w:proofErr w:type="spellEnd"/>
      <w:r w:rsidRPr="00921025">
        <w:rPr>
          <w:rFonts w:asciiTheme="minorHAnsi" w:hAnsiTheme="minorHAnsi" w:cstheme="minorHAnsi"/>
          <w:i/>
          <w:iCs/>
        </w:rPr>
        <w:t>-</w:t>
      </w:r>
      <w:r w:rsidRPr="00921025">
        <w:rPr>
          <w:rFonts w:asciiTheme="minorHAnsi" w:hAnsiTheme="minorHAnsi" w:cstheme="minorHAnsi"/>
          <w:i/>
          <w:iCs/>
          <w:lang w:val="el-GR"/>
        </w:rPr>
        <w:t>σαρξ</w:t>
      </w:r>
      <w:r w:rsidRPr="00921025">
        <w:rPr>
          <w:rFonts w:asciiTheme="minorHAnsi" w:hAnsiTheme="minorHAnsi" w:cstheme="minorHAnsi"/>
        </w:rPr>
        <w:t xml:space="preserve"> of John 1:14 and Mary as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xml:space="preserve">. Cyril conveys the crucial importance of Christ’s self-emptying through his deliberate insistence on the Godhead deliberately </w:t>
      </w:r>
      <w:r w:rsidRPr="00921025">
        <w:rPr>
          <w:rFonts w:asciiTheme="minorHAnsi" w:hAnsiTheme="minorHAnsi" w:cstheme="minorHAnsi"/>
        </w:rPr>
        <w:lastRenderedPageBreak/>
        <w:t>choosing to humble himself at the Incarnation. ‘For our sake’ is an utterance repeated approximately twenty times in this context: ‘</w:t>
      </w:r>
      <w:r w:rsidRPr="00921025">
        <w:rPr>
          <w:rFonts w:asciiTheme="minorHAnsi" w:hAnsiTheme="minorHAnsi" w:cstheme="minorHAnsi"/>
          <w:lang w:val="en-US"/>
        </w:rPr>
        <w:t>He made him who knew not sin into sin for our sake so that in him we might become the righteousness of God’.</w:t>
      </w:r>
      <w:r w:rsidRPr="00921025">
        <w:rPr>
          <w:rStyle w:val="FootnoteReference"/>
          <w:rFonts w:asciiTheme="minorHAnsi" w:hAnsiTheme="minorHAnsi" w:cstheme="minorHAnsi"/>
          <w:lang w:val="en-US"/>
        </w:rPr>
        <w:footnoteReference w:id="34"/>
      </w:r>
      <w:r w:rsidRPr="00921025">
        <w:rPr>
          <w:rFonts w:asciiTheme="minorHAnsi" w:hAnsiTheme="minorHAnsi" w:cstheme="minorHAnsi"/>
        </w:rPr>
        <w:t xml:space="preserve"> Cyril’s kenotic understanding applied in QUSC is evident in his earlier commentary of Isaiah, expressing the necessity</w:t>
      </w:r>
    </w:p>
    <w:p w14:paraId="40450C71" w14:textId="77777777" w:rsidR="00921025" w:rsidRPr="00921025" w:rsidRDefault="00921025" w:rsidP="008C59B3">
      <w:pPr>
        <w:spacing w:line="480" w:lineRule="auto"/>
        <w:ind w:left="1440" w:right="940"/>
        <w:rPr>
          <w:rFonts w:asciiTheme="minorHAnsi" w:hAnsiTheme="minorHAnsi" w:cstheme="minorHAnsi"/>
        </w:rPr>
      </w:pPr>
      <w:r w:rsidRPr="00921025">
        <w:rPr>
          <w:rFonts w:asciiTheme="minorHAnsi" w:hAnsiTheme="minorHAnsi" w:cstheme="minorHAnsi"/>
          <w:lang w:val="en-US"/>
        </w:rPr>
        <w:t>that the only-begotten Word of God who brought himself down to the level of self-emptying, should not repudiate the low estate arising from that self-emptying, but should accept what is full by nature on account of the humanity, not for his sake but for ours, who lack every good thing.</w:t>
      </w:r>
      <w:r w:rsidRPr="00921025">
        <w:rPr>
          <w:rStyle w:val="FootnoteReference"/>
          <w:rFonts w:asciiTheme="minorHAnsi" w:hAnsiTheme="minorHAnsi" w:cstheme="minorHAnsi"/>
          <w:lang w:val="en-US"/>
        </w:rPr>
        <w:footnoteReference w:id="35"/>
      </w:r>
    </w:p>
    <w:p w14:paraId="33FB257E" w14:textId="77777777" w:rsidR="00921025" w:rsidRPr="00921025" w:rsidRDefault="00921025" w:rsidP="008C59B3">
      <w:pPr>
        <w:spacing w:line="480" w:lineRule="auto"/>
        <w:ind w:firstLine="426"/>
        <w:rPr>
          <w:rFonts w:asciiTheme="minorHAnsi" w:hAnsiTheme="minorHAnsi" w:cstheme="minorHAnsi"/>
          <w:lang w:val="en-US"/>
        </w:rPr>
      </w:pPr>
      <w:r w:rsidRPr="00921025">
        <w:rPr>
          <w:rFonts w:asciiTheme="minorHAnsi" w:hAnsiTheme="minorHAnsi" w:cstheme="minorHAnsi"/>
        </w:rPr>
        <w:t>The choice of the reportedly early Christian credal hymn to reveal the God who empties himself for the sake of mankind’s salvation is appropriate as a challenge to what he knows is Nestorius’ erroneous view.</w:t>
      </w:r>
      <w:r w:rsidRPr="00921025">
        <w:rPr>
          <w:rStyle w:val="FootnoteReference"/>
          <w:rFonts w:asciiTheme="minorHAnsi" w:hAnsiTheme="minorHAnsi" w:cstheme="minorHAnsi"/>
        </w:rPr>
        <w:footnoteReference w:id="36"/>
      </w:r>
      <w:r w:rsidRPr="00921025">
        <w:rPr>
          <w:rFonts w:asciiTheme="minorHAnsi" w:hAnsiTheme="minorHAnsi" w:cstheme="minorHAnsi"/>
        </w:rPr>
        <w:t xml:space="preserve"> Its frequency of mention shows the importance Cyril places on this scripture. Cyril does not mention </w:t>
      </w:r>
      <w:r w:rsidRPr="00921025">
        <w:rPr>
          <w:rFonts w:asciiTheme="minorHAnsi" w:hAnsiTheme="minorHAnsi" w:cstheme="minorHAnsi"/>
          <w:i/>
          <w:iCs/>
        </w:rPr>
        <w:t>what</w:t>
      </w:r>
      <w:r w:rsidRPr="00921025">
        <w:rPr>
          <w:rFonts w:asciiTheme="minorHAnsi" w:hAnsiTheme="minorHAnsi" w:cstheme="minorHAnsi"/>
        </w:rPr>
        <w:t xml:space="preserve"> was emptied from Christ’s divinity apart from retaining his sinlessness, but extensively unravels Christ’s resultant remaining human characteristics. It is clear that, as Frances Young states, ‘[w]</w:t>
      </w:r>
      <w:proofErr w:type="spellStart"/>
      <w:r w:rsidRPr="00921025">
        <w:rPr>
          <w:rFonts w:asciiTheme="minorHAnsi" w:hAnsiTheme="minorHAnsi" w:cstheme="minorHAnsi"/>
          <w:lang w:val="en-US"/>
        </w:rPr>
        <w:t>illing</w:t>
      </w:r>
      <w:proofErr w:type="spellEnd"/>
      <w:r w:rsidRPr="00921025">
        <w:rPr>
          <w:rFonts w:asciiTheme="minorHAnsi" w:hAnsiTheme="minorHAnsi" w:cstheme="minorHAnsi"/>
          <w:lang w:val="en-US"/>
        </w:rPr>
        <w:t xml:space="preserve"> submission to God is the converse of that </w:t>
      </w:r>
      <w:r w:rsidRPr="00921025">
        <w:rPr>
          <w:rFonts w:asciiTheme="minorHAnsi" w:hAnsiTheme="minorHAnsi" w:cstheme="minorHAnsi"/>
          <w:i/>
          <w:lang w:val="en-US"/>
        </w:rPr>
        <w:t>hybris</w:t>
      </w:r>
      <w:r w:rsidRPr="00921025">
        <w:rPr>
          <w:rFonts w:asciiTheme="minorHAnsi" w:hAnsiTheme="minorHAnsi" w:cstheme="minorHAnsi"/>
          <w:lang w:val="en-US"/>
        </w:rPr>
        <w:t xml:space="preserve"> which brought about the Fall, and is supremely played out in the </w:t>
      </w:r>
      <w:r w:rsidRPr="00921025">
        <w:rPr>
          <w:rFonts w:asciiTheme="minorHAnsi" w:hAnsiTheme="minorHAnsi" w:cstheme="minorHAnsi"/>
          <w:i/>
          <w:lang w:val="en-US"/>
        </w:rPr>
        <w:t>kenosis</w:t>
      </w:r>
      <w:r w:rsidRPr="00921025">
        <w:rPr>
          <w:rFonts w:asciiTheme="minorHAnsi" w:hAnsiTheme="minorHAnsi" w:cstheme="minorHAnsi"/>
          <w:lang w:val="en-US"/>
        </w:rPr>
        <w:t xml:space="preserve"> whereby the Word was made human that we might be made divine’.</w:t>
      </w:r>
      <w:r w:rsidRPr="00921025">
        <w:rPr>
          <w:rStyle w:val="FootnoteReference"/>
          <w:rFonts w:asciiTheme="minorHAnsi" w:hAnsiTheme="minorHAnsi" w:cstheme="minorHAnsi"/>
          <w:lang w:val="en-US"/>
        </w:rPr>
        <w:footnoteReference w:id="37"/>
      </w:r>
    </w:p>
    <w:p w14:paraId="44DA0F77"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 xml:space="preserve">Adoption of all the attributes of humanity whilst retaining his divine nature reveals the crucial importance of the Word-made-Flesh’s self-emptying: voluntarily ‘becoming a curse’ </w:t>
      </w:r>
      <w:r w:rsidRPr="00921025">
        <w:rPr>
          <w:rFonts w:asciiTheme="minorHAnsi" w:hAnsiTheme="minorHAnsi" w:cstheme="minorHAnsi"/>
        </w:rPr>
        <w:lastRenderedPageBreak/>
        <w:t>though sinless and in obedience to his Father, experiencing all human experiences, wants and emotions, including vilification and death which could be achieved only through ‘birth like our own’.</w:t>
      </w:r>
      <w:r w:rsidRPr="00921025">
        <w:rPr>
          <w:rStyle w:val="FootnoteReference"/>
          <w:rFonts w:asciiTheme="minorHAnsi" w:hAnsiTheme="minorHAnsi" w:cstheme="minorHAnsi"/>
        </w:rPr>
        <w:footnoteReference w:id="38"/>
      </w:r>
      <w:r w:rsidRPr="00921025">
        <w:rPr>
          <w:rFonts w:asciiTheme="minorHAnsi" w:hAnsiTheme="minorHAnsi" w:cstheme="minorHAnsi"/>
        </w:rPr>
        <w:t xml:space="preserve"> Self-emptying is voluntarily self-limiting, precisely for him to undergo suffering and death on the cross, the essential act for securing man’s redemption and salvation. Otherwise, it would have no value for humanity. </w:t>
      </w:r>
    </w:p>
    <w:p w14:paraId="7C902703"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First, for Cyril, self-emptying focuses attention on salvation which comes uniquely through Christ’s actions. Developing the Adamic theme, Christ is, according to Cyril, both agent and recipient of salvation, Christ as the second Adam encompassing the new humanity, sanctified by the Spirit, bodily and spiritually incorruptible and seated at God’s right hand.</w:t>
      </w:r>
      <w:r w:rsidRPr="00921025">
        <w:rPr>
          <w:rStyle w:val="FootnoteReference"/>
          <w:rFonts w:asciiTheme="minorHAnsi" w:hAnsiTheme="minorHAnsi" w:cstheme="minorHAnsi"/>
        </w:rPr>
        <w:footnoteReference w:id="39"/>
      </w:r>
    </w:p>
    <w:p w14:paraId="413595AD"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Secondly, the title Christ is appropriate precisely because his self-emptying retains the singularity and union of one Christ, One Son and Lord by the very nature of his birth.</w:t>
      </w:r>
      <w:r w:rsidRPr="00921025">
        <w:rPr>
          <w:rStyle w:val="FootnoteReference"/>
          <w:rFonts w:asciiTheme="minorHAnsi" w:hAnsiTheme="minorHAnsi" w:cstheme="minorHAnsi"/>
        </w:rPr>
        <w:footnoteReference w:id="40"/>
      </w:r>
      <w:r w:rsidRPr="00921025">
        <w:rPr>
          <w:rFonts w:asciiTheme="minorHAnsi" w:hAnsiTheme="minorHAnsi" w:cstheme="minorHAnsi"/>
        </w:rPr>
        <w:t xml:space="preserve"> In this way, as God’s true son, he </w:t>
      </w:r>
      <w:r w:rsidRPr="00921025">
        <w:rPr>
          <w:rFonts w:asciiTheme="minorHAnsi" w:hAnsiTheme="minorHAnsi" w:cstheme="minorHAnsi"/>
          <w:i/>
          <w:iCs/>
        </w:rPr>
        <w:t xml:space="preserve">gave </w:t>
      </w:r>
      <w:r w:rsidRPr="00921025">
        <w:rPr>
          <w:rFonts w:asciiTheme="minorHAnsi" w:hAnsiTheme="minorHAnsi" w:cstheme="minorHAnsi"/>
        </w:rPr>
        <w:t>his Father to all who ‘received’ him including the right to become children of God.</w:t>
      </w:r>
      <w:r w:rsidRPr="00921025">
        <w:rPr>
          <w:rStyle w:val="FootnoteReference"/>
          <w:rFonts w:asciiTheme="minorHAnsi" w:hAnsiTheme="minorHAnsi" w:cstheme="minorHAnsi"/>
        </w:rPr>
        <w:footnoteReference w:id="41"/>
      </w:r>
      <w:r w:rsidRPr="00921025">
        <w:rPr>
          <w:rFonts w:asciiTheme="minorHAnsi" w:hAnsiTheme="minorHAnsi" w:cstheme="minorHAnsi"/>
        </w:rPr>
        <w:t xml:space="preserve"> Conversely, crucially maintaining separation between Christ’s divine and human natures, Nestorius claims that God’s Word did not require a second birth, only ‘conjoining’ the one born of the virgin.</w:t>
      </w:r>
      <w:r w:rsidRPr="00921025">
        <w:rPr>
          <w:rStyle w:val="FootnoteReference"/>
          <w:rFonts w:asciiTheme="minorHAnsi" w:hAnsiTheme="minorHAnsi" w:cstheme="minorHAnsi"/>
        </w:rPr>
        <w:footnoteReference w:id="42"/>
      </w:r>
      <w:r w:rsidRPr="00921025">
        <w:rPr>
          <w:rFonts w:asciiTheme="minorHAnsi" w:hAnsiTheme="minorHAnsi" w:cstheme="minorHAnsi"/>
        </w:rPr>
        <w:t xml:space="preserve"> </w:t>
      </w:r>
    </w:p>
    <w:p w14:paraId="3FBBE3CA" w14:textId="77777777" w:rsidR="00921025" w:rsidRPr="00921025" w:rsidRDefault="00921025" w:rsidP="008C59B3">
      <w:pPr>
        <w:tabs>
          <w:tab w:val="left" w:pos="426"/>
        </w:tabs>
        <w:spacing w:line="480" w:lineRule="auto"/>
        <w:ind w:firstLine="426"/>
        <w:rPr>
          <w:rFonts w:asciiTheme="minorHAnsi" w:hAnsiTheme="minorHAnsi" w:cstheme="minorHAnsi"/>
        </w:rPr>
      </w:pPr>
      <w:r w:rsidRPr="00921025">
        <w:rPr>
          <w:rFonts w:asciiTheme="minorHAnsi" w:hAnsiTheme="minorHAnsi" w:cstheme="minorHAnsi"/>
        </w:rPr>
        <w:t xml:space="preserve">Thirdly, Christ’s voluntary enslavement to </w:t>
      </w:r>
      <w:r w:rsidRPr="00921025">
        <w:rPr>
          <w:rFonts w:asciiTheme="minorHAnsi" w:hAnsiTheme="minorHAnsi" w:cstheme="minorHAnsi"/>
          <w:i/>
          <w:iCs/>
        </w:rPr>
        <w:t>all</w:t>
      </w:r>
      <w:r w:rsidRPr="00921025">
        <w:rPr>
          <w:rFonts w:asciiTheme="minorHAnsi" w:hAnsiTheme="minorHAnsi" w:cstheme="minorHAnsi"/>
        </w:rPr>
        <w:t xml:space="preserve"> human characteristics was the unique way that he could be ‘illumined from his own glory’ and effect mankind’s salvation in the curse and shame of the cross, so as to become sons of God, with his Father as ‘our’ Father also. </w:t>
      </w:r>
      <w:r w:rsidRPr="00921025">
        <w:rPr>
          <w:rFonts w:asciiTheme="minorHAnsi" w:hAnsiTheme="minorHAnsi" w:cstheme="minorHAnsi"/>
        </w:rPr>
        <w:lastRenderedPageBreak/>
        <w:t>This is inherent in accepting him as ‘God-made-man’</w:t>
      </w:r>
      <w:r w:rsidRPr="00921025">
        <w:rPr>
          <w:rStyle w:val="FootnoteReference"/>
          <w:rFonts w:asciiTheme="minorHAnsi" w:hAnsiTheme="minorHAnsi" w:cstheme="minorHAnsi"/>
        </w:rPr>
        <w:footnoteReference w:id="43"/>
      </w:r>
      <w:r w:rsidRPr="00921025">
        <w:rPr>
          <w:rFonts w:asciiTheme="minorHAnsi" w:hAnsiTheme="minorHAnsi" w:cstheme="minorHAnsi"/>
        </w:rPr>
        <w:t>, and not as a ‘God-clad man’.</w:t>
      </w:r>
      <w:r w:rsidRPr="00921025">
        <w:rPr>
          <w:rStyle w:val="FootnoteReference"/>
          <w:rFonts w:asciiTheme="minorHAnsi" w:hAnsiTheme="minorHAnsi" w:cstheme="minorHAnsi"/>
        </w:rPr>
        <w:footnoteReference w:id="44"/>
      </w:r>
      <w:r w:rsidRPr="00921025">
        <w:rPr>
          <w:rFonts w:asciiTheme="minorHAnsi" w:hAnsiTheme="minorHAnsi" w:cstheme="minorHAnsi"/>
        </w:rPr>
        <w:t xml:space="preserve"> Christ’s enslavement in his </w:t>
      </w:r>
      <w:proofErr w:type="spellStart"/>
      <w:r w:rsidRPr="00921025">
        <w:rPr>
          <w:rFonts w:asciiTheme="minorHAnsi" w:hAnsiTheme="minorHAnsi" w:cstheme="minorHAnsi"/>
        </w:rPr>
        <w:t>enfleshed</w:t>
      </w:r>
      <w:proofErr w:type="spellEnd"/>
      <w:r w:rsidRPr="00921025">
        <w:rPr>
          <w:rFonts w:asciiTheme="minorHAnsi" w:hAnsiTheme="minorHAnsi" w:cstheme="minorHAnsi"/>
        </w:rPr>
        <w:t xml:space="preserve"> state yet being above all creation, states Cyril, enables Christ to submit economically to the limitations of manhood and subsequently openly ask his Father to glorify him ‘with that glory I had with you before the world was’.</w:t>
      </w:r>
      <w:r w:rsidRPr="00921025">
        <w:rPr>
          <w:rStyle w:val="FootnoteReference"/>
          <w:rFonts w:asciiTheme="minorHAnsi" w:hAnsiTheme="minorHAnsi" w:cstheme="minorHAnsi"/>
        </w:rPr>
        <w:footnoteReference w:id="45"/>
      </w:r>
      <w:r w:rsidRPr="00921025">
        <w:rPr>
          <w:rFonts w:asciiTheme="minorHAnsi" w:hAnsiTheme="minorHAnsi" w:cstheme="minorHAnsi"/>
        </w:rPr>
        <w:t xml:space="preserve"> This would not conform to Nestorius’ ‘one of the line of David’, a human born in recent times, not predating the world and not God’s true Son. Nestorius’ argument goes further: it was to the one with the title ‘Jesus’, which </w:t>
      </w:r>
      <w:r w:rsidRPr="00921025">
        <w:rPr>
          <w:rFonts w:asciiTheme="minorHAnsi" w:hAnsiTheme="minorHAnsi" w:cstheme="minorHAnsi"/>
          <w:i/>
          <w:iCs/>
        </w:rPr>
        <w:t>God</w:t>
      </w:r>
      <w:r w:rsidRPr="00921025">
        <w:rPr>
          <w:rFonts w:asciiTheme="minorHAnsi" w:hAnsiTheme="minorHAnsi" w:cstheme="minorHAnsi"/>
        </w:rPr>
        <w:t xml:space="preserve"> gave him’ that every knee should bend, otherwise he would be receiving what he already was, which Cyril refutes, repeating once more the results of Christ’s self-emptying.</w:t>
      </w:r>
      <w:r w:rsidRPr="00921025">
        <w:rPr>
          <w:rStyle w:val="FootnoteReference"/>
          <w:rFonts w:asciiTheme="minorHAnsi" w:hAnsiTheme="minorHAnsi" w:cstheme="minorHAnsi"/>
        </w:rPr>
        <w:footnoteReference w:id="46"/>
      </w:r>
      <w:r w:rsidRPr="00921025">
        <w:rPr>
          <w:rFonts w:asciiTheme="minorHAnsi" w:hAnsiTheme="minorHAnsi" w:cstheme="minorHAnsi"/>
        </w:rPr>
        <w:t xml:space="preserve"> </w:t>
      </w:r>
    </w:p>
    <w:p w14:paraId="261EA356" w14:textId="77777777" w:rsidR="00921025" w:rsidRPr="00921025" w:rsidRDefault="00921025" w:rsidP="008C59B3">
      <w:pPr>
        <w:tabs>
          <w:tab w:val="left" w:pos="426"/>
        </w:tabs>
        <w:spacing w:line="480" w:lineRule="auto"/>
        <w:ind w:firstLine="426"/>
        <w:rPr>
          <w:rFonts w:asciiTheme="minorHAnsi" w:hAnsiTheme="minorHAnsi" w:cstheme="minorHAnsi"/>
        </w:rPr>
      </w:pPr>
      <w:r w:rsidRPr="00921025">
        <w:rPr>
          <w:rFonts w:asciiTheme="minorHAnsi" w:hAnsiTheme="minorHAnsi" w:cstheme="minorHAnsi"/>
        </w:rPr>
        <w:t>Fourthly, self-emptying permeates all areas of Cyril’s Christology and soteriology which Paul elaborates poetically what this entails to the Colossians (Col 1:15-18): the invisible, intangible becoming visible and tangible, his timelessness, divine authority, power and resurrection as the first-born of the dead. Peter adds his insights referencing the sacrificial death of Jesus ‘</w:t>
      </w:r>
      <w:r w:rsidRPr="00921025">
        <w:rPr>
          <w:rFonts w:asciiTheme="minorHAnsi" w:hAnsiTheme="minorHAnsi" w:cstheme="minorHAnsi"/>
          <w:lang w:val="en-US"/>
        </w:rPr>
        <w:t>on behalf of our sins, the righteous for the unrighteous, that he might lead us to God. Put to death in the flesh, he was made alive in the spirit</w:t>
      </w:r>
      <w:r w:rsidRPr="00921025">
        <w:rPr>
          <w:rStyle w:val="HeaderChar"/>
          <w:rFonts w:asciiTheme="minorHAnsi" w:hAnsiTheme="minorHAnsi" w:cstheme="minorHAnsi"/>
        </w:rPr>
        <w:t>’.</w:t>
      </w:r>
      <w:r w:rsidRPr="00921025">
        <w:rPr>
          <w:rStyle w:val="FootnoteReference"/>
          <w:rFonts w:asciiTheme="minorHAnsi" w:hAnsiTheme="minorHAnsi" w:cstheme="minorHAnsi"/>
        </w:rPr>
        <w:footnoteReference w:id="47"/>
      </w:r>
      <w:r w:rsidRPr="00921025">
        <w:rPr>
          <w:rFonts w:asciiTheme="minorHAnsi" w:hAnsiTheme="minorHAnsi" w:cstheme="minorHAnsi"/>
        </w:rPr>
        <w:t xml:space="preserve"> It introduces a fresh dimension: Nestorius’ spurious addition of ‘recent’ to his interpretation of ‘present time’. Cyril’s refutation asserts Christ’s presence and equality of relationship within the eternal timelessness of the Triune God. For Nestorius’ weakness of logic about the apparent timelessness of ‘one of the line of David reveals a blatant misinterpretation of the eternal nature of the Unbegotten One of God.</w:t>
      </w:r>
      <w:r w:rsidRPr="00921025">
        <w:rPr>
          <w:rStyle w:val="FootnoteReference"/>
          <w:rFonts w:asciiTheme="minorHAnsi" w:hAnsiTheme="minorHAnsi" w:cstheme="minorHAnsi"/>
        </w:rPr>
        <w:footnoteReference w:id="48"/>
      </w:r>
      <w:r w:rsidRPr="00921025">
        <w:rPr>
          <w:rFonts w:asciiTheme="minorHAnsi" w:hAnsiTheme="minorHAnsi" w:cstheme="minorHAnsi"/>
          <w:noProof/>
        </w:rPr>
        <w:t xml:space="preserve"> </w:t>
      </w:r>
      <w:r w:rsidRPr="00921025">
        <w:rPr>
          <w:rFonts w:asciiTheme="minorHAnsi" w:hAnsiTheme="minorHAnsi" w:cstheme="minorHAnsi"/>
        </w:rPr>
        <w:t xml:space="preserve">The introduction of this fresh concept ‘recent’ flies </w:t>
      </w:r>
      <w:r w:rsidRPr="00921025">
        <w:rPr>
          <w:rFonts w:asciiTheme="minorHAnsi" w:hAnsiTheme="minorHAnsi" w:cstheme="minorHAnsi"/>
        </w:rPr>
        <w:lastRenderedPageBreak/>
        <w:t>in the face of Hebrews 13:8 (misinterpreted here by Nestorius), Paul’s emphasis that Christ wished to be made known to mankind in his undivided state</w:t>
      </w:r>
      <w:r w:rsidRPr="00921025">
        <w:rPr>
          <w:rStyle w:val="FootnoteReference"/>
          <w:rFonts w:asciiTheme="minorHAnsi" w:hAnsiTheme="minorHAnsi" w:cstheme="minorHAnsi"/>
        </w:rPr>
        <w:footnoteReference w:id="49"/>
      </w:r>
      <w:r w:rsidRPr="00921025">
        <w:rPr>
          <w:rFonts w:asciiTheme="minorHAnsi" w:hAnsiTheme="minorHAnsi" w:cstheme="minorHAnsi"/>
        </w:rPr>
        <w:t xml:space="preserve"> and Jesus’ own words, ‘</w:t>
      </w:r>
      <w:r w:rsidRPr="00921025">
        <w:rPr>
          <w:rFonts w:asciiTheme="minorHAnsi" w:hAnsiTheme="minorHAnsi" w:cstheme="minorHAnsi"/>
          <w:lang w:val="en-US"/>
        </w:rPr>
        <w:t>Amen I say to you, before Abraham came into being I am’ (Jn 8:58) and John 3:12-13.</w:t>
      </w:r>
    </w:p>
    <w:p w14:paraId="006CE3C0" w14:textId="77777777" w:rsidR="00921025" w:rsidRPr="00921025" w:rsidRDefault="00921025" w:rsidP="008C59B3">
      <w:pPr>
        <w:tabs>
          <w:tab w:val="left" w:pos="426"/>
        </w:tabs>
        <w:spacing w:line="480" w:lineRule="auto"/>
        <w:ind w:firstLine="426"/>
        <w:rPr>
          <w:rFonts w:asciiTheme="minorHAnsi" w:hAnsiTheme="minorHAnsi" w:cstheme="minorHAnsi"/>
        </w:rPr>
      </w:pPr>
      <w:r w:rsidRPr="00921025">
        <w:rPr>
          <w:rFonts w:asciiTheme="minorHAnsi" w:hAnsiTheme="minorHAnsi" w:cstheme="minorHAnsi"/>
        </w:rPr>
        <w:t>Finally, in the union of divine and human brought about by the Word-made-Flesh, it is the same Son who becomes life itself and the giver of life through being the ‘living bread’ (Jn 6:51-53). Nestorius’ insistence on attributing this salvific eucharistic life-giving gift of his body and blood to ‘the man assumed’ by God the Word, implies, states Cyril, man’s salvation was in the gift of ‘one of our own number’, not the divine God. The reality is that only God can ‘introduce the life-giving power and energy of his own self into his very own flesh’ through his self-emptying at Incarnation, united ‘</w:t>
      </w:r>
      <w:proofErr w:type="spellStart"/>
      <w:r w:rsidRPr="00921025">
        <w:rPr>
          <w:rFonts w:asciiTheme="minorHAnsi" w:hAnsiTheme="minorHAnsi" w:cstheme="minorHAnsi"/>
        </w:rPr>
        <w:t>unconfusedly</w:t>
      </w:r>
      <w:proofErr w:type="spellEnd"/>
      <w:r w:rsidRPr="00921025">
        <w:rPr>
          <w:rFonts w:asciiTheme="minorHAnsi" w:hAnsiTheme="minorHAnsi" w:cstheme="minorHAnsi"/>
        </w:rPr>
        <w:t xml:space="preserve"> and unchangeably’ within the mystery of divine salvation.</w:t>
      </w:r>
      <w:r w:rsidRPr="00921025">
        <w:rPr>
          <w:rStyle w:val="FootnoteReference"/>
          <w:rFonts w:asciiTheme="minorHAnsi" w:hAnsiTheme="minorHAnsi" w:cstheme="minorHAnsi"/>
        </w:rPr>
        <w:footnoteReference w:id="50"/>
      </w:r>
    </w:p>
    <w:p w14:paraId="6C69F77E" w14:textId="77777777" w:rsidR="00921025" w:rsidRDefault="00921025" w:rsidP="008C59B3">
      <w:pPr>
        <w:tabs>
          <w:tab w:val="left" w:pos="426"/>
        </w:tabs>
        <w:spacing w:line="480" w:lineRule="auto"/>
        <w:ind w:firstLine="426"/>
        <w:rPr>
          <w:rFonts w:asciiTheme="minorHAnsi" w:hAnsiTheme="minorHAnsi" w:cstheme="minorHAnsi"/>
          <w:lang w:val="en-US"/>
        </w:rPr>
      </w:pPr>
      <w:r w:rsidRPr="00921025">
        <w:rPr>
          <w:rFonts w:asciiTheme="minorHAnsi" w:hAnsiTheme="minorHAnsi" w:cstheme="minorHAnsi"/>
        </w:rPr>
        <w:t>Even early in QUSC, Nestorius is challenged to justify the key impact of Christ’s self-emptying in a series of staccato questions: ‘</w:t>
      </w:r>
      <w:r w:rsidRPr="00921025">
        <w:rPr>
          <w:rFonts w:asciiTheme="minorHAnsi" w:hAnsiTheme="minorHAnsi" w:cstheme="minorHAnsi"/>
          <w:lang w:val="en-US"/>
        </w:rPr>
        <w:t>Did the Word not become flesh? Has he not been called The Son of Man? Did he not assume the form of a slave? Did he not empty himself, coming in the likeness of men and being found in fashion as a man?’</w:t>
      </w:r>
      <w:r w:rsidRPr="00921025">
        <w:rPr>
          <w:rStyle w:val="FootnoteReference"/>
          <w:rFonts w:asciiTheme="minorHAnsi" w:hAnsiTheme="minorHAnsi" w:cstheme="minorHAnsi"/>
        </w:rPr>
        <w:footnoteReference w:id="51"/>
      </w:r>
      <w:r w:rsidRPr="00921025">
        <w:rPr>
          <w:rFonts w:asciiTheme="minorHAnsi" w:hAnsiTheme="minorHAnsi" w:cstheme="minorHAnsi"/>
          <w:lang w:val="en-US"/>
        </w:rPr>
        <w:t xml:space="preserve"> Cyril’s damning and conclusive retort references Paul: the incarnate Word-Flesh had a soteriological purpose through which he ‘refashioned’ humanity into its pristine state, making all things new.</w:t>
      </w:r>
      <w:r w:rsidRPr="00921025">
        <w:rPr>
          <w:rStyle w:val="FootnoteReference"/>
          <w:rFonts w:asciiTheme="minorHAnsi" w:hAnsiTheme="minorHAnsi" w:cstheme="minorHAnsi"/>
        </w:rPr>
        <w:footnoteReference w:id="52"/>
      </w:r>
      <w:r w:rsidRPr="00921025">
        <w:rPr>
          <w:rFonts w:asciiTheme="minorHAnsi" w:hAnsiTheme="minorHAnsi" w:cstheme="minorHAnsi"/>
          <w:lang w:val="en-US"/>
        </w:rPr>
        <w:t xml:space="preserve"> The effects of ‘refashioning’ are experienced tangible and spiritually in the Living Bread of the Eucharist.</w:t>
      </w:r>
    </w:p>
    <w:p w14:paraId="2CA3A5FF" w14:textId="77777777" w:rsidR="00D671B2" w:rsidRDefault="00D671B2" w:rsidP="008C59B3">
      <w:pPr>
        <w:tabs>
          <w:tab w:val="left" w:pos="426"/>
        </w:tabs>
        <w:spacing w:line="480" w:lineRule="auto"/>
        <w:ind w:firstLine="426"/>
        <w:rPr>
          <w:rFonts w:asciiTheme="minorHAnsi" w:hAnsiTheme="minorHAnsi" w:cstheme="minorHAnsi"/>
          <w:lang w:val="en-US"/>
        </w:rPr>
      </w:pPr>
    </w:p>
    <w:p w14:paraId="70709311" w14:textId="1A85AF92" w:rsidR="00BC6428" w:rsidRPr="00282B53" w:rsidRDefault="00282B53" w:rsidP="008C59B3">
      <w:pPr>
        <w:pStyle w:val="Heading2"/>
        <w:spacing w:before="0" w:line="480" w:lineRule="auto"/>
        <w:rPr>
          <w:rFonts w:asciiTheme="minorHAnsi" w:hAnsiTheme="minorHAnsi" w:cstheme="minorHAnsi"/>
          <w:b/>
          <w:bCs/>
          <w:color w:val="auto"/>
          <w:sz w:val="24"/>
          <w:szCs w:val="24"/>
          <w:lang w:val="en-US"/>
        </w:rPr>
      </w:pPr>
      <w:bookmarkStart w:id="17" w:name="_Toc163217584"/>
      <w:bookmarkStart w:id="18" w:name="_Toc163223621"/>
      <w:r w:rsidRPr="00282B53">
        <w:rPr>
          <w:rFonts w:asciiTheme="minorHAnsi" w:hAnsiTheme="minorHAnsi" w:cstheme="minorHAnsi"/>
          <w:b/>
          <w:bCs/>
          <w:color w:val="auto"/>
          <w:sz w:val="24"/>
          <w:szCs w:val="24"/>
          <w:lang w:val="en-US"/>
        </w:rPr>
        <w:lastRenderedPageBreak/>
        <w:t>The Eucharist</w:t>
      </w:r>
      <w:bookmarkEnd w:id="17"/>
      <w:bookmarkEnd w:id="18"/>
    </w:p>
    <w:p w14:paraId="31622C5B" w14:textId="77777777" w:rsidR="00921025" w:rsidRP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 xml:space="preserve">Although Cyril does not refer specifically to the Eucharist, it underlies his whole soteriological arguments </w:t>
      </w:r>
      <w:r w:rsidRPr="00921025">
        <w:rPr>
          <w:rFonts w:asciiTheme="minorHAnsi" w:hAnsiTheme="minorHAnsi" w:cstheme="minorHAnsi"/>
          <w:i/>
          <w:iCs/>
        </w:rPr>
        <w:t xml:space="preserve">ab initio, </w:t>
      </w:r>
      <w:r w:rsidRPr="00921025">
        <w:rPr>
          <w:rFonts w:asciiTheme="minorHAnsi" w:hAnsiTheme="minorHAnsi" w:cstheme="minorHAnsi"/>
        </w:rPr>
        <w:t xml:space="preserve">circumscribing Christ’s Incarnation, the necessity of Mary’s role as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xml:space="preserve"> and Christ’s self-emptying with addressing Nestorius’ difficulties in a short but key reference to Nestorius’ concerns over the body and blood of Christ. Cyril has already begun this train of thought, arguing that, as the ‘blood of the spotless lamb without blemish’ on our behalf becomes a ‘sweet-smelling offering to God the Father’ (1 Cor 6:20; 1 Pet 1:18-19), so also mankind is enabled to pass through the veil of the Temple, previously only accessible to the High Priest, opening up ‘a new and living way’ (</w:t>
      </w:r>
      <w:proofErr w:type="spellStart"/>
      <w:r w:rsidRPr="00921025">
        <w:rPr>
          <w:rFonts w:asciiTheme="minorHAnsi" w:hAnsiTheme="minorHAnsi" w:cstheme="minorHAnsi"/>
        </w:rPr>
        <w:t>Heb</w:t>
      </w:r>
      <w:proofErr w:type="spellEnd"/>
      <w:r w:rsidRPr="00921025">
        <w:rPr>
          <w:rFonts w:asciiTheme="minorHAnsi" w:hAnsiTheme="minorHAnsi" w:cstheme="minorHAnsi"/>
        </w:rPr>
        <w:t xml:space="preserve"> 10:19-20). This is the experience, as Cyril argues, within the sacrament of the Eucharist. For, towards the end of his treatise, Cyril addresses Nestorius’ difficulties with understanding how the union of </w:t>
      </w:r>
      <w:proofErr w:type="spellStart"/>
      <w:r w:rsidRPr="00921025">
        <w:rPr>
          <w:rFonts w:asciiTheme="minorHAnsi" w:hAnsiTheme="minorHAnsi" w:cstheme="minorHAnsi"/>
          <w:i/>
          <w:iCs/>
          <w:lang w:val="el-GR"/>
        </w:rPr>
        <w:t>φυσεις</w:t>
      </w:r>
      <w:proofErr w:type="spellEnd"/>
      <w:r w:rsidRPr="00921025">
        <w:rPr>
          <w:rFonts w:asciiTheme="minorHAnsi" w:hAnsiTheme="minorHAnsi" w:cstheme="minorHAnsi"/>
        </w:rPr>
        <w:t xml:space="preserve"> resulting from the Word-made-Flesh can suffer but not suffer at the same time.</w:t>
      </w:r>
      <w:r w:rsidRPr="00921025">
        <w:rPr>
          <w:rStyle w:val="FootnoteReference"/>
          <w:rFonts w:asciiTheme="minorHAnsi" w:hAnsiTheme="minorHAnsi" w:cstheme="minorHAnsi"/>
        </w:rPr>
        <w:footnoteReference w:id="53"/>
      </w:r>
      <w:r w:rsidRPr="00921025">
        <w:rPr>
          <w:rFonts w:asciiTheme="minorHAnsi" w:hAnsiTheme="minorHAnsi" w:cstheme="minorHAnsi"/>
        </w:rPr>
        <w:t xml:space="preserve"> Cyril compares the Son suffering in the flesh, whilst not in the Godhead as analogous to the fashioning of iron heated in fire absorbing the heat, yet the fire remaining unaffected. So it is with the life-giving nature of the ‘very flesh of the Word’ within the living bread coming down from heaven which gives life to the world (Jn 6:33, 51). Cyril has already expounded his understanding in his commentaries on John, where he speaks of the bread and wine of the Passover meal:</w:t>
      </w:r>
    </w:p>
    <w:p w14:paraId="1E4C7BE6" w14:textId="77777777" w:rsidR="00921025" w:rsidRPr="00921025" w:rsidRDefault="00921025" w:rsidP="008C59B3">
      <w:pPr>
        <w:spacing w:line="480" w:lineRule="auto"/>
        <w:ind w:left="720" w:hanging="11"/>
        <w:rPr>
          <w:rFonts w:asciiTheme="minorHAnsi" w:hAnsiTheme="minorHAnsi" w:cstheme="minorHAnsi"/>
        </w:rPr>
      </w:pPr>
      <w:r w:rsidRPr="00921025">
        <w:rPr>
          <w:rFonts w:asciiTheme="minorHAnsi" w:eastAsia="Times New Roman" w:hAnsiTheme="minorHAnsi" w:cstheme="minorHAnsi"/>
          <w:color w:val="333333"/>
          <w:lang w:eastAsia="en-GB"/>
        </w:rPr>
        <w:t xml:space="preserve">And since the Flesh of the Saviour hath become life-giving (as being united to That which is by Nature Life, the Word from God), when we taste It, then have we life in ourselves, we too united to It, as It to the indwelling Word…And if by the touch alone of His Holy Flesh, He giveth life to that which is decayed, how shall we not </w:t>
      </w:r>
      <w:r w:rsidRPr="00921025">
        <w:rPr>
          <w:rFonts w:asciiTheme="minorHAnsi" w:eastAsia="Times New Roman" w:hAnsiTheme="minorHAnsi" w:cstheme="minorHAnsi"/>
          <w:color w:val="333333"/>
          <w:lang w:eastAsia="en-GB"/>
        </w:rPr>
        <w:lastRenderedPageBreak/>
        <w:t xml:space="preserve">profit yet more richly by the life-giving Blessing when we also taste It? For It will surely transform into Its own good, </w:t>
      </w:r>
      <w:proofErr w:type="spellStart"/>
      <w:r w:rsidRPr="00921025">
        <w:rPr>
          <w:rFonts w:asciiTheme="minorHAnsi" w:eastAsia="Times New Roman" w:hAnsiTheme="minorHAnsi" w:cstheme="minorHAnsi"/>
          <w:color w:val="333333"/>
          <w:lang w:eastAsia="en-GB"/>
        </w:rPr>
        <w:t>i</w:t>
      </w:r>
      <w:proofErr w:type="spellEnd"/>
      <w:r w:rsidRPr="00921025">
        <w:rPr>
          <w:rFonts w:asciiTheme="minorHAnsi" w:eastAsia="Times New Roman" w:hAnsiTheme="minorHAnsi" w:cstheme="minorHAnsi"/>
          <w:color w:val="333333"/>
          <w:lang w:eastAsia="en-GB"/>
        </w:rPr>
        <w:t>. e., immortality, those who partake of It.</w:t>
      </w:r>
    </w:p>
    <w:p w14:paraId="7739DC0D" w14:textId="77777777" w:rsidR="00921025" w:rsidRPr="00921025" w:rsidRDefault="00921025" w:rsidP="008C59B3">
      <w:pPr>
        <w:spacing w:line="480" w:lineRule="auto"/>
        <w:rPr>
          <w:rFonts w:asciiTheme="minorHAnsi" w:hAnsiTheme="minorHAnsi" w:cstheme="minorHAnsi"/>
        </w:rPr>
      </w:pPr>
      <w:r w:rsidRPr="00921025">
        <w:rPr>
          <w:rFonts w:asciiTheme="minorHAnsi" w:hAnsiTheme="minorHAnsi" w:cstheme="minorHAnsi"/>
        </w:rPr>
        <w:t>And later:</w:t>
      </w:r>
    </w:p>
    <w:p w14:paraId="01BBD317" w14:textId="77777777" w:rsidR="00921025" w:rsidRPr="00921025" w:rsidRDefault="00921025" w:rsidP="008C59B3">
      <w:pPr>
        <w:spacing w:line="480" w:lineRule="auto"/>
        <w:ind w:left="720" w:hanging="11"/>
        <w:rPr>
          <w:rFonts w:asciiTheme="minorHAnsi" w:hAnsiTheme="minorHAnsi" w:cstheme="minorHAnsi"/>
        </w:rPr>
      </w:pPr>
      <w:r w:rsidRPr="00921025">
        <w:rPr>
          <w:rFonts w:asciiTheme="minorHAnsi" w:eastAsia="Times New Roman" w:hAnsiTheme="minorHAnsi" w:cstheme="minorHAnsi"/>
          <w:color w:val="333333"/>
          <w:lang w:eastAsia="en-GB"/>
        </w:rPr>
        <w:t>For the Son dwells in us in a corporeal sense as Man, commingled and united with us by the mystery of the Eucharist; and also in a spiritual sense as God, by the effectual working and grace of His own Spirit, building up our spirit into newness of life, and making us partakers of His Divine Nature… For by receiving in ourselves, both in a corporeal and spiritual sense, as I said just now, Him that is the Son by Nature, and Who has essential union with the Father, we have been glorified and become partakers in the Nature of the Most High.</w:t>
      </w:r>
      <w:r w:rsidRPr="00921025">
        <w:rPr>
          <w:rStyle w:val="FootnoteReference"/>
          <w:rFonts w:asciiTheme="minorHAnsi" w:hAnsiTheme="minorHAnsi" w:cstheme="minorHAnsi"/>
        </w:rPr>
        <w:footnoteReference w:id="54"/>
      </w:r>
    </w:p>
    <w:p w14:paraId="1D9DD048" w14:textId="77777777" w:rsid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It is the hypostatic union which is essential to mankind’s salvation, which expresses itself, for Cyril, visibly, tangibly and internally in the Eucharist, for ‘a misconception of Christ is a misconception of Christ in the Eucharist, and this wrong idea is a tragedy that renders the Eucharist lifeless and our salvation undone’.</w:t>
      </w:r>
      <w:r w:rsidRPr="00921025">
        <w:rPr>
          <w:rStyle w:val="FootnoteReference"/>
          <w:rFonts w:asciiTheme="minorHAnsi" w:hAnsiTheme="minorHAnsi" w:cstheme="minorHAnsi"/>
        </w:rPr>
        <w:footnoteReference w:id="55"/>
      </w:r>
      <w:r w:rsidRPr="00921025">
        <w:rPr>
          <w:rFonts w:asciiTheme="minorHAnsi" w:hAnsiTheme="minorHAnsi" w:cstheme="minorHAnsi"/>
        </w:rPr>
        <w:t xml:space="preserve"> Nestorius claims that man’s salvation relies on the divine man </w:t>
      </w:r>
      <w:r w:rsidRPr="00921025">
        <w:rPr>
          <w:rFonts w:asciiTheme="minorHAnsi" w:hAnsiTheme="minorHAnsi" w:cstheme="minorHAnsi"/>
          <w:i/>
          <w:iCs/>
        </w:rPr>
        <w:t>giving</w:t>
      </w:r>
      <w:r w:rsidRPr="00921025">
        <w:rPr>
          <w:rFonts w:asciiTheme="minorHAnsi" w:hAnsiTheme="minorHAnsi" w:cstheme="minorHAnsi"/>
        </w:rPr>
        <w:t xml:space="preserve"> grace and the human man </w:t>
      </w:r>
      <w:r w:rsidRPr="00921025">
        <w:rPr>
          <w:rFonts w:asciiTheme="minorHAnsi" w:hAnsiTheme="minorHAnsi" w:cstheme="minorHAnsi"/>
          <w:i/>
          <w:iCs/>
        </w:rPr>
        <w:t>receiving</w:t>
      </w:r>
      <w:r w:rsidRPr="00921025">
        <w:rPr>
          <w:rFonts w:asciiTheme="minorHAnsi" w:hAnsiTheme="minorHAnsi" w:cstheme="minorHAnsi"/>
        </w:rPr>
        <w:t xml:space="preserve"> it; the human man dies on the cross through whom mankind’s salvation is achieved. It is </w:t>
      </w:r>
      <w:r w:rsidRPr="00921025">
        <w:rPr>
          <w:rFonts w:asciiTheme="minorHAnsi" w:hAnsiTheme="minorHAnsi" w:cstheme="minorHAnsi"/>
          <w:i/>
          <w:iCs/>
        </w:rPr>
        <w:t>his</w:t>
      </w:r>
      <w:r w:rsidRPr="00921025">
        <w:rPr>
          <w:rFonts w:asciiTheme="minorHAnsi" w:hAnsiTheme="minorHAnsi" w:cstheme="minorHAnsi"/>
        </w:rPr>
        <w:t xml:space="preserve"> flesh that becomes </w:t>
      </w:r>
      <w:r w:rsidRPr="00921025">
        <w:rPr>
          <w:rFonts w:asciiTheme="minorHAnsi" w:hAnsiTheme="minorHAnsi" w:cstheme="minorHAnsi"/>
          <w:i/>
          <w:iCs/>
        </w:rPr>
        <w:t>‘our’</w:t>
      </w:r>
      <w:r w:rsidRPr="00921025">
        <w:rPr>
          <w:rFonts w:asciiTheme="minorHAnsi" w:hAnsiTheme="minorHAnsi" w:cstheme="minorHAnsi"/>
        </w:rPr>
        <w:t xml:space="preserve"> Eucharist. Nestorius clearly undermines the unity of Christ through this continued insistence on separating his divine and human </w:t>
      </w:r>
      <w:proofErr w:type="spellStart"/>
      <w:r w:rsidRPr="00921025">
        <w:rPr>
          <w:rFonts w:asciiTheme="minorHAnsi" w:hAnsiTheme="minorHAnsi" w:cstheme="minorHAnsi"/>
          <w:i/>
          <w:iCs/>
          <w:lang w:val="el-GR"/>
        </w:rPr>
        <w:t>φυσεις</w:t>
      </w:r>
      <w:proofErr w:type="spellEnd"/>
      <w:r w:rsidRPr="00921025">
        <w:rPr>
          <w:rFonts w:asciiTheme="minorHAnsi" w:hAnsiTheme="minorHAnsi" w:cstheme="minorHAnsi"/>
          <w:i/>
          <w:iCs/>
        </w:rPr>
        <w:t>,</w:t>
      </w:r>
      <w:r w:rsidRPr="00921025">
        <w:rPr>
          <w:rFonts w:asciiTheme="minorHAnsi" w:hAnsiTheme="minorHAnsi" w:cstheme="minorHAnsi"/>
        </w:rPr>
        <w:t xml:space="preserve"> humanity is no longer saved through Christ, man’s sins are not redeemed nor atoned for. On the contrary, within Cyril’s Eucharistic belief, the flesh of the crucified Christ, the Unbegotten Son of God,</w:t>
      </w:r>
      <w:r w:rsidRPr="00921025">
        <w:rPr>
          <w:rFonts w:asciiTheme="minorHAnsi" w:hAnsiTheme="minorHAnsi" w:cstheme="minorHAnsi"/>
          <w:i/>
          <w:iCs/>
        </w:rPr>
        <w:t xml:space="preserve"> becomes ‘our’</w:t>
      </w:r>
      <w:r w:rsidRPr="00921025">
        <w:rPr>
          <w:rFonts w:asciiTheme="minorHAnsi" w:hAnsiTheme="minorHAnsi" w:cstheme="minorHAnsi"/>
        </w:rPr>
        <w:t xml:space="preserve"> flesh, and </w:t>
      </w:r>
      <w:r w:rsidRPr="00921025">
        <w:rPr>
          <w:rFonts w:asciiTheme="minorHAnsi" w:hAnsiTheme="minorHAnsi" w:cstheme="minorHAnsi"/>
        </w:rPr>
        <w:lastRenderedPageBreak/>
        <w:t>through eating this Bread of Life, it is Christ who saves mankind and no other. Thereby, conclusively, the united Christ is mankind’s soteriological union with the Godhead.</w:t>
      </w:r>
    </w:p>
    <w:p w14:paraId="0E1A12F3" w14:textId="77777777" w:rsidR="00D671B2" w:rsidRDefault="00D671B2" w:rsidP="008C59B3">
      <w:pPr>
        <w:spacing w:line="480" w:lineRule="auto"/>
        <w:ind w:firstLine="426"/>
        <w:rPr>
          <w:rFonts w:asciiTheme="minorHAnsi" w:hAnsiTheme="minorHAnsi" w:cstheme="minorHAnsi"/>
        </w:rPr>
      </w:pPr>
    </w:p>
    <w:p w14:paraId="51457878" w14:textId="1453FB20" w:rsidR="00BC6428" w:rsidRPr="00282B53" w:rsidRDefault="00282B53" w:rsidP="008C59B3">
      <w:pPr>
        <w:pStyle w:val="Heading2"/>
        <w:spacing w:before="0" w:line="480" w:lineRule="auto"/>
        <w:rPr>
          <w:rFonts w:asciiTheme="minorHAnsi" w:hAnsiTheme="minorHAnsi" w:cstheme="minorHAnsi"/>
          <w:b/>
          <w:bCs/>
          <w:color w:val="auto"/>
          <w:sz w:val="24"/>
          <w:szCs w:val="24"/>
        </w:rPr>
      </w:pPr>
      <w:bookmarkStart w:id="19" w:name="_Toc163217585"/>
      <w:bookmarkStart w:id="20" w:name="_Toc163223622"/>
      <w:r w:rsidRPr="00282B53">
        <w:rPr>
          <w:rFonts w:asciiTheme="minorHAnsi" w:hAnsiTheme="minorHAnsi" w:cstheme="minorHAnsi"/>
          <w:b/>
          <w:bCs/>
          <w:color w:val="auto"/>
          <w:sz w:val="24"/>
          <w:szCs w:val="24"/>
        </w:rPr>
        <w:t>Salvation</w:t>
      </w:r>
      <w:bookmarkEnd w:id="19"/>
      <w:bookmarkEnd w:id="20"/>
    </w:p>
    <w:p w14:paraId="1D008563" w14:textId="77777777" w:rsidR="00921025" w:rsidRDefault="00921025" w:rsidP="008C59B3">
      <w:pPr>
        <w:spacing w:line="480" w:lineRule="auto"/>
        <w:ind w:firstLine="426"/>
        <w:rPr>
          <w:rFonts w:asciiTheme="minorHAnsi" w:hAnsiTheme="minorHAnsi" w:cstheme="minorHAnsi"/>
        </w:rPr>
      </w:pPr>
      <w:r w:rsidRPr="00921025">
        <w:rPr>
          <w:rFonts w:asciiTheme="minorHAnsi" w:hAnsiTheme="minorHAnsi" w:cstheme="minorHAnsi"/>
        </w:rPr>
        <w:t xml:space="preserve">Mankind’s salvation relates to the totality of Cyril’s soteriological understanding. It </w:t>
      </w:r>
      <w:r w:rsidRPr="00921025">
        <w:rPr>
          <w:rFonts w:asciiTheme="minorHAnsi" w:hAnsiTheme="minorHAnsi" w:cstheme="minorHAnsi"/>
          <w:i/>
          <w:iCs/>
        </w:rPr>
        <w:t>is</w:t>
      </w:r>
      <w:r w:rsidRPr="00921025">
        <w:rPr>
          <w:rFonts w:asciiTheme="minorHAnsi" w:hAnsiTheme="minorHAnsi" w:cstheme="minorHAnsi"/>
        </w:rPr>
        <w:t xml:space="preserve"> the purpose of Christ’s Incarnation and the purposes of the Godhead. Its key is the relationship of the first Adam, made a life-giving soul’ with the second Adam, Christ, ‘a life-giving spirit’ with the mystery of the ‘</w:t>
      </w:r>
      <w:proofErr w:type="spellStart"/>
      <w:r w:rsidRPr="00921025">
        <w:rPr>
          <w:rFonts w:asciiTheme="minorHAnsi" w:hAnsiTheme="minorHAnsi" w:cstheme="minorHAnsi"/>
        </w:rPr>
        <w:t>enmanment</w:t>
      </w:r>
      <w:proofErr w:type="spellEnd"/>
      <w:r w:rsidRPr="00921025">
        <w:rPr>
          <w:rFonts w:asciiTheme="minorHAnsi" w:hAnsiTheme="minorHAnsi" w:cstheme="minorHAnsi"/>
        </w:rPr>
        <w:t xml:space="preserve"> of the Word’ and his self-emptying in order to free humanity from enslavement to sin.</w:t>
      </w:r>
      <w:r w:rsidRPr="00921025">
        <w:rPr>
          <w:rStyle w:val="FootnoteReference"/>
          <w:rFonts w:asciiTheme="minorHAnsi" w:hAnsiTheme="minorHAnsi" w:cstheme="minorHAnsi"/>
        </w:rPr>
        <w:footnoteReference w:id="56"/>
      </w:r>
      <w:r w:rsidRPr="00921025">
        <w:rPr>
          <w:rFonts w:asciiTheme="minorHAnsi" w:hAnsiTheme="minorHAnsi" w:cstheme="minorHAnsi"/>
        </w:rPr>
        <w:t xml:space="preserve"> Cyril’s lengthy argument encompasses the suffering, death and resurrection inherent in the communication of human attributes to Christ, all scripturally supported.</w:t>
      </w:r>
      <w:r w:rsidRPr="00921025">
        <w:rPr>
          <w:rStyle w:val="FootnoteReference"/>
          <w:rFonts w:asciiTheme="minorHAnsi" w:hAnsiTheme="minorHAnsi" w:cstheme="minorHAnsi"/>
        </w:rPr>
        <w:footnoteReference w:id="57"/>
      </w:r>
      <w:r w:rsidRPr="00921025">
        <w:rPr>
          <w:rFonts w:asciiTheme="minorHAnsi" w:hAnsiTheme="minorHAnsi" w:cstheme="minorHAnsi"/>
        </w:rPr>
        <w:t xml:space="preserve"> Indeed, Cyril challenges Nestorius’ flawed arguments by speaking of the mystical, profound and wonderful mystery of Christ. Cyril refers to accommodating the limitations of manhood, coming down at just the right time, becoming ‘like us in all respects’ (that is, the Word-made-Flesh), to restore mankind to its pristine state.</w:t>
      </w:r>
      <w:r w:rsidRPr="00921025">
        <w:rPr>
          <w:rStyle w:val="FootnoteReference"/>
          <w:rFonts w:asciiTheme="minorHAnsi" w:hAnsiTheme="minorHAnsi" w:cstheme="minorHAnsi"/>
        </w:rPr>
        <w:footnoteReference w:id="58"/>
      </w:r>
      <w:r w:rsidRPr="00921025">
        <w:rPr>
          <w:rFonts w:asciiTheme="minorHAnsi" w:hAnsiTheme="minorHAnsi" w:cstheme="minorHAnsi"/>
        </w:rPr>
        <w:t xml:space="preserve"> For John 1:14 precisely indicates how human things are Christ’s ‘by an economic appropriation’ and Christ’s economic function, as God’s only Son, himself alone saving mankind, through his own blood ‘ as a ransom for the life of all’.</w:t>
      </w:r>
      <w:r w:rsidRPr="00921025">
        <w:rPr>
          <w:rStyle w:val="FootnoteReference"/>
          <w:rFonts w:asciiTheme="minorHAnsi" w:hAnsiTheme="minorHAnsi" w:cstheme="minorHAnsi"/>
        </w:rPr>
        <w:footnoteReference w:id="59"/>
      </w:r>
      <w:r w:rsidRPr="00921025">
        <w:rPr>
          <w:rFonts w:asciiTheme="minorHAnsi" w:hAnsiTheme="minorHAnsi" w:cstheme="minorHAnsi"/>
        </w:rPr>
        <w:t xml:space="preserve"> Furthermore, it was through Christ’s sanctification as a ‘spotless oblation’ for us, becoming sin so mankind ‘might become the righteousness of God in him’.</w:t>
      </w:r>
      <w:r w:rsidRPr="00921025">
        <w:rPr>
          <w:rStyle w:val="FootnoteReference"/>
          <w:rFonts w:asciiTheme="minorHAnsi" w:hAnsiTheme="minorHAnsi" w:cstheme="minorHAnsi"/>
        </w:rPr>
        <w:footnoteReference w:id="60"/>
      </w:r>
      <w:r w:rsidRPr="00921025">
        <w:rPr>
          <w:rFonts w:asciiTheme="minorHAnsi" w:hAnsiTheme="minorHAnsi" w:cstheme="minorHAnsi"/>
        </w:rPr>
        <w:t xml:space="preserve"> Cyril efficiently refutes all Nestorius’ arguments, returning to his opening key text, Philippians 2:7, to speak of the economic </w:t>
      </w:r>
      <w:r w:rsidRPr="00921025">
        <w:rPr>
          <w:rFonts w:asciiTheme="minorHAnsi" w:hAnsiTheme="minorHAnsi" w:cstheme="minorHAnsi"/>
        </w:rPr>
        <w:lastRenderedPageBreak/>
        <w:t>manner of the one who is truly and naturally the Son.</w:t>
      </w:r>
      <w:r w:rsidRPr="00921025">
        <w:rPr>
          <w:rStyle w:val="FootnoteReference"/>
          <w:rFonts w:asciiTheme="minorHAnsi" w:hAnsiTheme="minorHAnsi" w:cstheme="minorHAnsi"/>
        </w:rPr>
        <w:footnoteReference w:id="61"/>
      </w:r>
      <w:r w:rsidRPr="00921025">
        <w:rPr>
          <w:rFonts w:asciiTheme="minorHAnsi" w:hAnsiTheme="minorHAnsi" w:cstheme="minorHAnsi"/>
        </w:rPr>
        <w:t xml:space="preserve"> For, in destroying death and restoring mankind, Cyril reminds Nestorius that Christ did not descend unwillingly to suffer, but solely to ‘restore the resurrection to those on earth’, becoming the first-born of the dead ‘according to the flesh’, thus justifying being called the Last Adam and passing the benefits ‘even to us’.</w:t>
      </w:r>
      <w:r w:rsidRPr="00921025">
        <w:rPr>
          <w:rStyle w:val="FootnoteReference"/>
          <w:rFonts w:asciiTheme="minorHAnsi" w:hAnsiTheme="minorHAnsi" w:cstheme="minorHAnsi"/>
        </w:rPr>
        <w:footnoteReference w:id="62"/>
      </w:r>
    </w:p>
    <w:p w14:paraId="60A6C5DE" w14:textId="77777777" w:rsidR="00D671B2" w:rsidRDefault="00D671B2" w:rsidP="008C59B3">
      <w:pPr>
        <w:spacing w:line="480" w:lineRule="auto"/>
        <w:ind w:firstLine="426"/>
        <w:rPr>
          <w:rFonts w:asciiTheme="minorHAnsi" w:hAnsiTheme="minorHAnsi" w:cstheme="minorHAnsi"/>
        </w:rPr>
      </w:pPr>
    </w:p>
    <w:p w14:paraId="1DCFFFE5" w14:textId="7EFFD292" w:rsidR="00282B53" w:rsidRDefault="00282B53" w:rsidP="008C59B3">
      <w:pPr>
        <w:pStyle w:val="Heading2"/>
        <w:spacing w:before="0" w:line="480" w:lineRule="auto"/>
        <w:rPr>
          <w:rFonts w:asciiTheme="minorHAnsi" w:hAnsiTheme="minorHAnsi" w:cstheme="minorHAnsi"/>
          <w:b/>
          <w:bCs/>
          <w:color w:val="auto"/>
          <w:sz w:val="24"/>
          <w:szCs w:val="24"/>
        </w:rPr>
      </w:pPr>
      <w:bookmarkStart w:id="21" w:name="_Toc163223623"/>
      <w:r w:rsidRPr="00282B53">
        <w:rPr>
          <w:rFonts w:asciiTheme="minorHAnsi" w:hAnsiTheme="minorHAnsi" w:cstheme="minorHAnsi"/>
          <w:b/>
          <w:bCs/>
          <w:color w:val="auto"/>
          <w:sz w:val="24"/>
          <w:szCs w:val="24"/>
        </w:rPr>
        <w:t>Eschatology</w:t>
      </w:r>
      <w:bookmarkEnd w:id="21"/>
    </w:p>
    <w:p w14:paraId="4D4C3DD5" w14:textId="33339C8A" w:rsidR="00003E46" w:rsidRDefault="00021192" w:rsidP="008C59B3">
      <w:pPr>
        <w:spacing w:line="480" w:lineRule="auto"/>
        <w:ind w:firstLine="426"/>
        <w:rPr>
          <w:rFonts w:asciiTheme="minorHAnsi" w:hAnsiTheme="minorHAnsi" w:cstheme="minorHAnsi"/>
        </w:rPr>
      </w:pPr>
      <w:r w:rsidRPr="008A7931">
        <w:rPr>
          <w:rFonts w:asciiTheme="minorHAnsi" w:hAnsiTheme="minorHAnsi" w:cstheme="minorHAnsi"/>
        </w:rPr>
        <w:t xml:space="preserve">It is fair to say that eschatology is a modern branch of systematic theology of little interest to Cyril. Whilst he did not write any treatises about it, eschatological ideas underlie </w:t>
      </w:r>
      <w:r w:rsidR="008A7931" w:rsidRPr="008A7931">
        <w:rPr>
          <w:rFonts w:asciiTheme="minorHAnsi" w:hAnsiTheme="minorHAnsi" w:cstheme="minorHAnsi"/>
        </w:rPr>
        <w:t xml:space="preserve">Cyril’s </w:t>
      </w:r>
      <w:r w:rsidR="008A7931">
        <w:rPr>
          <w:rFonts w:asciiTheme="minorHAnsi" w:hAnsiTheme="minorHAnsi" w:cstheme="minorHAnsi"/>
        </w:rPr>
        <w:t>Christology. Taking eschatology to signify ‘the ultimate destiny of the person to share</w:t>
      </w:r>
      <w:r w:rsidR="004615B2">
        <w:rPr>
          <w:rFonts w:asciiTheme="minorHAnsi" w:hAnsiTheme="minorHAnsi" w:cstheme="minorHAnsi"/>
        </w:rPr>
        <w:t xml:space="preserve"> </w:t>
      </w:r>
      <w:r w:rsidR="008A7931">
        <w:rPr>
          <w:rFonts w:asciiTheme="minorHAnsi" w:hAnsiTheme="minorHAnsi" w:cstheme="minorHAnsi"/>
        </w:rPr>
        <w:t>God’s life by moving from our present corruptible state to a future incorruptible state’</w:t>
      </w:r>
      <w:r w:rsidR="00D671B2">
        <w:rPr>
          <w:rStyle w:val="FootnoteReference"/>
          <w:rFonts w:asciiTheme="minorHAnsi" w:hAnsiTheme="minorHAnsi" w:cstheme="minorHAnsi"/>
        </w:rPr>
        <w:footnoteReference w:id="63"/>
      </w:r>
      <w:r w:rsidR="008A7931">
        <w:rPr>
          <w:rFonts w:asciiTheme="minorHAnsi" w:hAnsiTheme="minorHAnsi" w:cstheme="minorHAnsi"/>
        </w:rPr>
        <w:t xml:space="preserve">, Cyril’s orthodox restatement </w:t>
      </w:r>
      <w:r w:rsidR="0029524A">
        <w:rPr>
          <w:rFonts w:asciiTheme="minorHAnsi" w:hAnsiTheme="minorHAnsi" w:cstheme="minorHAnsi"/>
        </w:rPr>
        <w:t xml:space="preserve">in QUSC </w:t>
      </w:r>
      <w:r w:rsidR="008A7931">
        <w:rPr>
          <w:rFonts w:asciiTheme="minorHAnsi" w:hAnsiTheme="minorHAnsi" w:cstheme="minorHAnsi"/>
        </w:rPr>
        <w:t xml:space="preserve">of the Word-made-Flesh and its kenotic purposes points directly to completion of the </w:t>
      </w:r>
      <w:r w:rsidR="0029524A">
        <w:rPr>
          <w:rFonts w:asciiTheme="minorHAnsi" w:hAnsiTheme="minorHAnsi" w:cstheme="minorHAnsi"/>
        </w:rPr>
        <w:t xml:space="preserve">Word’s </w:t>
      </w:r>
      <w:r w:rsidR="00EA6CB4">
        <w:rPr>
          <w:rFonts w:asciiTheme="minorHAnsi" w:hAnsiTheme="minorHAnsi" w:cstheme="minorHAnsi"/>
        </w:rPr>
        <w:t>redemptive</w:t>
      </w:r>
      <w:r w:rsidR="0029524A">
        <w:rPr>
          <w:rFonts w:asciiTheme="minorHAnsi" w:hAnsiTheme="minorHAnsi" w:cstheme="minorHAnsi"/>
        </w:rPr>
        <w:t xml:space="preserve"> actions. </w:t>
      </w:r>
      <w:r w:rsidR="00EA6CB4">
        <w:rPr>
          <w:rFonts w:asciiTheme="minorHAnsi" w:hAnsiTheme="minorHAnsi" w:cstheme="minorHAnsi"/>
        </w:rPr>
        <w:t>E</w:t>
      </w:r>
      <w:r w:rsidR="00EA6CB4">
        <w:rPr>
          <w:rFonts w:asciiTheme="minorHAnsi" w:hAnsiTheme="minorHAnsi" w:cstheme="minorHAnsi"/>
        </w:rPr>
        <w:t>schatolo</w:t>
      </w:r>
      <w:r w:rsidR="00EA6CB4">
        <w:rPr>
          <w:rFonts w:asciiTheme="minorHAnsi" w:hAnsiTheme="minorHAnsi" w:cstheme="minorHAnsi"/>
        </w:rPr>
        <w:t xml:space="preserve">gy is woven into Cyril’s soteriological and Christological proofs. </w:t>
      </w:r>
      <w:r w:rsidR="00003E46">
        <w:rPr>
          <w:rFonts w:asciiTheme="minorHAnsi" w:hAnsiTheme="minorHAnsi" w:cstheme="minorHAnsi"/>
        </w:rPr>
        <w:t xml:space="preserve">As John O’Keefe helpfully concludes, Cyril, in common with his contemporaries, adhered to the ‘now/not yet’ of realised eschatology. His proofs in QUSC focus on the </w:t>
      </w:r>
      <w:proofErr w:type="spellStart"/>
      <w:r w:rsidR="00003E46">
        <w:rPr>
          <w:rFonts w:asciiTheme="minorHAnsi" w:hAnsiTheme="minorHAnsi" w:cstheme="minorHAnsi"/>
          <w:lang w:val="el-GR"/>
        </w:rPr>
        <w:t>Λογος</w:t>
      </w:r>
      <w:proofErr w:type="spellEnd"/>
      <w:r w:rsidR="00003E46">
        <w:rPr>
          <w:rFonts w:asciiTheme="minorHAnsi" w:hAnsiTheme="minorHAnsi" w:cstheme="minorHAnsi"/>
        </w:rPr>
        <w:t>-</w:t>
      </w:r>
      <w:r w:rsidR="00003E46">
        <w:rPr>
          <w:rFonts w:asciiTheme="minorHAnsi" w:hAnsiTheme="minorHAnsi" w:cstheme="minorHAnsi"/>
          <w:lang w:val="el-GR"/>
        </w:rPr>
        <w:t>σαρ</w:t>
      </w:r>
      <w:r w:rsidR="0031668C">
        <w:rPr>
          <w:rFonts w:asciiTheme="minorHAnsi" w:hAnsiTheme="minorHAnsi" w:cstheme="minorHAnsi"/>
          <w:lang w:val="el-GR"/>
        </w:rPr>
        <w:t>ξ</w:t>
      </w:r>
      <w:r w:rsidR="0031668C">
        <w:rPr>
          <w:rFonts w:asciiTheme="minorHAnsi" w:hAnsiTheme="minorHAnsi" w:cstheme="minorHAnsi"/>
        </w:rPr>
        <w:t xml:space="preserve"> willingly suffering, dying and being resurrected, thus delivering mankind from sin and death, mankind’s divinisation and re-recreation as ‘residents of an incorrupt and restored creation’. This, O’Keefe avers, explains why Cyril objected so strongly to Nestorian erroneous thinking and teaching.</w:t>
      </w:r>
      <w:r w:rsidR="0031668C">
        <w:rPr>
          <w:rStyle w:val="FootnoteReference"/>
          <w:rFonts w:asciiTheme="minorHAnsi" w:hAnsiTheme="minorHAnsi" w:cstheme="minorHAnsi"/>
        </w:rPr>
        <w:footnoteReference w:id="64"/>
      </w:r>
      <w:r w:rsidR="0031668C">
        <w:rPr>
          <w:rFonts w:asciiTheme="minorHAnsi" w:hAnsiTheme="minorHAnsi" w:cstheme="minorHAnsi"/>
        </w:rPr>
        <w:t xml:space="preserve"> </w:t>
      </w:r>
    </w:p>
    <w:p w14:paraId="11C69B18" w14:textId="77777777" w:rsidR="00D671B2" w:rsidRDefault="00D671B2" w:rsidP="008C59B3">
      <w:pPr>
        <w:spacing w:line="480" w:lineRule="auto"/>
        <w:ind w:firstLine="426"/>
        <w:rPr>
          <w:rFonts w:asciiTheme="minorHAnsi" w:hAnsiTheme="minorHAnsi" w:cstheme="minorHAnsi"/>
        </w:rPr>
      </w:pPr>
    </w:p>
    <w:p w14:paraId="360A9BDE" w14:textId="4A9E7697" w:rsidR="00282B53" w:rsidRPr="00282B53" w:rsidRDefault="00282B53" w:rsidP="008C59B3">
      <w:pPr>
        <w:pStyle w:val="Heading1"/>
        <w:spacing w:before="0" w:line="480" w:lineRule="auto"/>
        <w:rPr>
          <w:rFonts w:asciiTheme="minorHAnsi" w:hAnsiTheme="minorHAnsi" w:cstheme="minorHAnsi"/>
          <w:b/>
          <w:bCs/>
          <w:color w:val="auto"/>
          <w:sz w:val="24"/>
          <w:szCs w:val="24"/>
        </w:rPr>
      </w:pPr>
      <w:bookmarkStart w:id="22" w:name="_Toc163217586"/>
      <w:bookmarkStart w:id="23" w:name="_Toc163223624"/>
      <w:r w:rsidRPr="00282B53">
        <w:rPr>
          <w:rFonts w:asciiTheme="minorHAnsi" w:hAnsiTheme="minorHAnsi" w:cstheme="minorHAnsi"/>
          <w:b/>
          <w:bCs/>
          <w:color w:val="auto"/>
          <w:sz w:val="24"/>
          <w:szCs w:val="24"/>
        </w:rPr>
        <w:lastRenderedPageBreak/>
        <w:t>Concluding Remarks</w:t>
      </w:r>
      <w:bookmarkEnd w:id="22"/>
      <w:bookmarkEnd w:id="23"/>
    </w:p>
    <w:p w14:paraId="018BA199" w14:textId="1ABEF7D7" w:rsidR="00921025" w:rsidRPr="00921025" w:rsidRDefault="0031668C" w:rsidP="008C59B3">
      <w:pPr>
        <w:spacing w:line="480" w:lineRule="auto"/>
        <w:ind w:firstLine="426"/>
        <w:rPr>
          <w:rFonts w:asciiTheme="minorHAnsi" w:hAnsiTheme="minorHAnsi" w:cstheme="minorHAnsi"/>
          <w:b/>
          <w:bCs/>
          <w:i/>
          <w:iCs/>
        </w:rPr>
      </w:pPr>
      <w:r>
        <w:rPr>
          <w:rFonts w:asciiTheme="minorHAnsi" w:hAnsiTheme="minorHAnsi" w:cstheme="minorHAnsi"/>
        </w:rPr>
        <w:t>Viewed through Western 21</w:t>
      </w:r>
      <w:r w:rsidRPr="0031668C">
        <w:rPr>
          <w:rFonts w:asciiTheme="minorHAnsi" w:hAnsiTheme="minorHAnsi" w:cstheme="minorHAnsi"/>
          <w:vertAlign w:val="superscript"/>
        </w:rPr>
        <w:t>st</w:t>
      </w:r>
      <w:r>
        <w:rPr>
          <w:rFonts w:asciiTheme="minorHAnsi" w:hAnsiTheme="minorHAnsi" w:cstheme="minorHAnsi"/>
        </w:rPr>
        <w:t xml:space="preserve">-century eyes, it is difficult to evaluate QUSC </w:t>
      </w:r>
      <w:r w:rsidR="00D307B5">
        <w:rPr>
          <w:rFonts w:asciiTheme="minorHAnsi" w:hAnsiTheme="minorHAnsi" w:cstheme="minorHAnsi"/>
        </w:rPr>
        <w:t>from</w:t>
      </w:r>
      <w:r>
        <w:rPr>
          <w:rFonts w:asciiTheme="minorHAnsi" w:hAnsiTheme="minorHAnsi" w:cstheme="minorHAnsi"/>
        </w:rPr>
        <w:t xml:space="preserve"> </w:t>
      </w:r>
      <w:r w:rsidR="00D307B5">
        <w:rPr>
          <w:rFonts w:asciiTheme="minorHAnsi" w:hAnsiTheme="minorHAnsi" w:cstheme="minorHAnsi"/>
        </w:rPr>
        <w:t xml:space="preserve">a </w:t>
      </w:r>
      <w:r>
        <w:rPr>
          <w:rFonts w:asciiTheme="minorHAnsi" w:hAnsiTheme="minorHAnsi" w:cstheme="minorHAnsi"/>
        </w:rPr>
        <w:t>5</w:t>
      </w:r>
      <w:r w:rsidRPr="0031668C">
        <w:rPr>
          <w:rFonts w:asciiTheme="minorHAnsi" w:hAnsiTheme="minorHAnsi" w:cstheme="minorHAnsi"/>
          <w:vertAlign w:val="superscript"/>
        </w:rPr>
        <w:t>th</w:t>
      </w:r>
      <w:r>
        <w:rPr>
          <w:rFonts w:asciiTheme="minorHAnsi" w:hAnsiTheme="minorHAnsi" w:cstheme="minorHAnsi"/>
        </w:rPr>
        <w:t xml:space="preserve">-century </w:t>
      </w:r>
      <w:r w:rsidR="00D307B5">
        <w:rPr>
          <w:rFonts w:asciiTheme="minorHAnsi" w:hAnsiTheme="minorHAnsi" w:cstheme="minorHAnsi"/>
        </w:rPr>
        <w:t xml:space="preserve">perspective. Was Nestorius treated unfairly? </w:t>
      </w:r>
      <w:r w:rsidR="00921025" w:rsidRPr="00921025">
        <w:rPr>
          <w:rFonts w:asciiTheme="minorHAnsi" w:hAnsiTheme="minorHAnsi" w:cstheme="minorHAnsi"/>
        </w:rPr>
        <w:t xml:space="preserve">Was </w:t>
      </w:r>
      <w:r w:rsidR="00D307B5">
        <w:rPr>
          <w:rFonts w:asciiTheme="minorHAnsi" w:hAnsiTheme="minorHAnsi" w:cstheme="minorHAnsi"/>
        </w:rPr>
        <w:t>he simply</w:t>
      </w:r>
      <w:r w:rsidR="00921025" w:rsidRPr="00921025">
        <w:rPr>
          <w:rFonts w:asciiTheme="minorHAnsi" w:hAnsiTheme="minorHAnsi" w:cstheme="minorHAnsi"/>
        </w:rPr>
        <w:t xml:space="preserve"> the wrong person in the wrong place at the wrong time? Was his pronouncement of Mary’s </w:t>
      </w:r>
      <w:proofErr w:type="spellStart"/>
      <w:r w:rsidR="00921025" w:rsidRPr="00921025">
        <w:rPr>
          <w:rFonts w:asciiTheme="minorHAnsi" w:hAnsiTheme="minorHAnsi" w:cstheme="minorHAnsi"/>
          <w:lang w:val="el-GR"/>
        </w:rPr>
        <w:t>Χριστοκοτος</w:t>
      </w:r>
      <w:proofErr w:type="spellEnd"/>
      <w:r w:rsidR="00921025" w:rsidRPr="00921025">
        <w:rPr>
          <w:rFonts w:asciiTheme="minorHAnsi" w:hAnsiTheme="minorHAnsi" w:cstheme="minorHAnsi"/>
        </w:rPr>
        <w:t xml:space="preserve"> appellation simply a dogmatic error? </w:t>
      </w:r>
      <w:r w:rsidR="00D307B5">
        <w:rPr>
          <w:rFonts w:asciiTheme="minorHAnsi" w:hAnsiTheme="minorHAnsi" w:cstheme="minorHAnsi"/>
        </w:rPr>
        <w:t xml:space="preserve">Cyril’s treatise provides compelling evidence, logically and scripturally. </w:t>
      </w:r>
      <w:r w:rsidR="00921025" w:rsidRPr="00921025">
        <w:rPr>
          <w:rFonts w:asciiTheme="minorHAnsi" w:hAnsiTheme="minorHAnsi" w:cstheme="minorHAnsi"/>
        </w:rPr>
        <w:t>The impact of the two key councils of Nicaea and, 125 years later, Chalcedon expose how the attempt to repair deep theological divisions differed dramatically in outcome. Nicaea united the catholic church by affirming the full deity of Christ; Chalcedon, in its attempts to resolve the relationship of ‘deity and humanity in the nature of Christ’, eventually resulted in schism. Yet modern hermeneutics can be thankful that Cyril and Nestorius did clarify this relationship tenaciously disputed by Cyril in QUSC.</w:t>
      </w:r>
      <w:r w:rsidR="00921025" w:rsidRPr="00921025">
        <w:rPr>
          <w:rStyle w:val="FootnoteReference"/>
          <w:rFonts w:asciiTheme="minorHAnsi" w:hAnsiTheme="minorHAnsi" w:cstheme="minorHAnsi"/>
        </w:rPr>
        <w:footnoteReference w:id="65"/>
      </w:r>
      <w:r w:rsidR="00921025" w:rsidRPr="00921025">
        <w:rPr>
          <w:rFonts w:asciiTheme="minorHAnsi" w:hAnsiTheme="minorHAnsi" w:cstheme="minorHAnsi"/>
        </w:rPr>
        <w:t xml:space="preserve"> Thenceforth, intellectually, God the Father’s loving, redemptive purpose in sending his Son into the world, fully divine and fully human, justifies the Cross and Resurrection. Cyril and resultant Councils established the orthodoxy of Christ’s being born of Mary, </w:t>
      </w:r>
      <w:proofErr w:type="spellStart"/>
      <w:r w:rsidR="00921025" w:rsidRPr="00921025">
        <w:rPr>
          <w:rFonts w:asciiTheme="minorHAnsi" w:hAnsiTheme="minorHAnsi" w:cstheme="minorHAnsi"/>
          <w:lang w:val="el-GR"/>
        </w:rPr>
        <w:t>Θεοτοκος</w:t>
      </w:r>
      <w:proofErr w:type="spellEnd"/>
      <w:r w:rsidR="00921025" w:rsidRPr="00921025">
        <w:rPr>
          <w:rFonts w:asciiTheme="minorHAnsi" w:hAnsiTheme="minorHAnsi" w:cstheme="minorHAnsi"/>
        </w:rPr>
        <w:t xml:space="preserve">, self-emptying of all divine </w:t>
      </w:r>
      <w:r w:rsidR="00921025" w:rsidRPr="00921025">
        <w:rPr>
          <w:rFonts w:asciiTheme="minorHAnsi" w:hAnsiTheme="minorHAnsi" w:cstheme="minorHAnsi"/>
          <w:lang w:val="el-GR"/>
        </w:rPr>
        <w:t>φύσεις</w:t>
      </w:r>
      <w:r w:rsidR="00921025" w:rsidRPr="00921025">
        <w:rPr>
          <w:rFonts w:asciiTheme="minorHAnsi" w:hAnsiTheme="minorHAnsi" w:cstheme="minorHAnsi"/>
        </w:rPr>
        <w:t xml:space="preserve"> apart from sinlessness, argued through the high Christological writings of John and Paul. Albeit declared heretical, Nestorius’ Antiochene approach focusing on the humanity of the Incarnate Christ allows modern readers to walk alongside, perhaps vicariously, and internally experience, Jesus with all his human needs, emotions and suffering as he journeys to the Cross and beyond, principally supported through the synoptic Gospels and prophetic Hebrew texts. In a final unity, both views enable people to reflect theologically and personally on their own journey of faith. It was a battle that needed to be fought. Through, indeed despite, the historical, cultural, ecclesial and personal rivalry </w:t>
      </w:r>
      <w:r w:rsidR="00921025" w:rsidRPr="00921025">
        <w:rPr>
          <w:rFonts w:asciiTheme="minorHAnsi" w:hAnsiTheme="minorHAnsi" w:cstheme="minorHAnsi"/>
        </w:rPr>
        <w:lastRenderedPageBreak/>
        <w:t xml:space="preserve">and animosity between the Alexandrian and Antiochene in the persons of Cyril and Nestorius, the apologetic within the pages of QUSC conclusively and stage by stage provides the credal resolution that has stood the test of time. The reasoning that established the orthodoxy </w:t>
      </w:r>
      <w:r w:rsidR="00921025" w:rsidRPr="00BC6428">
        <w:rPr>
          <w:rFonts w:asciiTheme="minorHAnsi" w:hAnsiTheme="minorHAnsi" w:cstheme="minorHAnsi"/>
        </w:rPr>
        <w:t xml:space="preserve">of the Word-made-flesh (Jn 1:14) from the womb of the virgin Mary </w:t>
      </w:r>
      <w:proofErr w:type="spellStart"/>
      <w:r w:rsidR="00921025" w:rsidRPr="00BC6428">
        <w:rPr>
          <w:rFonts w:asciiTheme="minorHAnsi" w:hAnsiTheme="minorHAnsi" w:cstheme="minorHAnsi"/>
          <w:lang w:val="el-GR"/>
        </w:rPr>
        <w:t>θεοτοκος</w:t>
      </w:r>
      <w:proofErr w:type="spellEnd"/>
      <w:r w:rsidR="00921025" w:rsidRPr="00BC6428">
        <w:rPr>
          <w:rFonts w:asciiTheme="minorHAnsi" w:hAnsiTheme="minorHAnsi" w:cstheme="minorHAnsi"/>
        </w:rPr>
        <w:t>, self-emptying, tabernacling among humanity obediently within God’s economy of salvation is necessary for each generation, most especially in this 21</w:t>
      </w:r>
      <w:r w:rsidR="00921025" w:rsidRPr="00BC6428">
        <w:rPr>
          <w:rFonts w:asciiTheme="minorHAnsi" w:hAnsiTheme="minorHAnsi" w:cstheme="minorHAnsi"/>
          <w:vertAlign w:val="superscript"/>
        </w:rPr>
        <w:t>st</w:t>
      </w:r>
      <w:r w:rsidR="00921025" w:rsidRPr="00BC6428">
        <w:rPr>
          <w:rFonts w:asciiTheme="minorHAnsi" w:hAnsiTheme="minorHAnsi" w:cstheme="minorHAnsi"/>
        </w:rPr>
        <w:t xml:space="preserve"> century.</w:t>
      </w:r>
    </w:p>
    <w:bookmarkEnd w:id="3"/>
    <w:bookmarkEnd w:id="4"/>
    <w:p w14:paraId="46491CCB" w14:textId="681997D7" w:rsidR="008C59B3" w:rsidRDefault="008C59B3">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br w:type="page"/>
      </w:r>
    </w:p>
    <w:p w14:paraId="531E23B8" w14:textId="59E04C7F" w:rsidR="008C59B3" w:rsidRPr="008C59B3" w:rsidRDefault="008C59B3" w:rsidP="008C59B3">
      <w:pPr>
        <w:pStyle w:val="Heading1"/>
        <w:rPr>
          <w:rFonts w:asciiTheme="minorHAnsi" w:eastAsiaTheme="minorHAnsi" w:hAnsiTheme="minorHAnsi" w:cstheme="minorHAnsi"/>
          <w:b/>
          <w:bCs/>
          <w:color w:val="auto"/>
          <w:sz w:val="24"/>
          <w:szCs w:val="24"/>
          <w:bdr w:val="none" w:sz="0" w:space="0" w:color="auto"/>
        </w:rPr>
      </w:pPr>
      <w:bookmarkStart w:id="24" w:name="_Toc163223625"/>
      <w:r w:rsidRPr="008C59B3">
        <w:rPr>
          <w:rFonts w:asciiTheme="minorHAnsi" w:eastAsiaTheme="minorHAnsi" w:hAnsiTheme="minorHAnsi" w:cstheme="minorHAnsi"/>
          <w:b/>
          <w:bCs/>
          <w:color w:val="auto"/>
          <w:sz w:val="24"/>
          <w:szCs w:val="24"/>
          <w:bdr w:val="none" w:sz="0" w:space="0" w:color="auto"/>
        </w:rPr>
        <w:lastRenderedPageBreak/>
        <w:t>Bibliography</w:t>
      </w:r>
      <w:bookmarkEnd w:id="24"/>
    </w:p>
    <w:p w14:paraId="1805A642" w14:textId="77777777" w:rsidR="008C59B3" w:rsidRDefault="008C59B3" w:rsidP="008C59B3">
      <w:pPr>
        <w:pStyle w:val="Bibliography"/>
        <w:rPr>
          <w:rFonts w:asciiTheme="minorHAnsi" w:eastAsiaTheme="minorHAnsi" w:hAnsiTheme="minorHAnsi" w:cstheme="minorHAnsi"/>
          <w:bdr w:val="none" w:sz="0" w:space="0" w:color="auto"/>
          <w14:ligatures w14:val="standardContextual"/>
        </w:rPr>
      </w:pPr>
    </w:p>
    <w:p w14:paraId="5FF5B420" w14:textId="77777777" w:rsidR="00D671B2" w:rsidRPr="00D671B2" w:rsidRDefault="00D671B2" w:rsidP="00D671B2">
      <w:pPr>
        <w:pStyle w:val="Bibliography"/>
        <w:spacing w:after="120"/>
        <w:rPr>
          <w:rFonts w:ascii="Calibri" w:hAnsiTheme="minorHAnsi" w:cs="Calibri"/>
        </w:rPr>
      </w:pPr>
      <w:r>
        <w:rPr>
          <w:rFonts w:asciiTheme="minorHAnsi" w:eastAsiaTheme="minorHAnsi" w:hAnsiTheme="minorHAnsi" w:cstheme="minorHAnsi"/>
          <w:bdr w:val="none" w:sz="0" w:space="0" w:color="auto"/>
          <w14:ligatures w14:val="standardContextual"/>
        </w:rPr>
        <w:fldChar w:fldCharType="begin"/>
      </w:r>
      <w:r>
        <w:rPr>
          <w:rFonts w:asciiTheme="minorHAnsi" w:eastAsiaTheme="minorHAnsi" w:hAnsiTheme="minorHAnsi" w:cstheme="minorHAnsi"/>
          <w:bdr w:val="none" w:sz="0" w:space="0" w:color="auto"/>
          <w14:ligatures w14:val="standardContextual"/>
        </w:rPr>
        <w:instrText xml:space="preserve"> ADDIN ZOTERO_BIBL {"uncited":[],"omitted":[],"custom":[]} CSL_BIBLIOGRAPHY </w:instrText>
      </w:r>
      <w:r>
        <w:rPr>
          <w:rFonts w:asciiTheme="minorHAnsi" w:eastAsiaTheme="minorHAnsi" w:hAnsiTheme="minorHAnsi" w:cstheme="minorHAnsi"/>
          <w:bdr w:val="none" w:sz="0" w:space="0" w:color="auto"/>
          <w14:ligatures w14:val="standardContextual"/>
        </w:rPr>
        <w:fldChar w:fldCharType="separate"/>
      </w:r>
      <w:r w:rsidRPr="00D671B2">
        <w:rPr>
          <w:rFonts w:ascii="Calibri" w:hAnsiTheme="minorHAnsi" w:cs="Calibri"/>
        </w:rPr>
        <w:t xml:space="preserve">Artemi, Eirini. ‘Cyril of Alexandria’s Critique of the Term </w:t>
      </w:r>
      <w:proofErr w:type="spellStart"/>
      <w:r w:rsidRPr="00D671B2">
        <w:rPr>
          <w:rFonts w:ascii="Calibri" w:hAnsiTheme="minorHAnsi" w:cs="Calibri"/>
        </w:rPr>
        <w:t>Theotokos</w:t>
      </w:r>
      <w:proofErr w:type="spellEnd"/>
      <w:r w:rsidRPr="00D671B2">
        <w:rPr>
          <w:rFonts w:ascii="Calibri" w:hAnsiTheme="minorHAnsi" w:cs="Calibri"/>
        </w:rPr>
        <w:t xml:space="preserve"> by Nestorius Constantinople’. </w:t>
      </w:r>
      <w:r w:rsidRPr="00D671B2">
        <w:rPr>
          <w:rFonts w:ascii="Calibri" w:hAnsiTheme="minorHAnsi" w:cs="Calibri"/>
          <w:i/>
          <w:iCs/>
        </w:rPr>
        <w:t>Acta Theologica</w:t>
      </w:r>
      <w:r w:rsidRPr="00D671B2">
        <w:rPr>
          <w:rFonts w:ascii="Calibri" w:hAnsiTheme="minorHAnsi" w:cs="Calibri"/>
        </w:rPr>
        <w:t xml:space="preserve"> 32, no. 2 (December 2012): 1–16.</w:t>
      </w:r>
    </w:p>
    <w:p w14:paraId="700C23FC" w14:textId="77777777" w:rsidR="00D671B2" w:rsidRPr="00D671B2" w:rsidRDefault="00D671B2" w:rsidP="00D671B2">
      <w:pPr>
        <w:pStyle w:val="Bibliography"/>
        <w:spacing w:after="120"/>
        <w:rPr>
          <w:rFonts w:ascii="Calibri" w:hAnsiTheme="minorHAnsi" w:cs="Calibri"/>
        </w:rPr>
      </w:pPr>
      <w:proofErr w:type="spellStart"/>
      <w:r w:rsidRPr="00D671B2">
        <w:rPr>
          <w:rFonts w:ascii="Calibri" w:hAnsiTheme="minorHAnsi" w:cs="Calibri"/>
        </w:rPr>
        <w:t>Bettenson</w:t>
      </w:r>
      <w:proofErr w:type="spellEnd"/>
      <w:r w:rsidRPr="00D671B2">
        <w:rPr>
          <w:rFonts w:ascii="Calibri" w:hAnsiTheme="minorHAnsi" w:cs="Calibri"/>
        </w:rPr>
        <w:t xml:space="preserve">, Henry, and Chris Maunder, eds. </w:t>
      </w:r>
      <w:r w:rsidRPr="00D671B2">
        <w:rPr>
          <w:rFonts w:ascii="Calibri" w:hAnsiTheme="minorHAnsi" w:cs="Calibri"/>
          <w:i/>
          <w:iCs/>
        </w:rPr>
        <w:t>Documents of the Christian Church</w:t>
      </w:r>
      <w:r w:rsidRPr="00D671B2">
        <w:rPr>
          <w:rFonts w:ascii="Calibri" w:hAnsiTheme="minorHAnsi" w:cs="Calibri"/>
        </w:rPr>
        <w:t>. 4th ed. / edited by Chris Maunder. Oxford ; New York: Oxford University Press, 2011.</w:t>
      </w:r>
    </w:p>
    <w:p w14:paraId="1CCD7E20"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Concannon, Ellen. ‘The Eucharist as Source of St. Cyril of Alexandria’s Christology: Pro Ecclesia’. </w:t>
      </w:r>
      <w:r w:rsidRPr="00D671B2">
        <w:rPr>
          <w:rFonts w:ascii="Calibri" w:hAnsiTheme="minorHAnsi" w:cs="Calibri"/>
          <w:i/>
          <w:iCs/>
        </w:rPr>
        <w:t>Pro Ecclesia</w:t>
      </w:r>
      <w:r w:rsidRPr="00D671B2">
        <w:rPr>
          <w:rFonts w:ascii="Calibri" w:hAnsiTheme="minorHAnsi" w:cs="Calibri"/>
        </w:rPr>
        <w:t xml:space="preserve"> 18, no. 3 (2009): 318–36.</w:t>
      </w:r>
    </w:p>
    <w:p w14:paraId="126C439B"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Cyril of Alexandria. </w:t>
      </w:r>
      <w:r w:rsidRPr="00D671B2">
        <w:rPr>
          <w:rFonts w:ascii="Calibri" w:hAnsiTheme="minorHAnsi" w:cs="Calibri"/>
          <w:i/>
          <w:iCs/>
        </w:rPr>
        <w:t>On the Unity of Christ</w:t>
      </w:r>
      <w:r w:rsidRPr="00D671B2">
        <w:rPr>
          <w:rFonts w:ascii="Calibri" w:hAnsiTheme="minorHAnsi" w:cs="Calibri"/>
        </w:rPr>
        <w:t>. Translated by John Anthony McGuckin. Popular Patristics Series, Number 13. Crestwood, NY: St. Vladimir’s Seminary Press, 2000.</w:t>
      </w:r>
    </w:p>
    <w:p w14:paraId="5E6A4AB4"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Dupuis, Jacques. </w:t>
      </w:r>
      <w:r w:rsidRPr="00D671B2">
        <w:rPr>
          <w:rFonts w:ascii="Calibri" w:hAnsiTheme="minorHAnsi" w:cs="Calibri"/>
          <w:i/>
          <w:iCs/>
        </w:rPr>
        <w:t>Who Do You Say I Am? Introduction to Christology</w:t>
      </w:r>
      <w:r w:rsidRPr="00D671B2">
        <w:rPr>
          <w:rFonts w:ascii="Calibri" w:hAnsiTheme="minorHAnsi" w:cs="Calibri"/>
        </w:rPr>
        <w:t>. Maryknoll, N.Y: Orbis, 1994.</w:t>
      </w:r>
    </w:p>
    <w:p w14:paraId="2EC0BA7A" w14:textId="77777777" w:rsidR="00D671B2" w:rsidRPr="00D671B2" w:rsidRDefault="00D671B2" w:rsidP="00D671B2">
      <w:pPr>
        <w:pStyle w:val="Bibliography"/>
        <w:spacing w:after="120"/>
        <w:rPr>
          <w:rFonts w:ascii="Calibri" w:hAnsiTheme="minorHAnsi" w:cs="Calibri"/>
        </w:rPr>
      </w:pPr>
      <w:proofErr w:type="spellStart"/>
      <w:r w:rsidRPr="00D671B2">
        <w:rPr>
          <w:rFonts w:ascii="Calibri" w:hAnsiTheme="minorHAnsi" w:cs="Calibri"/>
        </w:rPr>
        <w:t>Grillmeier</w:t>
      </w:r>
      <w:proofErr w:type="spellEnd"/>
      <w:r w:rsidRPr="00D671B2">
        <w:rPr>
          <w:rFonts w:ascii="Calibri" w:hAnsiTheme="minorHAnsi" w:cs="Calibri"/>
        </w:rPr>
        <w:t xml:space="preserve">, Alois. </w:t>
      </w:r>
      <w:r w:rsidRPr="00D671B2">
        <w:rPr>
          <w:rFonts w:ascii="Calibri" w:hAnsiTheme="minorHAnsi" w:cs="Calibri"/>
          <w:i/>
          <w:iCs/>
        </w:rPr>
        <w:t>Christ in Christian Tradition</w:t>
      </w:r>
      <w:r w:rsidRPr="00D671B2">
        <w:rPr>
          <w:rFonts w:ascii="Calibri" w:hAnsiTheme="minorHAnsi" w:cs="Calibri"/>
        </w:rPr>
        <w:t>. Atlanta: John Knox Press, 1975.</w:t>
      </w:r>
    </w:p>
    <w:p w14:paraId="32BEA10E"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Jenkins, John Philip. </w:t>
      </w:r>
      <w:r w:rsidRPr="00D671B2">
        <w:rPr>
          <w:rFonts w:ascii="Calibri" w:hAnsiTheme="minorHAnsi" w:cs="Calibri"/>
          <w:i/>
          <w:iCs/>
        </w:rPr>
        <w:t>Jesus Wars: How Four Patriarchs, Three Queens, and Two Emperors Decided What Christians Would Believe for the next 1,500 Years</w:t>
      </w:r>
      <w:r w:rsidRPr="00D671B2">
        <w:rPr>
          <w:rFonts w:ascii="Calibri" w:hAnsiTheme="minorHAnsi" w:cs="Calibri"/>
        </w:rPr>
        <w:t>. Place of publication not identified: HarperCollins e-Books, 2014.</w:t>
      </w:r>
    </w:p>
    <w:p w14:paraId="56355B8B"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Keating, Daniel A. ‘Divination in Cyril: The Appropriation of Divine Life’. In </w:t>
      </w:r>
      <w:r w:rsidRPr="00D671B2">
        <w:rPr>
          <w:rFonts w:ascii="Calibri" w:hAnsiTheme="minorHAnsi" w:cs="Calibri"/>
          <w:i/>
          <w:iCs/>
        </w:rPr>
        <w:t>The Theology of St. Cyril of Alexandria: A Critical Appreciation</w:t>
      </w:r>
      <w:r w:rsidRPr="00D671B2">
        <w:rPr>
          <w:rFonts w:ascii="Calibri" w:hAnsiTheme="minorHAnsi" w:cs="Calibri"/>
        </w:rPr>
        <w:t xml:space="preserve">, edited by Thomas G. </w:t>
      </w:r>
      <w:proofErr w:type="spellStart"/>
      <w:r w:rsidRPr="00D671B2">
        <w:rPr>
          <w:rFonts w:ascii="Calibri" w:hAnsiTheme="minorHAnsi" w:cs="Calibri"/>
        </w:rPr>
        <w:t>Weinandy</w:t>
      </w:r>
      <w:proofErr w:type="spellEnd"/>
      <w:r w:rsidRPr="00D671B2">
        <w:rPr>
          <w:rFonts w:ascii="Calibri" w:hAnsiTheme="minorHAnsi" w:cs="Calibri"/>
        </w:rPr>
        <w:t xml:space="preserve"> and Daniel A. Keating, 149–86. London: T &amp; T Clark, 2003.</w:t>
      </w:r>
    </w:p>
    <w:p w14:paraId="5805CBF2"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Louth, Andrew. </w:t>
      </w:r>
      <w:r w:rsidRPr="00D671B2">
        <w:rPr>
          <w:rFonts w:ascii="Calibri" w:hAnsiTheme="minorHAnsi" w:cs="Calibri"/>
          <w:i/>
          <w:iCs/>
        </w:rPr>
        <w:t>Introducing Eastern Orthodox Theology</w:t>
      </w:r>
      <w:r w:rsidRPr="00D671B2">
        <w:rPr>
          <w:rFonts w:ascii="Calibri" w:hAnsiTheme="minorHAnsi" w:cs="Calibri"/>
        </w:rPr>
        <w:t>. Downers Grove, Ill: IVP Academic, 2013.</w:t>
      </w:r>
    </w:p>
    <w:p w14:paraId="716DE4B1"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McGrath, Alister E. </w:t>
      </w:r>
      <w:r w:rsidRPr="00D671B2">
        <w:rPr>
          <w:rFonts w:ascii="Calibri" w:hAnsiTheme="minorHAnsi" w:cs="Calibri"/>
          <w:i/>
          <w:iCs/>
        </w:rPr>
        <w:t>Christian Theology: An Introduction</w:t>
      </w:r>
      <w:r w:rsidRPr="00D671B2">
        <w:rPr>
          <w:rFonts w:ascii="Calibri" w:hAnsiTheme="minorHAnsi" w:cs="Calibri"/>
        </w:rPr>
        <w:t>. 3rd ed. Oxford ; Malden, MA: Blackwell Publishers, 2001.</w:t>
      </w:r>
    </w:p>
    <w:p w14:paraId="1FEB5C14"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McGuckin, John Anthony, ed. </w:t>
      </w:r>
      <w:r w:rsidRPr="00D671B2">
        <w:rPr>
          <w:rFonts w:ascii="Calibri" w:hAnsiTheme="minorHAnsi" w:cs="Calibri"/>
          <w:i/>
          <w:iCs/>
        </w:rPr>
        <w:t>Orthodox Monasticism Past and Present</w:t>
      </w:r>
      <w:r w:rsidRPr="00D671B2">
        <w:rPr>
          <w:rFonts w:ascii="Calibri" w:hAnsiTheme="minorHAnsi" w:cs="Calibri"/>
        </w:rPr>
        <w:t xml:space="preserve">. New York: </w:t>
      </w:r>
      <w:proofErr w:type="spellStart"/>
      <w:r w:rsidRPr="00D671B2">
        <w:rPr>
          <w:rFonts w:ascii="Calibri" w:hAnsiTheme="minorHAnsi" w:cs="Calibri"/>
        </w:rPr>
        <w:t>Theotokos</w:t>
      </w:r>
      <w:proofErr w:type="spellEnd"/>
      <w:r w:rsidRPr="00D671B2">
        <w:rPr>
          <w:rFonts w:ascii="Calibri" w:hAnsiTheme="minorHAnsi" w:cs="Calibri"/>
        </w:rPr>
        <w:t xml:space="preserve"> Press, 2014.</w:t>
      </w:r>
    </w:p>
    <w:p w14:paraId="233835D2"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 </w:t>
      </w:r>
      <w:r w:rsidRPr="00D671B2">
        <w:rPr>
          <w:rFonts w:ascii="Calibri" w:hAnsiTheme="minorHAnsi" w:cs="Calibri"/>
          <w:i/>
          <w:iCs/>
        </w:rPr>
        <w:t>The Eastern Orthodox Church : A New History</w:t>
      </w:r>
      <w:r w:rsidRPr="00D671B2">
        <w:rPr>
          <w:rFonts w:ascii="Calibri" w:hAnsiTheme="minorHAnsi" w:cs="Calibri"/>
        </w:rPr>
        <w:t>. New Haven, CT: Yale University Press, 2020. https://doi.org/10.12987/9780300252170.</w:t>
      </w:r>
    </w:p>
    <w:p w14:paraId="3E7588DD"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McGuckin, John Anthony, and Cyril of Alexandria. </w:t>
      </w:r>
      <w:r w:rsidRPr="00D671B2">
        <w:rPr>
          <w:rFonts w:ascii="Calibri" w:hAnsiTheme="minorHAnsi" w:cs="Calibri"/>
          <w:i/>
          <w:iCs/>
        </w:rPr>
        <w:t>St. Cyril of Alexandria: The Christological Controversy: Its History, Theology, and Texts</w:t>
      </w:r>
      <w:r w:rsidRPr="00D671B2">
        <w:rPr>
          <w:rFonts w:ascii="Calibri" w:hAnsiTheme="minorHAnsi" w:cs="Calibri"/>
        </w:rPr>
        <w:t xml:space="preserve">. Supplements to </w:t>
      </w:r>
      <w:proofErr w:type="spellStart"/>
      <w:r w:rsidRPr="00D671B2">
        <w:rPr>
          <w:rFonts w:ascii="Calibri" w:hAnsiTheme="minorHAnsi" w:cs="Calibri"/>
        </w:rPr>
        <w:t>Vigiliae</w:t>
      </w:r>
      <w:proofErr w:type="spellEnd"/>
      <w:r w:rsidRPr="00D671B2">
        <w:rPr>
          <w:rFonts w:ascii="Calibri" w:hAnsiTheme="minorHAnsi" w:cs="Calibri"/>
        </w:rPr>
        <w:t xml:space="preserve"> </w:t>
      </w:r>
      <w:proofErr w:type="spellStart"/>
      <w:r w:rsidRPr="00D671B2">
        <w:rPr>
          <w:rFonts w:ascii="Calibri" w:hAnsiTheme="minorHAnsi" w:cs="Calibri"/>
        </w:rPr>
        <w:t>Christianae</w:t>
      </w:r>
      <w:proofErr w:type="spellEnd"/>
      <w:r w:rsidRPr="00D671B2">
        <w:rPr>
          <w:rFonts w:ascii="Calibri" w:hAnsiTheme="minorHAnsi" w:cs="Calibri"/>
        </w:rPr>
        <w:t>, v. 23. Leiden ; New York: E.J. Brill, 1994.</w:t>
      </w:r>
    </w:p>
    <w:p w14:paraId="3E105C61" w14:textId="77777777" w:rsidR="00D671B2" w:rsidRPr="00D671B2" w:rsidRDefault="00D671B2" w:rsidP="00D671B2">
      <w:pPr>
        <w:pStyle w:val="Bibliography"/>
        <w:spacing w:after="120"/>
        <w:rPr>
          <w:rFonts w:ascii="Calibri" w:hAnsiTheme="minorHAnsi" w:cs="Calibri"/>
        </w:rPr>
      </w:pPr>
      <w:proofErr w:type="spellStart"/>
      <w:r w:rsidRPr="00D671B2">
        <w:rPr>
          <w:rFonts w:ascii="Calibri" w:hAnsiTheme="minorHAnsi" w:cs="Calibri"/>
        </w:rPr>
        <w:t>Migliore</w:t>
      </w:r>
      <w:proofErr w:type="spellEnd"/>
      <w:r w:rsidRPr="00D671B2">
        <w:rPr>
          <w:rFonts w:ascii="Calibri" w:hAnsiTheme="minorHAnsi" w:cs="Calibri"/>
        </w:rPr>
        <w:t xml:space="preserve">, Daniel L. </w:t>
      </w:r>
      <w:r w:rsidRPr="00D671B2">
        <w:rPr>
          <w:rFonts w:ascii="Calibri" w:hAnsiTheme="minorHAnsi" w:cs="Calibri"/>
          <w:i/>
          <w:iCs/>
        </w:rPr>
        <w:t>Faith Seeking Understanding: An Introduction to Christian Theology</w:t>
      </w:r>
      <w:r w:rsidRPr="00D671B2">
        <w:rPr>
          <w:rFonts w:ascii="Calibri" w:hAnsiTheme="minorHAnsi" w:cs="Calibri"/>
        </w:rPr>
        <w:t xml:space="preserve">. 2nd ed. Grand Rapids, </w:t>
      </w:r>
      <w:proofErr w:type="spellStart"/>
      <w:r w:rsidRPr="00D671B2">
        <w:rPr>
          <w:rFonts w:ascii="Calibri" w:hAnsiTheme="minorHAnsi" w:cs="Calibri"/>
        </w:rPr>
        <w:t>Mich</w:t>
      </w:r>
      <w:proofErr w:type="spellEnd"/>
      <w:r w:rsidRPr="00D671B2">
        <w:rPr>
          <w:rFonts w:ascii="Calibri" w:hAnsiTheme="minorHAnsi" w:cs="Calibri"/>
        </w:rPr>
        <w:t>: W.B. Eerdmans, 2004.</w:t>
      </w:r>
    </w:p>
    <w:p w14:paraId="14B4C3C4"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Moffett, Samuel Hugh. </w:t>
      </w:r>
      <w:r w:rsidRPr="00D671B2">
        <w:rPr>
          <w:rFonts w:ascii="Calibri" w:hAnsiTheme="minorHAnsi" w:cs="Calibri"/>
          <w:i/>
          <w:iCs/>
        </w:rPr>
        <w:t>A History of Christianity in Asia</w:t>
      </w:r>
      <w:r w:rsidRPr="00D671B2">
        <w:rPr>
          <w:rFonts w:ascii="Calibri" w:hAnsiTheme="minorHAnsi" w:cs="Calibri"/>
        </w:rPr>
        <w:t>. San Francisco: Harper, 1992.</w:t>
      </w:r>
    </w:p>
    <w:p w14:paraId="75C6F776"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O’Keefe, John J. ‘</w:t>
      </w:r>
      <w:proofErr w:type="spellStart"/>
      <w:r w:rsidRPr="00D671B2">
        <w:rPr>
          <w:rFonts w:ascii="Calibri" w:hAnsiTheme="minorHAnsi" w:cs="Calibri"/>
        </w:rPr>
        <w:t>Incorruption</w:t>
      </w:r>
      <w:proofErr w:type="spellEnd"/>
      <w:r w:rsidRPr="00D671B2">
        <w:rPr>
          <w:rFonts w:ascii="Calibri" w:hAnsiTheme="minorHAnsi" w:cs="Calibri"/>
        </w:rPr>
        <w:t>, Anti-</w:t>
      </w:r>
      <w:proofErr w:type="spellStart"/>
      <w:r w:rsidRPr="00D671B2">
        <w:rPr>
          <w:rFonts w:ascii="Calibri" w:hAnsiTheme="minorHAnsi" w:cs="Calibri"/>
        </w:rPr>
        <w:t>Origensim</w:t>
      </w:r>
      <w:proofErr w:type="spellEnd"/>
      <w:r w:rsidRPr="00D671B2">
        <w:rPr>
          <w:rFonts w:ascii="Calibri" w:hAnsiTheme="minorHAnsi" w:cs="Calibri"/>
        </w:rPr>
        <w:t xml:space="preserve">, and Incarnation: Eschatology in the Thought of Cyril of Alexandria’. In </w:t>
      </w:r>
      <w:r w:rsidRPr="00D671B2">
        <w:rPr>
          <w:rFonts w:ascii="Calibri" w:hAnsiTheme="minorHAnsi" w:cs="Calibri"/>
          <w:i/>
          <w:iCs/>
        </w:rPr>
        <w:t>The Theology of St. Cyril of Alexandria: A Critical Appreciation</w:t>
      </w:r>
      <w:r w:rsidRPr="00D671B2">
        <w:rPr>
          <w:rFonts w:ascii="Calibri" w:hAnsiTheme="minorHAnsi" w:cs="Calibri"/>
        </w:rPr>
        <w:t xml:space="preserve">, edited by Thomas G. </w:t>
      </w:r>
      <w:proofErr w:type="spellStart"/>
      <w:r w:rsidRPr="00D671B2">
        <w:rPr>
          <w:rFonts w:ascii="Calibri" w:hAnsiTheme="minorHAnsi" w:cs="Calibri"/>
        </w:rPr>
        <w:t>Weinandy</w:t>
      </w:r>
      <w:proofErr w:type="spellEnd"/>
      <w:r w:rsidRPr="00D671B2">
        <w:rPr>
          <w:rFonts w:ascii="Calibri" w:hAnsiTheme="minorHAnsi" w:cs="Calibri"/>
        </w:rPr>
        <w:t xml:space="preserve"> and Daniel A. Keating, 187–204. London ; New York: T&amp; Clark, 2003.</w:t>
      </w:r>
    </w:p>
    <w:p w14:paraId="6D107216"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‘Second Letter to Nestorius’. Accessed 4 April 2024. http://www.liturgies.net/saints/cyrilalexandria/nestorius2.htm.</w:t>
      </w:r>
    </w:p>
    <w:p w14:paraId="2AF59886"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lastRenderedPageBreak/>
        <w:t>‘St. Cyril on the Purpose of the Eucharist — Classical Christianity’. Accessed 2 April 2024. https://classicalchristianity.com/2011/05/17/st-cyril-on-the-purpose-of-the-eucharist/.</w:t>
      </w:r>
    </w:p>
    <w:p w14:paraId="2AE92120" w14:textId="77777777" w:rsidR="00D671B2" w:rsidRPr="00D671B2" w:rsidRDefault="00D671B2" w:rsidP="00D671B2">
      <w:pPr>
        <w:pStyle w:val="Bibliography"/>
        <w:spacing w:after="120"/>
        <w:rPr>
          <w:rFonts w:ascii="Calibri" w:hAnsiTheme="minorHAnsi" w:cs="Calibri"/>
        </w:rPr>
      </w:pPr>
      <w:proofErr w:type="spellStart"/>
      <w:r w:rsidRPr="00D671B2">
        <w:rPr>
          <w:rFonts w:ascii="Calibri" w:hAnsiTheme="minorHAnsi" w:cs="Calibri"/>
        </w:rPr>
        <w:t>Weinandy</w:t>
      </w:r>
      <w:proofErr w:type="spellEnd"/>
      <w:r w:rsidRPr="00D671B2">
        <w:rPr>
          <w:rFonts w:ascii="Calibri" w:hAnsiTheme="minorHAnsi" w:cs="Calibri"/>
        </w:rPr>
        <w:t xml:space="preserve">, Thomas, and Daniel A. Keating, eds. </w:t>
      </w:r>
      <w:r w:rsidRPr="00D671B2">
        <w:rPr>
          <w:rFonts w:ascii="Calibri" w:hAnsiTheme="minorHAnsi" w:cs="Calibri"/>
          <w:i/>
          <w:iCs/>
        </w:rPr>
        <w:t>The Theology of St. Cyril of Alexandria: A Critical Appreciation</w:t>
      </w:r>
      <w:r w:rsidRPr="00D671B2">
        <w:rPr>
          <w:rFonts w:ascii="Calibri" w:hAnsiTheme="minorHAnsi" w:cs="Calibri"/>
        </w:rPr>
        <w:t>. London: T &amp; T Clark, 2003.</w:t>
      </w:r>
    </w:p>
    <w:p w14:paraId="4CA8974D"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 xml:space="preserve">Witt, William. ‘Non </w:t>
      </w:r>
      <w:proofErr w:type="spellStart"/>
      <w:r w:rsidRPr="00D671B2">
        <w:rPr>
          <w:rFonts w:ascii="Calibri" w:hAnsiTheme="minorHAnsi" w:cs="Calibri"/>
        </w:rPr>
        <w:t>Sermoni</w:t>
      </w:r>
      <w:proofErr w:type="spellEnd"/>
      <w:r w:rsidRPr="00D671B2">
        <w:rPr>
          <w:rFonts w:ascii="Calibri" w:hAnsiTheme="minorHAnsi" w:cs="Calibri"/>
        </w:rPr>
        <w:t xml:space="preserve"> Res’, 10 February 2009. https://willgwitt.org/the-christology-of-cyril-of-alexandria/.</w:t>
      </w:r>
    </w:p>
    <w:p w14:paraId="7AC1342B" w14:textId="77777777" w:rsidR="00D671B2" w:rsidRPr="00D671B2" w:rsidRDefault="00D671B2" w:rsidP="00D671B2">
      <w:pPr>
        <w:pStyle w:val="Bibliography"/>
        <w:spacing w:after="120"/>
        <w:rPr>
          <w:rFonts w:ascii="Calibri" w:hAnsiTheme="minorHAnsi" w:cs="Calibri"/>
        </w:rPr>
      </w:pPr>
      <w:r w:rsidRPr="00D671B2">
        <w:rPr>
          <w:rFonts w:ascii="Calibri" w:hAnsiTheme="minorHAnsi" w:cs="Calibri"/>
        </w:rPr>
        <w:t>Young, Frances. ‘</w:t>
      </w:r>
      <w:proofErr w:type="spellStart"/>
      <w:r w:rsidRPr="00D671B2">
        <w:rPr>
          <w:rFonts w:ascii="Calibri" w:hAnsiTheme="minorHAnsi" w:cs="Calibri"/>
        </w:rPr>
        <w:t>Theotokos</w:t>
      </w:r>
      <w:proofErr w:type="spellEnd"/>
      <w:r w:rsidRPr="00D671B2">
        <w:rPr>
          <w:rFonts w:ascii="Calibri" w:hAnsiTheme="minorHAnsi" w:cs="Calibri"/>
        </w:rPr>
        <w:t xml:space="preserve">: Mary and the Pattern of Fall and Redemption in The Theology of Cyril of Alexandria’. In </w:t>
      </w:r>
      <w:r w:rsidRPr="00D671B2">
        <w:rPr>
          <w:rFonts w:ascii="Calibri" w:hAnsiTheme="minorHAnsi" w:cs="Calibri"/>
          <w:i/>
          <w:iCs/>
        </w:rPr>
        <w:t>The Theology of St. Cyril of Alexandria: A Critical Appreciation</w:t>
      </w:r>
      <w:r w:rsidRPr="00D671B2">
        <w:rPr>
          <w:rFonts w:ascii="Calibri" w:hAnsiTheme="minorHAnsi" w:cs="Calibri"/>
        </w:rPr>
        <w:t xml:space="preserve">, edited by Thomas G. </w:t>
      </w:r>
      <w:proofErr w:type="spellStart"/>
      <w:r w:rsidRPr="00D671B2">
        <w:rPr>
          <w:rFonts w:ascii="Calibri" w:hAnsiTheme="minorHAnsi" w:cs="Calibri"/>
        </w:rPr>
        <w:t>Weinandy</w:t>
      </w:r>
      <w:proofErr w:type="spellEnd"/>
      <w:r w:rsidRPr="00D671B2">
        <w:rPr>
          <w:rFonts w:ascii="Calibri" w:hAnsiTheme="minorHAnsi" w:cs="Calibri"/>
        </w:rPr>
        <w:t xml:space="preserve"> and Daniel A. Keating, 55–74. London: T &amp; T Clark, 2003.</w:t>
      </w:r>
    </w:p>
    <w:p w14:paraId="1EAB0019" w14:textId="450ABEDA" w:rsidR="004615B2" w:rsidRPr="00921025" w:rsidRDefault="00D671B2" w:rsidP="00D671B2">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after="120"/>
        <w:rPr>
          <w:rFonts w:asciiTheme="minorHAnsi" w:eastAsiaTheme="minorHAnsi" w:hAnsiTheme="minorHAnsi" w:cstheme="minorHAnsi"/>
          <w:bdr w:val="none" w:sz="0" w:space="0" w:color="auto"/>
          <w14:ligatures w14:val="standardContextual"/>
        </w:rPr>
      </w:pPr>
      <w:r>
        <w:rPr>
          <w:rFonts w:asciiTheme="minorHAnsi" w:eastAsiaTheme="minorHAnsi" w:hAnsiTheme="minorHAnsi" w:cstheme="minorHAnsi"/>
          <w:bdr w:val="none" w:sz="0" w:space="0" w:color="auto"/>
          <w14:ligatures w14:val="standardContextual"/>
        </w:rPr>
        <w:fldChar w:fldCharType="end"/>
      </w:r>
    </w:p>
    <w:sectPr w:rsidR="004615B2" w:rsidRPr="00921025" w:rsidSect="00E03B44">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C86DF" w14:textId="77777777" w:rsidR="00E03B44" w:rsidRDefault="00E03B44" w:rsidP="00F65DA5">
      <w:r>
        <w:separator/>
      </w:r>
    </w:p>
  </w:endnote>
  <w:endnote w:type="continuationSeparator" w:id="0">
    <w:p w14:paraId="35F130E6" w14:textId="77777777" w:rsidR="00E03B44" w:rsidRDefault="00E03B44" w:rsidP="00F65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6E554" w14:textId="77777777" w:rsidR="00E74270" w:rsidRDefault="00E74270" w:rsidP="00E74270">
    <w:pPr>
      <w:pStyle w:val="Footer"/>
      <w:jc w:val="center"/>
    </w:pPr>
    <w:r>
      <w:t xml:space="preserve">Page </w:t>
    </w:r>
    <w:r>
      <w:fldChar w:fldCharType="begin"/>
    </w:r>
    <w:r>
      <w:instrText xml:space="preserve"> PAGE </w:instrText>
    </w:r>
    <w:r>
      <w:fldChar w:fldCharType="separate"/>
    </w:r>
    <w:r>
      <w:rPr>
        <w:noProof/>
      </w:rPr>
      <w:t>1</w:t>
    </w:r>
    <w:r>
      <w:fldChar w:fldCharType="end"/>
    </w:r>
    <w:r>
      <w:t xml:space="preserve"> of </w:t>
    </w:r>
    <w:r>
      <w:fldChar w:fldCharType="begin"/>
    </w:r>
    <w:r>
      <w:instrText xml:space="preserve"> NUMPAGES </w:instrText>
    </w:r>
    <w:r>
      <w:fldChar w:fldCharType="separate"/>
    </w:r>
    <w:r>
      <w:rPr>
        <w:noProof/>
      </w:rPr>
      <w:t>18</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5C438" w14:textId="77777777" w:rsidR="00E03B44" w:rsidRDefault="00E03B44" w:rsidP="00F65DA5">
      <w:r>
        <w:separator/>
      </w:r>
    </w:p>
  </w:footnote>
  <w:footnote w:type="continuationSeparator" w:id="0">
    <w:p w14:paraId="6B764D02" w14:textId="77777777" w:rsidR="00E03B44" w:rsidRDefault="00E03B44" w:rsidP="00F65DA5">
      <w:r>
        <w:continuationSeparator/>
      </w:r>
    </w:p>
  </w:footnote>
  <w:footnote w:id="1">
    <w:p w14:paraId="3C754775"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{"citationID":"h3Qi7oCG","properties":{"formattedCitation":"John Philip Jenkins, {\\i{}Jesus Wars: How Four Patriarchs, Three Queens, and Two Emperors Decided What Christians Would Believe for the next 1,500 Years} (Place of publication not identified: HarperCollins e-Books, 2014).","plainCitation":"John Philip Jenkins, Jesus Wars: How Four Patriarchs, Three Queens, and Two Emperors Decided What Christians Would Believe for the next 1,500 Years (Place of publication not identified: HarperCollins e-Books, 2014).","dontUpdate":true,"noteIndex":1},"citationItems":[{"id":3190,"uris":["http://zotero.org/users/7540819/items/5G4IL8RM"],"itemData":{"id":3190,"type":"book","abstract":"The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fldChar w:fldCharType="separate"/>
      </w:r>
      <w:r w:rsidRPr="009018FE">
        <w:rPr>
          <w:rFonts w:ascii="Calibri" w:cs="Calibri"/>
        </w:rPr>
        <w:t xml:space="preserve">John Philip Jenkins, </w:t>
      </w:r>
      <w:r w:rsidRPr="009018FE">
        <w:rPr>
          <w:rFonts w:ascii="Calibri" w:cs="Calibri"/>
          <w:i/>
          <w:iCs/>
        </w:rPr>
        <w:t>Jesus Wars: How Four Patriarchs, Three Queens, and Two Emperors Decided What Christians Would Believe for the next 1,500 Years</w:t>
      </w:r>
      <w:r w:rsidRPr="009018FE">
        <w:rPr>
          <w:rFonts w:ascii="Calibri" w:cs="Calibri"/>
        </w:rPr>
        <w:t xml:space="preserve"> (Place of publication not identified: HarperCollins e-Books, 2014)</w:t>
      </w:r>
      <w:r>
        <w:rPr>
          <w:rFonts w:ascii="Calibri" w:cs="Calibri"/>
        </w:rPr>
        <w:t>, 132</w:t>
      </w:r>
      <w:r w:rsidRPr="009018FE">
        <w:rPr>
          <w:rFonts w:ascii="Calibri" w:cs="Calibri"/>
        </w:rPr>
        <w:t>.</w:t>
      </w:r>
      <w:r>
        <w:fldChar w:fldCharType="end"/>
      </w:r>
    </w:p>
  </w:footnote>
  <w:footnote w:id="2">
    <w:p w14:paraId="7A432A58" w14:textId="77777777" w:rsidR="00921025" w:rsidRDefault="00921025" w:rsidP="00921025">
      <w:pPr>
        <w:pStyle w:val="FootnoteText"/>
      </w:pPr>
      <w:r>
        <w:rPr>
          <w:rStyle w:val="FootnoteReference"/>
        </w:rPr>
        <w:footnoteRef/>
      </w:r>
      <w:r>
        <w:t xml:space="preserve"> </w:t>
      </w:r>
      <w:r>
        <w:fldChar w:fldCharType="begin"/>
      </w:r>
      <w:r>
        <w:instrText xml:space="preserve"> ADDIN ZOTERO_ITEM CSL_CITATION {"citationID":"GH5V1YG3","properties":{"formattedCitation":"Jenkins.","plainCitation":"Jenkins.","dontUpdate":true,"noteIndex":2},"citationItems":[{"id":3190,"uris":["http://zotero.org/users/7540819/items/5G4IL8RM"],"itemData":{"id":3190,"type":"book","abstract":"The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fldChar w:fldCharType="separate"/>
      </w:r>
      <w:r>
        <w:rPr>
          <w:noProof/>
        </w:rPr>
        <w:t>Jenkins, 133-138.</w:t>
      </w:r>
      <w:r>
        <w:fldChar w:fldCharType="end"/>
      </w:r>
    </w:p>
  </w:footnote>
  <w:footnote w:id="3">
    <w:p w14:paraId="7DBC5FCF" w14:textId="77777777" w:rsidR="00921025" w:rsidRDefault="00921025" w:rsidP="00921025">
      <w:pPr>
        <w:pStyle w:val="FootnoteText"/>
      </w:pPr>
      <w:r>
        <w:rPr>
          <w:rStyle w:val="FootnoteReference"/>
        </w:rPr>
        <w:footnoteRef/>
      </w:r>
      <w:r>
        <w:t xml:space="preserve"> </w:t>
      </w:r>
      <w:r>
        <w:fldChar w:fldCharType="begin"/>
      </w:r>
      <w:r>
        <w:instrText xml:space="preserve"> ADDIN ZOTERO_ITEM CSL_CITATION {"citationID":"rP3pJSTR","properties":{"formattedCitation":"Jenkins.","plainCitation":"Jenkins.","dontUpdate":true,"noteIndex":3},"citationItems":[{"id":3190,"uris":["http://zotero.org/users/7540819/items/5G4IL8RM"],"itemData":{"id":3190,"type":"book","abstract":"The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fldChar w:fldCharType="separate"/>
      </w:r>
      <w:r>
        <w:rPr>
          <w:noProof/>
        </w:rPr>
        <w:t>Jenkins, 163-164.</w:t>
      </w:r>
      <w:r>
        <w:fldChar w:fldCharType="end"/>
      </w:r>
    </w:p>
  </w:footnote>
  <w:footnote w:id="4">
    <w:p w14:paraId="3EB4937E" w14:textId="77777777" w:rsidR="00921025" w:rsidRPr="00332462" w:rsidRDefault="00921025" w:rsidP="00921025">
      <w:pPr>
        <w:pStyle w:val="FootnoteText"/>
      </w:pPr>
      <w:r w:rsidRPr="001E4375">
        <w:rPr>
          <w:rStyle w:val="FootnoteReference"/>
        </w:rPr>
        <w:footnoteRef/>
      </w:r>
      <w:r>
        <w:t xml:space="preserve"> Hereafter abbreviated to ‘QUSC’</w:t>
      </w:r>
    </w:p>
  </w:footnote>
  <w:footnote w:id="5">
    <w:p w14:paraId="308B1607"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{"citationID":"vfbZdO2T","properties":{"formattedCitation":"Samuel Hugh Moffett, {\\i{}A History of Christianity in Asia} (San Francisco: Harper, 1992).","plainCitation":"Samuel Hugh Moffett, A History of Christianity in Asia (San Francisco: Harper, 1992).","dontUpdate":true,"noteIndex":5},"citationItems":[{"id":3210,"uris":["http://zotero.org/users/7540819/items/BJS35DQM"],"itemData":{"id":3210,"type":"book","call-number":"275.009","event-place":"San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fldChar w:fldCharType="separate"/>
      </w:r>
      <w:r w:rsidRPr="002026A9">
        <w:rPr>
          <w:rFonts w:ascii="Calibri" w:cs="Calibri"/>
        </w:rPr>
        <w:t xml:space="preserve">Samuel Hugh Moffett, </w:t>
      </w:r>
      <w:r w:rsidRPr="002026A9">
        <w:rPr>
          <w:rFonts w:ascii="Calibri" w:cs="Calibri"/>
          <w:i/>
          <w:iCs/>
        </w:rPr>
        <w:t>A History of Christianity in Asia</w:t>
      </w:r>
      <w:r w:rsidRPr="002026A9">
        <w:rPr>
          <w:rFonts w:ascii="Calibri" w:cs="Calibri"/>
        </w:rPr>
        <w:t xml:space="preserve"> (San Francisco: Harper, 1992)</w:t>
      </w:r>
      <w:r>
        <w:rPr>
          <w:rFonts w:ascii="Calibri" w:cs="Calibri"/>
        </w:rPr>
        <w:t xml:space="preserve"> 170</w:t>
      </w:r>
      <w:r w:rsidRPr="002026A9">
        <w:rPr>
          <w:rFonts w:ascii="Calibri" w:cs="Calibri"/>
        </w:rPr>
        <w:t>.</w:t>
      </w:r>
      <w:r>
        <w:fldChar w:fldCharType="end"/>
      </w:r>
    </w:p>
  </w:footnote>
  <w:footnote w:id="6">
    <w:p w14:paraId="62D8C86F"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{"citationID":"q04vMKSg","properties":{"formattedCitation":"Alister E. McGrath, {\\i{}Christian Theology: An Introduction}, 3rd ed (Oxford\\uc0\\u8239{}; Malden, MA: Blackwell Publishers, 2001).","plainCitation":"Alister E. McGrath, Christian Theology: An Introduction, 3rd ed (Oxford ; Malden, MA: Blackwell Publishers, 2001).","dontUpdate":true,"noteIndex":6},"citationItems":[{"id":1923,"uris":["http://zotero.org/users/7540819/items/XY7ZAMH3"],"itemData":{"id":1923,"type":"book","call-number":"BT65 .M34 2001","edition":"3rd ed","event-place":"Oxford ; Malden, MA","ISBN":"978-0-631-22527-0","number-of-pages":"616","publisher":"Blackwell Publishers","publisher-place":"Oxford ; Malden, MA","source":"Library of Congress ISBN","title":"Christian theology: an introduction","title-short":"Christian theology","author":[{"family":"McGrath","given":"Alister E."}],"issued":{"date-parts":[["2001"]]}}}],"schema":"https://github.com/citation-style-language/schema/raw/master/csl-citation.json"} </w:instrText>
      </w:r>
      <w:r>
        <w:fldChar w:fldCharType="separate"/>
      </w:r>
      <w:r w:rsidRPr="00E32505">
        <w:rPr>
          <w:rFonts w:ascii="Calibri" w:cs="Calibri"/>
        </w:rPr>
        <w:t xml:space="preserve">Alister E. McGrath, </w:t>
      </w:r>
      <w:r w:rsidRPr="00E32505">
        <w:rPr>
          <w:rFonts w:ascii="Calibri" w:cs="Calibri"/>
          <w:i/>
          <w:iCs/>
        </w:rPr>
        <w:t>Christian Theology: An Introduction</w:t>
      </w:r>
      <w:r w:rsidRPr="00E32505">
        <w:rPr>
          <w:rFonts w:ascii="Calibri" w:cs="Calibri"/>
        </w:rPr>
        <w:t>, 3rd ed (Oxford ; Malden, MA: Blackwell Publishers, 2001)</w:t>
      </w:r>
      <w:r>
        <w:rPr>
          <w:rFonts w:ascii="Calibri" w:cs="Calibri"/>
        </w:rPr>
        <w:t>, 364-365</w:t>
      </w:r>
      <w:r w:rsidRPr="00E32505">
        <w:rPr>
          <w:rFonts w:ascii="Calibri" w:cs="Calibri"/>
        </w:rPr>
        <w:t>.</w:t>
      </w:r>
      <w:r>
        <w:fldChar w:fldCharType="end"/>
      </w:r>
    </w:p>
  </w:footnote>
  <w:footnote w:id="7">
    <w:p w14:paraId="318E2583"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{"citationID":"CYhbyQ8T","properties":{"formattedCitation":"Moffett, {\\i{}A History of Christianity in Asia}.","plainCitation":"Moffett, A History of Christianity in Asia.","dontUpdate":true,"noteIndex":7},"citationItems":[{"id":3210,"uris":["http://zotero.org/users/7540819/items/BJS35DQM"],"itemData":{"id":3210,"type":"book","call-number":"275.009","event-place":"San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fldChar w:fldCharType="separate"/>
      </w:r>
      <w:r w:rsidRPr="002026A9">
        <w:rPr>
          <w:rFonts w:ascii="Calibri" w:cs="Calibri"/>
        </w:rPr>
        <w:t xml:space="preserve">Moffett, </w:t>
      </w:r>
      <w:r w:rsidRPr="002026A9">
        <w:rPr>
          <w:rFonts w:ascii="Calibri" w:cs="Calibri"/>
          <w:i/>
          <w:iCs/>
        </w:rPr>
        <w:t>A History of Christianity in Asia</w:t>
      </w:r>
      <w:r>
        <w:rPr>
          <w:rFonts w:ascii="Calibri" w:cs="Calibri"/>
        </w:rPr>
        <w:t>, 170</w:t>
      </w:r>
      <w:r w:rsidRPr="002026A9">
        <w:rPr>
          <w:rFonts w:ascii="Calibri" w:cs="Calibri"/>
        </w:rPr>
        <w:t>.</w:t>
      </w:r>
      <w:r>
        <w:fldChar w:fldCharType="end"/>
      </w:r>
    </w:p>
  </w:footnote>
  <w:footnote w:id="8">
    <w:p w14:paraId="3541EE9A"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{"citationID":"PQ7o12u9","properties":{"formattedCitation":"John Anthony McGuckin, {\\i{}The Eastern Orthodox Church\\uc0\\u8239{}: A New History} (New Haven, CT: Yale University Press, 2020), https://doi.org/10.12987/9780300252170.","plainCitation":"John Anthony McGuckin, The Eastern Orthodox Church : A New History (New Haven, CT: Yale University Press, 2020), https://doi.org/10.12987/9780300252170.","dontUpdate":true,"noteIndex":8},"citationItems":[{"id":3194,"uris":["http://zotero.org/users/7540819/items/66VJN4F6"],"itemData":{"id":3194,"type":"book","abstract":"An insider’s account of the Eastern Orthodox Church, from its beginning in the era of Jesus and the Apostles to the modern age In this short, accessible account of the Eastern Orthodox Church, John McGuckin begins by tackling the question “What is the Church?” His answer is a clear, historically and theologically rooted portrait of what the Church is for Orthodox Christianity and how it differs from Western Christians’ expectations. McGuckin explores the lived faith of generations, including sketches of some of the most important theological themes and individual personalities of the ancient and modern Church. He interweaves a personal approach throughout, offering to readers the experience of what it is like to enter an Orthodox church and witness its liturgy. In this astute and insightful book, he grapples with the reasons why many Western historians and societies have overlooked Orthodox Christianity and provides an important introduction to the Orthodox Church and the Eastern Christian World.","event-place":"New Haven, CT","ISBN":"978-0-300-25217-0","note":"DOI: 10.12987/9780300252170","publisher":"Yale University Press","publisher-place":"New Haven, CT","title":"The Eastern Orthodox Church : a new history","author":[{"family":"McGuckin","given":"John Anthony"}],"issued":{"date-parts":[["2020"]]}}}],"schema":"https://github.com/citation-style-language/schema/raw/master/csl-citation.json"} </w:instrText>
      </w:r>
      <w:r>
        <w:fldChar w:fldCharType="separate"/>
      </w:r>
      <w:r w:rsidRPr="0036540A">
        <w:rPr>
          <w:rFonts w:ascii="Calibri" w:cs="Calibri"/>
        </w:rPr>
        <w:t xml:space="preserve">John Anthony McGuckin, </w:t>
      </w:r>
      <w:r w:rsidRPr="0036540A">
        <w:rPr>
          <w:rFonts w:ascii="Calibri" w:cs="Calibri"/>
          <w:i/>
          <w:iCs/>
        </w:rPr>
        <w:t>The Eastern Orthodox Church : A New History</w:t>
      </w:r>
      <w:r w:rsidRPr="0036540A">
        <w:rPr>
          <w:rFonts w:ascii="Calibri" w:cs="Calibri"/>
        </w:rPr>
        <w:t xml:space="preserve"> (New Haven, CT: Yale University Press, 2020), https://doi.org/10.12987/9780300252170</w:t>
      </w:r>
      <w:r>
        <w:rPr>
          <w:rFonts w:ascii="Calibri" w:cs="Calibri"/>
        </w:rPr>
        <w:t>, 108</w:t>
      </w:r>
      <w:r w:rsidRPr="0036540A">
        <w:rPr>
          <w:rFonts w:ascii="Calibri" w:cs="Calibri"/>
        </w:rPr>
        <w:t>.</w:t>
      </w:r>
      <w:r>
        <w:fldChar w:fldCharType="end"/>
      </w:r>
    </w:p>
  </w:footnote>
  <w:footnote w:id="9">
    <w:p w14:paraId="3D6B65E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{"citationID":"LoMbONi6","properties":{"formattedCitation":"Artemi, \\uc0\\u8216{}Cyril of Alexandria\\uc0\\u8217{}s Critique of the Term Theotokos by Nestorius Constantinople\\uc0\\u8217{}.","plainCitation":"Artemi, ‘Cyril of Alexandria’s Critique of the Term Theotokos by Nestorius Constantinople’.","dontUpdate":true,"noteIndex":9},"citationItems":[{"id":3167,"uris":["http://zotero.org/users/7540819/items/ZQKCGBYW"],"itemData":{"id":3167,"type":"article-journal","abstract":"The God Word became truly human. He had the real human nature (body and soul), but without propensity to sin. Jesus Christ was the incarnate Word of God. He was born of the Virgin Mary and conceived by the Holy Spirit. His divinity is manifest in the extraordinary circumstances of His birth and, in particular, in the preservation of the virginity of the Theotokos. His humanity is guaranteed in that He was born of a woman, a real historical person. Nestorius of Constantinople rejected the title Theotokos for the mother of the incarnated Word. He insisted that Mary as a human being could give birth only to a human being, and not to God. He persisted in calling the Virgin Mary Christotokos. This teaching jeopardised the salvation of the human race. Cyril of Alexandria disproved this erroneous belief and supported the reason why the mother of God should be called Theotokos.","archive":"ProQuest Central","archive_location":"2183288461","container-title":"Acta Theologica","ISSN":"10158758","issue":"2","language":"English","note":"publisher-place: Bloemfontein\npublisher: University of the Free State Faculty of Theology","page":"1-16","title":"Cyril of Alexandria's critique of the term Theotokos by Nestorius Constantinople","volume":"32","author":[{"family":"Artemi","given":"Eirini"}],"issued":{"date-parts":[["2012",12]]}}}],"schema":"https://github.com/citation-style-language/schema/raw/master/csl-citation.json"} </w:instrText>
      </w:r>
      <w:r w:rsidRPr="00921025">
        <w:rPr>
          <w:rFonts w:cstheme="minorHAnsi"/>
        </w:rPr>
        <w:fldChar w:fldCharType="separate"/>
      </w:r>
      <w:r w:rsidRPr="00921025">
        <w:rPr>
          <w:rFonts w:cstheme="minorHAnsi"/>
        </w:rPr>
        <w:t>Artemi, ‘Cyril of Alexandria’s Critique of the Term Theotokos by Nestorius Constantinople’, 5.</w:t>
      </w:r>
      <w:r w:rsidRPr="00921025">
        <w:rPr>
          <w:rFonts w:cstheme="minorHAnsi"/>
        </w:rPr>
        <w:fldChar w:fldCharType="end"/>
      </w:r>
    </w:p>
  </w:footnote>
  <w:footnote w:id="10">
    <w:p w14:paraId="5C306412" w14:textId="77777777" w:rsidR="00921025" w:rsidRPr="00921025" w:rsidRDefault="00921025" w:rsidP="00921025">
      <w:pPr>
        <w:pStyle w:val="FootnoteText"/>
        <w:rPr>
          <w:rFonts w:cstheme="minorHAnsi"/>
          <w:lang w:val="en-US"/>
        </w:rPr>
      </w:pPr>
      <w:r w:rsidRPr="00921025">
        <w:rPr>
          <w:rStyle w:val="FootnoteReference"/>
          <w:rFonts w:cstheme="minorHAnsi"/>
        </w:rPr>
        <w:footnoteRef/>
      </w:r>
      <w:r w:rsidRPr="00921025">
        <w:rPr>
          <w:rFonts w:cstheme="minorHAnsi"/>
        </w:rPr>
        <w:t xml:space="preserve"> Proverbs 26:11, which aptly finishes with the words ‘… is a fool who reverts to his folly’.</w:t>
      </w:r>
    </w:p>
  </w:footnote>
  <w:footnote w:id="11">
    <w:p w14:paraId="477BDFA1" w14:textId="77777777" w:rsidR="00921025" w:rsidRPr="00921025" w:rsidRDefault="00921025" w:rsidP="00921025">
      <w:pPr>
        <w:pStyle w:val="FootnoteText"/>
        <w:rPr>
          <w:rFonts w:cstheme="minorHAnsi"/>
          <w:lang w:val="en-US"/>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{"citationID":"ry6aLGWE","properties":{"formattedCitation":"Cyril of Alexander.","plainCitation":"Cyril of Alexander.","dontUpdate":true,"noteIndex":11},"citationItems":[{"id":3067,"uris":["http://zotero.org/users/7540819/items/U4NTUXCP"],"itemData":{"id":3067,"type":"book","call-number":"BR65.C953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Alexander, 71.</w:t>
      </w:r>
      <w:r w:rsidRPr="00921025">
        <w:rPr>
          <w:rFonts w:cstheme="minorHAnsi"/>
        </w:rPr>
        <w:fldChar w:fldCharType="end"/>
      </w:r>
    </w:p>
  </w:footnote>
  <w:footnote w:id="12">
    <w:p w14:paraId="763EFC33" w14:textId="05352BFC"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{"citationID":"qW6YjSdq","properties":{"formattedCitation":"John Anthony McGuckin, ed., {\\i{}Orthodox Monasticism Past and Present} (New York: Theotokos Press, 2014).","plainCitation":"John Anthony McGuckin, ed., Orthodox Monasticism Past and Present (New York: Theotokos Press, 2014).","dontUpdate":true,"noteIndex":12},"citationItems":[{"id":"jPE4Uklb/Y9tC6iLv","uris":["http://zotero.org/users/7540819/items/6U9YH2YK"],"itemData":{"id":"9YNVSLwd/D1wgC5XV","type":"book","event-place":"New York","ISBN":"978-0-9835867-6-0","language":"eng","note":"OCLC: 898366285","publisher":"Theotokos Press","publisher-place":"New York","source":"Open WorldCat","title":"Orthodox monasticism past and present","editor":[{"family":"McGuckin","given":"John Anthony"}],"issued":{"date-parts":[["2014"]]}}}],"schema":"https://github.com/citation-style-language/schema/raw/master/csl-citation.json"} </w:instrText>
      </w:r>
      <w:r w:rsidRPr="00921025">
        <w:rPr>
          <w:rFonts w:cstheme="minorHAnsi"/>
        </w:rPr>
        <w:fldChar w:fldCharType="separate"/>
      </w:r>
      <w:r w:rsidRPr="00921025">
        <w:rPr>
          <w:rFonts w:cstheme="minorHAnsi"/>
        </w:rPr>
        <w:t xml:space="preserve">John Anthony McGuckin, ed., </w:t>
      </w:r>
      <w:r w:rsidRPr="00921025">
        <w:rPr>
          <w:rFonts w:cstheme="minorHAnsi"/>
          <w:i/>
          <w:iCs/>
        </w:rPr>
        <w:t>Orthodox Monasticism Past and Present</w:t>
      </w:r>
      <w:r w:rsidRPr="00921025">
        <w:rPr>
          <w:rFonts w:cstheme="minorHAnsi"/>
        </w:rPr>
        <w:t xml:space="preserve"> (New York: Theotokos Press, 2014), 362.</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{"citationID":"Fykwegqb","properties":{"formattedCitation":"Andrew Louth, {\\i{}Introducing Eastern Orthodox Theology} (Downers Grove, Ill: IVP Academic, 2013).","plainCitation":"Andrew Louth, Introducing Eastern Orthodox Theology (Downers Grove, Ill: IVP Academic, 2013).","dontUpdate":true,"noteIndex":12},"citationItems":[{"id":3163,"uris":["http://zotero.org/users/7540819/items/VYEXHYU9"],"itemData":{"id":3163,"type":"book","event-place":"Downers Grove, Ill","ISBN":"978-0-281-06965-1","language":"eng","number-of-pages":"172","publisher":"IVP Academic","publisher-place":"Downers Grove, Ill","source":"K10plus ISBN","title":"Introducing Eastern Orthodox theology","author":[{"family":"Louth","given":"Andrew"}],"issued":{"date-parts":[["2013"]]}}}],"schema":"https://github.com/citation-style-language/schema/raw/master/csl-citation.json"} </w:instrText>
      </w:r>
      <w:r w:rsidRPr="00921025">
        <w:rPr>
          <w:rFonts w:cstheme="minorHAnsi"/>
        </w:rPr>
        <w:fldChar w:fldCharType="separate"/>
      </w:r>
      <w:r w:rsidRPr="00921025">
        <w:rPr>
          <w:rFonts w:cstheme="minorHAnsi"/>
        </w:rPr>
        <w:t xml:space="preserve">Andrew Louth, </w:t>
      </w:r>
      <w:r w:rsidRPr="00921025">
        <w:rPr>
          <w:rFonts w:cstheme="minorHAnsi"/>
          <w:i/>
          <w:iCs/>
        </w:rPr>
        <w:t>Introducing Eastern Orthodox Theology</w:t>
      </w:r>
      <w:r w:rsidRPr="00921025">
        <w:rPr>
          <w:rFonts w:cstheme="minorHAnsi"/>
        </w:rPr>
        <w:t xml:space="preserve"> (Downers Grove, Ill: IVP Academic, 2013), xv-xvi.</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{"citationID":"9RBSnVxH","properties":{"formattedCitation":"McGrath, {\\i{}Christian Theology}.","plainCitation":"McGrath, Christian Theology.","dontUpdate":true,"noteIndex":12},"citationItems":[{"id":1923,"uris":["http://zotero.org/users/7540819/items/XY7ZAMH3"],"itemData":{"id":1923,"type":"book","call-number":"BT65 .M34 2001","edition":"3rd ed","event-place":"Oxford ; Malden, MA","ISBN":"978-0-631-22527-0","number-of-pages":"616","publisher":"Blackwell Publishers","publisher-place":"Oxford ; Malden, MA","source":"Library of Congress ISBN","title":"Christian theology: an introduction","title-short":"Christian theology","author":[{"family":"McGrath","given":"Alister E."}],"issued":{"date-parts":[["2001"]]}}}],"schema":"https://github.com/citation-style-language/schema/raw/master/csl-citation.json"} </w:instrText>
      </w:r>
      <w:r w:rsidRPr="00921025">
        <w:rPr>
          <w:rFonts w:cstheme="minorHAnsi"/>
        </w:rPr>
        <w:fldChar w:fldCharType="separate"/>
      </w:r>
      <w:r w:rsidRPr="00921025">
        <w:rPr>
          <w:rFonts w:cstheme="minorHAnsi"/>
        </w:rPr>
        <w:t xml:space="preserve">McGrath, </w:t>
      </w:r>
      <w:r w:rsidRPr="00921025">
        <w:rPr>
          <w:rFonts w:cstheme="minorHAnsi"/>
          <w:i/>
          <w:iCs/>
        </w:rPr>
        <w:t>Christian Theology</w:t>
      </w:r>
      <w:r w:rsidRPr="00921025">
        <w:rPr>
          <w:rFonts w:cstheme="minorHAnsi"/>
        </w:rPr>
        <w:t>, 5-29.</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{"citationID":"5wwxmpcC","properties":{"formattedCitation":"Cyril of Alexandria, {\\i{}On the Unity of Christ}, trans. John Anthony McGuckin, Popular Patristics Series, Number 13 (Crestwood, NY: St. Vladimir\\uc0\\u8217{}s Seminary Press, 2000).","plainCitation":"Cyril of Alexandria, On the Unity of Christ, trans. John Anthony McGuckin, Popular Patristics Series, Number 13 (Crestwood, NY: St. Vladimir’s Seminary Press, 2000).","dontUpdate":true,"noteIndex":12},"citationItems":[{"id":3067,"uris":["http://zotero.org/users/7540819/items/U4NTUXCP"],"itemData":{"id":3067,"type":"book","call-number":"BR65.C953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 xml:space="preserve">Cyril of Alexandria, </w:t>
      </w:r>
      <w:r w:rsidRPr="00921025">
        <w:rPr>
          <w:rFonts w:cstheme="minorHAnsi"/>
          <w:i/>
          <w:iCs/>
        </w:rPr>
        <w:t>On the Unity of Christ</w:t>
      </w:r>
      <w:r w:rsidRPr="00921025">
        <w:rPr>
          <w:rFonts w:cstheme="minorHAnsi"/>
        </w:rPr>
        <w:t>, trans. John Anthony McGuckin, Popular Patristics Series, Number 13 (Crestwood, NY: St. Vladimir’s Seminary Press, 2000), 9-32.</w:t>
      </w:r>
      <w:r w:rsidRPr="00921025">
        <w:rPr>
          <w:rFonts w:cstheme="minorHAnsi"/>
        </w:rPr>
        <w:fldChar w:fldCharType="end"/>
      </w:r>
      <w:r w:rsidRPr="00921025">
        <w:rPr>
          <w:rFonts w:cstheme="minorHAnsi"/>
        </w:rPr>
        <w:t xml:space="preserve">; </w:t>
      </w:r>
      <w:r w:rsidRPr="00921025">
        <w:rPr>
          <w:rFonts w:cstheme="minorHAnsi"/>
          <w:i/>
          <w:iCs/>
        </w:rPr>
        <w:t>inter alia.</w:t>
      </w:r>
    </w:p>
  </w:footnote>
  <w:footnote w:id="13">
    <w:p w14:paraId="695E3320" w14:textId="1BE4FB44"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{"citationID":"j9NPbnKC","properties":{"formattedCitation":"McGuckin, {\\i{}Orthodox Monasticism Past and Present}.","plainCitation":"McGuckin, Orthodox Monasticism Past and Present.","dontUpdate":true,"noteIndex":13},"citationItems":[{"id":"jPE4Uklb/Y9tC6iLv","uris":["http://zotero.org/users/7540819/items/6U9YH2YK"],"itemData":{"id":"fawO400J/UCS1TqJR","type":"book","event-place":"New York","ISBN":"978-0-9835867-6-0","language":"eng","note":"OCLC: 898366285","publisher":"Theotokos Press","publisher-place":"New York","source":"Open WorldCat","title":"Orthodox monasticism past and present","editor":[{"family":"McGuckin","given":"John Anthony"}],"issued":{"date-parts":[["2014"]]}}}],"schema":"https://github.com/citation-style-language/schema/raw/master/csl-citation.json"} </w:instrText>
      </w:r>
      <w:r w:rsidRPr="00921025">
        <w:rPr>
          <w:rFonts w:cstheme="minorHAnsi"/>
        </w:rPr>
        <w:fldChar w:fldCharType="separate"/>
      </w:r>
      <w:r w:rsidRPr="00921025">
        <w:rPr>
          <w:rFonts w:cstheme="minorHAnsi"/>
        </w:rPr>
        <w:t xml:space="preserve">McGuckin, </w:t>
      </w:r>
      <w:r w:rsidRPr="00921025">
        <w:rPr>
          <w:rFonts w:cstheme="minorHAnsi"/>
          <w:i/>
          <w:iCs/>
        </w:rPr>
        <w:t>Orthodox Monasticism Past and Present,</w:t>
      </w:r>
      <w:r w:rsidRPr="00921025">
        <w:rPr>
          <w:rFonts w:cstheme="minorHAnsi"/>
        </w:rPr>
        <w:t xml:space="preserve"> 261.</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{"citationID":"A8ftodum","properties":{"formattedCitation":"William Witt, \\uc0\\u8216{}Non Sermoni Res\\uc0\\u8217{}, 10 February 2009, https://willgwitt.org/the-christology-of-cyril-of-alexandria/.","plainCitation":"William Witt, ‘Non Sermoni Res’, 10 February 2009, https://willgwitt.org/the-christology-of-cyril-of-alexandria/.","noteIndex":13},"citationItems":[{"id":3123,"uris":["http://zotero.org/users/7540819/items/D5IAYZC3"],"itemData":{"id":3123,"type":"webpage","title":"Non Sermoni Res","URL":"https://willgwitt.org/the-christology-of-cyril-of-alexandria/","author":[{"family":"Witt","given":"William"}],"accessed":{"date-parts":[["2024",2,12]]},"issued":{"date-parts":[["2009",2,10]]}}}],"schema":"https://github.com/citation-style-language/schema/raw/master/csl-citation.json"} </w:instrText>
      </w:r>
      <w:r w:rsidRPr="00921025">
        <w:rPr>
          <w:rFonts w:cstheme="minorHAnsi"/>
        </w:rPr>
        <w:fldChar w:fldCharType="separate"/>
      </w:r>
      <w:r w:rsidRPr="00921025">
        <w:rPr>
          <w:rFonts w:cstheme="minorHAnsi"/>
        </w:rPr>
        <w:t>William Witt, ‘Non Sermoni Res’, 10 February 2009, https://willgwitt.org/the-christology-of-cyril-of-alexandria/.</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{"citationID":"ZCegjTs1","properties":{"formattedCitation":"Moffett, {\\i{}A History of Christianity in Asia}.","plainCitation":"Moffett, A History of Christianity in Asia.","dontUpdate":true,"noteIndex":13},"citationItems":[{"id":3210,"uris":["http://zotero.org/users/7540819/items/BJS35DQM"],"itemData":{"id":3210,"type":"book","call-number":"275.009","event-place":"San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rsidRPr="00921025">
        <w:rPr>
          <w:rFonts w:cstheme="minorHAnsi"/>
        </w:rPr>
        <w:fldChar w:fldCharType="separate"/>
      </w:r>
      <w:r w:rsidRPr="00921025">
        <w:rPr>
          <w:rFonts w:cstheme="minorHAnsi"/>
        </w:rPr>
        <w:t xml:space="preserve">Moffett, </w:t>
      </w:r>
      <w:r w:rsidRPr="00921025">
        <w:rPr>
          <w:rFonts w:cstheme="minorHAnsi"/>
          <w:i/>
          <w:iCs/>
        </w:rPr>
        <w:t>A History of Christianity in Asia</w:t>
      </w:r>
      <w:r w:rsidRPr="00921025">
        <w:rPr>
          <w:rFonts w:cstheme="minorHAnsi"/>
        </w:rPr>
        <w:t>, 169-184.</w:t>
      </w:r>
      <w:r w:rsidRPr="00921025">
        <w:rPr>
          <w:rFonts w:cstheme="minorHAnsi"/>
        </w:rPr>
        <w:fldChar w:fldCharType="end"/>
      </w:r>
    </w:p>
  </w:footnote>
  <w:footnote w:id="14">
    <w:p w14:paraId="5DDC438A"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{"citationID":"mZkJprZZ","properties":{"formattedCitation":"John Philip Jenkins, {\\i{}Jesus Wars: How Four Patriarchs, Three Queens, and Two Emperors Decided What Christians Would Believe for the next 1,500 Years} (Place of publication not identified: HarperCollins e-Books, 2014).","plainCitation":"John Philip Jenkins, Jesus Wars: How Four Patriarchs, Three Queens, and Two Emperors Decided What Christians Would Believe for the next 1,500 Years (Place of publication not identified: HarperCollins e-Books, 2014).","dontUpdate":true,"noteIndex":14},"citationItems":[{"id":3190,"uris":["http://zotero.org/users/7540819/items/5G4IL8RM"],"itemData":{"id":3190,"type":"book","abstract":"The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rsidRPr="00921025">
        <w:rPr>
          <w:rFonts w:cstheme="minorHAnsi"/>
        </w:rPr>
        <w:fldChar w:fldCharType="separate"/>
      </w:r>
      <w:r w:rsidRPr="00921025">
        <w:rPr>
          <w:rFonts w:cstheme="minorHAnsi"/>
        </w:rPr>
        <w:t xml:space="preserve">John Philip Jenkins, </w:t>
      </w:r>
      <w:r w:rsidRPr="00921025">
        <w:rPr>
          <w:rFonts w:cstheme="minorHAnsi"/>
          <w:i/>
          <w:iCs/>
        </w:rPr>
        <w:t>Jesus Wars: How Four Patriarchs, Three Queens, and Two Emperors Decided What Christians Would Believe for the next 1,500 Years</w:t>
      </w:r>
      <w:r w:rsidRPr="00921025">
        <w:rPr>
          <w:rFonts w:cstheme="minorHAnsi"/>
        </w:rPr>
        <w:t xml:space="preserve"> (Place of publication not identified: HarperCollins e-Books, 2014), 30-31.</w:t>
      </w:r>
      <w:r w:rsidRPr="00921025">
        <w:rPr>
          <w:rFonts w:cstheme="minorHAnsi"/>
        </w:rPr>
        <w:fldChar w:fldCharType="end"/>
      </w:r>
    </w:p>
  </w:footnote>
  <w:footnote w:id="15">
    <w:p w14:paraId="6617FB11"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{"citationID":"qYrmPrvk","properties":{"formattedCitation":"John Anthony McGuckin and Cyril of Alexandria, {\\i{}St. Cyril of Alexandria: The Christological Controversy: Its History, Theology, and Texts}, Supplements to Vigiliae Christianae, v. 23 (Leiden\\uc0\\u8239{}; New York: E.J. Brill, 1994).","plainCitation":"John Anthony McGuckin and Cyril of Alexandria, St. Cyril of Alexandria: The Christological Controversy: Its History, Theology, and Texts, Supplements to Vigiliae Christianae, v. 23 (Leiden ; New York: E.J. Brill, 1994).","dontUpdate":true,"noteIndex":15},"citationItems":[{"id":3128,"uris":["http://zotero.org/users/7540819/items/W6UPG2IE"],"itemData":{"id":3128,"type":"book","call-number":"BT198 .M3994 1994","collection-number":"v. 23","collection-title":"Supplements to Vigiliae Christianae","event-place":"Leiden ; New York","ISBN":"978-90-04-09990-6","number-of-pages":"425","publisher":"E.J. Brill","publisher-place":"Leiden ; New York","source":"Library of Congress ISBN","title":"St. Cyril of Alexandria: the christological controversy: its history, theology, and texts","title-short":"St. Cyril, The Christological Controversy","author":[{"family":"McGuckin","given":"John Anthony"},{"family":"Cyril of Alexandria","given":""}],"issued":{"date-parts":[["1994"]]}}}],"schema":"https://github.com/citation-style-language/schema/raw/master/csl-citation.json"} </w:instrText>
      </w:r>
      <w:r w:rsidRPr="00921025">
        <w:rPr>
          <w:rFonts w:cstheme="minorHAnsi"/>
        </w:rPr>
        <w:fldChar w:fldCharType="separate"/>
      </w:r>
      <w:r w:rsidRPr="00921025">
        <w:rPr>
          <w:rFonts w:cstheme="minorHAnsi"/>
        </w:rPr>
        <w:t xml:space="preserve">John Anthony McGuckin and Cyril of Alexandria, </w:t>
      </w:r>
      <w:r w:rsidRPr="00921025">
        <w:rPr>
          <w:rFonts w:cstheme="minorHAnsi"/>
          <w:i/>
          <w:iCs/>
        </w:rPr>
        <w:t>St. Cyril of Alexandria: The Christological Controversy: Its History, Theology, and Texts</w:t>
      </w:r>
      <w:r w:rsidRPr="00921025">
        <w:rPr>
          <w:rFonts w:cstheme="minorHAnsi"/>
        </w:rPr>
        <w:t>, Supplements to Vigiliae Christianae, v. 23 (Leiden ; New York: E.J. Brill, 1994), 138-139.</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{"citationID":"rokkqSAv","properties":{"formattedCitation":"Jacques Dupuis, {\\i{}Who Do You Say I Am? Introduction to Christology} (Maryknoll, N.Y: Orbis, 1994).","plainCitation":"Jacques Dupuis, Who Do You Say I Am? Introduction to Christology (Maryknoll, N.Y: Orbis, 1994).","dontUpdate":true,"noteIndex":15},"citationItems":[{"id":3213,"uris":["http://zotero.org/users/7540819/items/VM73FISR"],"itemData":{"id":3213,"type":"book","call-number":"BT198 .D83 1994","event-place":"Maryknoll, N.Y","ISBN":"978-0-88344-940-0","number-of-pages":"194","publisher":"Orbis","publisher-place":"Maryknoll, N.Y","source":"Library of Congress ISBN","title":"Who do you say I am? introduction to Christology","title-short":"Who do you say I am?","author":[{"family":"Dupuis","given":"Jacques"}],"issued":{"date-parts":[["1994"]]}}}],"schema":"https://github.com/citation-style-language/schema/raw/master/csl-citation.json"} </w:instrText>
      </w:r>
      <w:r w:rsidRPr="00921025">
        <w:rPr>
          <w:rFonts w:cstheme="minorHAnsi"/>
        </w:rPr>
        <w:fldChar w:fldCharType="separate"/>
      </w:r>
      <w:r w:rsidRPr="00921025">
        <w:rPr>
          <w:rFonts w:cstheme="minorHAnsi"/>
        </w:rPr>
        <w:t xml:space="preserve">Jacques Dupuis, </w:t>
      </w:r>
      <w:r w:rsidRPr="00921025">
        <w:rPr>
          <w:rFonts w:cstheme="minorHAnsi"/>
          <w:i/>
          <w:iCs/>
        </w:rPr>
        <w:t>Who Do You Say I Am? Introduction to Christology</w:t>
      </w:r>
      <w:r w:rsidRPr="00921025">
        <w:rPr>
          <w:rFonts w:cstheme="minorHAnsi"/>
        </w:rPr>
        <w:t xml:space="preserve"> (Maryknoll, N.Y: Orbis, 1994), 88.</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{"citationID":"K2xhyMhp","properties":{"formattedCitation":"Alois Grillmeier, {\\i{}Christ in Christian Tradition} (Atlanta: John Knox Press, 1975).","plainCitation":"Alois Grillmeier, Christ in Christian Tradition (Atlanta: John Knox Press, 1975).","dontUpdate":true,"noteIndex":15},"citationItems":[{"id":3146,"uris":["http://zotero.org/users/7540819/items/3ELFMY8M"],"itemData":{"id":3146,"type":"book","call-number":"BT198 .G74313 1975b","event-place":"Atlanta","ISBN":"978-0-8042-0492-7","language":"eng","number-of-pages":"1","publisher":"John Knox Press","publisher-place":"Atlanta","source":"Library of Congress ISBN","title":"Christ in Christian tradition","author":[{"family":"Grillmeier","given":"Alois"}],"issued":{"date-parts":[["1975"]]}}}],"schema":"https://github.com/citation-style-language/schema/raw/master/csl-citation.json"} </w:instrText>
      </w:r>
      <w:r w:rsidRPr="00921025">
        <w:rPr>
          <w:rFonts w:cstheme="minorHAnsi"/>
        </w:rPr>
        <w:fldChar w:fldCharType="separate"/>
      </w:r>
      <w:r w:rsidRPr="00921025">
        <w:rPr>
          <w:rFonts w:cstheme="minorHAnsi"/>
        </w:rPr>
        <w:t xml:space="preserve">Alois Grillmeier, </w:t>
      </w:r>
      <w:r w:rsidRPr="00921025">
        <w:rPr>
          <w:rFonts w:cstheme="minorHAnsi"/>
          <w:i/>
          <w:iCs/>
        </w:rPr>
        <w:t>Christ in Christian Tradition</w:t>
      </w:r>
      <w:r w:rsidRPr="00921025">
        <w:rPr>
          <w:rFonts w:cstheme="minorHAnsi"/>
        </w:rPr>
        <w:t xml:space="preserve"> (Atlanta: John Knox Press, 1975), 478-483.</w:t>
      </w:r>
      <w:r w:rsidRPr="00921025">
        <w:rPr>
          <w:rFonts w:cstheme="minorHAnsi"/>
        </w:rPr>
        <w:fldChar w:fldCharType="end"/>
      </w:r>
    </w:p>
  </w:footnote>
  <w:footnote w:id="16">
    <w:p w14:paraId="4107B7A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{"citationID":"iIv6TQe0","properties":{"formattedCitation":"Daniel L. Migliore, {\\i{}Faith Seeking Understanding: An Introduction to Christian Theology}, 2nd ed (Grand Rapids, Mich: W.B. Eerdmans, 2004).","plainCitation":"Daniel L. Migliore, Faith Seeking Understanding: An Introduction to Christian Theology, 2nd ed (Grand Rapids, Mich: W.B. Eerdmans, 2004).","dontUpdate":true,"noteIndex":16},"citationItems":[{"id":2237,"uris":["http://zotero.org/users/7540819/items/ANXYXUU7"],"itemData":{"id":2237,"type":"book","call-number":"BT65 .M54 2004","edition":"2nd ed","event-place":"Grand Rapids, Mich","ISBN":"978-0-8028-2787-6","number-of-pages":"439","publisher":"W.B. Eerdmans","publisher-place":"Grand Rapids, Mich","source":"Library of Congress ISBN","title":"Faith seeking understanding: an introduction to Christian theology","title-short":"Faith seeking understanding","author":[{"family":"Migliore","given":"Daniel L."}],"issued":{"date-parts":[["2004"]]}}}],"schema":"https://github.com/citation-style-language/schema/raw/master/csl-citation.json"} </w:instrText>
      </w:r>
      <w:r w:rsidRPr="00921025">
        <w:rPr>
          <w:rFonts w:cstheme="minorHAnsi"/>
        </w:rPr>
        <w:fldChar w:fldCharType="separate"/>
      </w:r>
      <w:r w:rsidRPr="00921025">
        <w:rPr>
          <w:rFonts w:cstheme="minorHAnsi"/>
        </w:rPr>
        <w:t xml:space="preserve">Daniel L. Migliore, </w:t>
      </w:r>
      <w:r w:rsidRPr="00921025">
        <w:rPr>
          <w:rFonts w:cstheme="minorHAnsi"/>
          <w:i/>
          <w:iCs/>
        </w:rPr>
        <w:t>Faith Seeking Understanding: An Introduction to Christian Theology</w:t>
      </w:r>
      <w:r w:rsidRPr="00921025">
        <w:rPr>
          <w:rFonts w:cstheme="minorHAnsi"/>
        </w:rPr>
        <w:t>, 2nd ed (Grand Rapids, Mich: W.B. Eerdmans, 2004), 171.</w:t>
      </w:r>
      <w:r w:rsidRPr="00921025">
        <w:rPr>
          <w:rFonts w:cstheme="minorHAnsi"/>
        </w:rPr>
        <w:fldChar w:fldCharType="end"/>
      </w:r>
      <w:r w:rsidRPr="00921025">
        <w:rPr>
          <w:rFonts w:cstheme="minorHAnsi"/>
        </w:rPr>
        <w:fldChar w:fldCharType="begin"/>
      </w:r>
      <w:r w:rsidRPr="00921025">
        <w:rPr>
          <w:rFonts w:cstheme="minorHAnsi"/>
        </w:rPr>
        <w:instrText xml:space="preserve"> ADDIN ZOTERO_ITEM CSL_CITATION {"citationID":"ECIip4My","properties":{"formattedCitation":"Cyril of Alexandria, {\\i{}On the Unity of Christ}, trans. John Anthony McGuckin, Popular Patristics Series, Number 13 (Crestwood, NY: St. Vladimir\\uc0\\u8217{}s Seminary Press, 2000).","plainCitation":"Cyril of Alexandria, On the Unity of Christ, trans. John Anthony McGuckin, Popular Patristics Series, Number 13 (Crestwood, NY: St. Vladimir’s Seminary Press, 2000).","dontUpdate":true,"noteIndex":16},"citationItems":[{"id":3067,"uris":["http://zotero.org/users/7540819/items/U4NTUXCP"],"itemData":{"id":3067,"type":"book","call-number":"BR65.C953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00000000">
        <w:rPr>
          <w:rFonts w:cstheme="minorHAnsi"/>
        </w:rPr>
        <w:fldChar w:fldCharType="separate"/>
      </w:r>
      <w:r w:rsidRPr="00921025">
        <w:rPr>
          <w:rFonts w:cstheme="minorHAnsi"/>
        </w:rPr>
        <w:fldChar w:fldCharType="end"/>
      </w:r>
    </w:p>
  </w:footnote>
  <w:footnote w:id="17">
    <w:p w14:paraId="601C906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{"citationID":"iIARfGoV","properties":{"formattedCitation":"McGuckin, {\\i{}The Eastern Orthodox Church\\uc0\\u8239{}: A New History}.","plainCitation":"McGuckin, The Eastern Orthodox Church : A New History.","dontUpdate":true,"noteIndex":17},"citationItems":[{"id":3194,"uris":["http://zotero.org/users/7540819/items/66VJN4F6"],"itemData":{"id":3194,"type":"book","abstract":"An insider’s account of the Eastern Orthodox Church, from its beginning in the era of Jesus and the Apostles to the modern age In this short, accessible account of the Eastern Orthodox Church, John McGuckin begins by tackling the question “What is the Church?” His answer is a clear, historically and theologically rooted portrait of what the Church is for Orthodox Christianity and how it differs from Western Christians’ expectations. McGuckin explores the lived faith of generations, including sketches of some of the most important theological themes and individual personalities of the ancient and modern Church. He interweaves a personal approach throughout, offering to readers the experience of what it is like to enter an Orthodox church and witness its liturgy. In this astute and insightful book, he grapples with the reasons why many Western historians and societies have overlooked Orthodox Christianity and provides an important introduction to the Orthodox Church and the Eastern Christian World.","event-place":"New Haven, CT","ISBN":"978-0-300-25217-0","note":"DOI: 10.12987/9780300252170","publisher":"Yale University Press","publisher-place":"New Haven, CT","title":"The Eastern Orthodox Church : a new history","author":[{"family":"McGuckin","given":"John Anthony"}],"issued":{"date-parts":[["2020"]]}}}],"schema":"https://github.com/citation-style-language/schema/raw/master/csl-citation.json"} </w:instrText>
      </w:r>
      <w:r w:rsidRPr="00921025">
        <w:rPr>
          <w:rFonts w:cstheme="minorHAnsi"/>
        </w:rPr>
        <w:fldChar w:fldCharType="separate"/>
      </w:r>
      <w:r w:rsidRPr="00921025">
        <w:rPr>
          <w:rFonts w:cstheme="minorHAnsi"/>
        </w:rPr>
        <w:t xml:space="preserve">McGuckin, </w:t>
      </w:r>
      <w:r w:rsidRPr="00921025">
        <w:rPr>
          <w:rFonts w:cstheme="minorHAnsi"/>
          <w:i/>
          <w:iCs/>
        </w:rPr>
        <w:t>The Eastern Orthodox Church : A New History</w:t>
      </w:r>
      <w:r w:rsidRPr="00921025">
        <w:rPr>
          <w:rFonts w:cstheme="minorHAnsi"/>
        </w:rPr>
        <w:t>, 109-110.</w:t>
      </w:r>
      <w:r w:rsidRPr="00921025">
        <w:rPr>
          <w:rFonts w:cstheme="minorHAnsi"/>
        </w:rPr>
        <w:fldChar w:fldCharType="end"/>
      </w:r>
    </w:p>
  </w:footnote>
  <w:footnote w:id="18">
    <w:p w14:paraId="42DB9A8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Cf. for example </w:t>
      </w:r>
      <w:r w:rsidRPr="00921025">
        <w:rPr>
          <w:rFonts w:cstheme="minorHAnsi"/>
        </w:rPr>
        <w:fldChar w:fldCharType="begin"/>
      </w:r>
      <w:r w:rsidRPr="00921025">
        <w:rPr>
          <w:rFonts w:cstheme="minorHAnsi"/>
        </w:rPr>
        <w:instrText xml:space="preserve"> ADDIN ZOTERO_ITEM CSL_CITATION {"citationID":"6IbIUd3k","properties":{"formattedCitation":"Cyril of Alexandria, {\\i{}On the Unity of Christ}, trans. John Anthony McGuckin, Popular Patristics Series, Number 13 (Crestwood, NY: St. Vladimir\\uc0\\u8217{}s Seminary Press, 2000).","plainCitation":"Cyril of Alexandria, On the Unity of Christ, trans. John Anthony McGuckin, Popular Patristics Series, Number 13 (Crestwood, NY: St. Vladimir’s Seminary Press, 2000).","dontUpdate":true,"noteIndex":18},"citationItems":[{"id":3067,"uris":["http://zotero.org/users/7540819/items/U4NTUXCP"],"itemData":{"id":3067,"type":"book","call-number":"BR65.C953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 xml:space="preserve">Cyril of Alexandria, </w:t>
      </w:r>
      <w:r w:rsidRPr="00921025">
        <w:rPr>
          <w:rFonts w:cstheme="minorHAnsi"/>
          <w:i/>
          <w:iCs/>
        </w:rPr>
        <w:t>On the Unity of Christ</w:t>
      </w:r>
      <w:r w:rsidRPr="00921025">
        <w:rPr>
          <w:rFonts w:cstheme="minorHAnsi"/>
        </w:rPr>
        <w:t>, trans. John Anthony McGuckin, Popular Patristics Series, Number 13 (Crestwood, NY: St. Vladimir’s Seminary Press, 2000), 64-69.</w:t>
      </w:r>
      <w:r w:rsidRPr="00921025">
        <w:rPr>
          <w:rFonts w:cstheme="minorHAnsi"/>
        </w:rPr>
        <w:fldChar w:fldCharType="end"/>
      </w:r>
    </w:p>
  </w:footnote>
  <w:footnote w:id="19">
    <w:p w14:paraId="7DC3025A"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{"citationID":"eOeo4pee","properties":{"formattedCitation":"Cyril of Alexandria.","plainCitation":"Cyril of Alexandria.","dontUpdate":true,"noteIndex":19},"citationItems":[{"id":3067,"uris":["http://zotero.org/users/7540819/items/U4NTUXCP"],"itemData":{"id":3067,"type":"book","call-number":"BR65.C953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68-71.</w:t>
      </w:r>
      <w:r w:rsidRPr="00921025">
        <w:rPr>
          <w:rFonts w:cstheme="minorHAnsi"/>
        </w:rPr>
        <w:fldChar w:fldCharType="end"/>
      </w:r>
    </w:p>
  </w:footnote>
  <w:footnote w:id="20">
    <w:p w14:paraId="3D3E3F71"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{"citationID":"ZlTaiLsh","properties":{"formattedCitation":"Cyril of Alexandria.","plainCitation":"Cyril of Alexandria.","dontUpdate":true,"noteIndex":20},"citationItems":[{"id":3067,"uris":["http://zotero.org/users/7540819/items/U4NTUXCP"],"itemData":{"id":3067,"type":"book","call-number":"BR65.C953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72-74.</w:t>
      </w:r>
      <w:r w:rsidRPr="00921025">
        <w:rPr>
          <w:rFonts w:cstheme="minorHAnsi"/>
        </w:rPr>
        <w:fldChar w:fldCharType="end"/>
      </w:r>
    </w:p>
  </w:footnote>
  <w:footnote w:id="21">
    <w:p w14:paraId="1814989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{"citationID":"BbKltbbj","properties":{"formattedCitation":"Cyril of Alexandria.","plainCitation":"Cyril of Alexandria.","dontUpdate":true,"noteIndex":21},"citationItems":[{"id":3067,"uris":["http://zotero.org/users/7540819/items/U4NTUXCP"],"itemData":{"id":3067,"type":"book","call-number":"BR65.C953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77-78.</w:t>
      </w:r>
      <w:r w:rsidRPr="00921025">
        <w:rPr>
          <w:rFonts w:cstheme="minorHAnsi"/>
        </w:rPr>
        <w:fldChar w:fldCharType="end"/>
      </w:r>
    </w:p>
  </w:footnote>
  <w:footnote w:id="22">
    <w:p w14:paraId="692D7CDD" w14:textId="78E9B8C0"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{"citationID":"vAdmh1fH","properties":{"formattedCitation":"Henry Bettenson and Chris Maunder, eds., {\\i{}Documents of the Christian Church}, 4th ed. / edited by Chris Maunder (Oxford\\uc0\\u8239{}; New York: Oxford University Press, 2011).","plainCitation":"Henry Bettenson and Chris Maunder, eds., Documents of the Christian Church, 4th ed. / edited by Chris Maunder (Oxford ; New York: Oxford University Press, 2011).","dontUpdate":true,"noteIndex":22},"citationItems":[{"id":2434,"uris":["http://zotero.org/users/7540819/items/Q28MSHTL"],"itemData":{"id":2434,"type":"book","call-number":"BR141 .D63 2011","edition":"4th ed. / edited by Chris Maunder","event-place":"Oxford ; New York","ISBN":"978-0-19-956898-7","number-of-pages":"529","publisher":"Oxford University Press","publisher-place":"Oxford ; New York","source":"Library of Congress ISBN","title":"Documents of the Christian church","editor":[{"family":"Bettenson","given":"Henry"},{"family":"Maunder","given":"Chris"}],"issued":{"date-parts":[["2011"]]}}}],"schema":"https://github.com/citation-style-language/schema/raw/master/csl-citation.json"} </w:instrText>
      </w:r>
      <w:r w:rsidRPr="00921025">
        <w:rPr>
          <w:rFonts w:cstheme="minorHAnsi"/>
        </w:rPr>
        <w:fldChar w:fldCharType="separate"/>
      </w:r>
      <w:r w:rsidRPr="00921025">
        <w:rPr>
          <w:rFonts w:cstheme="minorHAnsi"/>
        </w:rPr>
        <w:t xml:space="preserve">Henry </w:t>
      </w:r>
      <w:proofErr w:type="spellStart"/>
      <w:r w:rsidRPr="00921025">
        <w:rPr>
          <w:rFonts w:cstheme="minorHAnsi"/>
        </w:rPr>
        <w:t>Bettenson</w:t>
      </w:r>
      <w:proofErr w:type="spellEnd"/>
      <w:r w:rsidRPr="00921025">
        <w:rPr>
          <w:rFonts w:cstheme="minorHAnsi"/>
        </w:rPr>
        <w:t xml:space="preserve"> and Chris Maunder, eds., </w:t>
      </w:r>
      <w:r w:rsidRPr="00921025">
        <w:rPr>
          <w:rFonts w:cstheme="minorHAnsi"/>
          <w:i/>
          <w:iCs/>
        </w:rPr>
        <w:t>Documents of the Christian Church</w:t>
      </w:r>
      <w:r w:rsidRPr="00921025">
        <w:rPr>
          <w:rFonts w:cstheme="minorHAnsi"/>
        </w:rPr>
        <w:t>, 4th ed. / edited by Chris Maunder (Oxford ; New York: Oxford University Press, 2011), 56.</w:t>
      </w:r>
      <w:r w:rsidRPr="00921025">
        <w:rPr>
          <w:rFonts w:cstheme="minorHAnsi"/>
        </w:rPr>
        <w:fldChar w:fldCharType="end"/>
      </w:r>
    </w:p>
  </w:footnote>
  <w:footnote w:id="23">
    <w:p w14:paraId="111C1F1A"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{"citationID":"dWBdYI4b","properties":{"formattedCitation":"Thomas Weinandy and Daniel A. Keating, eds., {\\i{}The Theology of St. Cyril of Alexandria: A Critical Appreciation} (London: T &amp; T Clark, 2003).","plainCitation":"Thomas Weinandy and Daniel A. Keating, eds., The Theology of St. Cyril of Alexandria: A Critical Appreciation (London: T &amp; T Clark, 2003).","dontUpdate":true,"noteIndex":23},"citationItems":[{"id":3211,"uris":["http://zotero.org/users/7540819/items/D9NG33EA"],"itemData":{"id":3211,"type":"book","event-place":"London","ISBN":"978-0-567-08882-6","language":"eng","number-of-pages":"269","publisher":"T &amp; T Clark","publisher-place":"London","source":"K10plus ISBN","title":"The theology of St. Cyril of Alexandria: a critical appreciation","title-short":"The theology of St. Cyril of Alexandria","editor":[{"family":"Weinandy","given":"Thomas"},{"family":"Keating","given":"Daniel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 xml:space="preserve">Thomas Weinandy and Daniel A. Keating, eds., </w:t>
      </w:r>
      <w:r w:rsidRPr="00921025">
        <w:rPr>
          <w:rFonts w:cstheme="minorHAnsi"/>
          <w:i/>
          <w:iCs/>
        </w:rPr>
        <w:t>The Theology of St. Cyril of Alexandria: A Critical Appreciation</w:t>
      </w:r>
      <w:r w:rsidRPr="00921025">
        <w:rPr>
          <w:rFonts w:cstheme="minorHAnsi"/>
        </w:rPr>
        <w:t xml:space="preserve"> (London: T &amp; T Clark, 2003), 65.</w:t>
      </w:r>
      <w:r w:rsidRPr="00921025">
        <w:rPr>
          <w:rFonts w:cstheme="minorHAnsi"/>
        </w:rPr>
        <w:fldChar w:fldCharType="end"/>
      </w:r>
    </w:p>
  </w:footnote>
  <w:footnote w:id="24">
    <w:p w14:paraId="7EE1E2BC"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{"citationID":"gdHYSpUa","properties":{"formattedCitation":"\\uc0\\u8216{}Second Letter to Nestorius\\uc0\\u8217{}, accessed 4 April 2024, http://www.liturgies.net/saints/cyrilalexandria/nestorius2.htm.","plainCitation":"‘Second Letter to Nestorius’, accessed 4 April 2024, http://www.liturgies.net/saints/cyrilalexandria/nestorius2.htm.","noteIndex":24},"citationItems":[{"id":3214,"uris":["http://zotero.org/users/7540819/items/3AH8X2HM"],"itemData":{"id":3214,"type":"webpage","title":"Second Letter to Nestorius","URL":"http://www.liturgies.net/saints/cyrilalexandria/nestorius2.htm","accessed":{"date-parts":[["2024",4,4]]}}}],"schema":"https://github.com/citation-style-language/schema/raw/master/csl-citation.json"} </w:instrText>
      </w:r>
      <w:r w:rsidRPr="00921025">
        <w:rPr>
          <w:rFonts w:cstheme="minorHAnsi"/>
        </w:rPr>
        <w:fldChar w:fldCharType="separate"/>
      </w:r>
      <w:r w:rsidRPr="00921025">
        <w:rPr>
          <w:rFonts w:cstheme="minorHAnsi"/>
        </w:rPr>
        <w:t>‘Second Letter to Nestorius’, accessed 4 April 2024, http://www.liturgies.net/saints/cyrilalexandria/nestorius2.htm.</w:t>
      </w:r>
      <w:r w:rsidRPr="00921025">
        <w:rPr>
          <w:rFonts w:cstheme="minorHAnsi"/>
        </w:rPr>
        <w:fldChar w:fldCharType="end"/>
      </w:r>
    </w:p>
  </w:footnote>
  <w:footnote w:id="25">
    <w:p w14:paraId="3AC452A3"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{"citationID":"6N03hI7h","properties":{"formattedCitation":"Artemi, \\uc0\\u8216{}Cyril of Alexandria\\uc0\\u8217{}s Critique of the Term Theotokos by Nestorius Constantinople\\uc0\\u8217{}.","plainCitation":"Artemi, ‘Cyril of Alexandria’s Critique of the Term Theotokos by Nestorius Constantinople’.","dontUpdate":true,"noteIndex":25},"citationItems":[{"id":3167,"uris":["http://zotero.org/users/7540819/items/ZQKCGBYW"],"itemData":{"id":3167,"type":"article-journal","abstract":"The God Word became truly human. He had the real human nature (body and soul), but without propensity to sin. Jesus Christ was the incarnate Word of God. He was born of the Virgin Mary and conceived by the Holy Spirit. His divinity is manifest in the extraordinary circumstances of His birth and, in particular, in the preservation of the virginity of the Theotokos. His humanity is guaranteed in that He was born of a woman, a real historical person. Nestorius of Constantinople rejected the title Theotokos for the mother of the incarnated Word. He insisted that Mary as a human being could give birth only to a human being, and not to God. He persisted in calling the Virgin Mary Christotokos. This teaching jeopardised the salvation of the human race. Cyril of Alexandria disproved this erroneous belief and supported the reason why the mother of God should be called Theotokos.","archive":"ProQuest Central","archive_location":"2183288461","container-title":"Acta Theologica","ISSN":"10158758","issue":"2","language":"English","note":"publisher-place: Bloemfontein\npublisher: University of the Free State Faculty of Theology","page":"1-16","title":"Cyril of Alexandria's critique of the term Theotokos by Nestorius Constantinople","volume":"32","author":[{"family":"Artemi","given":"Eirini"}],"issued":{"date-parts":[["2012",12]]}}}],"schema":"https://github.com/citation-style-language/schema/raw/master/csl-citation.json"} </w:instrText>
      </w:r>
      <w:r w:rsidRPr="00921025">
        <w:rPr>
          <w:rFonts w:cstheme="minorHAnsi"/>
        </w:rPr>
        <w:fldChar w:fldCharType="separate"/>
      </w:r>
      <w:r w:rsidRPr="00921025">
        <w:rPr>
          <w:rFonts w:cstheme="minorHAnsi"/>
        </w:rPr>
        <w:t>Artemi, ‘Cyril of Alexandria’s Critique of the Term Theotokos by Nestorius Constantinople’, 2.</w:t>
      </w:r>
      <w:r w:rsidRPr="00921025">
        <w:rPr>
          <w:rFonts w:cstheme="minorHAnsi"/>
        </w:rPr>
        <w:fldChar w:fldCharType="end"/>
      </w:r>
    </w:p>
  </w:footnote>
  <w:footnote w:id="26">
    <w:p w14:paraId="18A3194C"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{"citationID":"4674xWqs","properties":{"formattedCitation":"Cyril of Alexandria.","plainCitation":"Cyril of Alexandria.","dontUpdate":true,"noteIndex":26},"citationItems":[{"id":3067,"uris":["http://zotero.org/users/7540819/items/U4NTUXCP"],"itemData":{"id":3067,"type":"book","call-number":"BR65.C953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52.</w:t>
      </w:r>
      <w:r w:rsidRPr="00921025">
        <w:rPr>
          <w:rFonts w:cstheme="minorHAnsi"/>
        </w:rPr>
        <w:fldChar w:fldCharType="end"/>
      </w:r>
    </w:p>
  </w:footnote>
  <w:footnote w:id="27">
    <w:p w14:paraId="440E4988"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{"citationID":"qPgl63Hc","properties":{"formattedCitation":"Cyril of Alexandria.","plainCitation":"Cyril of Alexandria.","dontUpdate":true,"noteIndex":27},"citationItems":[{"id":3067,"uris":["http://zotero.org/users/7540819/items/U4NTUXCP"],"itemData":{"id":3067,"type":"book","call-number":"BR65.C953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62.</w:t>
      </w:r>
      <w:r w:rsidRPr="00921025">
        <w:rPr>
          <w:rFonts w:cstheme="minorHAnsi"/>
        </w:rPr>
        <w:fldChar w:fldCharType="end"/>
      </w:r>
    </w:p>
  </w:footnote>
  <w:footnote w:id="28">
    <w:p w14:paraId="7327C6D6" w14:textId="048E322C"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{"citationID":"9cwFQgtp","properties":{"formattedCitation":"Bettenson and Maunder, {\\i{}Documents of the Christian Church}.","plainCitation":"Bettenson and Maunder, Documents of the Christian Church.","dontUpdate":true,"noteIndex":28},"citationItems":[{"id":2434,"uris":["http://zotero.org/users/7540819/items/Q28MSHTL"],"itemData":{"id":2434,"type":"book","call-number":"BR141 .D63 2011","edition":"4th ed. / edited by Chris Maunder","event-place":"Oxford ; New York","ISBN":"978-0-19-956898-7","number-of-pages":"529","publisher":"Oxford University Press","publisher-place":"Oxford ; New York","source":"Library of Congress ISBN","title":"Documents of the Christian church","editor":[{"family":"Bettenson","given":"Henry"},{"family":"Maunder","given":"Chris"}],"issued":{"date-parts":[["2011"]]}}}],"schema":"https://github.com/citation-style-language/schema/raw/master/csl-citation.json"} </w:instrText>
      </w:r>
      <w:r w:rsidRPr="00921025">
        <w:rPr>
          <w:rFonts w:cstheme="minorHAnsi"/>
        </w:rPr>
        <w:fldChar w:fldCharType="separate"/>
      </w:r>
      <w:proofErr w:type="spellStart"/>
      <w:r w:rsidRPr="00921025">
        <w:rPr>
          <w:rFonts w:cstheme="minorHAnsi"/>
        </w:rPr>
        <w:t>Bettenson</w:t>
      </w:r>
      <w:proofErr w:type="spellEnd"/>
      <w:r w:rsidRPr="00921025">
        <w:rPr>
          <w:rFonts w:cstheme="minorHAnsi"/>
        </w:rPr>
        <w:t xml:space="preserve"> and Maunder, </w:t>
      </w:r>
      <w:r w:rsidRPr="00921025">
        <w:rPr>
          <w:rFonts w:cstheme="minorHAnsi"/>
          <w:i/>
          <w:iCs/>
        </w:rPr>
        <w:t>Documents of the Christian Church</w:t>
      </w:r>
      <w:r w:rsidRPr="00921025">
        <w:rPr>
          <w:rFonts w:cstheme="minorHAnsi"/>
        </w:rPr>
        <w:t>, 50.</w:t>
      </w:r>
      <w:r w:rsidRPr="00921025">
        <w:rPr>
          <w:rFonts w:cstheme="minorHAnsi"/>
        </w:rPr>
        <w:fldChar w:fldCharType="end"/>
      </w:r>
    </w:p>
  </w:footnote>
  <w:footnote w:id="29">
    <w:p w14:paraId="5803F72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{"citationID":"gN1RYAb4","properties":{"formattedCitation":"Cyril of Alexandria.","plainCitation":"Cyril of Alexandria.","dontUpdate":true,"noteIndex":29},"citationItems":[{"id":3067,"uris":["http://zotero.org/users/7540819/items/U4NTUXCP"],"itemData":{"id":3067,"type":"book","call-number":"BR65.C953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63-65.</w:t>
      </w:r>
      <w:r w:rsidRPr="00921025">
        <w:rPr>
          <w:rFonts w:cstheme="minorHAnsi"/>
        </w:rPr>
        <w:fldChar w:fldCharType="end"/>
      </w:r>
    </w:p>
  </w:footnote>
  <w:footnote w:id="30">
    <w:p w14:paraId="2B2E67DE"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{"citationID":"nQkqRHB0","properties":{"formattedCitation":"Cyril of Alexandria.","plainCitation":"Cyril of Alexandria.","dontUpdate":true,"noteIndex":30},"citationItems":[{"id":3067,"uris":["http://zotero.org/users/7540819/items/U4NTUXCP"],"itemData":{"id":3067,"type":"book","call-number":"BR65.C953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127.</w:t>
      </w:r>
      <w:r w:rsidRPr="00921025">
        <w:rPr>
          <w:rFonts w:cstheme="minorHAnsi"/>
        </w:rPr>
        <w:fldChar w:fldCharType="end"/>
      </w:r>
    </w:p>
  </w:footnote>
  <w:footnote w:id="31">
    <w:p w14:paraId="2E53866B"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{"citationID":"0q2vliAt","properties":{"formattedCitation":"Cyril of Alexandria.","plainCitation":"Cyril of Alexandria.","dontUpdate":true,"noteIndex":31},"citationItems":[{"id":3067,"uris":["http://zotero.org/users/7540819/items/U4NTUXCP"],"itemData":{"id":3067,"type":"book","call-number":"BR65.C953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124.</w:t>
      </w:r>
      <w:r w:rsidRPr="00921025">
        <w:rPr>
          <w:rFonts w:cstheme="minorHAnsi"/>
        </w:rPr>
        <w:fldChar w:fldCharType="end"/>
      </w:r>
    </w:p>
  </w:footnote>
  <w:footnote w:id="32">
    <w:p w14:paraId="5558776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{"citationID":"Y5pPKCpx","properties":{"formattedCitation":"Cyril of Alexandria.","plainCitation":"Cyril of Alexandria.","dontUpdate":true,"noteIndex":32},"citationItems":[{"id":3067,"uris":["http://zotero.org/users/7540819/items/U4NTUXCP"],"itemData":{"id":3067,"type":"book","call-number":"BR65.C953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65-68.</w:t>
      </w:r>
      <w:r w:rsidRPr="00921025">
        <w:rPr>
          <w:rFonts w:cstheme="minorHAnsi"/>
        </w:rPr>
        <w:fldChar w:fldCharType="end"/>
      </w:r>
    </w:p>
  </w:footnote>
  <w:footnote w:id="33">
    <w:p w14:paraId="3DE8D380" w14:textId="3286C576"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{"citationID":"veZbB2u3","properties":{"formattedCitation":"Ellen Concannon, \\uc0\\u8216{}The Eucharist as Source of St. Cyril of Alexandria\\uc0\\u8217{}s Christology: Pro Ecclesia\\uc0\\u8217{}, {\\i{}Pro Ecclesia} 18, no. 3 (2009): 318\\uc0\\u8211{}36.","plainCitation":"Ellen Concannon, ‘The Eucharist as Source of St. Cyril of Alexandria’s Christology: Pro Ecclesia’, Pro Ecclesia 18, no. 3 (2009): 318–36.","dontUpdate":true,"noteIndex":33},"citationItems":[{"id":3200,"uris":["http://zotero.org/users/7540819/items/EA9R2E2Q"],"itemData":{"id":3200,"type":"article-journal","container-title":"Pro Ecclesia","ISSN":"1063-8512","issue":"3","page":"318-336","source":"EBSCOhost","title":"The Eucharist as source of St. Cyril of Alexandria's Christology: Pro Ecclesia","title-short":"The Eucharist as source of St. Cyril of Alexandria's Christology","volume":"18","author":[{"family":"Concannon","given":"Ellen"}],"issued":{"date-parts":[["2009"]]}}}],"schema":"https://github.com/citation-style-language/schema/raw/master/csl-citation.json"} </w:instrText>
      </w:r>
      <w:r w:rsidRPr="00921025">
        <w:rPr>
          <w:rFonts w:cstheme="minorHAnsi"/>
        </w:rPr>
        <w:fldChar w:fldCharType="separate"/>
      </w:r>
      <w:r w:rsidRPr="00921025">
        <w:rPr>
          <w:rFonts w:cstheme="minorHAnsi"/>
        </w:rPr>
        <w:t xml:space="preserve">Ellen Concannon, ‘The Eucharist as Source of St. Cyril of Alexandria’s Christology: Pro Ecclesia’, </w:t>
      </w:r>
      <w:r w:rsidRPr="00921025">
        <w:rPr>
          <w:rFonts w:cstheme="minorHAnsi"/>
          <w:i/>
          <w:iCs/>
        </w:rPr>
        <w:t>Pro Ecclesia</w:t>
      </w:r>
      <w:r w:rsidRPr="00921025">
        <w:rPr>
          <w:rFonts w:cstheme="minorHAnsi"/>
        </w:rPr>
        <w:t xml:space="preserve"> 18, no. 3 (2009): 334.</w:t>
      </w:r>
      <w:r w:rsidRPr="00921025">
        <w:rPr>
          <w:rFonts w:cstheme="minorHAnsi"/>
        </w:rPr>
        <w:fldChar w:fldCharType="end"/>
      </w:r>
    </w:p>
  </w:footnote>
  <w:footnote w:id="34">
    <w:p w14:paraId="2806BABB"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Cf. </w:t>
      </w:r>
      <w:r w:rsidRPr="00921025">
        <w:rPr>
          <w:rFonts w:cstheme="minorHAnsi"/>
        </w:rPr>
        <w:fldChar w:fldCharType="begin"/>
      </w:r>
      <w:r w:rsidRPr="00921025">
        <w:rPr>
          <w:rFonts w:cstheme="minorHAnsi"/>
        </w:rPr>
        <w:instrText xml:space="preserve"> ADDIN ZOTERO_ITEM CSL_CITATION {"citationID":"UzUC53Vm","properties":{"formattedCitation":"Cyril of Alexandria, {\\i{}On the Unity of Christ}.","plainCitation":"Cyril of Alexandria, On the Unity of Christ.","dontUpdate":true,"noteIndex":34},"citationItems":[{"id":3067,"uris":["http://zotero.org/users/7540819/items/U4NTUXCP"],"itemData":{"id":3067,"type":"book","call-number":"BR65.C953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 xml:space="preserve">Cyril of Alexandria, </w:t>
      </w:r>
      <w:r w:rsidRPr="00921025">
        <w:rPr>
          <w:rFonts w:cstheme="minorHAnsi"/>
          <w:i/>
          <w:iCs/>
        </w:rPr>
        <w:t>On the Unity of Christ</w:t>
      </w:r>
      <w:r w:rsidRPr="00921025">
        <w:rPr>
          <w:rFonts w:cstheme="minorHAnsi"/>
        </w:rPr>
        <w:t>, 56 and 69.</w:t>
      </w:r>
      <w:r w:rsidRPr="00921025">
        <w:rPr>
          <w:rFonts w:cstheme="minorHAnsi"/>
        </w:rPr>
        <w:fldChar w:fldCharType="end"/>
      </w:r>
      <w:r w:rsidRPr="00921025">
        <w:rPr>
          <w:rFonts w:cstheme="minorHAnsi"/>
        </w:rPr>
        <w:t xml:space="preserve"> (both referring to 2 Cor 2:21). </w:t>
      </w:r>
    </w:p>
  </w:footnote>
  <w:footnote w:id="35">
    <w:p w14:paraId="25365A9F" w14:textId="61980C2C"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{"citationID":"HhQ6jGmC","properties":{"formattedCitation":"Frances Young, \\uc0\\u8216{}Theotokos: Mary and the Pattern of Fall and Redemption in The Theology of Cyril of Alexandria\\uc0\\u8217{}, in {\\i{}The Theology of St. Cyril of Alexandria: A Critical Appreciation}, ed. Thomas G. Weinandy and Daniel A. Keating (London: T &amp; T Clark, 2003), 55\\uc0\\u8211{}74.","plainCitation":"Frances Young, ‘Theotokos: Mary and the Pattern of Fall and Redemption in The Theology of Cyril of Alexandria’, in The Theology of St. Cyril of Alexandria: A Critical Appreciation, ed. Thomas G. Weinandy and Daniel A. Keating (London: T &amp; T Clark, 2003), 55–74.","dontUpdate":true,"noteIndex":35},"citationItems":[{"id":3217,"uris":["http://zotero.org/users/7540819/items/AZINRGJS"],"itemData":{"id":3217,"type":"chapter","abstract":"There is no book in English that treats the whole of Cyril's theological thought. In the past scholars have normally focused on Cyril's Christology and left largely unexamined the remainder of his theological thought. Thus the English-speaking scholarly community has never fully appreciated the breadth, the depth and the immense significance of Cyril's theology. This book is therefore unique. The editors have brought together many of the foremost experts on Cyril. This international team examines all the major facets of his theology, and here for the first time reveals the theology of Cyril of","container-title":"The theology of St. Cyril of Alexandria: a critical appreciation","event-place":"London","ISBN":"978-0-567-60364-7","language":"eng","note":"OCLC: 741690829","page":"55-74","publisher":"T &amp; T Clark","publisher-place":"London","source":"Open WorldCat","title":"Theotokos: Mary and the Pattern of Fall and Redemption in The theology of Cyril of Alexandria","title-short":"Theotokos","author":[{"family":"Young","given":"Frances"}],"editor":[{"family":"Weinandy","given":"Thomas G."},{"family":"Keating","given":"Daniel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Frances Young, ‘</w:t>
      </w:r>
      <w:proofErr w:type="spellStart"/>
      <w:r w:rsidRPr="00921025">
        <w:rPr>
          <w:rFonts w:cstheme="minorHAnsi"/>
        </w:rPr>
        <w:t>Theotokos</w:t>
      </w:r>
      <w:proofErr w:type="spellEnd"/>
      <w:r w:rsidRPr="00921025">
        <w:rPr>
          <w:rFonts w:cstheme="minorHAnsi"/>
        </w:rPr>
        <w:t xml:space="preserve">: Mary and the Pattern of Fall and Redemption in The Theology of Cyril of Alexandria’, in </w:t>
      </w:r>
      <w:r w:rsidRPr="00921025">
        <w:rPr>
          <w:rFonts w:cstheme="minorHAnsi"/>
          <w:i/>
          <w:iCs/>
        </w:rPr>
        <w:t>The Theology of St. Cyril of Alexandria: A Critical Appreciation</w:t>
      </w:r>
      <w:r w:rsidRPr="00921025">
        <w:rPr>
          <w:rFonts w:cstheme="minorHAnsi"/>
        </w:rPr>
        <w:t>, ed. Thomas G. Weinandy and Daniel A. Keating (London: T &amp; T Clark, 2003), 66.</w:t>
      </w:r>
      <w:r w:rsidRPr="00921025">
        <w:rPr>
          <w:rFonts w:cstheme="minorHAnsi"/>
        </w:rPr>
        <w:fldChar w:fldCharType="end"/>
      </w:r>
    </w:p>
  </w:footnote>
  <w:footnote w:id="36">
    <w:p w14:paraId="313F529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Philippians 2:7.</w:t>
      </w:r>
    </w:p>
  </w:footnote>
  <w:footnote w:id="37">
    <w:p w14:paraId="654F3F1E" w14:textId="0EE25DF0"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{"citationID":"kuR7faW0","properties":{"formattedCitation":"Young, \\uc0\\u8216{}Theotokos: Mary and the Pattern of Fall and Redemption in The Theology of Cyril of Alexandria\\uc0\\u8217{}.","plainCitation":"Young, ‘Theotokos: Mary and the Pattern of Fall and Redemption in The Theology of Cyril of Alexandria’.","dontUpdate":true,"noteIndex":37},"citationItems":[{"id":3217,"uris":["http://zotero.org/users/7540819/items/AZINRGJS"],"itemData":{"id":3217,"type":"chapter","abstract":"There is no book in English that treats the whole of Cyril's theological thought. In the past scholars have normally focused on Cyril's Christology and left largely unexamined the remainder of his theological thought. Thus the English-speaking scholarly community has never fully appreciated the breadth, the depth and the immense significance of Cyril's theology. This book is therefore unique. The editors have brought together many of the foremost experts on Cyril. This international team examines all the major facets of his theology, and here for the first time reveals the theology of Cyril of","container-title":"The theology of St. Cyril of Alexandria: a critical appreciation","event-place":"London","ISBN":"978-0-567-60364-7","language":"eng","note":"OCLC: 741690829","page":"55-74","publisher":"T &amp; T Clark","publisher-place":"London","source":"Open WorldCat","title":"Theotokos: Mary and the Pattern of Fall and Redemption in The theology of Cyril of Alexandria","title-short":"Theotokos","author":[{"family":"Young","given":"Frances"}],"editor":[{"family":"Weinandy","given":"Thomas G."},{"family":"Keating","given":"Daniel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Young, ‘</w:t>
      </w:r>
      <w:proofErr w:type="spellStart"/>
      <w:r w:rsidRPr="00921025">
        <w:rPr>
          <w:rFonts w:cstheme="minorHAnsi"/>
        </w:rPr>
        <w:t>Theotokos</w:t>
      </w:r>
      <w:proofErr w:type="spellEnd"/>
      <w:r w:rsidRPr="00921025">
        <w:rPr>
          <w:rFonts w:cstheme="minorHAnsi"/>
        </w:rPr>
        <w:t>: Mary and the Pattern of Fall and Redemption in The Theology of Cyril of Alexandria’, 67.</w:t>
      </w:r>
      <w:r w:rsidRPr="00921025">
        <w:rPr>
          <w:rFonts w:cstheme="minorHAnsi"/>
        </w:rPr>
        <w:fldChar w:fldCharType="end"/>
      </w:r>
    </w:p>
  </w:footnote>
  <w:footnote w:id="38">
    <w:p w14:paraId="2C3555D0" w14:textId="3925736E"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{"citationID":"ynbqtIib","properties":{"formattedCitation":"Cyril of Alexandria, {\\i{}On the Unity of Christ}.","plainCitation":"Cyril of Alexandria, On the Unity of Christ.","dontUpdate":true,"noteIndex":38},"citationItems":[{"id":3067,"uris":["http://zotero.org/users/7540819/items/U4NTUXCP"],"itemData":{"id":3067,"type":"book","call-number":"BR65.C953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56.</w:t>
      </w:r>
      <w:r w:rsidRPr="00921025">
        <w:rPr>
          <w:rFonts w:cstheme="minorHAnsi"/>
        </w:rPr>
        <w:fldChar w:fldCharType="end"/>
      </w:r>
    </w:p>
  </w:footnote>
  <w:footnote w:id="39">
    <w:p w14:paraId="1529E654" w14:textId="79938C80"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{"citationID":"DYU1SpST","properties":{"formattedCitation":"Daniel A. Keating, \\uc0\\u8216{}Divination in Cyril: The Appropriation of Divine Life\\uc0\\u8217{}, in {\\i{}The Theology of St. Cyril of Alexandria: A Critical Appreciation}, ed. Thomas G. Weinandy (London: T &amp; T Clark, 2003), 149\\uc0\\u8211{}86.","plainCitation":"Daniel A. Keating, ‘Divination in Cyril: The Appropriation of Divine Life’, in The Theology of St. Cyril of Alexandria: A Critical Appreciation, ed. Thomas G. Weinandy (London: T &amp; T Clark, 2003), 149–86.","dontUpdate":true,"noteIndex":39},"citationItems":[{"id":3218,"uris":["http://zotero.org/users/7540819/items/4BLMBFLA"],"itemData":{"id":3218,"type":"chapter","abstract":"There is no book in English that treats the whole of Cyril's theological thought. In the past scholars have normally focused on Cyril's Christology and left largely unexamined the remainder of his theological thought. Thus the English-speaking scholarly community has never fully appreciated the breadth, the depth and the immense significance of Cyril's theology. This book is therefore unique. The editors have brought together many of the foremost experts on Cyril. This international team examines all the major facets of his theology, and here for the first time reveals the theology of Cyril of","container-title":"The theology of St. Cyril of Alexandria: a critical appreciation","event-place":"London","ISBN":"978-0-567-60364-7","language":"eng","note":"OCLC: 741690829","page":"149-186","publisher":"T &amp; T Clark","publisher-place":"London","source":"Open WorldCat","title":"Divination in Cyril: The Appropriation of Divine Life","title-short":"Divination in Cyril","author":[{"family":"Keating","given":"Daniel A."}],"editor":[{"family":"Weinandy","given":"Thomas G."},{"family":"Keating","given":"Daniel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 xml:space="preserve">Daniel A. Keating, ‘Divination in Cyril: The Appropriation of Divine Life’, in </w:t>
      </w:r>
      <w:r w:rsidRPr="00921025">
        <w:rPr>
          <w:rFonts w:cstheme="minorHAnsi"/>
          <w:i/>
          <w:iCs/>
        </w:rPr>
        <w:t>The Theology of St. Cyril of Alexandria: A Critical Appreciation</w:t>
      </w:r>
      <w:r w:rsidRPr="00921025">
        <w:rPr>
          <w:rFonts w:cstheme="minorHAnsi"/>
        </w:rPr>
        <w:t>, ed. Thomas G. Weinandy and Daniel A. Keating (London: T &amp; T Clark, 2003), 159-160.</w:t>
      </w:r>
      <w:r w:rsidRPr="00921025">
        <w:rPr>
          <w:rFonts w:cstheme="minorHAnsi"/>
        </w:rPr>
        <w:fldChar w:fldCharType="end"/>
      </w:r>
    </w:p>
  </w:footnote>
  <w:footnote w:id="40">
    <w:p w14:paraId="0375EF39"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{"citationID":"0Tf4Zwre","properties":{"formattedCitation":"Cyril of Alexandria.","plainCitation":"Cyril of Alexandria.","dontUpdate":true,"noteIndex":40},"citationItems":[{"id":3067,"uris":["http://zotero.org/users/7540819/items/U4NTUXCP"],"itemData":{"id":3067,"type":"book","call-number":"BR65.C953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67.</w:t>
      </w:r>
      <w:r w:rsidRPr="00921025">
        <w:rPr>
          <w:rFonts w:cstheme="minorHAnsi"/>
        </w:rPr>
        <w:fldChar w:fldCharType="end"/>
      </w:r>
    </w:p>
  </w:footnote>
  <w:footnote w:id="41">
    <w:p w14:paraId="5E6714DA" w14:textId="77777777" w:rsidR="00921025" w:rsidRPr="00921025" w:rsidRDefault="00921025" w:rsidP="00921025">
      <w:pPr>
        <w:pStyle w:val="FootnoteText"/>
        <w:rPr>
          <w:rFonts w:cstheme="minorHAnsi"/>
          <w:noProof/>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{"citationID":"lbHxXltI","properties":{"formattedCitation":"Cyril of Alexandria.","plainCitation":"Cyril of Alexandria.","dontUpdate":true,"noteIndex":41},"citationItems":[{"id":3067,"uris":["http://zotero.org/users/7540819/items/U4NTUXCP"],"itemData":{"id":3067,"type":"book","call-number":"BR65.C953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63.</w:t>
      </w:r>
      <w:r w:rsidRPr="00921025">
        <w:rPr>
          <w:rFonts w:cstheme="minorHAnsi"/>
        </w:rPr>
        <w:fldChar w:fldCharType="end"/>
      </w:r>
    </w:p>
  </w:footnote>
  <w:footnote w:id="42">
    <w:p w14:paraId="3397E369"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{"citationID":"E7HPNTxm","properties":{"formattedCitation":"Cyril of Alexandria.","plainCitation":"Cyril of Alexandria.","dontUpdate":true,"noteIndex":42},"citationItems":[{"id":3067,"uris":["http://zotero.org/users/7540819/items/U4NTUXCP"],"itemData":{"id":3067,"type":"book","call-number":"BR65.C953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59.</w:t>
      </w:r>
      <w:r w:rsidRPr="00921025">
        <w:rPr>
          <w:rFonts w:cstheme="minorHAnsi"/>
        </w:rPr>
        <w:fldChar w:fldCharType="end"/>
      </w:r>
    </w:p>
  </w:footnote>
  <w:footnote w:id="43">
    <w:p w14:paraId="64FC026B"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{"citationID":"rR5BkNd9","properties":{"formattedCitation":"Cyril of Alexandria.","plainCitation":"Cyril of Alexandria.","dontUpdate":true,"noteIndex":43},"citationItems":[{"id":3067,"uris":["http://zotero.org/users/7540819/items/U4NTUXCP"],"itemData":{"id":3067,"type":"book","call-number":"BR65.C953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75-77.</w:t>
      </w:r>
      <w:r w:rsidRPr="00921025">
        <w:rPr>
          <w:rFonts w:cstheme="minorHAnsi"/>
        </w:rPr>
        <w:fldChar w:fldCharType="end"/>
      </w:r>
    </w:p>
  </w:footnote>
  <w:footnote w:id="44">
    <w:p w14:paraId="32F5A37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{"citationID":"3iO2hrKv","properties":{"formattedCitation":"Witt, \\uc0\\u8216{}Non Sermoni Res\\uc0\\u8217{}.","plainCitation":"Witt, ‘Non Sermoni Res’.","noteIndex":44},"citationItems":[{"id":3123,"uris":["http://zotero.org/users/7540819/items/D5IAYZC3"],"itemData":{"id":3123,"type":"webpage","title":"Non Sermoni Res","URL":"https://willgwitt.org/the-christology-of-cyril-of-alexandria/","author":[{"family":"Witt","given":"William"}],"accessed":{"date-parts":[["2024",2,12]]},"issued":{"date-parts":[["2009",2,10]]}}}],"schema":"https://github.com/citation-style-language/schema/raw/master/csl-citation.json"} </w:instrText>
      </w:r>
      <w:r w:rsidRPr="00921025">
        <w:rPr>
          <w:rFonts w:cstheme="minorHAnsi"/>
        </w:rPr>
        <w:fldChar w:fldCharType="separate"/>
      </w:r>
      <w:r w:rsidRPr="00921025">
        <w:rPr>
          <w:rFonts w:cstheme="minorHAnsi"/>
        </w:rPr>
        <w:t>Witt, ‘Non Sermoni Res’.</w:t>
      </w:r>
      <w:r w:rsidRPr="00921025">
        <w:rPr>
          <w:rFonts w:cstheme="minorHAnsi"/>
        </w:rPr>
        <w:fldChar w:fldCharType="end"/>
      </w:r>
    </w:p>
  </w:footnote>
  <w:footnote w:id="45">
    <w:p w14:paraId="148C7827"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{"citationID":"yIJGzw8X","properties":{"formattedCitation":"Cyril of Alexandria.","plainCitation":"Cyril of Alexandria.","dontUpdate":true,"noteIndex":45},"citationItems":[{"id":3067,"uris":["http://zotero.org/users/7540819/items/U4NTUXCP"],"itemData":{"id":3067,"type":"book","call-number":"BR65.C953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86.</w:t>
      </w:r>
      <w:r w:rsidRPr="00921025">
        <w:rPr>
          <w:rFonts w:cstheme="minorHAnsi"/>
        </w:rPr>
        <w:fldChar w:fldCharType="end"/>
      </w:r>
    </w:p>
  </w:footnote>
  <w:footnote w:id="46">
    <w:p w14:paraId="6BEA2FEE"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{"citationID":"XB3Gga6C","properties":{"formattedCitation":"Cyril of Alexandria.","plainCitation":"Cyril of Alexandria.","dontUpdate":true,"noteIndex":46},"citationItems":[{"id":3067,"uris":["http://zotero.org/users/7540819/items/U4NTUXCP"],"itemData":{"id":3067,"type":"book","call-number":"BR65.C953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122-123.</w:t>
      </w:r>
      <w:r w:rsidRPr="00921025">
        <w:rPr>
          <w:rFonts w:cstheme="minorHAnsi"/>
        </w:rPr>
        <w:fldChar w:fldCharType="end"/>
      </w:r>
    </w:p>
  </w:footnote>
  <w:footnote w:id="47">
    <w:p w14:paraId="123DAD68"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{"citationID":"rSgDquR9","properties":{"formattedCitation":"Cyril of Alexandria, {\\i{}On the Unity of Christ}.","plainCitation":"Cyril of Alexandria, On the Unity of Christ.","dontUpdate":true,"noteIndex":47},"citationItems":[{"id":3067,"uris":["http://zotero.org/users/7540819/items/U4NTUXCP"],"itemData":{"id":3067,"type":"book","call-number":"BR65.C953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116-117.</w:t>
      </w:r>
      <w:r w:rsidRPr="00921025">
        <w:rPr>
          <w:rFonts w:cstheme="minorHAnsi"/>
        </w:rPr>
        <w:fldChar w:fldCharType="end"/>
      </w:r>
    </w:p>
  </w:footnote>
  <w:footnote w:id="48">
    <w:p w14:paraId="633230A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{"citationID":"zBVynuGT","properties":{"formattedCitation":"Cyril of Alexandria.","plainCitation":"Cyril of Alexandria.","dontUpdate":true,"noteIndex":48},"citationItems":[{"id":3067,"uris":["http://zotero.org/users/7540819/items/U4NTUXCP"],"itemData":{"id":3067,"type":"book","call-number":"BR65.C953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92-93.</w:t>
      </w:r>
      <w:r w:rsidRPr="00921025">
        <w:rPr>
          <w:rFonts w:cstheme="minorHAnsi"/>
        </w:rPr>
        <w:fldChar w:fldCharType="end"/>
      </w:r>
    </w:p>
  </w:footnote>
  <w:footnote w:id="49">
    <w:p w14:paraId="1780F6D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1 Corinthians 1:13.</w:t>
      </w:r>
    </w:p>
  </w:footnote>
  <w:footnote w:id="50">
    <w:p w14:paraId="498997B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{"citationID":"TljhrLs4","properties":{"formattedCitation":"Cyril of Alexandria.","plainCitation":"Cyril of Alexandria.","dontUpdate":true,"noteIndex":50},"citationItems":[{"id":3067,"uris":["http://zotero.org/users/7540819/items/U4NTUXCP"],"itemData":{"id":3067,"type":"book","call-number":"BR65.C953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131-3.</w:t>
      </w:r>
      <w:r w:rsidRPr="00921025">
        <w:rPr>
          <w:rFonts w:cstheme="minorHAnsi"/>
        </w:rPr>
        <w:fldChar w:fldCharType="end"/>
      </w:r>
    </w:p>
  </w:footnote>
  <w:footnote w:id="51">
    <w:p w14:paraId="3E8D9DD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{"citationID":"j1UeCJhN","properties":{"formattedCitation":"Cyril of Alexandria.","plainCitation":"Cyril of Alexandria.","dontUpdate":true,"noteIndex":51},"citationItems":[{"id":3067,"uris":["http://zotero.org/users/7540819/items/U4NTUXCP"],"itemData":{"id":3067,"type":"book","call-number":"BR65.C953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87-88.</w:t>
      </w:r>
      <w:r w:rsidRPr="00921025">
        <w:rPr>
          <w:rFonts w:cstheme="minorHAnsi"/>
        </w:rPr>
        <w:fldChar w:fldCharType="end"/>
      </w:r>
      <w:r w:rsidRPr="00921025">
        <w:rPr>
          <w:rFonts w:cstheme="minorHAnsi"/>
        </w:rPr>
        <w:t xml:space="preserve"> (Cyril refers Nestorius to 1 John 4:14-15).</w:t>
      </w:r>
    </w:p>
  </w:footnote>
  <w:footnote w:id="52">
    <w:p w14:paraId="59EC5B6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2 Corinthians 5:17</w:t>
      </w:r>
    </w:p>
  </w:footnote>
  <w:footnote w:id="53">
    <w:p w14:paraId="5B7C522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{"citationID":"YPLjXbz5","properties":{"formattedCitation":"Cyril of Alexandria, {\\i{}On the Unity of Christ}.","plainCitation":"Cyril of Alexandria, On the Unity of Christ.","dontUpdate":true,"noteIndex":53},"citationItems":[{"id":3067,"uris":["http://zotero.org/users/7540819/items/U4NTUXCP"],"itemData":{"id":3067,"type":"book","call-number":"BR65.C953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130.</w:t>
      </w:r>
      <w:r w:rsidRPr="00921025">
        <w:rPr>
          <w:rFonts w:cstheme="minorHAnsi"/>
        </w:rPr>
        <w:fldChar w:fldCharType="end"/>
      </w:r>
    </w:p>
  </w:footnote>
  <w:footnote w:id="54">
    <w:p w14:paraId="4B681E59"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{"citationID":"9JR98c7Y","properties":{"formattedCitation":"\\uc0\\u8216{}St. Cyril on the Purpose of the Eucharist \\uc0\\u8212{} Classical Christianity\\uc0\\u8217{}, accessed 2 April 2024, https://classicalchristianity.com/2011/05/17/st-cyril-on-the-purpose-of-the-eucharist/.","plainCitation":"‘St. Cyril on the Purpose of the Eucharist — Classical Christianity’, accessed 2 April 2024, https://classicalchristianity.com/2011/05/17/st-cyril-on-the-purpose-of-the-eucharist/.","noteIndex":54},"citationItems":[{"id":3196,"uris":["http://zotero.org/users/7540819/items/QNRJCPS5"],"itemData":{"id":3196,"type":"webpage","title":"St. Cyril on the Purpose of the Eucharist — Classical Christianity","URL":"https://classicalchristianity.com/2011/05/17/st-cyril-on-the-purpose-of-the-eucharist/","accessed":{"date-parts":[["2024",4,2]]}}}],"schema":"https://github.com/citation-style-language/schema/raw/master/csl-citation.json"} </w:instrText>
      </w:r>
      <w:r w:rsidRPr="00921025">
        <w:rPr>
          <w:rFonts w:cstheme="minorHAnsi"/>
        </w:rPr>
        <w:fldChar w:fldCharType="separate"/>
      </w:r>
      <w:r w:rsidRPr="00921025">
        <w:rPr>
          <w:rFonts w:cstheme="minorHAnsi"/>
        </w:rPr>
        <w:t>‘St. Cyril on the Purpose of the Eucharist — Classical Christianity’, accessed 2 April 2024, https://classicalchristianity.com/2011/05/17/st-cyril-on-the-purpose-of-the-eucharist/.</w:t>
      </w:r>
      <w:r w:rsidRPr="00921025">
        <w:rPr>
          <w:rFonts w:cstheme="minorHAnsi"/>
        </w:rPr>
        <w:fldChar w:fldCharType="end"/>
      </w:r>
    </w:p>
  </w:footnote>
  <w:footnote w:id="55">
    <w:p w14:paraId="74610C0E" w14:textId="60EAC0D8"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{"citationID":"cohUA9iZ","properties":{"formattedCitation":"Ellen Concannon, \\uc0\\u8216{}The Eucharist as Source of St. Cyril of Alexandria\\uc0\\u8217{}s Christology: Pro Ecclesia\\uc0\\u8217{}, {\\i{}Pro Ecclesia} 18, no. 3 (2009): 318\\uc0\\u8211{}36.","plainCitation":"Ellen Concannon, ‘The Eucharist as Source of St. Cyril of Alexandria’s Christology: Pro Ecclesia’, Pro Ecclesia 18, no. 3 (2009): 318–36.","dontUpdate":true,"noteIndex":55},"citationItems":[{"id":3200,"uris":["http://zotero.org/users/7540819/items/EA9R2E2Q"],"itemData":{"id":3200,"type":"article-journal","container-title":"Pro Ecclesia","ISSN":"1063-8512","issue":"3","page":"318-336","source":"EBSCOhost","title":"The Eucharist as source of St. Cyril of Alexandria's Christology: Pro Ecclesia","title-short":"The Eucharist as source of St. Cyril of Alexandria's Christology","volume":"18","author":[{"family":"Concannon","given":"Ellen"}],"issued":{"date-parts":[["2009"]]}}}],"schema":"https://github.com/citation-style-language/schema/raw/master/csl-citation.json"} </w:instrText>
      </w:r>
      <w:r w:rsidRPr="00921025">
        <w:rPr>
          <w:rFonts w:cstheme="minorHAnsi"/>
        </w:rPr>
        <w:fldChar w:fldCharType="separate"/>
      </w:r>
      <w:r w:rsidRPr="00921025">
        <w:rPr>
          <w:rFonts w:cstheme="minorHAnsi"/>
        </w:rPr>
        <w:t xml:space="preserve">Ellen Concannon, ‘The Eucharist as Source of St. Cyril of Alexandria’s Christology: Pro Ecclesia’, </w:t>
      </w:r>
      <w:r w:rsidRPr="00921025">
        <w:rPr>
          <w:rFonts w:cstheme="minorHAnsi"/>
          <w:i/>
          <w:iCs/>
        </w:rPr>
        <w:t>Pro Ecclesia</w:t>
      </w:r>
      <w:r w:rsidRPr="00921025">
        <w:rPr>
          <w:rFonts w:cstheme="minorHAnsi"/>
        </w:rPr>
        <w:t xml:space="preserve"> 18, no. 3 (2009): 321.</w:t>
      </w:r>
      <w:r w:rsidRPr="00921025">
        <w:rPr>
          <w:rFonts w:cstheme="minorHAnsi"/>
        </w:rPr>
        <w:fldChar w:fldCharType="end"/>
      </w:r>
    </w:p>
  </w:footnote>
  <w:footnote w:id="56">
    <w:p w14:paraId="4A18591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{"citationID":"BnL5EXm6","properties":{"formattedCitation":"Cyril of Alexandria, {\\i{}On the Unity of Christ}.","plainCitation":"Cyril of Alexandria, On the Unity of Christ.","dontUpdate":true,"noteIndex":56},"citationItems":[{"id":3067,"uris":["http://zotero.org/users/7540819/items/U4NTUXCP"],"itemData":{"id":3067,"type":"book","call-number":"BR65.C953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57.</w:t>
      </w:r>
      <w:r w:rsidRPr="00921025">
        <w:rPr>
          <w:rFonts w:cstheme="minorHAnsi"/>
        </w:rPr>
        <w:fldChar w:fldCharType="end"/>
      </w:r>
    </w:p>
  </w:footnote>
  <w:footnote w:id="57">
    <w:p w14:paraId="231F9A4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{"citationID":"NdoAVFNj","properties":{"formattedCitation":"Cyril of Alexandria.","plainCitation":"Cyril of Alexandria.","dontUpdate":true,"noteIndex":57},"citationItems":[{"id":3067,"uris":["http://zotero.org/users/7540819/items/U4NTUXCP"],"itemData":{"id":3067,"type":"book","call-number":"BR65.C953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104-132.</w:t>
      </w:r>
      <w:r w:rsidRPr="00921025">
        <w:rPr>
          <w:rFonts w:cstheme="minorHAnsi"/>
        </w:rPr>
        <w:fldChar w:fldCharType="end"/>
      </w:r>
    </w:p>
  </w:footnote>
  <w:footnote w:id="58">
    <w:p w14:paraId="0E6D9EF6"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{"citationID":"RoJyHloX","properties":{"formattedCitation":"Cyril of Alexandria.","plainCitation":"Cyril of Alexandria.","dontUpdate":true,"noteIndex":58},"citationItems":[{"id":3067,"uris":["http://zotero.org/users/7540819/items/U4NTUXCP"],"itemData":{"id":3067,"type":"book","call-number":"BR65.C953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105.</w:t>
      </w:r>
      <w:r w:rsidRPr="00921025">
        <w:rPr>
          <w:rFonts w:cstheme="minorHAnsi"/>
        </w:rPr>
        <w:fldChar w:fldCharType="end"/>
      </w:r>
    </w:p>
  </w:footnote>
  <w:footnote w:id="59">
    <w:p w14:paraId="1E77F3B3"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{"citationID":"XuOqZvJE","properties":{"formattedCitation":"Cyril of Alexandria.","plainCitation":"Cyril of Alexandria.","dontUpdate":true,"noteIndex":59},"citationItems":[{"id":3067,"uris":["http://zotero.org/users/7540819/items/U4NTUXCP"],"itemData":{"id":3067,"type":"book","call-number":"BR65.C953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110.</w:t>
      </w:r>
      <w:r w:rsidRPr="00921025">
        <w:rPr>
          <w:rFonts w:cstheme="minorHAnsi"/>
        </w:rPr>
        <w:fldChar w:fldCharType="end"/>
      </w:r>
    </w:p>
  </w:footnote>
  <w:footnote w:id="60">
    <w:p w14:paraId="7ACCD39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{"citationID":"wmtX7zm1","properties":{"formattedCitation":"Cyril of Alexandria.","plainCitation":"Cyril of Alexandria.","dontUpdate":true,"noteIndex":60},"citationItems":[{"id":3067,"uris":["http://zotero.org/users/7540819/items/U4NTUXCP"],"itemData":{"id":3067,"type":"book","call-number":"BR65.C953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114-115.</w:t>
      </w:r>
      <w:r w:rsidRPr="00921025">
        <w:rPr>
          <w:rFonts w:cstheme="minorHAnsi"/>
        </w:rPr>
        <w:fldChar w:fldCharType="end"/>
      </w:r>
    </w:p>
  </w:footnote>
  <w:footnote w:id="61">
    <w:p w14:paraId="1EDD751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{"citationID":"1DHP6nX5","properties":{"formattedCitation":"Cyril of Alexandria.","plainCitation":"Cyril of Alexandria.","dontUpdate":true,"noteIndex":61},"citationItems":[{"id":3067,"uris":["http://zotero.org/users/7540819/items/U4NTUXCP"],"itemData":{"id":3067,"type":"book","call-number":"BR65.C953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119.</w:t>
      </w:r>
      <w:r w:rsidRPr="00921025">
        <w:rPr>
          <w:rFonts w:cstheme="minorHAnsi"/>
        </w:rPr>
        <w:fldChar w:fldCharType="end"/>
      </w:r>
    </w:p>
  </w:footnote>
  <w:footnote w:id="62">
    <w:p w14:paraId="30E0A561"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{"citationID":"nv8160Il","properties":{"formattedCitation":"Cyril of Alexandria.","plainCitation":"Cyril of Alexandria.","dontUpdate":true,"noteIndex":62},"citationItems":[{"id":3067,"uris":["http://zotero.org/users/7540819/items/U4NTUXCP"],"itemData":{"id":3067,"type":"book","call-number":"BR65.C953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126.</w:t>
      </w:r>
      <w:r w:rsidRPr="00921025">
        <w:rPr>
          <w:rFonts w:cstheme="minorHAnsi"/>
        </w:rPr>
        <w:fldChar w:fldCharType="end"/>
      </w:r>
    </w:p>
  </w:footnote>
  <w:footnote w:id="63">
    <w:p w14:paraId="7D730202" w14:textId="24E6540F" w:rsidR="00D671B2" w:rsidRDefault="00D671B2">
      <w:pPr>
        <w:pStyle w:val="FootnoteText"/>
      </w:pPr>
      <w:r>
        <w:rPr>
          <w:rStyle w:val="FootnoteReference"/>
        </w:rPr>
        <w:footnoteRef/>
      </w:r>
      <w:r>
        <w:t xml:space="preserve"> </w:t>
      </w:r>
      <w:r>
        <w:fldChar w:fldCharType="begin"/>
      </w:r>
      <w:r>
        <w:instrText xml:space="preserve"> ADDIN ZOTERO_ITEM CSL_CITATION {"citationID":"OkvkkiEf","properties":{"formattedCitation":"John J. O\\uc0\\u8217{}Keefe, \\uc0\\u8216{}Incorruption, Anti-Origensim, and Incarnation: Eschatology in the Thought of Cyril of Alexandria\\uc0\\u8217{}, in {\\i{}The Theology of St. Cyril of Alexandria: A Critical Appreciation}, ed. Thomas G. Weinandy and Daniel A. Keating (London\\uc0\\u8239{}; New York: T&amp; Clark, 2003), 187\\uc0\\u8211{}204.","plainCitation":"John J. O’Keefe, ‘Incorruption, Anti-Origensim, and Incarnation: Eschatology in the Thought of Cyril of Alexandria’, in The Theology of St. Cyril of Alexandria: A Critical Appreciation, ed. Thomas G. Weinandy and Daniel A. Keating (London ; New York: T&amp; Clark, 2003), 187–204.","noteIndex":63},"citationItems":[{"id":3219,"uris":["http://zotero.org/users/7540819/items/W9ISHC84"],"itemData":{"id":3219,"type":"chapter","call-number":"BR65.C956 T48 2003","container-title":"The theology of St. Cyril of Alexandria: a critical appreciation","event-place":"London ; New York","ISBN":"978-0-567-08901-4","note":"OCLC: ocm51194687","page":"187-204","publisher":"T&amp; Clark","publisher-place":"London ; New York","source":"Library of Congress ISBN","title":"Incorruption, Anti-Origensim, and Incarnation: Eschatology in the Thought of Cyril of Alexandria","title-short":"Eschatology in the Thought of Cyril","author":[{"family":"O'Keefe","given":"John J."}],"editor":[{"family":"Weinandy","given":"Thomas G."},{"family":"Keating","given":"Daniel A."}],"issued":{"date-parts":[["2003"]]}}}],"schema":"https://github.com/citation-style-language/schema/raw/master/csl-citation.json"} </w:instrText>
      </w:r>
      <w:r>
        <w:fldChar w:fldCharType="separate"/>
      </w:r>
      <w:r w:rsidRPr="00D671B2">
        <w:rPr>
          <w:rFonts w:ascii="Calibri" w:cs="Calibri"/>
        </w:rPr>
        <w:t>John J. O’Keefe, ‘</w:t>
      </w:r>
      <w:proofErr w:type="spellStart"/>
      <w:r w:rsidRPr="00D671B2">
        <w:rPr>
          <w:rFonts w:ascii="Calibri" w:cs="Calibri"/>
        </w:rPr>
        <w:t>Incorruption</w:t>
      </w:r>
      <w:proofErr w:type="spellEnd"/>
      <w:r w:rsidRPr="00D671B2">
        <w:rPr>
          <w:rFonts w:ascii="Calibri" w:cs="Calibri"/>
        </w:rPr>
        <w:t>, Anti-</w:t>
      </w:r>
      <w:proofErr w:type="spellStart"/>
      <w:r w:rsidRPr="00D671B2">
        <w:rPr>
          <w:rFonts w:ascii="Calibri" w:cs="Calibri"/>
        </w:rPr>
        <w:t>Origensim</w:t>
      </w:r>
      <w:proofErr w:type="spellEnd"/>
      <w:r w:rsidRPr="00D671B2">
        <w:rPr>
          <w:rFonts w:ascii="Calibri" w:cs="Calibri"/>
        </w:rPr>
        <w:t xml:space="preserve">, and Incarnation: Eschatology in the Thought of Cyril of Alexandria’, in </w:t>
      </w:r>
      <w:r w:rsidRPr="00D671B2">
        <w:rPr>
          <w:rFonts w:ascii="Calibri" w:cs="Calibri"/>
          <w:i/>
          <w:iCs/>
        </w:rPr>
        <w:t>The Theology of St. Cyril of Alexandria: A Critical Appreciation</w:t>
      </w:r>
      <w:r w:rsidRPr="00D671B2">
        <w:rPr>
          <w:rFonts w:ascii="Calibri" w:cs="Calibri"/>
        </w:rPr>
        <w:t xml:space="preserve">, ed. Thomas G. </w:t>
      </w:r>
      <w:proofErr w:type="spellStart"/>
      <w:r w:rsidRPr="00D671B2">
        <w:rPr>
          <w:rFonts w:ascii="Calibri" w:cs="Calibri"/>
        </w:rPr>
        <w:t>Weinandy</w:t>
      </w:r>
      <w:proofErr w:type="spellEnd"/>
      <w:r w:rsidRPr="00D671B2">
        <w:rPr>
          <w:rFonts w:ascii="Calibri" w:cs="Calibri"/>
        </w:rPr>
        <w:t xml:space="preserve"> and Daniel A. Keating (London ; New York: T&amp; Clark, 2003), 18</w:t>
      </w:r>
      <w:r>
        <w:rPr>
          <w:rFonts w:ascii="Calibri" w:cs="Calibri"/>
        </w:rPr>
        <w:t>8</w:t>
      </w:r>
      <w:r w:rsidRPr="00D671B2">
        <w:rPr>
          <w:rFonts w:ascii="Calibri" w:cs="Calibri"/>
        </w:rPr>
        <w:t>.</w:t>
      </w:r>
      <w:r>
        <w:fldChar w:fldCharType="end"/>
      </w:r>
    </w:p>
  </w:footnote>
  <w:footnote w:id="64">
    <w:p w14:paraId="356F6B0B" w14:textId="348DB335" w:rsidR="0031668C" w:rsidRDefault="0031668C">
      <w:pPr>
        <w:pStyle w:val="FootnoteText"/>
      </w:pPr>
      <w:r>
        <w:rPr>
          <w:rStyle w:val="FootnoteReference"/>
        </w:rPr>
        <w:footnoteRef/>
      </w:r>
      <w:r>
        <w:t xml:space="preserve"> </w:t>
      </w:r>
      <w:r>
        <w:fldChar w:fldCharType="begin"/>
      </w:r>
      <w:r w:rsidR="00D671B2">
        <w:instrText xml:space="preserve"> ADDIN ZOTERO_ITEM CSL_CITATION {"citationID":"tYuqLwlu","properties":{"formattedCitation":"O\\uc0\\u8217{}Keefe.","plainCitation":"O’Keefe.","dontUpdate":true,"noteIndex":65},"citationItems":[{"id":3219,"uris":["http://zotero.org/users/7540819/items/W9ISHC84"],"itemData":{"id":3219,"type":"chapter","call-number":"BR65.C956 T48 2003","container-title":"The theology of St. Cyril of Alexandria: a critical appreciation","event-place":"London ; New York","ISBN":"978-0-567-08901-4","note":"OCLC: ocm51194687","page":"187-204","publisher":"T&amp; Clark","publisher-place":"London ; New York","source":"Library of Congress ISBN","title":"Incorruption, Anti-Origensim, and Incarnation: Eschatology in the Thought of Cyril of Alexandria","title-short":"Eschatology in the Thought of Cyril","author":[{"family":"O'Keefe","given":"John J."}],"editor":[{"family":"Weinandy","given":"Thomas G."},{"family":"Keating","given":"Daniel A."}],"issued":{"date-parts":[["2003"]]}}}],"schema":"https://github.com/citation-style-language/schema/raw/master/csl-citation.json"} </w:instrText>
      </w:r>
      <w:r>
        <w:fldChar w:fldCharType="separate"/>
      </w:r>
      <w:r w:rsidRPr="0031668C">
        <w:rPr>
          <w:rFonts w:ascii="Calibri" w:cs="Calibri"/>
        </w:rPr>
        <w:t>O’Keefe</w:t>
      </w:r>
      <w:r>
        <w:rPr>
          <w:rFonts w:ascii="Calibri" w:cs="Calibri"/>
        </w:rPr>
        <w:t>, 203-204</w:t>
      </w:r>
      <w:r w:rsidRPr="0031668C">
        <w:rPr>
          <w:rFonts w:ascii="Calibri" w:cs="Calibri"/>
        </w:rPr>
        <w:t>.</w:t>
      </w:r>
      <w:r>
        <w:fldChar w:fldCharType="end"/>
      </w:r>
    </w:p>
  </w:footnote>
  <w:footnote w:id="65">
    <w:p w14:paraId="3535476A" w14:textId="2E776101" w:rsidR="00921025" w:rsidRDefault="00921025" w:rsidP="00921025">
      <w:pPr>
        <w:pStyle w:val="FootnoteText"/>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0029524A">
        <w:rPr>
          <w:rFonts w:cstheme="minorHAnsi"/>
        </w:rPr>
        <w:instrText xml:space="preserve"> ADDIN ZOTERO_ITEM CSL_CITATION {"citationID":"zhOxDp3L","properties":{"formattedCitation":"Moffett, {\\i{}A History of Christianity in Asia}.","plainCitation":"Moffett, A History of Christianity in Asia.","dontUpdate":true,"noteIndex":64},"citationItems":[{"id":3210,"uris":["http://zotero.org/users/7540819/items/BJS35DQM"],"itemData":{"id":3210,"type":"book","call-number":"275.009","event-place":"San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rsidRPr="00921025">
        <w:rPr>
          <w:rFonts w:cstheme="minorHAnsi"/>
        </w:rPr>
        <w:fldChar w:fldCharType="separate"/>
      </w:r>
      <w:r w:rsidRPr="00921025">
        <w:rPr>
          <w:rFonts w:cstheme="minorHAnsi"/>
        </w:rPr>
        <w:t xml:space="preserve">Moffett, </w:t>
      </w:r>
      <w:r w:rsidRPr="00921025">
        <w:rPr>
          <w:rFonts w:cstheme="minorHAnsi"/>
          <w:i/>
          <w:iCs/>
        </w:rPr>
        <w:t>A History of Christianity in Asia</w:t>
      </w:r>
      <w:r w:rsidRPr="00921025">
        <w:rPr>
          <w:rFonts w:cstheme="minorHAnsi"/>
        </w:rPr>
        <w:t>, 169.</w:t>
      </w:r>
      <w:r w:rsidRPr="00921025">
        <w:rPr>
          <w:rFonts w:cstheme="minorHAnsi"/>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ED316" w14:textId="77777777" w:rsidR="00E74270" w:rsidRDefault="00E74270" w:rsidP="00E74270">
    <w:pPr>
      <w:pStyle w:val="BodyA"/>
    </w:pPr>
    <w:bookmarkStart w:id="25" w:name="OLE_LINK11"/>
    <w:bookmarkStart w:id="26" w:name="OLE_LINK12"/>
    <w:r>
      <w:t>HPRS70</w:t>
    </w:r>
    <w:r w:rsidR="00A634DD">
      <w:t>20</w:t>
    </w:r>
    <w:r>
      <w:t xml:space="preserve"> Assignment </w:t>
    </w:r>
    <w:r w:rsidR="00A634DD">
      <w:t>1</w:t>
    </w:r>
    <w:r>
      <w:t xml:space="preserve">: </w:t>
    </w:r>
    <w:r w:rsidR="00A634DD">
      <w:t>Cyril ‘On the Unity of Christ’</w:t>
    </w:r>
    <w:r>
      <w:tab/>
    </w:r>
    <w:r>
      <w:tab/>
    </w:r>
    <w:r>
      <w:tab/>
      <w:t>Douglas Spenceley</w:t>
    </w:r>
  </w:p>
  <w:p w14:paraId="2104BBAD" w14:textId="77777777" w:rsidR="00E74270" w:rsidRDefault="00E74270" w:rsidP="00E74270">
    <w:pPr>
      <w:pStyle w:val="BodyA"/>
      <w:jc w:val="right"/>
    </w:pPr>
    <w:r>
      <w:t>Student ID: 2026303</w:t>
    </w:r>
    <w:bookmarkEnd w:id="25"/>
    <w:bookmarkEnd w:id="26"/>
  </w:p>
  <w:p w14:paraId="4DA096AA" w14:textId="77777777" w:rsidR="00E74270" w:rsidRDefault="00E742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47032"/>
    <w:multiLevelType w:val="hybridMultilevel"/>
    <w:tmpl w:val="477E341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953474"/>
    <w:multiLevelType w:val="hybridMultilevel"/>
    <w:tmpl w:val="E6E8E3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F596F"/>
    <w:multiLevelType w:val="hybridMultilevel"/>
    <w:tmpl w:val="7A244B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75B63"/>
    <w:multiLevelType w:val="hybridMultilevel"/>
    <w:tmpl w:val="69869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D5078"/>
    <w:multiLevelType w:val="hybridMultilevel"/>
    <w:tmpl w:val="B5B8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65BCE"/>
    <w:multiLevelType w:val="hybridMultilevel"/>
    <w:tmpl w:val="61101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F33C1"/>
    <w:multiLevelType w:val="hybridMultilevel"/>
    <w:tmpl w:val="6704A540"/>
    <w:lvl w:ilvl="0" w:tplc="08090001">
      <w:start w:val="1"/>
      <w:numFmt w:val="bullet"/>
      <w:lvlText w:val=""/>
      <w:lvlJc w:val="left"/>
      <w:pPr>
        <w:ind w:left="1134" w:hanging="360"/>
      </w:pPr>
      <w:rPr>
        <w:rFonts w:ascii="Symbol" w:hAnsi="Symbol" w:hint="default"/>
      </w:rPr>
    </w:lvl>
    <w:lvl w:ilvl="1" w:tplc="08090003" w:tentative="1">
      <w:start w:val="1"/>
      <w:numFmt w:val="bullet"/>
      <w:lvlText w:val="o"/>
      <w:lvlJc w:val="left"/>
      <w:pPr>
        <w:ind w:left="1854" w:hanging="360"/>
      </w:pPr>
      <w:rPr>
        <w:rFonts w:ascii="Courier New" w:hAnsi="Courier New" w:cs="Courier New" w:hint="default"/>
      </w:rPr>
    </w:lvl>
    <w:lvl w:ilvl="2" w:tplc="08090005" w:tentative="1">
      <w:start w:val="1"/>
      <w:numFmt w:val="bullet"/>
      <w:lvlText w:val=""/>
      <w:lvlJc w:val="left"/>
      <w:pPr>
        <w:ind w:left="2574" w:hanging="360"/>
      </w:pPr>
      <w:rPr>
        <w:rFonts w:ascii="Wingdings" w:hAnsi="Wingdings" w:hint="default"/>
      </w:rPr>
    </w:lvl>
    <w:lvl w:ilvl="3" w:tplc="08090001" w:tentative="1">
      <w:start w:val="1"/>
      <w:numFmt w:val="bullet"/>
      <w:lvlText w:val=""/>
      <w:lvlJc w:val="left"/>
      <w:pPr>
        <w:ind w:left="3294" w:hanging="360"/>
      </w:pPr>
      <w:rPr>
        <w:rFonts w:ascii="Symbol" w:hAnsi="Symbol" w:hint="default"/>
      </w:rPr>
    </w:lvl>
    <w:lvl w:ilvl="4" w:tplc="08090003" w:tentative="1">
      <w:start w:val="1"/>
      <w:numFmt w:val="bullet"/>
      <w:lvlText w:val="o"/>
      <w:lvlJc w:val="left"/>
      <w:pPr>
        <w:ind w:left="4014" w:hanging="360"/>
      </w:pPr>
      <w:rPr>
        <w:rFonts w:ascii="Courier New" w:hAnsi="Courier New" w:cs="Courier New" w:hint="default"/>
      </w:rPr>
    </w:lvl>
    <w:lvl w:ilvl="5" w:tplc="08090005" w:tentative="1">
      <w:start w:val="1"/>
      <w:numFmt w:val="bullet"/>
      <w:lvlText w:val=""/>
      <w:lvlJc w:val="left"/>
      <w:pPr>
        <w:ind w:left="4734" w:hanging="360"/>
      </w:pPr>
      <w:rPr>
        <w:rFonts w:ascii="Wingdings" w:hAnsi="Wingdings" w:hint="default"/>
      </w:rPr>
    </w:lvl>
    <w:lvl w:ilvl="6" w:tplc="08090001" w:tentative="1">
      <w:start w:val="1"/>
      <w:numFmt w:val="bullet"/>
      <w:lvlText w:val=""/>
      <w:lvlJc w:val="left"/>
      <w:pPr>
        <w:ind w:left="5454" w:hanging="360"/>
      </w:pPr>
      <w:rPr>
        <w:rFonts w:ascii="Symbol" w:hAnsi="Symbol" w:hint="default"/>
      </w:rPr>
    </w:lvl>
    <w:lvl w:ilvl="7" w:tplc="08090003" w:tentative="1">
      <w:start w:val="1"/>
      <w:numFmt w:val="bullet"/>
      <w:lvlText w:val="o"/>
      <w:lvlJc w:val="left"/>
      <w:pPr>
        <w:ind w:left="6174" w:hanging="360"/>
      </w:pPr>
      <w:rPr>
        <w:rFonts w:ascii="Courier New" w:hAnsi="Courier New" w:cs="Courier New" w:hint="default"/>
      </w:rPr>
    </w:lvl>
    <w:lvl w:ilvl="8" w:tplc="08090005" w:tentative="1">
      <w:start w:val="1"/>
      <w:numFmt w:val="bullet"/>
      <w:lvlText w:val=""/>
      <w:lvlJc w:val="left"/>
      <w:pPr>
        <w:ind w:left="6894" w:hanging="360"/>
      </w:pPr>
      <w:rPr>
        <w:rFonts w:ascii="Wingdings" w:hAnsi="Wingdings" w:hint="default"/>
      </w:rPr>
    </w:lvl>
  </w:abstractNum>
  <w:abstractNum w:abstractNumId="7" w15:restartNumberingAfterBreak="0">
    <w:nsid w:val="2F0C1972"/>
    <w:multiLevelType w:val="hybridMultilevel"/>
    <w:tmpl w:val="69EE3D20"/>
    <w:lvl w:ilvl="0" w:tplc="0D1423E4">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533C6E2D"/>
    <w:multiLevelType w:val="hybridMultilevel"/>
    <w:tmpl w:val="12E88FA8"/>
    <w:lvl w:ilvl="0" w:tplc="306E59A2">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57F51949"/>
    <w:multiLevelType w:val="hybridMultilevel"/>
    <w:tmpl w:val="72349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00D94"/>
    <w:multiLevelType w:val="hybridMultilevel"/>
    <w:tmpl w:val="722204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965A59"/>
    <w:multiLevelType w:val="hybridMultilevel"/>
    <w:tmpl w:val="ADC6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97513F"/>
    <w:multiLevelType w:val="hybridMultilevel"/>
    <w:tmpl w:val="42DEA390"/>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6BCC4973"/>
    <w:multiLevelType w:val="hybridMultilevel"/>
    <w:tmpl w:val="F2DEE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F7698"/>
    <w:multiLevelType w:val="hybridMultilevel"/>
    <w:tmpl w:val="D4E4E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D2425E"/>
    <w:multiLevelType w:val="hybridMultilevel"/>
    <w:tmpl w:val="41443590"/>
    <w:lvl w:ilvl="0" w:tplc="B4D02EC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6" w15:restartNumberingAfterBreak="0">
    <w:nsid w:val="7EB2359C"/>
    <w:multiLevelType w:val="multilevel"/>
    <w:tmpl w:val="E5D23C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5458381">
    <w:abstractNumId w:val="14"/>
  </w:num>
  <w:num w:numId="2" w16cid:durableId="1139037611">
    <w:abstractNumId w:val="9"/>
  </w:num>
  <w:num w:numId="3" w16cid:durableId="1831481594">
    <w:abstractNumId w:val="0"/>
  </w:num>
  <w:num w:numId="4" w16cid:durableId="564032410">
    <w:abstractNumId w:val="5"/>
  </w:num>
  <w:num w:numId="5" w16cid:durableId="474832035">
    <w:abstractNumId w:val="3"/>
  </w:num>
  <w:num w:numId="6" w16cid:durableId="612714511">
    <w:abstractNumId w:val="6"/>
  </w:num>
  <w:num w:numId="7" w16cid:durableId="1320113860">
    <w:abstractNumId w:val="12"/>
  </w:num>
  <w:num w:numId="8" w16cid:durableId="252975362">
    <w:abstractNumId w:val="8"/>
  </w:num>
  <w:num w:numId="9" w16cid:durableId="1213736754">
    <w:abstractNumId w:val="15"/>
  </w:num>
  <w:num w:numId="10" w16cid:durableId="653729000">
    <w:abstractNumId w:val="16"/>
  </w:num>
  <w:num w:numId="11" w16cid:durableId="60567476">
    <w:abstractNumId w:val="2"/>
  </w:num>
  <w:num w:numId="12" w16cid:durableId="75055776">
    <w:abstractNumId w:val="10"/>
  </w:num>
  <w:num w:numId="13" w16cid:durableId="140120371">
    <w:abstractNumId w:val="7"/>
  </w:num>
  <w:num w:numId="14" w16cid:durableId="375206273">
    <w:abstractNumId w:val="11"/>
  </w:num>
  <w:num w:numId="15" w16cid:durableId="733742105">
    <w:abstractNumId w:val="13"/>
  </w:num>
  <w:num w:numId="16" w16cid:durableId="1924531193">
    <w:abstractNumId w:val="4"/>
  </w:num>
  <w:num w:numId="17" w16cid:durableId="2029597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B74"/>
    <w:rsid w:val="00002762"/>
    <w:rsid w:val="00003E46"/>
    <w:rsid w:val="0000491C"/>
    <w:rsid w:val="000075A5"/>
    <w:rsid w:val="00007EB2"/>
    <w:rsid w:val="00010560"/>
    <w:rsid w:val="00011058"/>
    <w:rsid w:val="00013BE6"/>
    <w:rsid w:val="00013DAB"/>
    <w:rsid w:val="00017954"/>
    <w:rsid w:val="00017EDF"/>
    <w:rsid w:val="000204F8"/>
    <w:rsid w:val="00020CE1"/>
    <w:rsid w:val="00021192"/>
    <w:rsid w:val="000250C1"/>
    <w:rsid w:val="00031CB6"/>
    <w:rsid w:val="00032253"/>
    <w:rsid w:val="00042BF0"/>
    <w:rsid w:val="000437CE"/>
    <w:rsid w:val="00044EDF"/>
    <w:rsid w:val="000575F0"/>
    <w:rsid w:val="00071AB2"/>
    <w:rsid w:val="000763CF"/>
    <w:rsid w:val="00080005"/>
    <w:rsid w:val="000806FF"/>
    <w:rsid w:val="00082079"/>
    <w:rsid w:val="00083CA0"/>
    <w:rsid w:val="000860F5"/>
    <w:rsid w:val="00087147"/>
    <w:rsid w:val="000A0F75"/>
    <w:rsid w:val="000A11CD"/>
    <w:rsid w:val="000A1917"/>
    <w:rsid w:val="000A2375"/>
    <w:rsid w:val="000A47F9"/>
    <w:rsid w:val="000A54A1"/>
    <w:rsid w:val="000A5951"/>
    <w:rsid w:val="000B1B75"/>
    <w:rsid w:val="000B44A3"/>
    <w:rsid w:val="000C1801"/>
    <w:rsid w:val="000C3C02"/>
    <w:rsid w:val="000C5976"/>
    <w:rsid w:val="000D0816"/>
    <w:rsid w:val="000D1D2D"/>
    <w:rsid w:val="000D3559"/>
    <w:rsid w:val="000D438B"/>
    <w:rsid w:val="000E0182"/>
    <w:rsid w:val="000E1E7A"/>
    <w:rsid w:val="000E790D"/>
    <w:rsid w:val="000F3D01"/>
    <w:rsid w:val="000F3DA5"/>
    <w:rsid w:val="000F4598"/>
    <w:rsid w:val="00100FDF"/>
    <w:rsid w:val="00102D3B"/>
    <w:rsid w:val="00105086"/>
    <w:rsid w:val="00107E9C"/>
    <w:rsid w:val="0012307C"/>
    <w:rsid w:val="00125F2E"/>
    <w:rsid w:val="00126338"/>
    <w:rsid w:val="00136236"/>
    <w:rsid w:val="00136D33"/>
    <w:rsid w:val="0014007C"/>
    <w:rsid w:val="001426CF"/>
    <w:rsid w:val="00142A8D"/>
    <w:rsid w:val="00144090"/>
    <w:rsid w:val="00145873"/>
    <w:rsid w:val="00150990"/>
    <w:rsid w:val="0015142A"/>
    <w:rsid w:val="00151504"/>
    <w:rsid w:val="0016300D"/>
    <w:rsid w:val="00163887"/>
    <w:rsid w:val="00170A76"/>
    <w:rsid w:val="00171D67"/>
    <w:rsid w:val="0017263A"/>
    <w:rsid w:val="00172B7E"/>
    <w:rsid w:val="001826F1"/>
    <w:rsid w:val="0019081E"/>
    <w:rsid w:val="0019150A"/>
    <w:rsid w:val="001916B1"/>
    <w:rsid w:val="001927D3"/>
    <w:rsid w:val="00193CC0"/>
    <w:rsid w:val="0019482B"/>
    <w:rsid w:val="0019500F"/>
    <w:rsid w:val="00195E14"/>
    <w:rsid w:val="00197F19"/>
    <w:rsid w:val="001A7994"/>
    <w:rsid w:val="001B365E"/>
    <w:rsid w:val="001B4084"/>
    <w:rsid w:val="001B70B3"/>
    <w:rsid w:val="001B7DD4"/>
    <w:rsid w:val="001C06D6"/>
    <w:rsid w:val="001C6DF8"/>
    <w:rsid w:val="001C7B11"/>
    <w:rsid w:val="001D22AD"/>
    <w:rsid w:val="001D3DD1"/>
    <w:rsid w:val="001D60AF"/>
    <w:rsid w:val="001E1FDA"/>
    <w:rsid w:val="001E554C"/>
    <w:rsid w:val="001E7DFD"/>
    <w:rsid w:val="001F240B"/>
    <w:rsid w:val="001F3483"/>
    <w:rsid w:val="001F3E44"/>
    <w:rsid w:val="001F4A6E"/>
    <w:rsid w:val="001F514A"/>
    <w:rsid w:val="0020244E"/>
    <w:rsid w:val="00206243"/>
    <w:rsid w:val="002118DB"/>
    <w:rsid w:val="0021273C"/>
    <w:rsid w:val="00212765"/>
    <w:rsid w:val="00220B39"/>
    <w:rsid w:val="002217E9"/>
    <w:rsid w:val="00223962"/>
    <w:rsid w:val="00223E63"/>
    <w:rsid w:val="0023022E"/>
    <w:rsid w:val="002321F2"/>
    <w:rsid w:val="00235CE5"/>
    <w:rsid w:val="00242B75"/>
    <w:rsid w:val="00244F9D"/>
    <w:rsid w:val="0024526E"/>
    <w:rsid w:val="002452BD"/>
    <w:rsid w:val="002540CE"/>
    <w:rsid w:val="00255386"/>
    <w:rsid w:val="00267B1A"/>
    <w:rsid w:val="00272DF4"/>
    <w:rsid w:val="0027600B"/>
    <w:rsid w:val="002769ED"/>
    <w:rsid w:val="00282B53"/>
    <w:rsid w:val="002832B2"/>
    <w:rsid w:val="00287401"/>
    <w:rsid w:val="0029137D"/>
    <w:rsid w:val="0029524A"/>
    <w:rsid w:val="002A001E"/>
    <w:rsid w:val="002A17BF"/>
    <w:rsid w:val="002A4356"/>
    <w:rsid w:val="002A76D3"/>
    <w:rsid w:val="002B55FA"/>
    <w:rsid w:val="002B6E8C"/>
    <w:rsid w:val="002B7A82"/>
    <w:rsid w:val="002D746A"/>
    <w:rsid w:val="002E5E7F"/>
    <w:rsid w:val="002E75D5"/>
    <w:rsid w:val="003027D0"/>
    <w:rsid w:val="00303716"/>
    <w:rsid w:val="00303E85"/>
    <w:rsid w:val="003062A4"/>
    <w:rsid w:val="00310A75"/>
    <w:rsid w:val="003114B7"/>
    <w:rsid w:val="00312828"/>
    <w:rsid w:val="0031668C"/>
    <w:rsid w:val="00320F02"/>
    <w:rsid w:val="003222C3"/>
    <w:rsid w:val="0032382C"/>
    <w:rsid w:val="00323C4B"/>
    <w:rsid w:val="00324125"/>
    <w:rsid w:val="00331A03"/>
    <w:rsid w:val="00331DD4"/>
    <w:rsid w:val="00332462"/>
    <w:rsid w:val="003365F4"/>
    <w:rsid w:val="00336BB3"/>
    <w:rsid w:val="00340064"/>
    <w:rsid w:val="003407E5"/>
    <w:rsid w:val="00342712"/>
    <w:rsid w:val="00344651"/>
    <w:rsid w:val="00346D97"/>
    <w:rsid w:val="00351ACF"/>
    <w:rsid w:val="00354F0E"/>
    <w:rsid w:val="00357CF6"/>
    <w:rsid w:val="00362A2E"/>
    <w:rsid w:val="003648F4"/>
    <w:rsid w:val="00364F17"/>
    <w:rsid w:val="00365920"/>
    <w:rsid w:val="0036702F"/>
    <w:rsid w:val="003670D4"/>
    <w:rsid w:val="003707F8"/>
    <w:rsid w:val="00372A4B"/>
    <w:rsid w:val="00374958"/>
    <w:rsid w:val="003769DB"/>
    <w:rsid w:val="00377531"/>
    <w:rsid w:val="00381545"/>
    <w:rsid w:val="00381A7A"/>
    <w:rsid w:val="003822E3"/>
    <w:rsid w:val="00386B11"/>
    <w:rsid w:val="003875C2"/>
    <w:rsid w:val="00390570"/>
    <w:rsid w:val="003908D9"/>
    <w:rsid w:val="00391AE5"/>
    <w:rsid w:val="00392C99"/>
    <w:rsid w:val="003B0E21"/>
    <w:rsid w:val="003B35A7"/>
    <w:rsid w:val="003B3C92"/>
    <w:rsid w:val="003B59A0"/>
    <w:rsid w:val="003B6E8A"/>
    <w:rsid w:val="003C0AFA"/>
    <w:rsid w:val="003C0CAF"/>
    <w:rsid w:val="003C3059"/>
    <w:rsid w:val="003D4104"/>
    <w:rsid w:val="003D7E7F"/>
    <w:rsid w:val="003E25F1"/>
    <w:rsid w:val="003E34B5"/>
    <w:rsid w:val="003F1345"/>
    <w:rsid w:val="003F46BA"/>
    <w:rsid w:val="003F544C"/>
    <w:rsid w:val="003F64EC"/>
    <w:rsid w:val="003F698D"/>
    <w:rsid w:val="003F7B74"/>
    <w:rsid w:val="004002A0"/>
    <w:rsid w:val="004016CF"/>
    <w:rsid w:val="00412483"/>
    <w:rsid w:val="00413BA3"/>
    <w:rsid w:val="00422A56"/>
    <w:rsid w:val="00422CAB"/>
    <w:rsid w:val="00423AC0"/>
    <w:rsid w:val="00427175"/>
    <w:rsid w:val="00431277"/>
    <w:rsid w:val="00437C81"/>
    <w:rsid w:val="00441AB7"/>
    <w:rsid w:val="00441F51"/>
    <w:rsid w:val="00443707"/>
    <w:rsid w:val="00443982"/>
    <w:rsid w:val="00445562"/>
    <w:rsid w:val="004509B4"/>
    <w:rsid w:val="004521D6"/>
    <w:rsid w:val="004615B2"/>
    <w:rsid w:val="0046463C"/>
    <w:rsid w:val="00465FAB"/>
    <w:rsid w:val="00470563"/>
    <w:rsid w:val="00470BE6"/>
    <w:rsid w:val="00473287"/>
    <w:rsid w:val="00481644"/>
    <w:rsid w:val="00481B11"/>
    <w:rsid w:val="00486352"/>
    <w:rsid w:val="00486D53"/>
    <w:rsid w:val="00487E1A"/>
    <w:rsid w:val="00495676"/>
    <w:rsid w:val="00497996"/>
    <w:rsid w:val="004A3508"/>
    <w:rsid w:val="004A746D"/>
    <w:rsid w:val="004A778E"/>
    <w:rsid w:val="004B16D7"/>
    <w:rsid w:val="004B18F3"/>
    <w:rsid w:val="004C0144"/>
    <w:rsid w:val="004C4BA2"/>
    <w:rsid w:val="004C5A2D"/>
    <w:rsid w:val="004D0C43"/>
    <w:rsid w:val="004E2106"/>
    <w:rsid w:val="004E2196"/>
    <w:rsid w:val="004E5702"/>
    <w:rsid w:val="004F105F"/>
    <w:rsid w:val="004F153A"/>
    <w:rsid w:val="004F53A1"/>
    <w:rsid w:val="004F54E7"/>
    <w:rsid w:val="00500519"/>
    <w:rsid w:val="00500EBF"/>
    <w:rsid w:val="00503B8E"/>
    <w:rsid w:val="0050734E"/>
    <w:rsid w:val="00507679"/>
    <w:rsid w:val="00511B96"/>
    <w:rsid w:val="00512CE4"/>
    <w:rsid w:val="005135B8"/>
    <w:rsid w:val="0052162D"/>
    <w:rsid w:val="00522C50"/>
    <w:rsid w:val="00525644"/>
    <w:rsid w:val="00527B1B"/>
    <w:rsid w:val="00530BFA"/>
    <w:rsid w:val="00533247"/>
    <w:rsid w:val="005359D8"/>
    <w:rsid w:val="00541A15"/>
    <w:rsid w:val="00543F2D"/>
    <w:rsid w:val="00552FA4"/>
    <w:rsid w:val="00562B52"/>
    <w:rsid w:val="00562C0A"/>
    <w:rsid w:val="005653F6"/>
    <w:rsid w:val="00567F7F"/>
    <w:rsid w:val="0057124E"/>
    <w:rsid w:val="005729FD"/>
    <w:rsid w:val="00574F12"/>
    <w:rsid w:val="0058034C"/>
    <w:rsid w:val="005816A7"/>
    <w:rsid w:val="00586DBE"/>
    <w:rsid w:val="0059283B"/>
    <w:rsid w:val="00594DD4"/>
    <w:rsid w:val="005957E7"/>
    <w:rsid w:val="0059657D"/>
    <w:rsid w:val="00596778"/>
    <w:rsid w:val="005A03AF"/>
    <w:rsid w:val="005A25D9"/>
    <w:rsid w:val="005A33F7"/>
    <w:rsid w:val="005A3406"/>
    <w:rsid w:val="005A4288"/>
    <w:rsid w:val="005A4326"/>
    <w:rsid w:val="005A627A"/>
    <w:rsid w:val="005B10D1"/>
    <w:rsid w:val="005B25FB"/>
    <w:rsid w:val="005B4A8E"/>
    <w:rsid w:val="005C1DA5"/>
    <w:rsid w:val="005C21E6"/>
    <w:rsid w:val="005C430A"/>
    <w:rsid w:val="005C54C6"/>
    <w:rsid w:val="005D12C0"/>
    <w:rsid w:val="005D3CC1"/>
    <w:rsid w:val="005D3E4B"/>
    <w:rsid w:val="005D7879"/>
    <w:rsid w:val="005E03B4"/>
    <w:rsid w:val="005E12F3"/>
    <w:rsid w:val="005E58D2"/>
    <w:rsid w:val="005E5C0B"/>
    <w:rsid w:val="005F4B3A"/>
    <w:rsid w:val="005F7809"/>
    <w:rsid w:val="0060083B"/>
    <w:rsid w:val="006110D6"/>
    <w:rsid w:val="00611BC4"/>
    <w:rsid w:val="006206DE"/>
    <w:rsid w:val="00622196"/>
    <w:rsid w:val="006344FC"/>
    <w:rsid w:val="0063500A"/>
    <w:rsid w:val="0064276E"/>
    <w:rsid w:val="00647E9C"/>
    <w:rsid w:val="006511E3"/>
    <w:rsid w:val="00656FC3"/>
    <w:rsid w:val="006575D7"/>
    <w:rsid w:val="0065774B"/>
    <w:rsid w:val="00671043"/>
    <w:rsid w:val="00672B84"/>
    <w:rsid w:val="0067487F"/>
    <w:rsid w:val="00677979"/>
    <w:rsid w:val="00683102"/>
    <w:rsid w:val="006834A5"/>
    <w:rsid w:val="00686812"/>
    <w:rsid w:val="006947B7"/>
    <w:rsid w:val="0069504C"/>
    <w:rsid w:val="006962D3"/>
    <w:rsid w:val="006974BE"/>
    <w:rsid w:val="006A13B5"/>
    <w:rsid w:val="006A2DAC"/>
    <w:rsid w:val="006A648C"/>
    <w:rsid w:val="006A7419"/>
    <w:rsid w:val="006B213B"/>
    <w:rsid w:val="006C14A1"/>
    <w:rsid w:val="006C4432"/>
    <w:rsid w:val="006C65A5"/>
    <w:rsid w:val="006C70E9"/>
    <w:rsid w:val="006E014F"/>
    <w:rsid w:val="006E5D3E"/>
    <w:rsid w:val="006E6CF0"/>
    <w:rsid w:val="006F096D"/>
    <w:rsid w:val="006F1595"/>
    <w:rsid w:val="006F30D1"/>
    <w:rsid w:val="006F3654"/>
    <w:rsid w:val="006F501F"/>
    <w:rsid w:val="006F7A97"/>
    <w:rsid w:val="0070045F"/>
    <w:rsid w:val="0070704E"/>
    <w:rsid w:val="007141B8"/>
    <w:rsid w:val="00715F4F"/>
    <w:rsid w:val="00717ACD"/>
    <w:rsid w:val="00725337"/>
    <w:rsid w:val="00726209"/>
    <w:rsid w:val="00726D7F"/>
    <w:rsid w:val="007302EF"/>
    <w:rsid w:val="00732784"/>
    <w:rsid w:val="007369B1"/>
    <w:rsid w:val="00736B15"/>
    <w:rsid w:val="00741C2A"/>
    <w:rsid w:val="00742AED"/>
    <w:rsid w:val="00744112"/>
    <w:rsid w:val="007454A8"/>
    <w:rsid w:val="007511A1"/>
    <w:rsid w:val="00751792"/>
    <w:rsid w:val="007526A0"/>
    <w:rsid w:val="007534F6"/>
    <w:rsid w:val="00753612"/>
    <w:rsid w:val="00753E5D"/>
    <w:rsid w:val="00761FDF"/>
    <w:rsid w:val="00763B26"/>
    <w:rsid w:val="00770791"/>
    <w:rsid w:val="0077447F"/>
    <w:rsid w:val="007745FD"/>
    <w:rsid w:val="00775C6E"/>
    <w:rsid w:val="00776780"/>
    <w:rsid w:val="0077680E"/>
    <w:rsid w:val="007776BB"/>
    <w:rsid w:val="007827CA"/>
    <w:rsid w:val="00783D1A"/>
    <w:rsid w:val="007847BD"/>
    <w:rsid w:val="00786928"/>
    <w:rsid w:val="007874FD"/>
    <w:rsid w:val="00791AAF"/>
    <w:rsid w:val="007A5146"/>
    <w:rsid w:val="007B3B41"/>
    <w:rsid w:val="007B50C4"/>
    <w:rsid w:val="007B65B5"/>
    <w:rsid w:val="007B69AD"/>
    <w:rsid w:val="007C0394"/>
    <w:rsid w:val="007C0500"/>
    <w:rsid w:val="007C26BB"/>
    <w:rsid w:val="007C7FB7"/>
    <w:rsid w:val="007D1BA7"/>
    <w:rsid w:val="007D2145"/>
    <w:rsid w:val="007D512D"/>
    <w:rsid w:val="007E55BD"/>
    <w:rsid w:val="007E5FEB"/>
    <w:rsid w:val="007E76D7"/>
    <w:rsid w:val="007F0A52"/>
    <w:rsid w:val="007F0E03"/>
    <w:rsid w:val="007F10EA"/>
    <w:rsid w:val="007F52FD"/>
    <w:rsid w:val="007F7746"/>
    <w:rsid w:val="008002C9"/>
    <w:rsid w:val="00800784"/>
    <w:rsid w:val="00802B70"/>
    <w:rsid w:val="00807FBA"/>
    <w:rsid w:val="0081297A"/>
    <w:rsid w:val="00820EAA"/>
    <w:rsid w:val="00823ACA"/>
    <w:rsid w:val="00824715"/>
    <w:rsid w:val="0082526B"/>
    <w:rsid w:val="00826CD7"/>
    <w:rsid w:val="008271B8"/>
    <w:rsid w:val="00833E4D"/>
    <w:rsid w:val="008357EC"/>
    <w:rsid w:val="00837DDA"/>
    <w:rsid w:val="00840A7B"/>
    <w:rsid w:val="00846031"/>
    <w:rsid w:val="008460F8"/>
    <w:rsid w:val="008523B0"/>
    <w:rsid w:val="00852E10"/>
    <w:rsid w:val="008568BA"/>
    <w:rsid w:val="00856D24"/>
    <w:rsid w:val="00861568"/>
    <w:rsid w:val="00864A65"/>
    <w:rsid w:val="00872342"/>
    <w:rsid w:val="00872C8D"/>
    <w:rsid w:val="00873C35"/>
    <w:rsid w:val="008753E9"/>
    <w:rsid w:val="008803E5"/>
    <w:rsid w:val="00887162"/>
    <w:rsid w:val="00891A8F"/>
    <w:rsid w:val="00896CC0"/>
    <w:rsid w:val="008A116E"/>
    <w:rsid w:val="008A183A"/>
    <w:rsid w:val="008A7931"/>
    <w:rsid w:val="008B5202"/>
    <w:rsid w:val="008C59B3"/>
    <w:rsid w:val="008D12BD"/>
    <w:rsid w:val="008D12E2"/>
    <w:rsid w:val="008D442B"/>
    <w:rsid w:val="008D73A6"/>
    <w:rsid w:val="008D7983"/>
    <w:rsid w:val="008E2479"/>
    <w:rsid w:val="008E6990"/>
    <w:rsid w:val="008F74AF"/>
    <w:rsid w:val="009010B9"/>
    <w:rsid w:val="00911CA5"/>
    <w:rsid w:val="00914596"/>
    <w:rsid w:val="00915CD5"/>
    <w:rsid w:val="00916B68"/>
    <w:rsid w:val="00921025"/>
    <w:rsid w:val="00925269"/>
    <w:rsid w:val="00925741"/>
    <w:rsid w:val="009301EC"/>
    <w:rsid w:val="00933375"/>
    <w:rsid w:val="00942281"/>
    <w:rsid w:val="00942842"/>
    <w:rsid w:val="00944767"/>
    <w:rsid w:val="00951587"/>
    <w:rsid w:val="00951641"/>
    <w:rsid w:val="0095378E"/>
    <w:rsid w:val="00956B10"/>
    <w:rsid w:val="00960A05"/>
    <w:rsid w:val="0096228B"/>
    <w:rsid w:val="00963F6A"/>
    <w:rsid w:val="00965EF0"/>
    <w:rsid w:val="00972648"/>
    <w:rsid w:val="00984289"/>
    <w:rsid w:val="00984DA2"/>
    <w:rsid w:val="0098535C"/>
    <w:rsid w:val="00986F1C"/>
    <w:rsid w:val="00992346"/>
    <w:rsid w:val="00992835"/>
    <w:rsid w:val="0099657A"/>
    <w:rsid w:val="009974BA"/>
    <w:rsid w:val="009A0D05"/>
    <w:rsid w:val="009A4F33"/>
    <w:rsid w:val="009A6076"/>
    <w:rsid w:val="009A63F8"/>
    <w:rsid w:val="009A68EB"/>
    <w:rsid w:val="009B0A4B"/>
    <w:rsid w:val="009B1420"/>
    <w:rsid w:val="009B35F6"/>
    <w:rsid w:val="009B50F3"/>
    <w:rsid w:val="009C3FC7"/>
    <w:rsid w:val="009D0A73"/>
    <w:rsid w:val="009E1DD9"/>
    <w:rsid w:val="009E3A8C"/>
    <w:rsid w:val="009E65E6"/>
    <w:rsid w:val="009F05F9"/>
    <w:rsid w:val="009F2E6C"/>
    <w:rsid w:val="009F7838"/>
    <w:rsid w:val="00A0003C"/>
    <w:rsid w:val="00A03288"/>
    <w:rsid w:val="00A03977"/>
    <w:rsid w:val="00A0418A"/>
    <w:rsid w:val="00A048BE"/>
    <w:rsid w:val="00A050B0"/>
    <w:rsid w:val="00A11AB8"/>
    <w:rsid w:val="00A15F42"/>
    <w:rsid w:val="00A21DAE"/>
    <w:rsid w:val="00A25201"/>
    <w:rsid w:val="00A258DD"/>
    <w:rsid w:val="00A265C6"/>
    <w:rsid w:val="00A31AF9"/>
    <w:rsid w:val="00A31D11"/>
    <w:rsid w:val="00A32356"/>
    <w:rsid w:val="00A352BD"/>
    <w:rsid w:val="00A416D8"/>
    <w:rsid w:val="00A41DDD"/>
    <w:rsid w:val="00A43A82"/>
    <w:rsid w:val="00A447FF"/>
    <w:rsid w:val="00A53838"/>
    <w:rsid w:val="00A62DF3"/>
    <w:rsid w:val="00A634DD"/>
    <w:rsid w:val="00A7054D"/>
    <w:rsid w:val="00A710BC"/>
    <w:rsid w:val="00A73093"/>
    <w:rsid w:val="00A760D5"/>
    <w:rsid w:val="00A82EBE"/>
    <w:rsid w:val="00A83EE6"/>
    <w:rsid w:val="00A87EDE"/>
    <w:rsid w:val="00A92D00"/>
    <w:rsid w:val="00A95340"/>
    <w:rsid w:val="00A95790"/>
    <w:rsid w:val="00AA1784"/>
    <w:rsid w:val="00AA2810"/>
    <w:rsid w:val="00AA58CF"/>
    <w:rsid w:val="00AC16BD"/>
    <w:rsid w:val="00AC17AE"/>
    <w:rsid w:val="00AC30FC"/>
    <w:rsid w:val="00AC35C5"/>
    <w:rsid w:val="00AD1202"/>
    <w:rsid w:val="00AD19BF"/>
    <w:rsid w:val="00AD1D25"/>
    <w:rsid w:val="00AD3EF7"/>
    <w:rsid w:val="00AD6A92"/>
    <w:rsid w:val="00AE1E14"/>
    <w:rsid w:val="00AE21C6"/>
    <w:rsid w:val="00AE2627"/>
    <w:rsid w:val="00AF0AF6"/>
    <w:rsid w:val="00AF712B"/>
    <w:rsid w:val="00AF7E55"/>
    <w:rsid w:val="00B002A8"/>
    <w:rsid w:val="00B00D95"/>
    <w:rsid w:val="00B10319"/>
    <w:rsid w:val="00B14808"/>
    <w:rsid w:val="00B168E4"/>
    <w:rsid w:val="00B20E2C"/>
    <w:rsid w:val="00B212CD"/>
    <w:rsid w:val="00B23AE2"/>
    <w:rsid w:val="00B24CF4"/>
    <w:rsid w:val="00B26217"/>
    <w:rsid w:val="00B26584"/>
    <w:rsid w:val="00B26AEB"/>
    <w:rsid w:val="00B316C6"/>
    <w:rsid w:val="00B32680"/>
    <w:rsid w:val="00B4076E"/>
    <w:rsid w:val="00B440EE"/>
    <w:rsid w:val="00B44D71"/>
    <w:rsid w:val="00B453FA"/>
    <w:rsid w:val="00B500C6"/>
    <w:rsid w:val="00B53958"/>
    <w:rsid w:val="00B54878"/>
    <w:rsid w:val="00B60C24"/>
    <w:rsid w:val="00B6399B"/>
    <w:rsid w:val="00B678AA"/>
    <w:rsid w:val="00B67C03"/>
    <w:rsid w:val="00B71A2B"/>
    <w:rsid w:val="00B71BF6"/>
    <w:rsid w:val="00B73FA8"/>
    <w:rsid w:val="00B743F7"/>
    <w:rsid w:val="00B77C0C"/>
    <w:rsid w:val="00B77D21"/>
    <w:rsid w:val="00B8302F"/>
    <w:rsid w:val="00B83EE9"/>
    <w:rsid w:val="00B84B07"/>
    <w:rsid w:val="00B857B8"/>
    <w:rsid w:val="00B85B30"/>
    <w:rsid w:val="00B92433"/>
    <w:rsid w:val="00B93184"/>
    <w:rsid w:val="00B9576B"/>
    <w:rsid w:val="00BA5E19"/>
    <w:rsid w:val="00BA7754"/>
    <w:rsid w:val="00BB19B9"/>
    <w:rsid w:val="00BB4F21"/>
    <w:rsid w:val="00BB50D8"/>
    <w:rsid w:val="00BB76F3"/>
    <w:rsid w:val="00BC01CA"/>
    <w:rsid w:val="00BC107B"/>
    <w:rsid w:val="00BC188F"/>
    <w:rsid w:val="00BC29C8"/>
    <w:rsid w:val="00BC3D20"/>
    <w:rsid w:val="00BC6428"/>
    <w:rsid w:val="00BD78DC"/>
    <w:rsid w:val="00BE085C"/>
    <w:rsid w:val="00BE5E0C"/>
    <w:rsid w:val="00BE74D3"/>
    <w:rsid w:val="00BF0088"/>
    <w:rsid w:val="00BF1338"/>
    <w:rsid w:val="00C016A6"/>
    <w:rsid w:val="00C024EC"/>
    <w:rsid w:val="00C0351E"/>
    <w:rsid w:val="00C03A60"/>
    <w:rsid w:val="00C10456"/>
    <w:rsid w:val="00C132DE"/>
    <w:rsid w:val="00C13C65"/>
    <w:rsid w:val="00C14F59"/>
    <w:rsid w:val="00C152EA"/>
    <w:rsid w:val="00C17C96"/>
    <w:rsid w:val="00C20F98"/>
    <w:rsid w:val="00C27694"/>
    <w:rsid w:val="00C27864"/>
    <w:rsid w:val="00C32314"/>
    <w:rsid w:val="00C345E0"/>
    <w:rsid w:val="00C3759D"/>
    <w:rsid w:val="00C37812"/>
    <w:rsid w:val="00C45DD8"/>
    <w:rsid w:val="00C517E6"/>
    <w:rsid w:val="00C529AB"/>
    <w:rsid w:val="00C5639E"/>
    <w:rsid w:val="00C56D55"/>
    <w:rsid w:val="00C61860"/>
    <w:rsid w:val="00C634B0"/>
    <w:rsid w:val="00C67986"/>
    <w:rsid w:val="00C70D1F"/>
    <w:rsid w:val="00C72101"/>
    <w:rsid w:val="00C72D35"/>
    <w:rsid w:val="00C73533"/>
    <w:rsid w:val="00C743E8"/>
    <w:rsid w:val="00C748F7"/>
    <w:rsid w:val="00C81CEC"/>
    <w:rsid w:val="00C8380B"/>
    <w:rsid w:val="00C87B3C"/>
    <w:rsid w:val="00CA02BB"/>
    <w:rsid w:val="00CA068D"/>
    <w:rsid w:val="00CA1248"/>
    <w:rsid w:val="00CA3AA6"/>
    <w:rsid w:val="00CA4A32"/>
    <w:rsid w:val="00CA5B25"/>
    <w:rsid w:val="00CA778E"/>
    <w:rsid w:val="00CB0F3D"/>
    <w:rsid w:val="00CB14C0"/>
    <w:rsid w:val="00CB5925"/>
    <w:rsid w:val="00CC09E9"/>
    <w:rsid w:val="00CC24D4"/>
    <w:rsid w:val="00CC699C"/>
    <w:rsid w:val="00CC69B0"/>
    <w:rsid w:val="00CC727D"/>
    <w:rsid w:val="00CD347E"/>
    <w:rsid w:val="00CD752B"/>
    <w:rsid w:val="00CE2934"/>
    <w:rsid w:val="00CE2AC7"/>
    <w:rsid w:val="00CE5A2A"/>
    <w:rsid w:val="00CE7982"/>
    <w:rsid w:val="00CE7CC3"/>
    <w:rsid w:val="00CF6835"/>
    <w:rsid w:val="00D00066"/>
    <w:rsid w:val="00D00224"/>
    <w:rsid w:val="00D02441"/>
    <w:rsid w:val="00D03BA0"/>
    <w:rsid w:val="00D06407"/>
    <w:rsid w:val="00D105CD"/>
    <w:rsid w:val="00D124ED"/>
    <w:rsid w:val="00D16AFB"/>
    <w:rsid w:val="00D20313"/>
    <w:rsid w:val="00D20978"/>
    <w:rsid w:val="00D21B01"/>
    <w:rsid w:val="00D240BA"/>
    <w:rsid w:val="00D26A31"/>
    <w:rsid w:val="00D307B5"/>
    <w:rsid w:val="00D355CA"/>
    <w:rsid w:val="00D36CF1"/>
    <w:rsid w:val="00D37138"/>
    <w:rsid w:val="00D400C2"/>
    <w:rsid w:val="00D43E5A"/>
    <w:rsid w:val="00D50B35"/>
    <w:rsid w:val="00D50C6F"/>
    <w:rsid w:val="00D50E99"/>
    <w:rsid w:val="00D53781"/>
    <w:rsid w:val="00D614F1"/>
    <w:rsid w:val="00D61624"/>
    <w:rsid w:val="00D618AC"/>
    <w:rsid w:val="00D622BE"/>
    <w:rsid w:val="00D63318"/>
    <w:rsid w:val="00D671B2"/>
    <w:rsid w:val="00D708E5"/>
    <w:rsid w:val="00D71ECD"/>
    <w:rsid w:val="00D72B15"/>
    <w:rsid w:val="00D80C37"/>
    <w:rsid w:val="00D91F03"/>
    <w:rsid w:val="00D92542"/>
    <w:rsid w:val="00D92EB9"/>
    <w:rsid w:val="00D933DB"/>
    <w:rsid w:val="00D96222"/>
    <w:rsid w:val="00D96CC3"/>
    <w:rsid w:val="00D978EF"/>
    <w:rsid w:val="00DA271B"/>
    <w:rsid w:val="00DA5CFB"/>
    <w:rsid w:val="00DA74FB"/>
    <w:rsid w:val="00DB25CB"/>
    <w:rsid w:val="00DB2B83"/>
    <w:rsid w:val="00DB56C0"/>
    <w:rsid w:val="00DC0FF7"/>
    <w:rsid w:val="00DC1BFE"/>
    <w:rsid w:val="00DC257A"/>
    <w:rsid w:val="00DD033E"/>
    <w:rsid w:val="00DD3252"/>
    <w:rsid w:val="00DD4644"/>
    <w:rsid w:val="00DD6119"/>
    <w:rsid w:val="00DD6E10"/>
    <w:rsid w:val="00DE0B65"/>
    <w:rsid w:val="00DE2E18"/>
    <w:rsid w:val="00DE6DAA"/>
    <w:rsid w:val="00DE7031"/>
    <w:rsid w:val="00DF049C"/>
    <w:rsid w:val="00DF1A86"/>
    <w:rsid w:val="00DF43AD"/>
    <w:rsid w:val="00DF4D06"/>
    <w:rsid w:val="00DF6B6B"/>
    <w:rsid w:val="00E03B44"/>
    <w:rsid w:val="00E065C7"/>
    <w:rsid w:val="00E065F0"/>
    <w:rsid w:val="00E072E5"/>
    <w:rsid w:val="00E1185A"/>
    <w:rsid w:val="00E14ABC"/>
    <w:rsid w:val="00E158DF"/>
    <w:rsid w:val="00E2120A"/>
    <w:rsid w:val="00E24856"/>
    <w:rsid w:val="00E31BE0"/>
    <w:rsid w:val="00E31CDC"/>
    <w:rsid w:val="00E31F9B"/>
    <w:rsid w:val="00E32505"/>
    <w:rsid w:val="00E36424"/>
    <w:rsid w:val="00E375E1"/>
    <w:rsid w:val="00E41A14"/>
    <w:rsid w:val="00E43772"/>
    <w:rsid w:val="00E448E9"/>
    <w:rsid w:val="00E44DF6"/>
    <w:rsid w:val="00E4596E"/>
    <w:rsid w:val="00E47DB4"/>
    <w:rsid w:val="00E5107B"/>
    <w:rsid w:val="00E52377"/>
    <w:rsid w:val="00E5254E"/>
    <w:rsid w:val="00E5680D"/>
    <w:rsid w:val="00E61494"/>
    <w:rsid w:val="00E6533A"/>
    <w:rsid w:val="00E74270"/>
    <w:rsid w:val="00E77596"/>
    <w:rsid w:val="00E87879"/>
    <w:rsid w:val="00E95731"/>
    <w:rsid w:val="00EA6CB4"/>
    <w:rsid w:val="00EA7248"/>
    <w:rsid w:val="00EB1AFB"/>
    <w:rsid w:val="00EB416B"/>
    <w:rsid w:val="00EC3A40"/>
    <w:rsid w:val="00ED078C"/>
    <w:rsid w:val="00ED3FC2"/>
    <w:rsid w:val="00ED5E1C"/>
    <w:rsid w:val="00EE634F"/>
    <w:rsid w:val="00EE762F"/>
    <w:rsid w:val="00EF3226"/>
    <w:rsid w:val="00EF38E1"/>
    <w:rsid w:val="00EF5C67"/>
    <w:rsid w:val="00EF7AEF"/>
    <w:rsid w:val="00F00EF7"/>
    <w:rsid w:val="00F0154A"/>
    <w:rsid w:val="00F01FFE"/>
    <w:rsid w:val="00F05CC8"/>
    <w:rsid w:val="00F148DF"/>
    <w:rsid w:val="00F1584D"/>
    <w:rsid w:val="00F15A0A"/>
    <w:rsid w:val="00F17288"/>
    <w:rsid w:val="00F176EF"/>
    <w:rsid w:val="00F249C1"/>
    <w:rsid w:val="00F25168"/>
    <w:rsid w:val="00F3008A"/>
    <w:rsid w:val="00F31673"/>
    <w:rsid w:val="00F33D2F"/>
    <w:rsid w:val="00F340D4"/>
    <w:rsid w:val="00F37AFC"/>
    <w:rsid w:val="00F5251C"/>
    <w:rsid w:val="00F5500B"/>
    <w:rsid w:val="00F550F8"/>
    <w:rsid w:val="00F56C4A"/>
    <w:rsid w:val="00F60D5D"/>
    <w:rsid w:val="00F65DA5"/>
    <w:rsid w:val="00F67691"/>
    <w:rsid w:val="00F67D88"/>
    <w:rsid w:val="00F71BCC"/>
    <w:rsid w:val="00F722E9"/>
    <w:rsid w:val="00F73EB7"/>
    <w:rsid w:val="00F81333"/>
    <w:rsid w:val="00F85117"/>
    <w:rsid w:val="00F87AE5"/>
    <w:rsid w:val="00F9632A"/>
    <w:rsid w:val="00FA31A2"/>
    <w:rsid w:val="00FA64A1"/>
    <w:rsid w:val="00FA7302"/>
    <w:rsid w:val="00FA79AC"/>
    <w:rsid w:val="00FB26FE"/>
    <w:rsid w:val="00FB3D00"/>
    <w:rsid w:val="00FC6606"/>
    <w:rsid w:val="00FC6C79"/>
    <w:rsid w:val="00FD0CFB"/>
    <w:rsid w:val="00FD200A"/>
    <w:rsid w:val="00FD4FE8"/>
    <w:rsid w:val="00FD5610"/>
    <w:rsid w:val="00FE4D90"/>
    <w:rsid w:val="00FE61CC"/>
    <w:rsid w:val="00FF0213"/>
    <w:rsid w:val="00FF3251"/>
    <w:rsid w:val="00FF5561"/>
    <w:rsid w:val="00FF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7725349"/>
  <w15:docId w15:val="{68F726C9-FBE5-094A-BA88-AF939DE6D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CF6"/>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D064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40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7A5146"/>
    <w:pPr>
      <w:spacing w:before="240" w:after="120"/>
    </w:pPr>
    <w:rPr>
      <w:rFonts w:asciiTheme="minorHAnsi" w:hAnsiTheme="minorHAnsi" w:cstheme="minorHAnsi"/>
      <w:b/>
      <w:bCs/>
      <w:sz w:val="20"/>
      <w:szCs w:val="20"/>
    </w:rPr>
  </w:style>
  <w:style w:type="character" w:customStyle="1" w:styleId="apple-converted-space">
    <w:name w:val="apple-converted-space"/>
    <w:basedOn w:val="DefaultParagraphFont"/>
    <w:rsid w:val="003F7B74"/>
  </w:style>
  <w:style w:type="paragraph" w:styleId="NormalWeb">
    <w:name w:val="Normal (Web)"/>
    <w:basedOn w:val="Normal"/>
    <w:uiPriority w:val="99"/>
    <w:unhideWhenUsed/>
    <w:rsid w:val="003F7B7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paragraph" w:styleId="FootnoteText">
    <w:name w:val="footnote text"/>
    <w:basedOn w:val="Normal"/>
    <w:link w:val="FootnoteTextChar"/>
    <w:uiPriority w:val="99"/>
    <w:unhideWhenUsed/>
    <w:rsid w:val="00512CE4"/>
    <w:rPr>
      <w:rFonts w:asciiTheme="minorHAnsi" w:hAnsiTheme="minorHAnsi"/>
      <w:sz w:val="20"/>
      <w:szCs w:val="20"/>
    </w:rPr>
  </w:style>
  <w:style w:type="character" w:customStyle="1" w:styleId="FootnoteTextChar">
    <w:name w:val="Footnote Text Char"/>
    <w:basedOn w:val="DefaultParagraphFont"/>
    <w:link w:val="FootnoteText"/>
    <w:uiPriority w:val="99"/>
    <w:rsid w:val="00512CE4"/>
    <w:rPr>
      <w:rFonts w:eastAsia="Arial Unicode MS" w:cs="Times New Roman"/>
      <w:kern w:val="0"/>
      <w:sz w:val="20"/>
      <w:szCs w:val="20"/>
      <w:bdr w:val="nil"/>
      <w14:ligatures w14:val="none"/>
    </w:rPr>
  </w:style>
  <w:style w:type="character" w:styleId="FootnoteReference">
    <w:name w:val="footnote reference"/>
    <w:basedOn w:val="DefaultParagraphFont"/>
    <w:uiPriority w:val="99"/>
    <w:semiHidden/>
    <w:unhideWhenUsed/>
    <w:rsid w:val="00F65DA5"/>
    <w:rPr>
      <w:vertAlign w:val="superscript"/>
    </w:rPr>
  </w:style>
  <w:style w:type="character" w:styleId="Hyperlink">
    <w:name w:val="Hyperlink"/>
    <w:basedOn w:val="DefaultParagraphFont"/>
    <w:uiPriority w:val="99"/>
    <w:unhideWhenUsed/>
    <w:rsid w:val="006F3654"/>
    <w:rPr>
      <w:color w:val="0000FF"/>
      <w:u w:val="single"/>
    </w:rPr>
  </w:style>
  <w:style w:type="character" w:styleId="EndnoteReference">
    <w:name w:val="endnote reference"/>
    <w:basedOn w:val="DefaultParagraphFont"/>
    <w:uiPriority w:val="99"/>
    <w:unhideWhenUsed/>
    <w:rsid w:val="00F15A0A"/>
    <w:rPr>
      <w:vertAlign w:val="superscript"/>
    </w:rPr>
  </w:style>
  <w:style w:type="paragraph" w:styleId="ListParagraph">
    <w:name w:val="List Paragraph"/>
    <w:basedOn w:val="Normal"/>
    <w:uiPriority w:val="34"/>
    <w:qFormat/>
    <w:rsid w:val="006F501F"/>
    <w:pPr>
      <w:ind w:left="720"/>
      <w:contextualSpacing/>
    </w:pPr>
  </w:style>
  <w:style w:type="character" w:customStyle="1" w:styleId="Heading1Char">
    <w:name w:val="Heading 1 Char"/>
    <w:basedOn w:val="DefaultParagraphFont"/>
    <w:link w:val="Heading1"/>
    <w:uiPriority w:val="9"/>
    <w:rsid w:val="00D06407"/>
    <w:rPr>
      <w:rFonts w:asciiTheme="majorHAnsi" w:eastAsiaTheme="majorEastAsia" w:hAnsiTheme="majorHAnsi" w:cstheme="majorBidi"/>
      <w:color w:val="2F5496" w:themeColor="accent1" w:themeShade="BF"/>
      <w:kern w:val="0"/>
      <w:sz w:val="32"/>
      <w:szCs w:val="32"/>
      <w:bdr w:val="nil"/>
      <w14:ligatures w14:val="none"/>
    </w:rPr>
  </w:style>
  <w:style w:type="character" w:customStyle="1" w:styleId="Heading2Char">
    <w:name w:val="Heading 2 Char"/>
    <w:basedOn w:val="DefaultParagraphFont"/>
    <w:link w:val="Heading2"/>
    <w:uiPriority w:val="9"/>
    <w:rsid w:val="00D06407"/>
    <w:rPr>
      <w:rFonts w:asciiTheme="majorHAnsi" w:eastAsiaTheme="majorEastAsia" w:hAnsiTheme="majorHAnsi" w:cstheme="majorBidi"/>
      <w:color w:val="2F5496" w:themeColor="accent1" w:themeShade="BF"/>
      <w:kern w:val="0"/>
      <w:sz w:val="26"/>
      <w:szCs w:val="26"/>
      <w:bdr w:val="nil"/>
      <w14:ligatures w14:val="none"/>
    </w:rPr>
  </w:style>
  <w:style w:type="paragraph" w:styleId="TOCHeading">
    <w:name w:val="TOC Heading"/>
    <w:basedOn w:val="Heading1"/>
    <w:next w:val="Normal"/>
    <w:uiPriority w:val="39"/>
    <w:unhideWhenUsed/>
    <w:qFormat/>
    <w:rsid w:val="00D06407"/>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lang w:val="en-US"/>
    </w:rPr>
  </w:style>
  <w:style w:type="paragraph" w:styleId="TOC2">
    <w:name w:val="toc 2"/>
    <w:basedOn w:val="Normal"/>
    <w:next w:val="Normal"/>
    <w:autoRedefine/>
    <w:uiPriority w:val="39"/>
    <w:unhideWhenUsed/>
    <w:rsid w:val="00D06407"/>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D06407"/>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D06407"/>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D06407"/>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D06407"/>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D06407"/>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D06407"/>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D06407"/>
    <w:pPr>
      <w:ind w:left="1920"/>
    </w:pPr>
    <w:rPr>
      <w:rFonts w:asciiTheme="minorHAnsi" w:hAnsiTheme="minorHAnsi" w:cstheme="minorHAnsi"/>
      <w:sz w:val="20"/>
      <w:szCs w:val="20"/>
    </w:rPr>
  </w:style>
  <w:style w:type="character" w:customStyle="1" w:styleId="text">
    <w:name w:val="text"/>
    <w:basedOn w:val="DefaultParagraphFont"/>
    <w:rsid w:val="00DE7031"/>
  </w:style>
  <w:style w:type="character" w:customStyle="1" w:styleId="indent-1-breaks">
    <w:name w:val="indent-1-breaks"/>
    <w:basedOn w:val="DefaultParagraphFont"/>
    <w:rsid w:val="00495676"/>
  </w:style>
  <w:style w:type="paragraph" w:styleId="Header">
    <w:name w:val="header"/>
    <w:basedOn w:val="Normal"/>
    <w:link w:val="HeaderChar"/>
    <w:uiPriority w:val="99"/>
    <w:unhideWhenUsed/>
    <w:rsid w:val="00E74270"/>
    <w:pPr>
      <w:tabs>
        <w:tab w:val="center" w:pos="4513"/>
        <w:tab w:val="right" w:pos="9026"/>
      </w:tabs>
    </w:pPr>
  </w:style>
  <w:style w:type="character" w:customStyle="1" w:styleId="HeaderChar">
    <w:name w:val="Header Char"/>
    <w:basedOn w:val="DefaultParagraphFont"/>
    <w:link w:val="Header"/>
    <w:uiPriority w:val="99"/>
    <w:rsid w:val="00E74270"/>
    <w:rPr>
      <w:rFonts w:ascii="Times New Roman" w:eastAsia="Arial Unicode MS" w:hAnsi="Times New Roman" w:cs="Times New Roman"/>
      <w:kern w:val="0"/>
      <w:bdr w:val="nil"/>
      <w14:ligatures w14:val="none"/>
    </w:rPr>
  </w:style>
  <w:style w:type="paragraph" w:styleId="Footer">
    <w:name w:val="footer"/>
    <w:basedOn w:val="Normal"/>
    <w:link w:val="FooterChar"/>
    <w:uiPriority w:val="99"/>
    <w:unhideWhenUsed/>
    <w:rsid w:val="00E74270"/>
    <w:pPr>
      <w:tabs>
        <w:tab w:val="center" w:pos="4513"/>
        <w:tab w:val="right" w:pos="9026"/>
      </w:tabs>
    </w:pPr>
  </w:style>
  <w:style w:type="character" w:customStyle="1" w:styleId="FooterChar">
    <w:name w:val="Footer Char"/>
    <w:basedOn w:val="DefaultParagraphFont"/>
    <w:link w:val="Footer"/>
    <w:uiPriority w:val="99"/>
    <w:rsid w:val="00E74270"/>
    <w:rPr>
      <w:rFonts w:ascii="Times New Roman" w:eastAsia="Arial Unicode MS" w:hAnsi="Times New Roman" w:cs="Times New Roman"/>
      <w:kern w:val="0"/>
      <w:bdr w:val="nil"/>
      <w14:ligatures w14:val="none"/>
    </w:rPr>
  </w:style>
  <w:style w:type="paragraph" w:customStyle="1" w:styleId="BodyA">
    <w:name w:val="Body A"/>
    <w:rsid w:val="00E74270"/>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14:ligatures w14:val="none"/>
    </w:rPr>
  </w:style>
  <w:style w:type="paragraph" w:styleId="Bibliography">
    <w:name w:val="Bibliography"/>
    <w:basedOn w:val="Normal"/>
    <w:next w:val="Normal"/>
    <w:uiPriority w:val="37"/>
    <w:unhideWhenUsed/>
    <w:rsid w:val="00FC6606"/>
    <w:pPr>
      <w:ind w:left="720" w:hanging="720"/>
    </w:pPr>
  </w:style>
  <w:style w:type="table" w:styleId="TableGrid">
    <w:name w:val="Table Grid"/>
    <w:basedOn w:val="TableNormal"/>
    <w:uiPriority w:val="39"/>
    <w:rsid w:val="003324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07280">
      <w:bodyDiv w:val="1"/>
      <w:marLeft w:val="0"/>
      <w:marRight w:val="0"/>
      <w:marTop w:val="0"/>
      <w:marBottom w:val="0"/>
      <w:divBdr>
        <w:top w:val="none" w:sz="0" w:space="0" w:color="auto"/>
        <w:left w:val="none" w:sz="0" w:space="0" w:color="auto"/>
        <w:bottom w:val="none" w:sz="0" w:space="0" w:color="auto"/>
        <w:right w:val="none" w:sz="0" w:space="0" w:color="auto"/>
      </w:divBdr>
      <w:divsChild>
        <w:div w:id="1281499569">
          <w:marLeft w:val="0"/>
          <w:marRight w:val="0"/>
          <w:marTop w:val="0"/>
          <w:marBottom w:val="0"/>
          <w:divBdr>
            <w:top w:val="none" w:sz="0" w:space="0" w:color="auto"/>
            <w:left w:val="none" w:sz="0" w:space="0" w:color="auto"/>
            <w:bottom w:val="none" w:sz="0" w:space="0" w:color="auto"/>
            <w:right w:val="none" w:sz="0" w:space="0" w:color="auto"/>
          </w:divBdr>
          <w:divsChild>
            <w:div w:id="695622040">
              <w:marLeft w:val="0"/>
              <w:marRight w:val="0"/>
              <w:marTop w:val="0"/>
              <w:marBottom w:val="0"/>
              <w:divBdr>
                <w:top w:val="none" w:sz="0" w:space="0" w:color="auto"/>
                <w:left w:val="none" w:sz="0" w:space="0" w:color="auto"/>
                <w:bottom w:val="none" w:sz="0" w:space="0" w:color="auto"/>
                <w:right w:val="none" w:sz="0" w:space="0" w:color="auto"/>
              </w:divBdr>
              <w:divsChild>
                <w:div w:id="96620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77804">
      <w:bodyDiv w:val="1"/>
      <w:marLeft w:val="0"/>
      <w:marRight w:val="0"/>
      <w:marTop w:val="0"/>
      <w:marBottom w:val="0"/>
      <w:divBdr>
        <w:top w:val="none" w:sz="0" w:space="0" w:color="auto"/>
        <w:left w:val="none" w:sz="0" w:space="0" w:color="auto"/>
        <w:bottom w:val="none" w:sz="0" w:space="0" w:color="auto"/>
        <w:right w:val="none" w:sz="0" w:space="0" w:color="auto"/>
      </w:divBdr>
      <w:divsChild>
        <w:div w:id="378628324">
          <w:marLeft w:val="0"/>
          <w:marRight w:val="0"/>
          <w:marTop w:val="0"/>
          <w:marBottom w:val="0"/>
          <w:divBdr>
            <w:top w:val="none" w:sz="0" w:space="0" w:color="auto"/>
            <w:left w:val="none" w:sz="0" w:space="0" w:color="auto"/>
            <w:bottom w:val="none" w:sz="0" w:space="0" w:color="auto"/>
            <w:right w:val="none" w:sz="0" w:space="0" w:color="auto"/>
          </w:divBdr>
          <w:divsChild>
            <w:div w:id="1635870754">
              <w:marLeft w:val="0"/>
              <w:marRight w:val="0"/>
              <w:marTop w:val="0"/>
              <w:marBottom w:val="0"/>
              <w:divBdr>
                <w:top w:val="none" w:sz="0" w:space="0" w:color="auto"/>
                <w:left w:val="none" w:sz="0" w:space="0" w:color="auto"/>
                <w:bottom w:val="none" w:sz="0" w:space="0" w:color="auto"/>
                <w:right w:val="none" w:sz="0" w:space="0" w:color="auto"/>
              </w:divBdr>
              <w:divsChild>
                <w:div w:id="125674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45288">
      <w:bodyDiv w:val="1"/>
      <w:marLeft w:val="0"/>
      <w:marRight w:val="0"/>
      <w:marTop w:val="0"/>
      <w:marBottom w:val="0"/>
      <w:divBdr>
        <w:top w:val="none" w:sz="0" w:space="0" w:color="auto"/>
        <w:left w:val="none" w:sz="0" w:space="0" w:color="auto"/>
        <w:bottom w:val="none" w:sz="0" w:space="0" w:color="auto"/>
        <w:right w:val="none" w:sz="0" w:space="0" w:color="auto"/>
      </w:divBdr>
      <w:divsChild>
        <w:div w:id="742221328">
          <w:marLeft w:val="0"/>
          <w:marRight w:val="0"/>
          <w:marTop w:val="0"/>
          <w:marBottom w:val="0"/>
          <w:divBdr>
            <w:top w:val="none" w:sz="0" w:space="0" w:color="auto"/>
            <w:left w:val="none" w:sz="0" w:space="0" w:color="auto"/>
            <w:bottom w:val="none" w:sz="0" w:space="0" w:color="auto"/>
            <w:right w:val="none" w:sz="0" w:space="0" w:color="auto"/>
          </w:divBdr>
          <w:divsChild>
            <w:div w:id="1720589615">
              <w:marLeft w:val="0"/>
              <w:marRight w:val="0"/>
              <w:marTop w:val="0"/>
              <w:marBottom w:val="0"/>
              <w:divBdr>
                <w:top w:val="none" w:sz="0" w:space="0" w:color="auto"/>
                <w:left w:val="none" w:sz="0" w:space="0" w:color="auto"/>
                <w:bottom w:val="none" w:sz="0" w:space="0" w:color="auto"/>
                <w:right w:val="none" w:sz="0" w:space="0" w:color="auto"/>
              </w:divBdr>
              <w:divsChild>
                <w:div w:id="128203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993638">
      <w:bodyDiv w:val="1"/>
      <w:marLeft w:val="0"/>
      <w:marRight w:val="0"/>
      <w:marTop w:val="0"/>
      <w:marBottom w:val="0"/>
      <w:divBdr>
        <w:top w:val="none" w:sz="0" w:space="0" w:color="auto"/>
        <w:left w:val="none" w:sz="0" w:space="0" w:color="auto"/>
        <w:bottom w:val="none" w:sz="0" w:space="0" w:color="auto"/>
        <w:right w:val="none" w:sz="0" w:space="0" w:color="auto"/>
      </w:divBdr>
      <w:divsChild>
        <w:div w:id="1187788948">
          <w:marLeft w:val="0"/>
          <w:marRight w:val="0"/>
          <w:marTop w:val="0"/>
          <w:marBottom w:val="0"/>
          <w:divBdr>
            <w:top w:val="none" w:sz="0" w:space="0" w:color="auto"/>
            <w:left w:val="none" w:sz="0" w:space="0" w:color="auto"/>
            <w:bottom w:val="none" w:sz="0" w:space="0" w:color="auto"/>
            <w:right w:val="none" w:sz="0" w:space="0" w:color="auto"/>
          </w:divBdr>
          <w:divsChild>
            <w:div w:id="1327856867">
              <w:marLeft w:val="0"/>
              <w:marRight w:val="0"/>
              <w:marTop w:val="0"/>
              <w:marBottom w:val="0"/>
              <w:divBdr>
                <w:top w:val="none" w:sz="0" w:space="0" w:color="auto"/>
                <w:left w:val="none" w:sz="0" w:space="0" w:color="auto"/>
                <w:bottom w:val="none" w:sz="0" w:space="0" w:color="auto"/>
                <w:right w:val="none" w:sz="0" w:space="0" w:color="auto"/>
              </w:divBdr>
              <w:divsChild>
                <w:div w:id="204532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343275">
      <w:bodyDiv w:val="1"/>
      <w:marLeft w:val="0"/>
      <w:marRight w:val="0"/>
      <w:marTop w:val="0"/>
      <w:marBottom w:val="0"/>
      <w:divBdr>
        <w:top w:val="none" w:sz="0" w:space="0" w:color="auto"/>
        <w:left w:val="none" w:sz="0" w:space="0" w:color="auto"/>
        <w:bottom w:val="none" w:sz="0" w:space="0" w:color="auto"/>
        <w:right w:val="none" w:sz="0" w:space="0" w:color="auto"/>
      </w:divBdr>
      <w:divsChild>
        <w:div w:id="1357005686">
          <w:marLeft w:val="0"/>
          <w:marRight w:val="0"/>
          <w:marTop w:val="0"/>
          <w:marBottom w:val="0"/>
          <w:divBdr>
            <w:top w:val="none" w:sz="0" w:space="0" w:color="auto"/>
            <w:left w:val="none" w:sz="0" w:space="0" w:color="auto"/>
            <w:bottom w:val="none" w:sz="0" w:space="0" w:color="auto"/>
            <w:right w:val="none" w:sz="0" w:space="0" w:color="auto"/>
          </w:divBdr>
          <w:divsChild>
            <w:div w:id="611011231">
              <w:marLeft w:val="0"/>
              <w:marRight w:val="0"/>
              <w:marTop w:val="0"/>
              <w:marBottom w:val="0"/>
              <w:divBdr>
                <w:top w:val="none" w:sz="0" w:space="0" w:color="auto"/>
                <w:left w:val="none" w:sz="0" w:space="0" w:color="auto"/>
                <w:bottom w:val="none" w:sz="0" w:space="0" w:color="auto"/>
                <w:right w:val="none" w:sz="0" w:space="0" w:color="auto"/>
              </w:divBdr>
              <w:divsChild>
                <w:div w:id="82073674">
                  <w:marLeft w:val="0"/>
                  <w:marRight w:val="0"/>
                  <w:marTop w:val="0"/>
                  <w:marBottom w:val="0"/>
                  <w:divBdr>
                    <w:top w:val="none" w:sz="0" w:space="0" w:color="auto"/>
                    <w:left w:val="none" w:sz="0" w:space="0" w:color="auto"/>
                    <w:bottom w:val="none" w:sz="0" w:space="0" w:color="auto"/>
                    <w:right w:val="none" w:sz="0" w:space="0" w:color="auto"/>
                  </w:divBdr>
                  <w:divsChild>
                    <w:div w:id="30239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547837">
      <w:bodyDiv w:val="1"/>
      <w:marLeft w:val="0"/>
      <w:marRight w:val="0"/>
      <w:marTop w:val="0"/>
      <w:marBottom w:val="0"/>
      <w:divBdr>
        <w:top w:val="none" w:sz="0" w:space="0" w:color="auto"/>
        <w:left w:val="none" w:sz="0" w:space="0" w:color="auto"/>
        <w:bottom w:val="none" w:sz="0" w:space="0" w:color="auto"/>
        <w:right w:val="none" w:sz="0" w:space="0" w:color="auto"/>
      </w:divBdr>
      <w:divsChild>
        <w:div w:id="1291091137">
          <w:marLeft w:val="0"/>
          <w:marRight w:val="0"/>
          <w:marTop w:val="0"/>
          <w:marBottom w:val="0"/>
          <w:divBdr>
            <w:top w:val="none" w:sz="0" w:space="0" w:color="auto"/>
            <w:left w:val="none" w:sz="0" w:space="0" w:color="auto"/>
            <w:bottom w:val="none" w:sz="0" w:space="0" w:color="auto"/>
            <w:right w:val="none" w:sz="0" w:space="0" w:color="auto"/>
          </w:divBdr>
          <w:divsChild>
            <w:div w:id="1016349422">
              <w:marLeft w:val="0"/>
              <w:marRight w:val="0"/>
              <w:marTop w:val="0"/>
              <w:marBottom w:val="0"/>
              <w:divBdr>
                <w:top w:val="none" w:sz="0" w:space="0" w:color="auto"/>
                <w:left w:val="none" w:sz="0" w:space="0" w:color="auto"/>
                <w:bottom w:val="none" w:sz="0" w:space="0" w:color="auto"/>
                <w:right w:val="none" w:sz="0" w:space="0" w:color="auto"/>
              </w:divBdr>
              <w:divsChild>
                <w:div w:id="180047062">
                  <w:marLeft w:val="0"/>
                  <w:marRight w:val="0"/>
                  <w:marTop w:val="0"/>
                  <w:marBottom w:val="0"/>
                  <w:divBdr>
                    <w:top w:val="none" w:sz="0" w:space="0" w:color="auto"/>
                    <w:left w:val="none" w:sz="0" w:space="0" w:color="auto"/>
                    <w:bottom w:val="none" w:sz="0" w:space="0" w:color="auto"/>
                    <w:right w:val="none" w:sz="0" w:space="0" w:color="auto"/>
                  </w:divBdr>
                  <w:divsChild>
                    <w:div w:id="136736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543633">
      <w:bodyDiv w:val="1"/>
      <w:marLeft w:val="0"/>
      <w:marRight w:val="0"/>
      <w:marTop w:val="0"/>
      <w:marBottom w:val="0"/>
      <w:divBdr>
        <w:top w:val="none" w:sz="0" w:space="0" w:color="auto"/>
        <w:left w:val="none" w:sz="0" w:space="0" w:color="auto"/>
        <w:bottom w:val="none" w:sz="0" w:space="0" w:color="auto"/>
        <w:right w:val="none" w:sz="0" w:space="0" w:color="auto"/>
      </w:divBdr>
      <w:divsChild>
        <w:div w:id="2075812912">
          <w:marLeft w:val="0"/>
          <w:marRight w:val="0"/>
          <w:marTop w:val="0"/>
          <w:marBottom w:val="0"/>
          <w:divBdr>
            <w:top w:val="none" w:sz="0" w:space="0" w:color="auto"/>
            <w:left w:val="none" w:sz="0" w:space="0" w:color="auto"/>
            <w:bottom w:val="none" w:sz="0" w:space="0" w:color="auto"/>
            <w:right w:val="none" w:sz="0" w:space="0" w:color="auto"/>
          </w:divBdr>
          <w:divsChild>
            <w:div w:id="1786341473">
              <w:marLeft w:val="0"/>
              <w:marRight w:val="0"/>
              <w:marTop w:val="0"/>
              <w:marBottom w:val="0"/>
              <w:divBdr>
                <w:top w:val="none" w:sz="0" w:space="0" w:color="auto"/>
                <w:left w:val="none" w:sz="0" w:space="0" w:color="auto"/>
                <w:bottom w:val="none" w:sz="0" w:space="0" w:color="auto"/>
                <w:right w:val="none" w:sz="0" w:space="0" w:color="auto"/>
              </w:divBdr>
              <w:divsChild>
                <w:div w:id="131290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150066">
      <w:bodyDiv w:val="1"/>
      <w:marLeft w:val="0"/>
      <w:marRight w:val="0"/>
      <w:marTop w:val="0"/>
      <w:marBottom w:val="0"/>
      <w:divBdr>
        <w:top w:val="none" w:sz="0" w:space="0" w:color="auto"/>
        <w:left w:val="none" w:sz="0" w:space="0" w:color="auto"/>
        <w:bottom w:val="none" w:sz="0" w:space="0" w:color="auto"/>
        <w:right w:val="none" w:sz="0" w:space="0" w:color="auto"/>
      </w:divBdr>
      <w:divsChild>
        <w:div w:id="1351759027">
          <w:marLeft w:val="0"/>
          <w:marRight w:val="0"/>
          <w:marTop w:val="0"/>
          <w:marBottom w:val="0"/>
          <w:divBdr>
            <w:top w:val="none" w:sz="0" w:space="0" w:color="auto"/>
            <w:left w:val="none" w:sz="0" w:space="0" w:color="auto"/>
            <w:bottom w:val="none" w:sz="0" w:space="0" w:color="auto"/>
            <w:right w:val="none" w:sz="0" w:space="0" w:color="auto"/>
          </w:divBdr>
          <w:divsChild>
            <w:div w:id="1759790674">
              <w:marLeft w:val="0"/>
              <w:marRight w:val="0"/>
              <w:marTop w:val="0"/>
              <w:marBottom w:val="0"/>
              <w:divBdr>
                <w:top w:val="none" w:sz="0" w:space="0" w:color="auto"/>
                <w:left w:val="none" w:sz="0" w:space="0" w:color="auto"/>
                <w:bottom w:val="none" w:sz="0" w:space="0" w:color="auto"/>
                <w:right w:val="none" w:sz="0" w:space="0" w:color="auto"/>
              </w:divBdr>
              <w:divsChild>
                <w:div w:id="7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157388">
      <w:bodyDiv w:val="1"/>
      <w:marLeft w:val="0"/>
      <w:marRight w:val="0"/>
      <w:marTop w:val="0"/>
      <w:marBottom w:val="0"/>
      <w:divBdr>
        <w:top w:val="none" w:sz="0" w:space="0" w:color="auto"/>
        <w:left w:val="none" w:sz="0" w:space="0" w:color="auto"/>
        <w:bottom w:val="none" w:sz="0" w:space="0" w:color="auto"/>
        <w:right w:val="none" w:sz="0" w:space="0" w:color="auto"/>
      </w:divBdr>
      <w:divsChild>
        <w:div w:id="1719208993">
          <w:marLeft w:val="0"/>
          <w:marRight w:val="0"/>
          <w:marTop w:val="0"/>
          <w:marBottom w:val="0"/>
          <w:divBdr>
            <w:top w:val="none" w:sz="0" w:space="0" w:color="auto"/>
            <w:left w:val="none" w:sz="0" w:space="0" w:color="auto"/>
            <w:bottom w:val="none" w:sz="0" w:space="0" w:color="auto"/>
            <w:right w:val="none" w:sz="0" w:space="0" w:color="auto"/>
          </w:divBdr>
          <w:divsChild>
            <w:div w:id="1907295225">
              <w:marLeft w:val="0"/>
              <w:marRight w:val="0"/>
              <w:marTop w:val="0"/>
              <w:marBottom w:val="0"/>
              <w:divBdr>
                <w:top w:val="none" w:sz="0" w:space="0" w:color="auto"/>
                <w:left w:val="none" w:sz="0" w:space="0" w:color="auto"/>
                <w:bottom w:val="none" w:sz="0" w:space="0" w:color="auto"/>
                <w:right w:val="none" w:sz="0" w:space="0" w:color="auto"/>
              </w:divBdr>
              <w:divsChild>
                <w:div w:id="15031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57081">
      <w:bodyDiv w:val="1"/>
      <w:marLeft w:val="0"/>
      <w:marRight w:val="0"/>
      <w:marTop w:val="0"/>
      <w:marBottom w:val="0"/>
      <w:divBdr>
        <w:top w:val="none" w:sz="0" w:space="0" w:color="auto"/>
        <w:left w:val="none" w:sz="0" w:space="0" w:color="auto"/>
        <w:bottom w:val="none" w:sz="0" w:space="0" w:color="auto"/>
        <w:right w:val="none" w:sz="0" w:space="0" w:color="auto"/>
      </w:divBdr>
      <w:divsChild>
        <w:div w:id="1373265812">
          <w:marLeft w:val="0"/>
          <w:marRight w:val="0"/>
          <w:marTop w:val="0"/>
          <w:marBottom w:val="0"/>
          <w:divBdr>
            <w:top w:val="none" w:sz="0" w:space="0" w:color="auto"/>
            <w:left w:val="none" w:sz="0" w:space="0" w:color="auto"/>
            <w:bottom w:val="none" w:sz="0" w:space="0" w:color="auto"/>
            <w:right w:val="none" w:sz="0" w:space="0" w:color="auto"/>
          </w:divBdr>
          <w:divsChild>
            <w:div w:id="1033924591">
              <w:marLeft w:val="0"/>
              <w:marRight w:val="0"/>
              <w:marTop w:val="0"/>
              <w:marBottom w:val="0"/>
              <w:divBdr>
                <w:top w:val="none" w:sz="0" w:space="0" w:color="auto"/>
                <w:left w:val="none" w:sz="0" w:space="0" w:color="auto"/>
                <w:bottom w:val="none" w:sz="0" w:space="0" w:color="auto"/>
                <w:right w:val="none" w:sz="0" w:space="0" w:color="auto"/>
              </w:divBdr>
              <w:divsChild>
                <w:div w:id="190271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5168">
      <w:bodyDiv w:val="1"/>
      <w:marLeft w:val="0"/>
      <w:marRight w:val="0"/>
      <w:marTop w:val="0"/>
      <w:marBottom w:val="0"/>
      <w:divBdr>
        <w:top w:val="none" w:sz="0" w:space="0" w:color="auto"/>
        <w:left w:val="none" w:sz="0" w:space="0" w:color="auto"/>
        <w:bottom w:val="none" w:sz="0" w:space="0" w:color="auto"/>
        <w:right w:val="none" w:sz="0" w:space="0" w:color="auto"/>
      </w:divBdr>
      <w:divsChild>
        <w:div w:id="904025944">
          <w:marLeft w:val="0"/>
          <w:marRight w:val="0"/>
          <w:marTop w:val="0"/>
          <w:marBottom w:val="0"/>
          <w:divBdr>
            <w:top w:val="none" w:sz="0" w:space="0" w:color="auto"/>
            <w:left w:val="none" w:sz="0" w:space="0" w:color="auto"/>
            <w:bottom w:val="none" w:sz="0" w:space="0" w:color="auto"/>
            <w:right w:val="none" w:sz="0" w:space="0" w:color="auto"/>
          </w:divBdr>
          <w:divsChild>
            <w:div w:id="1937008425">
              <w:marLeft w:val="0"/>
              <w:marRight w:val="0"/>
              <w:marTop w:val="0"/>
              <w:marBottom w:val="0"/>
              <w:divBdr>
                <w:top w:val="none" w:sz="0" w:space="0" w:color="auto"/>
                <w:left w:val="none" w:sz="0" w:space="0" w:color="auto"/>
                <w:bottom w:val="none" w:sz="0" w:space="0" w:color="auto"/>
                <w:right w:val="none" w:sz="0" w:space="0" w:color="auto"/>
              </w:divBdr>
              <w:divsChild>
                <w:div w:id="1456409697">
                  <w:marLeft w:val="0"/>
                  <w:marRight w:val="0"/>
                  <w:marTop w:val="0"/>
                  <w:marBottom w:val="0"/>
                  <w:divBdr>
                    <w:top w:val="none" w:sz="0" w:space="0" w:color="auto"/>
                    <w:left w:val="none" w:sz="0" w:space="0" w:color="auto"/>
                    <w:bottom w:val="none" w:sz="0" w:space="0" w:color="auto"/>
                    <w:right w:val="none" w:sz="0" w:space="0" w:color="auto"/>
                  </w:divBdr>
                  <w:divsChild>
                    <w:div w:id="205222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803515">
      <w:bodyDiv w:val="1"/>
      <w:marLeft w:val="0"/>
      <w:marRight w:val="0"/>
      <w:marTop w:val="0"/>
      <w:marBottom w:val="0"/>
      <w:divBdr>
        <w:top w:val="none" w:sz="0" w:space="0" w:color="auto"/>
        <w:left w:val="none" w:sz="0" w:space="0" w:color="auto"/>
        <w:bottom w:val="none" w:sz="0" w:space="0" w:color="auto"/>
        <w:right w:val="none" w:sz="0" w:space="0" w:color="auto"/>
      </w:divBdr>
      <w:divsChild>
        <w:div w:id="218831176">
          <w:marLeft w:val="0"/>
          <w:marRight w:val="0"/>
          <w:marTop w:val="0"/>
          <w:marBottom w:val="0"/>
          <w:divBdr>
            <w:top w:val="none" w:sz="0" w:space="0" w:color="auto"/>
            <w:left w:val="none" w:sz="0" w:space="0" w:color="auto"/>
            <w:bottom w:val="none" w:sz="0" w:space="0" w:color="auto"/>
            <w:right w:val="none" w:sz="0" w:space="0" w:color="auto"/>
          </w:divBdr>
          <w:divsChild>
            <w:div w:id="198472349">
              <w:marLeft w:val="0"/>
              <w:marRight w:val="0"/>
              <w:marTop w:val="0"/>
              <w:marBottom w:val="0"/>
              <w:divBdr>
                <w:top w:val="none" w:sz="0" w:space="0" w:color="auto"/>
                <w:left w:val="none" w:sz="0" w:space="0" w:color="auto"/>
                <w:bottom w:val="none" w:sz="0" w:space="0" w:color="auto"/>
                <w:right w:val="none" w:sz="0" w:space="0" w:color="auto"/>
              </w:divBdr>
              <w:divsChild>
                <w:div w:id="1654871690">
                  <w:marLeft w:val="0"/>
                  <w:marRight w:val="0"/>
                  <w:marTop w:val="0"/>
                  <w:marBottom w:val="0"/>
                  <w:divBdr>
                    <w:top w:val="none" w:sz="0" w:space="0" w:color="auto"/>
                    <w:left w:val="none" w:sz="0" w:space="0" w:color="auto"/>
                    <w:bottom w:val="none" w:sz="0" w:space="0" w:color="auto"/>
                    <w:right w:val="none" w:sz="0" w:space="0" w:color="auto"/>
                  </w:divBdr>
                  <w:divsChild>
                    <w:div w:id="136887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913480">
      <w:bodyDiv w:val="1"/>
      <w:marLeft w:val="0"/>
      <w:marRight w:val="0"/>
      <w:marTop w:val="0"/>
      <w:marBottom w:val="0"/>
      <w:divBdr>
        <w:top w:val="none" w:sz="0" w:space="0" w:color="auto"/>
        <w:left w:val="none" w:sz="0" w:space="0" w:color="auto"/>
        <w:bottom w:val="none" w:sz="0" w:space="0" w:color="auto"/>
        <w:right w:val="none" w:sz="0" w:space="0" w:color="auto"/>
      </w:divBdr>
      <w:divsChild>
        <w:div w:id="1902329656">
          <w:marLeft w:val="0"/>
          <w:marRight w:val="0"/>
          <w:marTop w:val="0"/>
          <w:marBottom w:val="0"/>
          <w:divBdr>
            <w:top w:val="none" w:sz="0" w:space="0" w:color="auto"/>
            <w:left w:val="none" w:sz="0" w:space="0" w:color="auto"/>
            <w:bottom w:val="none" w:sz="0" w:space="0" w:color="auto"/>
            <w:right w:val="none" w:sz="0" w:space="0" w:color="auto"/>
          </w:divBdr>
          <w:divsChild>
            <w:div w:id="1785929052">
              <w:marLeft w:val="0"/>
              <w:marRight w:val="0"/>
              <w:marTop w:val="0"/>
              <w:marBottom w:val="0"/>
              <w:divBdr>
                <w:top w:val="none" w:sz="0" w:space="0" w:color="auto"/>
                <w:left w:val="none" w:sz="0" w:space="0" w:color="auto"/>
                <w:bottom w:val="none" w:sz="0" w:space="0" w:color="auto"/>
                <w:right w:val="none" w:sz="0" w:space="0" w:color="auto"/>
              </w:divBdr>
              <w:divsChild>
                <w:div w:id="199799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24C35-3AF7-BC44-862C-3FBA8BA26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22</Pages>
  <Words>4814</Words>
  <Characters>27440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4</cp:revision>
  <cp:lastPrinted>2024-01-11T13:39:00Z</cp:lastPrinted>
  <dcterms:created xsi:type="dcterms:W3CDTF">2024-04-05T14:11:00Z</dcterms:created>
  <dcterms:modified xsi:type="dcterms:W3CDTF">2024-04-05T14:34:00Z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zotero-version="6.0.37"&gt;&lt;session id="jPE4Uklb"/&gt;&lt;style id="http://www.zotero.org/styles/chicago-fullnote-bibliography" locale="en-GB" hasBibliography="1" bibliographyStyleHasBeenSet="1"/&gt;&lt;prefs&gt;&lt;pref name="fieldType" value="Field"/&gt;</vt:lpwstr>
  </property>
  <property fmtid="{D5CDD505-2E9C-101B-9397-08002B2CF9AE}" pid="3" name="ZOTERO_PREF_2">
    <vt:lpwstr>&lt;pref name="noteType" value="1"/&gt;&lt;/prefs&gt;&lt;/data&gt;</vt:lpwstr>
  </property>
</Properties>
</file>