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C6073" w:rsidRPr="006C6073" w:rsidRDefault="006C6073" w:rsidP="006C6073">
      <w:pPr>
        <w:pStyle w:val="Title"/>
        <w:widowControl w:val="0"/>
        <w:spacing w:line="240" w:lineRule="auto"/>
        <w:rPr>
          <w:rFonts w:asciiTheme="minorHAnsi" w:hAnsiTheme="minorHAnsi" w:cstheme="minorHAnsi"/>
          <w:color w:val="auto"/>
          <w:sz w:val="20"/>
          <w:szCs w:val="20"/>
          <w:lang w:val="en-US"/>
          <w14:textFill>
            <w14:solidFill>
              <w14:srgbClr w14:val="000000"/>
            </w14:solidFill>
          </w14:textFill>
          <w14:ligatures w14:val="none"/>
        </w:rPr>
      </w:pPr>
      <w:r w:rsidRPr="006C6073">
        <w:rPr>
          <w:rFonts w:asciiTheme="minorHAnsi" w:hAnsiTheme="minorHAnsi" w:cstheme="minorHAnsi"/>
          <w:color w:val="auto"/>
          <w:sz w:val="20"/>
          <w:szCs w:val="20"/>
          <w:lang w:val="en-US"/>
          <w14:textFill>
            <w14:solidFill>
              <w14:srgbClr w14:val="000000"/>
            </w14:solidFill>
          </w14:textFill>
          <w14:ligatures w14:val="none"/>
        </w:rPr>
        <w:t>How People in Old Age Grieve</w:t>
      </w:r>
    </w:p>
    <w:p w:rsidR="006C6073" w:rsidRPr="006C6073" w:rsidRDefault="006C6073" w:rsidP="006C6073">
      <w:pPr>
        <w:widowControl w:val="0"/>
        <w:spacing w:line="240" w:lineRule="auto"/>
        <w:rPr>
          <w:rFonts w:asciiTheme="minorHAnsi" w:hAnsiTheme="minorHAnsi" w:cstheme="minorHAnsi"/>
          <w:color w:val="auto"/>
          <w14:ligatures w14:val="none"/>
        </w:rPr>
      </w:pPr>
      <w:r w:rsidRPr="006C6073">
        <w:rPr>
          <w:rFonts w:asciiTheme="minorHAnsi" w:hAnsiTheme="minorHAnsi" w:cstheme="minorHAnsi"/>
          <w:color w:val="auto"/>
          <w14:ligatures w14:val="none"/>
        </w:rPr>
        <w:t> </w:t>
      </w:r>
    </w:p>
    <w:p w:rsidR="006C6073" w:rsidRPr="006C6073" w:rsidRDefault="006C6073" w:rsidP="006C6073">
      <w:pPr>
        <w:pStyle w:val="BodyText3"/>
        <w:widowControl w:val="0"/>
        <w:spacing w:line="240" w:lineRule="auto"/>
        <w:rPr>
          <w:rFonts w:asciiTheme="minorHAnsi" w:hAnsiTheme="minorHAnsi" w:cstheme="minorHAnsi"/>
          <w:color w:val="auto"/>
          <w:sz w:val="20"/>
          <w:szCs w:val="20"/>
          <w:lang w:val="en-US"/>
          <w14:ligatures w14:val="none"/>
        </w:rPr>
      </w:pPr>
      <w:r w:rsidRPr="006C6073">
        <w:rPr>
          <w:rFonts w:asciiTheme="minorHAnsi" w:hAnsiTheme="minorHAnsi" w:cstheme="minorHAnsi"/>
          <w:color w:val="auto"/>
          <w:sz w:val="20"/>
          <w:szCs w:val="20"/>
          <w:lang w:val="en-US"/>
          <w14:ligatures w14:val="none"/>
        </w:rPr>
        <w:t>In this briefing report the historical and contemporary theories modeling grief are critically discussed as well as the interventions that have been developed from the insights provided by the theory.</w:t>
      </w:r>
    </w:p>
    <w:p w:rsidR="006C6073" w:rsidRPr="006C6073" w:rsidRDefault="006C6073" w:rsidP="006C6073">
      <w:pPr>
        <w:widowControl w:val="0"/>
        <w:spacing w:line="240" w:lineRule="auto"/>
        <w:rPr>
          <w:rFonts w:asciiTheme="minorHAnsi" w:hAnsiTheme="minorHAnsi" w:cstheme="minorHAnsi"/>
          <w:color w:val="auto"/>
          <w14:ligatures w14:val="none"/>
        </w:rPr>
      </w:pPr>
      <w:r w:rsidRPr="006C6073">
        <w:rPr>
          <w:rFonts w:asciiTheme="minorHAnsi" w:hAnsiTheme="minorHAnsi" w:cstheme="minorHAnsi"/>
          <w:color w:val="auto"/>
          <w14:ligatures w14:val="none"/>
        </w:rPr>
        <w:t> </w:t>
      </w:r>
    </w:p>
    <w:p w:rsidR="006C6073" w:rsidRPr="006C6073" w:rsidRDefault="006C6073" w:rsidP="006C6073">
      <w:pPr>
        <w:widowControl w:val="0"/>
        <w:spacing w:line="240" w:lineRule="auto"/>
        <w:rPr>
          <w:rFonts w:asciiTheme="minorHAnsi" w:hAnsiTheme="minorHAnsi" w:cstheme="minorHAnsi"/>
          <w:color w:val="auto"/>
          <w14:ligatures w14:val="none"/>
        </w:rPr>
      </w:pPr>
      <w:r w:rsidRPr="006C6073">
        <w:rPr>
          <w:rFonts w:asciiTheme="minorHAnsi" w:hAnsiTheme="minorHAnsi" w:cstheme="minorHAnsi"/>
          <w:color w:val="auto"/>
          <w14:ligatures w14:val="none"/>
        </w:rPr>
        <w:tab/>
        <w:t>1)  Introduction</w:t>
      </w:r>
      <w:r w:rsidRPr="006C6073">
        <w:rPr>
          <w:rFonts w:asciiTheme="minorHAnsi" w:hAnsiTheme="minorHAnsi" w:cstheme="minorHAnsi"/>
          <w:color w:val="auto"/>
          <w14:ligatures w14:val="none"/>
        </w:rPr>
        <w:tab/>
      </w:r>
      <w:r w:rsidRPr="006C6073">
        <w:rPr>
          <w:rFonts w:asciiTheme="minorHAnsi" w:hAnsiTheme="minorHAnsi" w:cstheme="minorHAnsi"/>
          <w:color w:val="auto"/>
          <w14:ligatures w14:val="none"/>
        </w:rPr>
        <w:tab/>
      </w:r>
      <w:r w:rsidRPr="006C6073">
        <w:rPr>
          <w:rFonts w:asciiTheme="minorHAnsi" w:hAnsiTheme="minorHAnsi" w:cstheme="minorHAnsi"/>
          <w:color w:val="auto"/>
          <w14:ligatures w14:val="none"/>
        </w:rPr>
        <w:tab/>
        <w:t>Page. 3</w:t>
      </w:r>
    </w:p>
    <w:p w:rsidR="006C6073" w:rsidRPr="006C6073" w:rsidRDefault="006C6073" w:rsidP="006C6073">
      <w:pPr>
        <w:widowControl w:val="0"/>
        <w:spacing w:line="240" w:lineRule="auto"/>
        <w:rPr>
          <w:rFonts w:asciiTheme="minorHAnsi" w:hAnsiTheme="minorHAnsi" w:cstheme="minorHAnsi"/>
          <w:color w:val="auto"/>
          <w14:ligatures w14:val="none"/>
        </w:rPr>
      </w:pPr>
      <w:r w:rsidRPr="006C6073">
        <w:rPr>
          <w:rFonts w:asciiTheme="minorHAnsi" w:hAnsiTheme="minorHAnsi" w:cstheme="minorHAnsi"/>
          <w:color w:val="auto"/>
          <w14:ligatures w14:val="none"/>
        </w:rPr>
        <w:t>Traditional Models</w:t>
      </w:r>
    </w:p>
    <w:p w:rsidR="006C6073" w:rsidRPr="006C6073" w:rsidRDefault="006C6073" w:rsidP="006C6073">
      <w:pPr>
        <w:widowControl w:val="0"/>
        <w:spacing w:line="240" w:lineRule="auto"/>
        <w:rPr>
          <w:rFonts w:asciiTheme="minorHAnsi" w:hAnsiTheme="minorHAnsi" w:cstheme="minorHAnsi"/>
          <w:color w:val="auto"/>
          <w14:ligatures w14:val="none"/>
        </w:rPr>
      </w:pPr>
      <w:r w:rsidRPr="006C6073">
        <w:rPr>
          <w:rFonts w:asciiTheme="minorHAnsi" w:hAnsiTheme="minorHAnsi" w:cstheme="minorHAnsi"/>
          <w:color w:val="auto"/>
          <w14:ligatures w14:val="none"/>
        </w:rPr>
        <w:tab/>
        <w:t>2) Stage Theory</w:t>
      </w:r>
      <w:r w:rsidRPr="006C6073">
        <w:rPr>
          <w:rFonts w:asciiTheme="minorHAnsi" w:hAnsiTheme="minorHAnsi" w:cstheme="minorHAnsi"/>
          <w:color w:val="auto"/>
          <w14:ligatures w14:val="none"/>
        </w:rPr>
        <w:tab/>
      </w:r>
      <w:r w:rsidRPr="006C6073">
        <w:rPr>
          <w:rFonts w:asciiTheme="minorHAnsi" w:hAnsiTheme="minorHAnsi" w:cstheme="minorHAnsi"/>
          <w:color w:val="auto"/>
          <w14:ligatures w14:val="none"/>
        </w:rPr>
        <w:tab/>
      </w:r>
      <w:r w:rsidRPr="006C6073">
        <w:rPr>
          <w:rFonts w:asciiTheme="minorHAnsi" w:hAnsiTheme="minorHAnsi" w:cstheme="minorHAnsi"/>
          <w:color w:val="auto"/>
          <w14:ligatures w14:val="none"/>
        </w:rPr>
        <w:tab/>
        <w:t>Page. 4 - 5</w:t>
      </w:r>
    </w:p>
    <w:p w:rsidR="006C6073" w:rsidRPr="006C6073" w:rsidRDefault="006C6073" w:rsidP="006C6073">
      <w:pPr>
        <w:widowControl w:val="0"/>
        <w:spacing w:line="240" w:lineRule="auto"/>
        <w:rPr>
          <w:rFonts w:asciiTheme="minorHAnsi" w:hAnsiTheme="minorHAnsi" w:cstheme="minorHAnsi"/>
          <w:color w:val="auto"/>
          <w14:ligatures w14:val="none"/>
        </w:rPr>
      </w:pPr>
      <w:r w:rsidRPr="006C6073">
        <w:rPr>
          <w:rFonts w:asciiTheme="minorHAnsi" w:hAnsiTheme="minorHAnsi" w:cstheme="minorHAnsi"/>
          <w:color w:val="auto"/>
          <w14:ligatures w14:val="none"/>
        </w:rPr>
        <w:tab/>
        <w:t>3) Grief Work</w:t>
      </w:r>
      <w:r w:rsidRPr="006C6073">
        <w:rPr>
          <w:rFonts w:asciiTheme="minorHAnsi" w:hAnsiTheme="minorHAnsi" w:cstheme="minorHAnsi"/>
          <w:color w:val="auto"/>
          <w14:ligatures w14:val="none"/>
        </w:rPr>
        <w:tab/>
      </w:r>
      <w:r w:rsidRPr="006C6073">
        <w:rPr>
          <w:rFonts w:asciiTheme="minorHAnsi" w:hAnsiTheme="minorHAnsi" w:cstheme="minorHAnsi"/>
          <w:color w:val="auto"/>
          <w14:ligatures w14:val="none"/>
        </w:rPr>
        <w:tab/>
      </w:r>
      <w:r w:rsidRPr="006C6073">
        <w:rPr>
          <w:rFonts w:asciiTheme="minorHAnsi" w:hAnsiTheme="minorHAnsi" w:cstheme="minorHAnsi"/>
          <w:color w:val="auto"/>
          <w14:ligatures w14:val="none"/>
        </w:rPr>
        <w:tab/>
      </w:r>
      <w:r w:rsidRPr="006C6073">
        <w:rPr>
          <w:rFonts w:asciiTheme="minorHAnsi" w:hAnsiTheme="minorHAnsi" w:cstheme="minorHAnsi"/>
          <w:color w:val="auto"/>
          <w14:ligatures w14:val="none"/>
        </w:rPr>
        <w:tab/>
        <w:t>Page. 6 - 7</w:t>
      </w:r>
    </w:p>
    <w:p w:rsidR="006C6073" w:rsidRPr="006C6073" w:rsidRDefault="006C6073" w:rsidP="006C6073">
      <w:pPr>
        <w:widowControl w:val="0"/>
        <w:spacing w:line="240" w:lineRule="auto"/>
        <w:rPr>
          <w:rFonts w:asciiTheme="minorHAnsi" w:hAnsiTheme="minorHAnsi" w:cstheme="minorHAnsi"/>
          <w:color w:val="auto"/>
          <w14:ligatures w14:val="none"/>
        </w:rPr>
      </w:pPr>
      <w:r w:rsidRPr="006C6073">
        <w:rPr>
          <w:rFonts w:asciiTheme="minorHAnsi" w:hAnsiTheme="minorHAnsi" w:cstheme="minorHAnsi"/>
          <w:color w:val="auto"/>
          <w14:ligatures w14:val="none"/>
        </w:rPr>
        <w:t>Contemporary Models</w:t>
      </w:r>
    </w:p>
    <w:p w:rsidR="006C6073" w:rsidRPr="006C6073" w:rsidRDefault="006C6073" w:rsidP="006C6073">
      <w:pPr>
        <w:widowControl w:val="0"/>
        <w:spacing w:line="240" w:lineRule="auto"/>
        <w:rPr>
          <w:rFonts w:asciiTheme="minorHAnsi" w:hAnsiTheme="minorHAnsi" w:cstheme="minorHAnsi"/>
          <w:color w:val="auto"/>
          <w14:ligatures w14:val="none"/>
        </w:rPr>
      </w:pPr>
      <w:r w:rsidRPr="006C6073">
        <w:rPr>
          <w:rFonts w:asciiTheme="minorHAnsi" w:hAnsiTheme="minorHAnsi" w:cstheme="minorHAnsi"/>
          <w:color w:val="auto"/>
          <w14:ligatures w14:val="none"/>
        </w:rPr>
        <w:tab/>
        <w:t>4) Two-Track Theory</w:t>
      </w:r>
      <w:r w:rsidRPr="006C6073">
        <w:rPr>
          <w:rFonts w:asciiTheme="minorHAnsi" w:hAnsiTheme="minorHAnsi" w:cstheme="minorHAnsi"/>
          <w:color w:val="auto"/>
          <w14:ligatures w14:val="none"/>
        </w:rPr>
        <w:tab/>
      </w:r>
      <w:r w:rsidRPr="006C6073">
        <w:rPr>
          <w:rFonts w:asciiTheme="minorHAnsi" w:hAnsiTheme="minorHAnsi" w:cstheme="minorHAnsi"/>
          <w:color w:val="auto"/>
          <w14:ligatures w14:val="none"/>
        </w:rPr>
        <w:tab/>
      </w:r>
      <w:r w:rsidRPr="006C6073">
        <w:rPr>
          <w:rFonts w:asciiTheme="minorHAnsi" w:hAnsiTheme="minorHAnsi" w:cstheme="minorHAnsi"/>
          <w:color w:val="auto"/>
          <w14:ligatures w14:val="none"/>
        </w:rPr>
        <w:tab/>
        <w:t>Page. 8 - 10</w:t>
      </w:r>
    </w:p>
    <w:p w:rsidR="006C6073" w:rsidRPr="006C6073" w:rsidRDefault="006C6073" w:rsidP="006C6073">
      <w:pPr>
        <w:widowControl w:val="0"/>
        <w:spacing w:line="240" w:lineRule="auto"/>
        <w:rPr>
          <w:rFonts w:asciiTheme="minorHAnsi" w:hAnsiTheme="minorHAnsi" w:cstheme="minorHAnsi"/>
          <w:color w:val="auto"/>
          <w14:ligatures w14:val="none"/>
        </w:rPr>
      </w:pPr>
      <w:r w:rsidRPr="006C6073">
        <w:rPr>
          <w:rFonts w:asciiTheme="minorHAnsi" w:hAnsiTheme="minorHAnsi" w:cstheme="minorHAnsi"/>
          <w:color w:val="auto"/>
          <w14:ligatures w14:val="none"/>
        </w:rPr>
        <w:tab/>
        <w:t>5) Narrative Theory</w:t>
      </w:r>
      <w:r w:rsidRPr="006C6073">
        <w:rPr>
          <w:rFonts w:asciiTheme="minorHAnsi" w:hAnsiTheme="minorHAnsi" w:cstheme="minorHAnsi"/>
          <w:color w:val="auto"/>
          <w14:ligatures w14:val="none"/>
        </w:rPr>
        <w:tab/>
      </w:r>
      <w:r w:rsidRPr="006C6073">
        <w:rPr>
          <w:rFonts w:asciiTheme="minorHAnsi" w:hAnsiTheme="minorHAnsi" w:cstheme="minorHAnsi"/>
          <w:color w:val="auto"/>
          <w14:ligatures w14:val="none"/>
        </w:rPr>
        <w:tab/>
      </w:r>
      <w:r w:rsidRPr="006C6073">
        <w:rPr>
          <w:rFonts w:asciiTheme="minorHAnsi" w:hAnsiTheme="minorHAnsi" w:cstheme="minorHAnsi"/>
          <w:color w:val="auto"/>
          <w14:ligatures w14:val="none"/>
        </w:rPr>
        <w:tab/>
        <w:t>Page. 11 - 12</w:t>
      </w:r>
    </w:p>
    <w:p w:rsidR="006C6073" w:rsidRPr="006C6073" w:rsidRDefault="006C6073" w:rsidP="006C6073">
      <w:pPr>
        <w:widowControl w:val="0"/>
        <w:spacing w:line="240" w:lineRule="auto"/>
        <w:rPr>
          <w:rFonts w:asciiTheme="minorHAnsi" w:hAnsiTheme="minorHAnsi" w:cstheme="minorHAnsi"/>
          <w:color w:val="auto"/>
          <w14:ligatures w14:val="none"/>
        </w:rPr>
      </w:pPr>
      <w:r w:rsidRPr="006C6073">
        <w:rPr>
          <w:rFonts w:asciiTheme="minorHAnsi" w:hAnsiTheme="minorHAnsi" w:cstheme="minorHAnsi"/>
          <w:color w:val="auto"/>
          <w14:ligatures w14:val="none"/>
        </w:rPr>
        <w:t>Interventions</w:t>
      </w:r>
    </w:p>
    <w:p w:rsidR="006C6073" w:rsidRPr="006C6073" w:rsidRDefault="006C6073" w:rsidP="006C6073">
      <w:pPr>
        <w:widowControl w:val="0"/>
        <w:spacing w:line="240" w:lineRule="auto"/>
        <w:rPr>
          <w:rFonts w:asciiTheme="minorHAnsi" w:hAnsiTheme="minorHAnsi" w:cstheme="minorHAnsi"/>
          <w:color w:val="auto"/>
          <w14:ligatures w14:val="none"/>
        </w:rPr>
      </w:pPr>
      <w:r w:rsidRPr="006C6073">
        <w:rPr>
          <w:rFonts w:asciiTheme="minorHAnsi" w:hAnsiTheme="minorHAnsi" w:cstheme="minorHAnsi"/>
          <w:color w:val="auto"/>
          <w14:ligatures w14:val="none"/>
        </w:rPr>
        <w:tab/>
        <w:t>6) Reworking Continuing Bond</w:t>
      </w:r>
      <w:r w:rsidRPr="006C6073">
        <w:rPr>
          <w:rFonts w:asciiTheme="minorHAnsi" w:hAnsiTheme="minorHAnsi" w:cstheme="minorHAnsi"/>
          <w:color w:val="auto"/>
          <w14:ligatures w14:val="none"/>
        </w:rPr>
        <w:tab/>
        <w:t>Page. 13</w:t>
      </w:r>
    </w:p>
    <w:p w:rsidR="006C6073" w:rsidRPr="006C6073" w:rsidRDefault="006C6073" w:rsidP="006C6073">
      <w:pPr>
        <w:widowControl w:val="0"/>
        <w:spacing w:line="240" w:lineRule="auto"/>
        <w:rPr>
          <w:rFonts w:asciiTheme="minorHAnsi" w:hAnsiTheme="minorHAnsi" w:cstheme="minorHAnsi"/>
          <w:color w:val="auto"/>
          <w14:ligatures w14:val="none"/>
        </w:rPr>
      </w:pPr>
      <w:r w:rsidRPr="006C6073">
        <w:rPr>
          <w:rFonts w:asciiTheme="minorHAnsi" w:hAnsiTheme="minorHAnsi" w:cstheme="minorHAnsi"/>
          <w:color w:val="auto"/>
          <w14:ligatures w14:val="none"/>
        </w:rPr>
        <w:tab/>
        <w:t>7) Reconstructing Meaning</w:t>
      </w:r>
      <w:r w:rsidRPr="006C6073">
        <w:rPr>
          <w:rFonts w:asciiTheme="minorHAnsi" w:hAnsiTheme="minorHAnsi" w:cstheme="minorHAnsi"/>
          <w:color w:val="auto"/>
          <w14:ligatures w14:val="none"/>
        </w:rPr>
        <w:tab/>
      </w:r>
      <w:r w:rsidRPr="006C6073">
        <w:rPr>
          <w:rFonts w:asciiTheme="minorHAnsi" w:hAnsiTheme="minorHAnsi" w:cstheme="minorHAnsi"/>
          <w:color w:val="auto"/>
          <w14:ligatures w14:val="none"/>
        </w:rPr>
        <w:tab/>
        <w:t>Page. 14 - 15</w:t>
      </w:r>
    </w:p>
    <w:p w:rsidR="006C6073" w:rsidRPr="006C6073" w:rsidRDefault="006C6073" w:rsidP="006C6073">
      <w:pPr>
        <w:widowControl w:val="0"/>
        <w:spacing w:line="240" w:lineRule="auto"/>
        <w:rPr>
          <w:rFonts w:asciiTheme="minorHAnsi" w:hAnsiTheme="minorHAnsi" w:cstheme="minorHAnsi"/>
          <w:color w:val="auto"/>
          <w14:ligatures w14:val="none"/>
        </w:rPr>
      </w:pPr>
      <w:r w:rsidRPr="006C6073">
        <w:rPr>
          <w:rFonts w:asciiTheme="minorHAnsi" w:hAnsiTheme="minorHAnsi" w:cstheme="minorHAnsi"/>
          <w:color w:val="auto"/>
          <w14:ligatures w14:val="none"/>
        </w:rPr>
        <w:t>Conclusion</w:t>
      </w:r>
      <w:r w:rsidRPr="006C6073">
        <w:rPr>
          <w:rFonts w:asciiTheme="minorHAnsi" w:hAnsiTheme="minorHAnsi" w:cstheme="minorHAnsi"/>
          <w:color w:val="auto"/>
          <w14:ligatures w14:val="none"/>
        </w:rPr>
        <w:tab/>
      </w:r>
      <w:r w:rsidRPr="006C6073">
        <w:rPr>
          <w:rFonts w:asciiTheme="minorHAnsi" w:hAnsiTheme="minorHAnsi" w:cstheme="minorHAnsi"/>
          <w:color w:val="auto"/>
          <w14:ligatures w14:val="none"/>
        </w:rPr>
        <w:tab/>
      </w:r>
      <w:r w:rsidRPr="006C6073">
        <w:rPr>
          <w:rFonts w:asciiTheme="minorHAnsi" w:hAnsiTheme="minorHAnsi" w:cstheme="minorHAnsi"/>
          <w:color w:val="auto"/>
          <w14:ligatures w14:val="none"/>
        </w:rPr>
        <w:tab/>
      </w:r>
      <w:r w:rsidRPr="006C6073">
        <w:rPr>
          <w:rFonts w:asciiTheme="minorHAnsi" w:hAnsiTheme="minorHAnsi" w:cstheme="minorHAnsi"/>
          <w:color w:val="auto"/>
          <w14:ligatures w14:val="none"/>
        </w:rPr>
        <w:tab/>
      </w:r>
      <w:r w:rsidRPr="006C6073">
        <w:rPr>
          <w:rFonts w:asciiTheme="minorHAnsi" w:hAnsiTheme="minorHAnsi" w:cstheme="minorHAnsi"/>
          <w:color w:val="auto"/>
          <w14:ligatures w14:val="none"/>
        </w:rPr>
        <w:tab/>
        <w:t>Page. 16</w:t>
      </w:r>
    </w:p>
    <w:p w:rsidR="006C6073" w:rsidRPr="006C6073" w:rsidRDefault="006C6073" w:rsidP="006C6073">
      <w:pPr>
        <w:widowControl w:val="0"/>
        <w:spacing w:line="240" w:lineRule="auto"/>
        <w:rPr>
          <w:rFonts w:asciiTheme="minorHAnsi" w:hAnsiTheme="minorHAnsi" w:cstheme="minorHAnsi"/>
          <w:color w:val="auto"/>
          <w14:ligatures w14:val="none"/>
        </w:rPr>
      </w:pPr>
      <w:r w:rsidRPr="006C6073">
        <w:rPr>
          <w:rFonts w:asciiTheme="minorHAnsi" w:hAnsiTheme="minorHAnsi" w:cstheme="minorHAnsi"/>
          <w:color w:val="auto"/>
          <w14:ligatures w14:val="none"/>
        </w:rPr>
        <w:t>References</w:t>
      </w:r>
      <w:r w:rsidRPr="006C6073">
        <w:rPr>
          <w:rFonts w:asciiTheme="minorHAnsi" w:hAnsiTheme="minorHAnsi" w:cstheme="minorHAnsi"/>
          <w:color w:val="auto"/>
          <w14:ligatures w14:val="none"/>
        </w:rPr>
        <w:tab/>
      </w:r>
      <w:r w:rsidRPr="006C6073">
        <w:rPr>
          <w:rFonts w:asciiTheme="minorHAnsi" w:hAnsiTheme="minorHAnsi" w:cstheme="minorHAnsi"/>
          <w:color w:val="auto"/>
          <w14:ligatures w14:val="none"/>
        </w:rPr>
        <w:tab/>
      </w:r>
      <w:r w:rsidRPr="006C6073">
        <w:rPr>
          <w:rFonts w:asciiTheme="minorHAnsi" w:hAnsiTheme="minorHAnsi" w:cstheme="minorHAnsi"/>
          <w:color w:val="auto"/>
          <w14:ligatures w14:val="none"/>
        </w:rPr>
        <w:tab/>
      </w:r>
      <w:r w:rsidRPr="006C6073">
        <w:rPr>
          <w:rFonts w:asciiTheme="minorHAnsi" w:hAnsiTheme="minorHAnsi" w:cstheme="minorHAnsi"/>
          <w:color w:val="auto"/>
          <w14:ligatures w14:val="none"/>
        </w:rPr>
        <w:tab/>
      </w:r>
      <w:r w:rsidRPr="006C6073">
        <w:rPr>
          <w:rFonts w:asciiTheme="minorHAnsi" w:hAnsiTheme="minorHAnsi" w:cstheme="minorHAnsi"/>
          <w:color w:val="auto"/>
          <w14:ligatures w14:val="none"/>
        </w:rPr>
        <w:tab/>
        <w:t>Page.  17</w:t>
      </w:r>
    </w:p>
    <w:p w:rsidR="006C6073" w:rsidRPr="006C6073" w:rsidRDefault="006C6073" w:rsidP="006C6073">
      <w:pPr>
        <w:widowControl w:val="0"/>
        <w:spacing w:line="240" w:lineRule="auto"/>
        <w:rPr>
          <w:rFonts w:asciiTheme="minorHAnsi" w:hAnsiTheme="minorHAnsi" w:cstheme="minorHAnsi"/>
          <w:color w:val="auto"/>
          <w14:ligatures w14:val="none"/>
        </w:rPr>
      </w:pPr>
      <w:r w:rsidRPr="006C6073">
        <w:rPr>
          <w:rFonts w:asciiTheme="minorHAnsi" w:hAnsiTheme="minorHAnsi" w:cstheme="minorHAnsi"/>
          <w:color w:val="auto"/>
          <w14:ligatures w14:val="none"/>
        </w:rPr>
        <w:t> </w:t>
      </w:r>
    </w:p>
    <w:p w:rsidR="006C6073" w:rsidRPr="006C6073" w:rsidRDefault="006C6073" w:rsidP="006C6073">
      <w:pPr>
        <w:widowControl w:val="0"/>
        <w:spacing w:line="240" w:lineRule="auto"/>
        <w:rPr>
          <w:rFonts w:asciiTheme="minorHAnsi" w:hAnsiTheme="minorHAnsi" w:cstheme="minorHAnsi"/>
          <w:b/>
          <w:bCs/>
          <w:color w:val="auto"/>
          <w14:ligatures w14:val="none"/>
        </w:rPr>
      </w:pPr>
      <w:r w:rsidRPr="006C6073">
        <w:rPr>
          <w:rFonts w:asciiTheme="minorHAnsi" w:hAnsiTheme="minorHAnsi" w:cstheme="minorHAnsi"/>
          <w:b/>
          <w:bCs/>
          <w:color w:val="auto"/>
          <w14:ligatures w14:val="none"/>
        </w:rPr>
        <w:t>Table of Contents</w:t>
      </w:r>
    </w:p>
    <w:p w:rsidR="006C6073" w:rsidRPr="006C6073" w:rsidRDefault="006C6073" w:rsidP="006C6073">
      <w:pPr>
        <w:widowControl w:val="0"/>
        <w:spacing w:line="240" w:lineRule="auto"/>
        <w:rPr>
          <w:rFonts w:asciiTheme="minorHAnsi" w:hAnsiTheme="minorHAnsi" w:cstheme="minorHAnsi"/>
          <w:color w:val="auto"/>
          <w14:ligatures w14:val="none"/>
        </w:rPr>
      </w:pPr>
      <w:r w:rsidRPr="006C6073">
        <w:rPr>
          <w:rFonts w:asciiTheme="minorHAnsi" w:hAnsiTheme="minorHAnsi" w:cstheme="minorHAnsi"/>
          <w:color w:val="auto"/>
          <w14:ligatures w14:val="none"/>
        </w:rPr>
        <w:t> </w:t>
      </w:r>
    </w:p>
    <w:p w:rsidR="006C6073" w:rsidRPr="006C6073" w:rsidRDefault="006C6073" w:rsidP="006C6073">
      <w:pPr>
        <w:widowControl w:val="0"/>
        <w:spacing w:line="240" w:lineRule="auto"/>
        <w:rPr>
          <w:rFonts w:asciiTheme="minorHAnsi" w:hAnsiTheme="minorHAnsi" w:cstheme="minorHAnsi"/>
          <w:color w:val="auto"/>
          <w14:ligatures w14:val="none"/>
        </w:rPr>
      </w:pPr>
      <w:r w:rsidRPr="006C6073">
        <w:rPr>
          <w:rFonts w:asciiTheme="minorHAnsi" w:hAnsiTheme="minorHAnsi" w:cstheme="minorHAnsi"/>
          <w:color w:val="auto"/>
          <w14:ligatures w14:val="none"/>
        </w:rPr>
        <w:tab/>
        <w:t>1)  Introduction</w:t>
      </w:r>
      <w:r w:rsidRPr="006C6073">
        <w:rPr>
          <w:rFonts w:asciiTheme="minorHAnsi" w:hAnsiTheme="minorHAnsi" w:cstheme="minorHAnsi"/>
          <w:color w:val="auto"/>
          <w14:ligatures w14:val="none"/>
        </w:rPr>
        <w:tab/>
      </w:r>
      <w:r w:rsidRPr="006C6073">
        <w:rPr>
          <w:rFonts w:asciiTheme="minorHAnsi" w:hAnsiTheme="minorHAnsi" w:cstheme="minorHAnsi"/>
          <w:color w:val="auto"/>
          <w14:ligatures w14:val="none"/>
        </w:rPr>
        <w:tab/>
      </w:r>
      <w:r w:rsidRPr="006C6073">
        <w:rPr>
          <w:rFonts w:asciiTheme="minorHAnsi" w:hAnsiTheme="minorHAnsi" w:cstheme="minorHAnsi"/>
          <w:color w:val="auto"/>
          <w14:ligatures w14:val="none"/>
        </w:rPr>
        <w:tab/>
        <w:t>Page. 3</w:t>
      </w:r>
    </w:p>
    <w:p w:rsidR="006C6073" w:rsidRPr="006C6073" w:rsidRDefault="006C6073" w:rsidP="006C6073">
      <w:pPr>
        <w:widowControl w:val="0"/>
        <w:spacing w:line="240" w:lineRule="auto"/>
        <w:rPr>
          <w:rFonts w:asciiTheme="minorHAnsi" w:hAnsiTheme="minorHAnsi" w:cstheme="minorHAnsi"/>
          <w:color w:val="auto"/>
          <w14:ligatures w14:val="none"/>
        </w:rPr>
      </w:pPr>
      <w:r w:rsidRPr="006C6073">
        <w:rPr>
          <w:rFonts w:asciiTheme="minorHAnsi" w:hAnsiTheme="minorHAnsi" w:cstheme="minorHAnsi"/>
          <w:color w:val="auto"/>
          <w14:ligatures w14:val="none"/>
        </w:rPr>
        <w:t>Traditional Models</w:t>
      </w:r>
    </w:p>
    <w:p w:rsidR="006C6073" w:rsidRPr="006C6073" w:rsidRDefault="006C6073" w:rsidP="006C6073">
      <w:pPr>
        <w:widowControl w:val="0"/>
        <w:spacing w:line="240" w:lineRule="auto"/>
        <w:rPr>
          <w:rFonts w:asciiTheme="minorHAnsi" w:hAnsiTheme="minorHAnsi" w:cstheme="minorHAnsi"/>
          <w:color w:val="auto"/>
          <w14:ligatures w14:val="none"/>
        </w:rPr>
      </w:pPr>
      <w:r w:rsidRPr="006C6073">
        <w:rPr>
          <w:rFonts w:asciiTheme="minorHAnsi" w:hAnsiTheme="minorHAnsi" w:cstheme="minorHAnsi"/>
          <w:color w:val="auto"/>
          <w14:ligatures w14:val="none"/>
        </w:rPr>
        <w:tab/>
        <w:t>2) Stage Theory</w:t>
      </w:r>
      <w:r w:rsidRPr="006C6073">
        <w:rPr>
          <w:rFonts w:asciiTheme="minorHAnsi" w:hAnsiTheme="minorHAnsi" w:cstheme="minorHAnsi"/>
          <w:color w:val="auto"/>
          <w14:ligatures w14:val="none"/>
        </w:rPr>
        <w:tab/>
      </w:r>
      <w:r w:rsidRPr="006C6073">
        <w:rPr>
          <w:rFonts w:asciiTheme="minorHAnsi" w:hAnsiTheme="minorHAnsi" w:cstheme="minorHAnsi"/>
          <w:color w:val="auto"/>
          <w14:ligatures w14:val="none"/>
        </w:rPr>
        <w:tab/>
      </w:r>
      <w:r w:rsidRPr="006C6073">
        <w:rPr>
          <w:rFonts w:asciiTheme="minorHAnsi" w:hAnsiTheme="minorHAnsi" w:cstheme="minorHAnsi"/>
          <w:color w:val="auto"/>
          <w14:ligatures w14:val="none"/>
        </w:rPr>
        <w:tab/>
        <w:t>Page. 4 - 5</w:t>
      </w:r>
    </w:p>
    <w:p w:rsidR="006C6073" w:rsidRPr="006C6073" w:rsidRDefault="006C6073" w:rsidP="006C6073">
      <w:pPr>
        <w:widowControl w:val="0"/>
        <w:spacing w:line="240" w:lineRule="auto"/>
        <w:rPr>
          <w:rFonts w:asciiTheme="minorHAnsi" w:hAnsiTheme="minorHAnsi" w:cstheme="minorHAnsi"/>
          <w:color w:val="auto"/>
          <w14:ligatures w14:val="none"/>
        </w:rPr>
      </w:pPr>
      <w:r w:rsidRPr="006C6073">
        <w:rPr>
          <w:rFonts w:asciiTheme="minorHAnsi" w:hAnsiTheme="minorHAnsi" w:cstheme="minorHAnsi"/>
          <w:color w:val="auto"/>
          <w14:ligatures w14:val="none"/>
        </w:rPr>
        <w:tab/>
        <w:t>3) Grief Work</w:t>
      </w:r>
      <w:r w:rsidRPr="006C6073">
        <w:rPr>
          <w:rFonts w:asciiTheme="minorHAnsi" w:hAnsiTheme="minorHAnsi" w:cstheme="minorHAnsi"/>
          <w:color w:val="auto"/>
          <w14:ligatures w14:val="none"/>
        </w:rPr>
        <w:tab/>
      </w:r>
      <w:r w:rsidRPr="006C6073">
        <w:rPr>
          <w:rFonts w:asciiTheme="minorHAnsi" w:hAnsiTheme="minorHAnsi" w:cstheme="minorHAnsi"/>
          <w:color w:val="auto"/>
          <w14:ligatures w14:val="none"/>
        </w:rPr>
        <w:tab/>
      </w:r>
      <w:r w:rsidRPr="006C6073">
        <w:rPr>
          <w:rFonts w:asciiTheme="minorHAnsi" w:hAnsiTheme="minorHAnsi" w:cstheme="minorHAnsi"/>
          <w:color w:val="auto"/>
          <w14:ligatures w14:val="none"/>
        </w:rPr>
        <w:tab/>
      </w:r>
      <w:r w:rsidRPr="006C6073">
        <w:rPr>
          <w:rFonts w:asciiTheme="minorHAnsi" w:hAnsiTheme="minorHAnsi" w:cstheme="minorHAnsi"/>
          <w:color w:val="auto"/>
          <w14:ligatures w14:val="none"/>
        </w:rPr>
        <w:tab/>
        <w:t>Page. 6 - 7</w:t>
      </w:r>
    </w:p>
    <w:p w:rsidR="006C6073" w:rsidRPr="006C6073" w:rsidRDefault="006C6073" w:rsidP="006C6073">
      <w:pPr>
        <w:widowControl w:val="0"/>
        <w:spacing w:line="240" w:lineRule="auto"/>
        <w:rPr>
          <w:rFonts w:asciiTheme="minorHAnsi" w:hAnsiTheme="minorHAnsi" w:cstheme="minorHAnsi"/>
          <w:color w:val="auto"/>
          <w14:ligatures w14:val="none"/>
        </w:rPr>
      </w:pPr>
      <w:r w:rsidRPr="006C6073">
        <w:rPr>
          <w:rFonts w:asciiTheme="minorHAnsi" w:hAnsiTheme="minorHAnsi" w:cstheme="minorHAnsi"/>
          <w:color w:val="auto"/>
          <w14:ligatures w14:val="none"/>
        </w:rPr>
        <w:t>Contemporary Models</w:t>
      </w:r>
    </w:p>
    <w:p w:rsidR="006C6073" w:rsidRPr="006C6073" w:rsidRDefault="006C6073" w:rsidP="006C6073">
      <w:pPr>
        <w:widowControl w:val="0"/>
        <w:spacing w:line="240" w:lineRule="auto"/>
        <w:rPr>
          <w:rFonts w:asciiTheme="minorHAnsi" w:hAnsiTheme="minorHAnsi" w:cstheme="minorHAnsi"/>
          <w:color w:val="auto"/>
          <w14:ligatures w14:val="none"/>
        </w:rPr>
      </w:pPr>
      <w:r w:rsidRPr="006C6073">
        <w:rPr>
          <w:rFonts w:asciiTheme="minorHAnsi" w:hAnsiTheme="minorHAnsi" w:cstheme="minorHAnsi"/>
          <w:color w:val="auto"/>
          <w14:ligatures w14:val="none"/>
        </w:rPr>
        <w:tab/>
        <w:t>4) Two-Track Theory</w:t>
      </w:r>
      <w:r w:rsidRPr="006C6073">
        <w:rPr>
          <w:rFonts w:asciiTheme="minorHAnsi" w:hAnsiTheme="minorHAnsi" w:cstheme="minorHAnsi"/>
          <w:color w:val="auto"/>
          <w14:ligatures w14:val="none"/>
        </w:rPr>
        <w:tab/>
      </w:r>
      <w:r w:rsidRPr="006C6073">
        <w:rPr>
          <w:rFonts w:asciiTheme="minorHAnsi" w:hAnsiTheme="minorHAnsi" w:cstheme="minorHAnsi"/>
          <w:color w:val="auto"/>
          <w14:ligatures w14:val="none"/>
        </w:rPr>
        <w:tab/>
      </w:r>
      <w:r w:rsidRPr="006C6073">
        <w:rPr>
          <w:rFonts w:asciiTheme="minorHAnsi" w:hAnsiTheme="minorHAnsi" w:cstheme="minorHAnsi"/>
          <w:color w:val="auto"/>
          <w14:ligatures w14:val="none"/>
        </w:rPr>
        <w:tab/>
        <w:t>Page. 8 - 10</w:t>
      </w:r>
    </w:p>
    <w:p w:rsidR="006C6073" w:rsidRPr="00B92031" w:rsidRDefault="006C6073" w:rsidP="006C6073">
      <w:pPr>
        <w:widowControl w:val="0"/>
        <w:spacing w:line="240" w:lineRule="auto"/>
        <w:rPr>
          <w:rFonts w:asciiTheme="minorHAnsi" w:hAnsiTheme="minorHAnsi" w:cstheme="minorHAnsi"/>
          <w:color w:val="auto"/>
          <w14:ligatures w14:val="none"/>
        </w:rPr>
      </w:pPr>
      <w:r w:rsidRPr="006C6073">
        <w:rPr>
          <w:rFonts w:asciiTheme="minorHAnsi" w:hAnsiTheme="minorHAnsi" w:cstheme="minorHAnsi"/>
          <w:color w:val="auto"/>
          <w14:ligatures w14:val="none"/>
        </w:rPr>
        <w:tab/>
      </w:r>
      <w:r w:rsidRPr="00B92031">
        <w:rPr>
          <w:rFonts w:asciiTheme="minorHAnsi" w:hAnsiTheme="minorHAnsi" w:cstheme="minorHAnsi"/>
          <w:color w:val="auto"/>
          <w14:ligatures w14:val="none"/>
        </w:rPr>
        <w:t>5) Narrative Theory</w:t>
      </w:r>
      <w:r w:rsidRPr="00B92031">
        <w:rPr>
          <w:rFonts w:asciiTheme="minorHAnsi" w:hAnsiTheme="minorHAnsi" w:cstheme="minorHAnsi"/>
          <w:color w:val="auto"/>
          <w14:ligatures w14:val="none"/>
        </w:rPr>
        <w:tab/>
      </w:r>
      <w:r w:rsidRPr="00B92031">
        <w:rPr>
          <w:rFonts w:asciiTheme="minorHAnsi" w:hAnsiTheme="minorHAnsi" w:cstheme="minorHAnsi"/>
          <w:color w:val="auto"/>
          <w14:ligatures w14:val="none"/>
        </w:rPr>
        <w:tab/>
      </w:r>
      <w:r w:rsidRPr="00B92031">
        <w:rPr>
          <w:rFonts w:asciiTheme="minorHAnsi" w:hAnsiTheme="minorHAnsi" w:cstheme="minorHAnsi"/>
          <w:color w:val="auto"/>
          <w14:ligatures w14:val="none"/>
        </w:rPr>
        <w:tab/>
        <w:t>Page. 11 - 12</w:t>
      </w:r>
    </w:p>
    <w:p w:rsidR="006C6073" w:rsidRPr="00B92031" w:rsidRDefault="006C6073" w:rsidP="006C6073">
      <w:pPr>
        <w:widowControl w:val="0"/>
        <w:spacing w:line="240" w:lineRule="auto"/>
        <w:rPr>
          <w:rFonts w:asciiTheme="minorHAnsi" w:hAnsiTheme="minorHAnsi" w:cstheme="minorHAnsi"/>
          <w:color w:val="auto"/>
          <w14:ligatures w14:val="none"/>
        </w:rPr>
      </w:pPr>
      <w:r w:rsidRPr="00B92031">
        <w:rPr>
          <w:rFonts w:asciiTheme="minorHAnsi" w:hAnsiTheme="minorHAnsi" w:cstheme="minorHAnsi"/>
          <w:color w:val="auto"/>
          <w14:ligatures w14:val="none"/>
        </w:rPr>
        <w:t>Interventions</w:t>
      </w:r>
    </w:p>
    <w:p w:rsidR="006C6073" w:rsidRPr="00B92031" w:rsidRDefault="006C6073" w:rsidP="006C6073">
      <w:pPr>
        <w:widowControl w:val="0"/>
        <w:spacing w:line="240" w:lineRule="auto"/>
        <w:rPr>
          <w:rFonts w:asciiTheme="minorHAnsi" w:hAnsiTheme="minorHAnsi" w:cstheme="minorHAnsi"/>
          <w:color w:val="auto"/>
          <w14:ligatures w14:val="none"/>
        </w:rPr>
      </w:pPr>
      <w:r w:rsidRPr="00B92031">
        <w:rPr>
          <w:rFonts w:asciiTheme="minorHAnsi" w:hAnsiTheme="minorHAnsi" w:cstheme="minorHAnsi"/>
          <w:color w:val="auto"/>
          <w14:ligatures w14:val="none"/>
        </w:rPr>
        <w:tab/>
        <w:t>6) Reworking Continuing Bond</w:t>
      </w:r>
      <w:r w:rsidRPr="00B92031">
        <w:rPr>
          <w:rFonts w:asciiTheme="minorHAnsi" w:hAnsiTheme="minorHAnsi" w:cstheme="minorHAnsi"/>
          <w:color w:val="auto"/>
          <w14:ligatures w14:val="none"/>
        </w:rPr>
        <w:tab/>
        <w:t>Page. 13</w:t>
      </w:r>
    </w:p>
    <w:p w:rsidR="006C6073" w:rsidRPr="00B92031" w:rsidRDefault="006C6073" w:rsidP="006C6073">
      <w:pPr>
        <w:widowControl w:val="0"/>
        <w:spacing w:line="240" w:lineRule="auto"/>
        <w:rPr>
          <w:rFonts w:asciiTheme="minorHAnsi" w:hAnsiTheme="minorHAnsi" w:cstheme="minorHAnsi"/>
          <w:color w:val="auto"/>
          <w14:ligatures w14:val="none"/>
        </w:rPr>
      </w:pPr>
      <w:r w:rsidRPr="00B92031">
        <w:rPr>
          <w:rFonts w:asciiTheme="minorHAnsi" w:hAnsiTheme="minorHAnsi" w:cstheme="minorHAnsi"/>
          <w:color w:val="auto"/>
          <w14:ligatures w14:val="none"/>
        </w:rPr>
        <w:tab/>
        <w:t>7) Reconstructing Meaning</w:t>
      </w:r>
      <w:r w:rsidRPr="00B92031">
        <w:rPr>
          <w:rFonts w:asciiTheme="minorHAnsi" w:hAnsiTheme="minorHAnsi" w:cstheme="minorHAnsi"/>
          <w:color w:val="auto"/>
          <w14:ligatures w14:val="none"/>
        </w:rPr>
        <w:tab/>
      </w:r>
      <w:r w:rsidRPr="00B92031">
        <w:rPr>
          <w:rFonts w:asciiTheme="minorHAnsi" w:hAnsiTheme="minorHAnsi" w:cstheme="minorHAnsi"/>
          <w:color w:val="auto"/>
          <w14:ligatures w14:val="none"/>
        </w:rPr>
        <w:tab/>
        <w:t>Page. 14 - 15</w:t>
      </w:r>
    </w:p>
    <w:p w:rsidR="006C6073" w:rsidRPr="00B92031" w:rsidRDefault="006C6073" w:rsidP="006C6073">
      <w:pPr>
        <w:widowControl w:val="0"/>
        <w:spacing w:line="240" w:lineRule="auto"/>
        <w:rPr>
          <w:rFonts w:asciiTheme="minorHAnsi" w:hAnsiTheme="minorHAnsi" w:cstheme="minorHAnsi"/>
          <w:color w:val="auto"/>
          <w14:ligatures w14:val="none"/>
        </w:rPr>
      </w:pPr>
      <w:r w:rsidRPr="00B92031">
        <w:rPr>
          <w:rFonts w:asciiTheme="minorHAnsi" w:hAnsiTheme="minorHAnsi" w:cstheme="minorHAnsi"/>
          <w:color w:val="auto"/>
          <w14:ligatures w14:val="none"/>
        </w:rPr>
        <w:t>Conclusion</w:t>
      </w:r>
      <w:r w:rsidRPr="00B92031">
        <w:rPr>
          <w:rFonts w:asciiTheme="minorHAnsi" w:hAnsiTheme="minorHAnsi" w:cstheme="minorHAnsi"/>
          <w:color w:val="auto"/>
          <w14:ligatures w14:val="none"/>
        </w:rPr>
        <w:tab/>
      </w:r>
      <w:r w:rsidRPr="00B92031">
        <w:rPr>
          <w:rFonts w:asciiTheme="minorHAnsi" w:hAnsiTheme="minorHAnsi" w:cstheme="minorHAnsi"/>
          <w:color w:val="auto"/>
          <w14:ligatures w14:val="none"/>
        </w:rPr>
        <w:tab/>
      </w:r>
      <w:r w:rsidRPr="00B92031">
        <w:rPr>
          <w:rFonts w:asciiTheme="minorHAnsi" w:hAnsiTheme="minorHAnsi" w:cstheme="minorHAnsi"/>
          <w:color w:val="auto"/>
          <w14:ligatures w14:val="none"/>
        </w:rPr>
        <w:tab/>
      </w:r>
      <w:r w:rsidRPr="00B92031">
        <w:rPr>
          <w:rFonts w:asciiTheme="minorHAnsi" w:hAnsiTheme="minorHAnsi" w:cstheme="minorHAnsi"/>
          <w:color w:val="auto"/>
          <w14:ligatures w14:val="none"/>
        </w:rPr>
        <w:tab/>
      </w:r>
      <w:r w:rsidRPr="00B92031">
        <w:rPr>
          <w:rFonts w:asciiTheme="minorHAnsi" w:hAnsiTheme="minorHAnsi" w:cstheme="minorHAnsi"/>
          <w:color w:val="auto"/>
          <w14:ligatures w14:val="none"/>
        </w:rPr>
        <w:tab/>
        <w:t>Page. 16</w:t>
      </w:r>
    </w:p>
    <w:p w:rsidR="006C6073" w:rsidRPr="00B92031" w:rsidRDefault="006C6073" w:rsidP="006C6073">
      <w:pPr>
        <w:widowControl w:val="0"/>
        <w:spacing w:line="240" w:lineRule="auto"/>
        <w:rPr>
          <w:rFonts w:asciiTheme="minorHAnsi" w:hAnsiTheme="minorHAnsi" w:cstheme="minorHAnsi"/>
          <w:color w:val="auto"/>
          <w14:ligatures w14:val="none"/>
        </w:rPr>
      </w:pPr>
      <w:r w:rsidRPr="00B92031">
        <w:rPr>
          <w:rFonts w:asciiTheme="minorHAnsi" w:hAnsiTheme="minorHAnsi" w:cstheme="minorHAnsi"/>
          <w:color w:val="auto"/>
          <w14:ligatures w14:val="none"/>
        </w:rPr>
        <w:t>References</w:t>
      </w:r>
      <w:r w:rsidRPr="00B92031">
        <w:rPr>
          <w:rFonts w:asciiTheme="minorHAnsi" w:hAnsiTheme="minorHAnsi" w:cstheme="minorHAnsi"/>
          <w:color w:val="auto"/>
          <w14:ligatures w14:val="none"/>
        </w:rPr>
        <w:tab/>
      </w:r>
      <w:r w:rsidRPr="00B92031">
        <w:rPr>
          <w:rFonts w:asciiTheme="minorHAnsi" w:hAnsiTheme="minorHAnsi" w:cstheme="minorHAnsi"/>
          <w:color w:val="auto"/>
          <w14:ligatures w14:val="none"/>
        </w:rPr>
        <w:tab/>
      </w:r>
      <w:r w:rsidRPr="00B92031">
        <w:rPr>
          <w:rFonts w:asciiTheme="minorHAnsi" w:hAnsiTheme="minorHAnsi" w:cstheme="minorHAnsi"/>
          <w:color w:val="auto"/>
          <w14:ligatures w14:val="none"/>
        </w:rPr>
        <w:tab/>
      </w:r>
      <w:r w:rsidRPr="00B92031">
        <w:rPr>
          <w:rFonts w:asciiTheme="minorHAnsi" w:hAnsiTheme="minorHAnsi" w:cstheme="minorHAnsi"/>
          <w:color w:val="auto"/>
          <w14:ligatures w14:val="none"/>
        </w:rPr>
        <w:tab/>
      </w:r>
      <w:r w:rsidRPr="00B92031">
        <w:rPr>
          <w:rFonts w:asciiTheme="minorHAnsi" w:hAnsiTheme="minorHAnsi" w:cstheme="minorHAnsi"/>
          <w:color w:val="auto"/>
          <w14:ligatures w14:val="none"/>
        </w:rPr>
        <w:tab/>
        <w:t>Page.  17</w:t>
      </w:r>
    </w:p>
    <w:p w:rsidR="006C6073" w:rsidRPr="00B92031" w:rsidRDefault="006C6073" w:rsidP="006C6073">
      <w:pPr>
        <w:widowControl w:val="0"/>
        <w:spacing w:line="240" w:lineRule="auto"/>
        <w:rPr>
          <w:rFonts w:asciiTheme="minorHAnsi" w:hAnsiTheme="minorHAnsi" w:cstheme="minorHAnsi"/>
          <w:color w:val="auto"/>
          <w14:ligatures w14:val="none"/>
        </w:rPr>
      </w:pPr>
      <w:r w:rsidRPr="00B92031">
        <w:rPr>
          <w:rFonts w:asciiTheme="minorHAnsi" w:hAnsiTheme="minorHAnsi" w:cstheme="minorHAnsi"/>
          <w:color w:val="auto"/>
          <w14:ligatures w14:val="none"/>
        </w:rPr>
        <w:t> </w:t>
      </w:r>
    </w:p>
    <w:p w:rsidR="006C6073" w:rsidRPr="00B92031" w:rsidRDefault="006C6073" w:rsidP="006C6073">
      <w:pPr>
        <w:widowControl w:val="0"/>
        <w:spacing w:line="240" w:lineRule="auto"/>
        <w:rPr>
          <w:rFonts w:asciiTheme="minorHAnsi" w:hAnsiTheme="minorHAnsi" w:cstheme="minorHAnsi"/>
          <w:b/>
          <w:bCs/>
          <w:color w:val="auto"/>
          <w14:ligatures w14:val="none"/>
        </w:rPr>
      </w:pPr>
      <w:r w:rsidRPr="00B92031">
        <w:rPr>
          <w:rFonts w:asciiTheme="minorHAnsi" w:hAnsiTheme="minorHAnsi" w:cstheme="minorHAnsi"/>
          <w:b/>
          <w:bCs/>
          <w:color w:val="auto"/>
          <w14:ligatures w14:val="none"/>
        </w:rPr>
        <w:t>Introduction</w:t>
      </w:r>
    </w:p>
    <w:p w:rsidR="006C6073" w:rsidRPr="00B92031" w:rsidRDefault="006C6073" w:rsidP="006C6073">
      <w:pPr>
        <w:widowControl w:val="0"/>
        <w:tabs>
          <w:tab w:val="left" w:pos="2939"/>
        </w:tabs>
        <w:spacing w:line="240" w:lineRule="auto"/>
        <w:jc w:val="both"/>
        <w:rPr>
          <w:rFonts w:asciiTheme="minorHAnsi" w:hAnsiTheme="minorHAnsi" w:cstheme="minorHAnsi"/>
          <w:color w:val="auto"/>
          <w14:ligatures w14:val="none"/>
        </w:rPr>
      </w:pPr>
      <w:r w:rsidRPr="00B92031">
        <w:rPr>
          <w:rFonts w:asciiTheme="minorHAnsi" w:hAnsiTheme="minorHAnsi" w:cstheme="minorHAnsi"/>
          <w:color w:val="auto"/>
          <w14:ligatures w14:val="none"/>
        </w:rPr>
        <w:t xml:space="preserve">Studies examining the stresses in later life show that the death of a loved one is of the most widespread issues that older adults face (Hardy, </w:t>
      </w:r>
      <w:proofErr w:type="spellStart"/>
      <w:r w:rsidRPr="00B92031">
        <w:rPr>
          <w:rFonts w:asciiTheme="minorHAnsi" w:hAnsiTheme="minorHAnsi" w:cstheme="minorHAnsi"/>
          <w:color w:val="auto"/>
          <w14:ligatures w14:val="none"/>
        </w:rPr>
        <w:t>Concato</w:t>
      </w:r>
      <w:proofErr w:type="spellEnd"/>
      <w:r w:rsidRPr="00B92031">
        <w:rPr>
          <w:rFonts w:asciiTheme="minorHAnsi" w:hAnsiTheme="minorHAnsi" w:cstheme="minorHAnsi"/>
          <w:color w:val="auto"/>
          <w14:ligatures w14:val="none"/>
        </w:rPr>
        <w:t xml:space="preserve"> &amp; Gill 2002; </w:t>
      </w:r>
      <w:proofErr w:type="spellStart"/>
      <w:r w:rsidRPr="00B92031">
        <w:rPr>
          <w:rFonts w:asciiTheme="minorHAnsi" w:hAnsiTheme="minorHAnsi" w:cstheme="minorHAnsi"/>
          <w:color w:val="auto"/>
          <w14:ligatures w14:val="none"/>
        </w:rPr>
        <w:t>Murrel</w:t>
      </w:r>
      <w:proofErr w:type="spellEnd"/>
      <w:r w:rsidRPr="00B92031">
        <w:rPr>
          <w:rFonts w:asciiTheme="minorHAnsi" w:hAnsiTheme="minorHAnsi" w:cstheme="minorHAnsi"/>
          <w:color w:val="auto"/>
          <w14:ligatures w14:val="none"/>
        </w:rPr>
        <w:t xml:space="preserve"> et al 1984).  Rosenzweig et al (1997) showed that half of all women and 10% of men over the age of 65 have lost a spouse, this number rises to 80% of women and 40% of men once they reach the age of 85. These figures do not     account for the loss of loved ones beside spouses, such as siblings or friends. Psychology has developed many theories that attempt to conceptualise the process of grieving and understanding                  bereavement and how it impacts on old people (</w:t>
      </w:r>
      <w:proofErr w:type="spellStart"/>
      <w:r w:rsidRPr="00B92031">
        <w:rPr>
          <w:rFonts w:asciiTheme="minorHAnsi" w:hAnsiTheme="minorHAnsi" w:cstheme="minorHAnsi"/>
          <w:color w:val="auto"/>
          <w14:ligatures w14:val="none"/>
        </w:rPr>
        <w:t>Neimeyer</w:t>
      </w:r>
      <w:proofErr w:type="spellEnd"/>
      <w:r w:rsidRPr="00B92031">
        <w:rPr>
          <w:rFonts w:asciiTheme="minorHAnsi" w:hAnsiTheme="minorHAnsi" w:cstheme="minorHAnsi"/>
          <w:color w:val="auto"/>
          <w14:ligatures w14:val="none"/>
        </w:rPr>
        <w:t xml:space="preserve"> &amp;       Holland 2015). </w:t>
      </w:r>
    </w:p>
    <w:p w:rsidR="006C6073" w:rsidRPr="00B92031" w:rsidRDefault="006C6073" w:rsidP="006C6073">
      <w:pPr>
        <w:tabs>
          <w:tab w:val="left" w:pos="2939"/>
        </w:tabs>
        <w:spacing w:after="160" w:line="240" w:lineRule="auto"/>
        <w:jc w:val="both"/>
        <w:rPr>
          <w:rFonts w:asciiTheme="minorHAnsi" w:hAnsiTheme="minorHAnsi" w:cstheme="minorHAnsi"/>
          <w:color w:val="auto"/>
          <w14:ligatures w14:val="none"/>
        </w:rPr>
      </w:pPr>
      <w:r w:rsidRPr="00B92031">
        <w:rPr>
          <w:rFonts w:asciiTheme="minorHAnsi" w:hAnsiTheme="minorHAnsi" w:cstheme="minorHAnsi"/>
          <w:color w:val="auto"/>
          <w14:ligatures w14:val="none"/>
        </w:rPr>
        <w:lastRenderedPageBreak/>
        <w:t xml:space="preserve">This paper will critically discuss these theories as well as                 interventions that have been developed from those </w:t>
      </w:r>
      <w:proofErr w:type="gramStart"/>
      <w:r w:rsidRPr="00B92031">
        <w:rPr>
          <w:rFonts w:asciiTheme="minorHAnsi" w:hAnsiTheme="minorHAnsi" w:cstheme="minorHAnsi"/>
          <w:color w:val="auto"/>
          <w14:ligatures w14:val="none"/>
        </w:rPr>
        <w:t xml:space="preserve">theories,   </w:t>
      </w:r>
      <w:proofErr w:type="gramEnd"/>
      <w:r w:rsidRPr="00B92031">
        <w:rPr>
          <w:rFonts w:asciiTheme="minorHAnsi" w:hAnsiTheme="minorHAnsi" w:cstheme="minorHAnsi"/>
          <w:color w:val="auto"/>
          <w14:ligatures w14:val="none"/>
        </w:rPr>
        <w:t xml:space="preserve">     examining which would be best for the increasingly elderly          population of the world.</w:t>
      </w:r>
    </w:p>
    <w:p w:rsidR="00194E15" w:rsidRPr="00B92031" w:rsidRDefault="00194E15" w:rsidP="006C6073">
      <w:pPr>
        <w:widowControl w:val="0"/>
        <w:rPr>
          <w:rFonts w:asciiTheme="minorHAnsi" w:hAnsiTheme="minorHAnsi" w:cstheme="minorHAnsi"/>
          <w:b/>
          <w:bCs/>
          <w:color w:val="auto"/>
          <w14:ligatures w14:val="none"/>
        </w:rPr>
      </w:pPr>
    </w:p>
    <w:p w:rsidR="006C6073" w:rsidRPr="00B92031" w:rsidRDefault="006C6073" w:rsidP="006C6073">
      <w:pPr>
        <w:widowControl w:val="0"/>
        <w:rPr>
          <w:rFonts w:asciiTheme="minorHAnsi" w:hAnsiTheme="minorHAnsi" w:cstheme="minorHAnsi"/>
          <w:b/>
          <w:bCs/>
          <w:color w:val="auto"/>
          <w14:ligatures w14:val="none"/>
        </w:rPr>
      </w:pPr>
      <w:r w:rsidRPr="00B92031">
        <w:rPr>
          <w:rFonts w:asciiTheme="minorHAnsi" w:hAnsiTheme="minorHAnsi" w:cstheme="minorHAnsi"/>
          <w:b/>
          <w:bCs/>
          <w:color w:val="auto"/>
          <w14:ligatures w14:val="none"/>
        </w:rPr>
        <w:t>Stage Theory</w:t>
      </w:r>
    </w:p>
    <w:p w:rsidR="006C6073" w:rsidRPr="00B92031" w:rsidRDefault="006C6073" w:rsidP="002C21C3">
      <w:pPr>
        <w:spacing w:after="160" w:line="256" w:lineRule="auto"/>
        <w:jc w:val="both"/>
        <w:rPr>
          <w:rFonts w:asciiTheme="minorHAnsi" w:hAnsiTheme="minorHAnsi" w:cstheme="minorHAnsi"/>
          <w:color w:val="auto"/>
          <w14:ligatures w14:val="none"/>
        </w:rPr>
      </w:pPr>
      <w:proofErr w:type="spellStart"/>
      <w:r w:rsidRPr="00B92031">
        <w:rPr>
          <w:rFonts w:asciiTheme="minorHAnsi" w:hAnsiTheme="minorHAnsi" w:cstheme="minorHAnsi"/>
          <w:color w:val="auto"/>
          <w14:ligatures w14:val="none"/>
        </w:rPr>
        <w:t>Downe-Wamboldt</w:t>
      </w:r>
      <w:proofErr w:type="spellEnd"/>
      <w:r w:rsidRPr="00B92031">
        <w:rPr>
          <w:rFonts w:asciiTheme="minorHAnsi" w:hAnsiTheme="minorHAnsi" w:cstheme="minorHAnsi"/>
          <w:color w:val="auto"/>
          <w14:ligatures w14:val="none"/>
        </w:rPr>
        <w:t xml:space="preserve"> &amp; </w:t>
      </w:r>
      <w:proofErr w:type="spellStart"/>
      <w:r w:rsidRPr="00B92031">
        <w:rPr>
          <w:rFonts w:asciiTheme="minorHAnsi" w:hAnsiTheme="minorHAnsi" w:cstheme="minorHAnsi"/>
          <w:color w:val="auto"/>
          <w14:ligatures w14:val="none"/>
        </w:rPr>
        <w:t>Tamlyn</w:t>
      </w:r>
      <w:proofErr w:type="spellEnd"/>
      <w:r w:rsidRPr="00B92031">
        <w:rPr>
          <w:rFonts w:asciiTheme="minorHAnsi" w:hAnsiTheme="minorHAnsi" w:cstheme="minorHAnsi"/>
          <w:color w:val="auto"/>
          <w14:ligatures w14:val="none"/>
        </w:rPr>
        <w:t xml:space="preserve"> (1997) showed that the belief that grief progressed in stages was widespread amongst professionals, beginning with shock or denial, then anger, protest, depression and finally, ideally reaching recovery, acceptance or some other similar phrase.</w:t>
      </w:r>
      <w:r w:rsidR="00DF6B8D" w:rsidRPr="00B92031">
        <w:rPr>
          <w:rFonts w:asciiTheme="minorHAnsi" w:hAnsiTheme="minorHAnsi" w:cstheme="minorHAnsi"/>
          <w:color w:val="auto"/>
          <w14:ligatures w14:val="none"/>
        </w:rPr>
        <w:t xml:space="preserve"> </w:t>
      </w:r>
      <w:r w:rsidRPr="00B92031">
        <w:rPr>
          <w:rFonts w:asciiTheme="minorHAnsi" w:hAnsiTheme="minorHAnsi" w:cstheme="minorHAnsi"/>
          <w:color w:val="auto"/>
          <w14:ligatures w14:val="none"/>
        </w:rPr>
        <w:t xml:space="preserve">However, contemporary research seems to indicate that this model may not be an accurate representation of grief. </w:t>
      </w:r>
      <w:proofErr w:type="spellStart"/>
      <w:r w:rsidRPr="00B92031">
        <w:rPr>
          <w:rFonts w:asciiTheme="minorHAnsi" w:hAnsiTheme="minorHAnsi" w:cstheme="minorHAnsi"/>
          <w:color w:val="auto"/>
          <w14:ligatures w14:val="none"/>
        </w:rPr>
        <w:t>Maciejewski</w:t>
      </w:r>
      <w:proofErr w:type="spellEnd"/>
      <w:r w:rsidRPr="00B92031">
        <w:rPr>
          <w:rFonts w:asciiTheme="minorHAnsi" w:hAnsiTheme="minorHAnsi" w:cstheme="minorHAnsi"/>
          <w:color w:val="auto"/>
          <w14:ligatures w14:val="none"/>
        </w:rPr>
        <w:t xml:space="preserve">, Zhang, Block &amp;     </w:t>
      </w:r>
      <w:proofErr w:type="spellStart"/>
      <w:r w:rsidRPr="00B92031">
        <w:rPr>
          <w:rFonts w:asciiTheme="minorHAnsi" w:hAnsiTheme="minorHAnsi" w:cstheme="minorHAnsi"/>
          <w:color w:val="auto"/>
          <w14:ligatures w14:val="none"/>
        </w:rPr>
        <w:t>Prigerson’s</w:t>
      </w:r>
      <w:proofErr w:type="spellEnd"/>
      <w:r w:rsidRPr="00B92031">
        <w:rPr>
          <w:rFonts w:asciiTheme="minorHAnsi" w:hAnsiTheme="minorHAnsi" w:cstheme="minorHAnsi"/>
          <w:color w:val="auto"/>
          <w14:ligatures w14:val="none"/>
        </w:rPr>
        <w:t xml:space="preserve"> (2007) results showed that although the traditional stages (disbelief, yearning, anger, depression, acceptance) progressed in the correct order the degree to which participants reported feeling them was not. </w:t>
      </w:r>
    </w:p>
    <w:p w:rsidR="006C6073" w:rsidRPr="00B92031" w:rsidRDefault="006C6073" w:rsidP="006C6073">
      <w:pPr>
        <w:widowControl w:val="0"/>
        <w:jc w:val="both"/>
        <w:rPr>
          <w:rFonts w:asciiTheme="minorHAnsi" w:hAnsiTheme="minorHAnsi" w:cstheme="minorHAnsi"/>
          <w:color w:val="auto"/>
          <w14:ligatures w14:val="none"/>
        </w:rPr>
      </w:pPr>
      <w:r w:rsidRPr="00B92031">
        <w:rPr>
          <w:rFonts w:asciiTheme="minorHAnsi" w:hAnsiTheme="minorHAnsi" w:cstheme="minorHAnsi"/>
          <w:color w:val="auto"/>
          <w14:ligatures w14:val="none"/>
        </w:rPr>
        <w:t>Disbelief </w:t>
      </w:r>
    </w:p>
    <w:p w:rsidR="006C6073" w:rsidRPr="00B92031" w:rsidRDefault="006C6073" w:rsidP="006C6073">
      <w:pPr>
        <w:widowControl w:val="0"/>
        <w:jc w:val="both"/>
        <w:rPr>
          <w:rFonts w:asciiTheme="minorHAnsi" w:hAnsiTheme="minorHAnsi" w:cstheme="minorHAnsi"/>
          <w:color w:val="auto"/>
          <w14:ligatures w14:val="none"/>
        </w:rPr>
      </w:pPr>
      <w:r w:rsidRPr="00B92031">
        <w:rPr>
          <w:rFonts w:asciiTheme="minorHAnsi" w:hAnsiTheme="minorHAnsi" w:cstheme="minorHAnsi"/>
          <w:color w:val="auto"/>
          <w14:ligatures w14:val="none"/>
        </w:rPr>
        <w:t>Yearning</w:t>
      </w:r>
    </w:p>
    <w:p w:rsidR="006C6073" w:rsidRPr="006C6073" w:rsidRDefault="006C6073" w:rsidP="006C6073">
      <w:pPr>
        <w:widowControl w:val="0"/>
        <w:jc w:val="both"/>
        <w:rPr>
          <w:rFonts w:asciiTheme="minorHAnsi" w:hAnsiTheme="minorHAnsi" w:cstheme="minorHAnsi"/>
          <w:color w:val="auto"/>
          <w14:ligatures w14:val="none"/>
        </w:rPr>
      </w:pPr>
      <w:r w:rsidRPr="00B92031">
        <w:rPr>
          <w:rFonts w:asciiTheme="minorHAnsi" w:hAnsiTheme="minorHAnsi" w:cstheme="minorHAnsi"/>
          <w:color w:val="auto"/>
          <w14:ligatures w14:val="none"/>
        </w:rPr>
        <w:t>Anger</w:t>
      </w:r>
    </w:p>
    <w:p w:rsidR="005C3E37" w:rsidRPr="006C6073" w:rsidRDefault="006C6073" w:rsidP="006C6073">
      <w:pPr>
        <w:widowControl w:val="0"/>
        <w:rPr>
          <w:rFonts w:asciiTheme="minorHAnsi" w:hAnsiTheme="minorHAnsi" w:cstheme="minorHAnsi"/>
          <w:color w:val="auto"/>
          <w14:ligatures w14:val="none"/>
        </w:rPr>
      </w:pPr>
      <w:r w:rsidRPr="006C6073">
        <w:rPr>
          <w:rFonts w:asciiTheme="minorHAnsi" w:hAnsiTheme="minorHAnsi" w:cstheme="minorHAnsi"/>
          <w:color w:val="auto"/>
          <w14:ligatures w14:val="none"/>
        </w:rPr>
        <w:t>Depression</w:t>
      </w:r>
    </w:p>
    <w:p w:rsidR="006C6073" w:rsidRPr="006C6073" w:rsidRDefault="006C6073" w:rsidP="006C6073">
      <w:pPr>
        <w:widowControl w:val="0"/>
        <w:rPr>
          <w:rFonts w:asciiTheme="minorHAnsi" w:hAnsiTheme="minorHAnsi" w:cstheme="minorHAnsi"/>
          <w:color w:val="auto"/>
          <w14:ligatures w14:val="none"/>
        </w:rPr>
      </w:pPr>
      <w:r w:rsidRPr="006C6073">
        <w:rPr>
          <w:rFonts w:asciiTheme="minorHAnsi" w:hAnsiTheme="minorHAnsi" w:cstheme="minorHAnsi"/>
          <w:color w:val="auto"/>
          <w14:ligatures w14:val="none"/>
        </w:rPr>
        <w:t>Acceptance</w:t>
      </w:r>
    </w:p>
    <w:p w:rsidR="006C6073" w:rsidRPr="002C21C3" w:rsidRDefault="006C6073" w:rsidP="00517D8A">
      <w:pPr>
        <w:spacing w:after="160" w:line="256" w:lineRule="auto"/>
        <w:jc w:val="both"/>
        <w:rPr>
          <w:rFonts w:asciiTheme="minorHAnsi" w:hAnsiTheme="minorHAnsi" w:cstheme="minorHAnsi"/>
          <w:color w:val="auto"/>
          <w14:ligatures w14:val="none"/>
        </w:rPr>
      </w:pPr>
      <w:r w:rsidRPr="002C21C3">
        <w:rPr>
          <w:rFonts w:asciiTheme="minorHAnsi" w:hAnsiTheme="minorHAnsi" w:cstheme="minorHAnsi"/>
          <w:color w:val="auto"/>
          <w14:ligatures w14:val="none"/>
        </w:rPr>
        <w:t>The researchers asked participants to answer items which measured   disbelief, yearning, anger, depression, acceptance from 1 to 24 months post loss. The measurement participants scored highest on throughout the process was acceptance even at the beginning of the measurement   process.</w:t>
      </w:r>
    </w:p>
    <w:p w:rsidR="006C6073" w:rsidRPr="002C21C3" w:rsidRDefault="006C6073" w:rsidP="006C6073">
      <w:pPr>
        <w:widowControl w:val="0"/>
        <w:rPr>
          <w:rFonts w:asciiTheme="minorHAnsi" w:hAnsiTheme="minorHAnsi" w:cstheme="minorHAnsi"/>
          <w:b/>
          <w:bCs/>
          <w:color w:val="auto"/>
          <w14:ligatures w14:val="none"/>
        </w:rPr>
      </w:pPr>
      <w:r w:rsidRPr="002C21C3">
        <w:rPr>
          <w:rFonts w:asciiTheme="minorHAnsi" w:hAnsiTheme="minorHAnsi" w:cstheme="minorHAnsi"/>
          <w:b/>
          <w:bCs/>
          <w:color w:val="auto"/>
          <w14:ligatures w14:val="none"/>
        </w:rPr>
        <w:t>Stage Theory</w:t>
      </w:r>
    </w:p>
    <w:p w:rsidR="006C6073" w:rsidRPr="002C21C3" w:rsidRDefault="006C6073" w:rsidP="002C21C3">
      <w:pPr>
        <w:widowControl w:val="0"/>
        <w:rPr>
          <w:rFonts w:asciiTheme="minorHAnsi" w:hAnsiTheme="minorHAnsi" w:cstheme="minorHAnsi"/>
          <w:color w:val="auto"/>
          <w14:ligatures w14:val="none"/>
        </w:rPr>
      </w:pPr>
      <w:r w:rsidRPr="002C21C3">
        <w:rPr>
          <w:rFonts w:asciiTheme="minorHAnsi" w:hAnsiTheme="minorHAnsi" w:cstheme="minorHAnsi"/>
          <w:color w:val="auto"/>
          <w14:ligatures w14:val="none"/>
        </w:rPr>
        <w:t xml:space="preserve"> In order to perceive in </w:t>
      </w:r>
      <w:proofErr w:type="gramStart"/>
      <w:r w:rsidRPr="002C21C3">
        <w:rPr>
          <w:rFonts w:asciiTheme="minorHAnsi" w:hAnsiTheme="minorHAnsi" w:cstheme="minorHAnsi"/>
          <w:color w:val="auto"/>
          <w14:ligatures w14:val="none"/>
        </w:rPr>
        <w:t>which</w:t>
      </w:r>
      <w:proofErr w:type="gramEnd"/>
      <w:r w:rsidRPr="002C21C3">
        <w:rPr>
          <w:rFonts w:asciiTheme="minorHAnsi" w:hAnsiTheme="minorHAnsi" w:cstheme="minorHAnsi"/>
          <w:color w:val="auto"/>
          <w14:ligatures w14:val="none"/>
        </w:rPr>
        <w:t xml:space="preserve"> order the stages occurred the researchers restructured their graph to show when each element reached its highest score. </w:t>
      </w:r>
    </w:p>
    <w:p w:rsidR="006C6073" w:rsidRPr="005F54F6" w:rsidRDefault="006C6073" w:rsidP="006C6073">
      <w:pPr>
        <w:spacing w:after="160" w:line="256" w:lineRule="auto"/>
        <w:jc w:val="both"/>
        <w:rPr>
          <w:rFonts w:asciiTheme="minorHAnsi" w:hAnsiTheme="minorHAnsi" w:cstheme="minorHAnsi"/>
          <w:color w:val="auto"/>
          <w14:ligatures w14:val="none"/>
        </w:rPr>
      </w:pPr>
      <w:r w:rsidRPr="002C21C3">
        <w:rPr>
          <w:rFonts w:asciiTheme="minorHAnsi" w:hAnsiTheme="minorHAnsi" w:cstheme="minorHAnsi"/>
          <w:color w:val="auto"/>
          <w14:ligatures w14:val="none"/>
        </w:rPr>
        <w:t xml:space="preserve">This does </w:t>
      </w:r>
      <w:r w:rsidRPr="005F54F6">
        <w:rPr>
          <w:rFonts w:asciiTheme="minorHAnsi" w:hAnsiTheme="minorHAnsi" w:cstheme="minorHAnsi"/>
          <w:color w:val="auto"/>
          <w14:ligatures w14:val="none"/>
        </w:rPr>
        <w:t>not account for what dominant emotion a bereaved person may feel at any point during the grieving process. A flaw of this         research is that it only measured using the five stages they expected to see, allowing for the possibility of more stages unmeasured by the   researchers. From the participants perspective they are being asked to describe their feelings but only being given 5 metrics with which they are expected to summarise the entirety of their feelings about the loss of their loved one, there may have been many other complex         emotional factors at work rather than simply 5 stages. Overall this casts doubt on the validity of stage models as a method of modelling the grieving and bereavement process.</w:t>
      </w:r>
    </w:p>
    <w:p w:rsidR="00194E15" w:rsidRPr="005F54F6" w:rsidRDefault="00194E15" w:rsidP="006C6073">
      <w:pPr>
        <w:widowControl w:val="0"/>
        <w:rPr>
          <w:rFonts w:asciiTheme="minorHAnsi" w:hAnsiTheme="minorHAnsi" w:cstheme="minorHAnsi"/>
          <w:b/>
          <w:bCs/>
          <w:color w:val="auto"/>
          <w14:ligatures w14:val="none"/>
        </w:rPr>
      </w:pPr>
    </w:p>
    <w:p w:rsidR="006C6073" w:rsidRPr="005F54F6" w:rsidRDefault="006C6073" w:rsidP="006C6073">
      <w:pPr>
        <w:widowControl w:val="0"/>
        <w:rPr>
          <w:rFonts w:asciiTheme="minorHAnsi" w:hAnsiTheme="minorHAnsi" w:cstheme="minorHAnsi"/>
          <w:b/>
          <w:bCs/>
          <w:color w:val="auto"/>
          <w14:ligatures w14:val="none"/>
        </w:rPr>
      </w:pPr>
      <w:r w:rsidRPr="005F54F6">
        <w:rPr>
          <w:rFonts w:asciiTheme="minorHAnsi" w:hAnsiTheme="minorHAnsi" w:cstheme="minorHAnsi"/>
          <w:b/>
          <w:bCs/>
          <w:color w:val="auto"/>
          <w14:ligatures w14:val="none"/>
        </w:rPr>
        <w:t>Grief Work</w:t>
      </w:r>
    </w:p>
    <w:p w:rsidR="006C6073" w:rsidRPr="005F54F6" w:rsidRDefault="006C6073" w:rsidP="002C21C3">
      <w:pPr>
        <w:spacing w:after="160" w:line="256" w:lineRule="auto"/>
        <w:jc w:val="both"/>
        <w:rPr>
          <w:rFonts w:asciiTheme="minorHAnsi" w:hAnsiTheme="minorHAnsi" w:cstheme="minorHAnsi"/>
          <w:color w:val="auto"/>
          <w14:ligatures w14:val="none"/>
        </w:rPr>
      </w:pPr>
      <w:proofErr w:type="spellStart"/>
      <w:r w:rsidRPr="005F54F6">
        <w:rPr>
          <w:rFonts w:asciiTheme="minorHAnsi" w:hAnsiTheme="minorHAnsi" w:cstheme="minorHAnsi"/>
          <w:color w:val="auto"/>
          <w14:ligatures w14:val="none"/>
        </w:rPr>
        <w:t>Stroebe</w:t>
      </w:r>
      <w:proofErr w:type="spellEnd"/>
      <w:r w:rsidRPr="005F54F6">
        <w:rPr>
          <w:rFonts w:asciiTheme="minorHAnsi" w:hAnsiTheme="minorHAnsi" w:cstheme="minorHAnsi"/>
          <w:color w:val="auto"/>
          <w14:ligatures w14:val="none"/>
        </w:rPr>
        <w:t xml:space="preserve"> (1992) showed that it was commonly believed in western      culture that grief needed to be “worked through” in order to </w:t>
      </w:r>
      <w:proofErr w:type="gramStart"/>
      <w:r w:rsidRPr="005F54F6">
        <w:rPr>
          <w:rFonts w:asciiTheme="minorHAnsi" w:hAnsiTheme="minorHAnsi" w:cstheme="minorHAnsi"/>
          <w:color w:val="auto"/>
          <w14:ligatures w14:val="none"/>
        </w:rPr>
        <w:t>be  properly</w:t>
      </w:r>
      <w:proofErr w:type="gramEnd"/>
      <w:r w:rsidRPr="005F54F6">
        <w:rPr>
          <w:rFonts w:asciiTheme="minorHAnsi" w:hAnsiTheme="minorHAnsi" w:cstheme="minorHAnsi"/>
          <w:color w:val="auto"/>
          <w14:ligatures w14:val="none"/>
        </w:rPr>
        <w:t xml:space="preserve"> processed and avoid complicated grief. This belief may be     unfounded in psychological research (Wortman &amp; Silver (2001). The concept of “grief work” originates with Freud (1957) who believed that grief and bereavement were a process of detachment where the        bereaved detach and withdraw from the world in order to detach from the deceased, thus ending their bond with them (Freud 1961).</w:t>
      </w:r>
    </w:p>
    <w:p w:rsidR="006C6073" w:rsidRPr="005F54F6" w:rsidRDefault="006C6073" w:rsidP="006C6073">
      <w:pPr>
        <w:spacing w:after="160" w:line="256" w:lineRule="auto"/>
        <w:jc w:val="both"/>
        <w:rPr>
          <w:rFonts w:asciiTheme="minorHAnsi" w:hAnsiTheme="minorHAnsi" w:cstheme="minorHAnsi"/>
          <w:color w:val="auto"/>
          <w14:ligatures w14:val="none"/>
        </w:rPr>
      </w:pPr>
      <w:r w:rsidRPr="005F54F6">
        <w:rPr>
          <w:rFonts w:asciiTheme="minorHAnsi" w:hAnsiTheme="minorHAnsi" w:cstheme="minorHAnsi"/>
          <w:color w:val="auto"/>
          <w14:ligatures w14:val="none"/>
        </w:rPr>
        <w:t xml:space="preserve">The practice of repeated reviews of the loved one’s death, confronting and experiencing the pain of their loss in order to detach from the        deceased (Sanders 1999; Rando 1993; Worden 1991) does not seem to be supported by evidence. </w:t>
      </w:r>
    </w:p>
    <w:p w:rsidR="006C6073" w:rsidRPr="005F54F6" w:rsidRDefault="006C6073" w:rsidP="006C6073">
      <w:pPr>
        <w:widowControl w:val="0"/>
        <w:rPr>
          <w:rFonts w:asciiTheme="minorHAnsi" w:hAnsiTheme="minorHAnsi" w:cstheme="minorHAnsi"/>
          <w:color w:val="auto"/>
          <w14:ligatures w14:val="none"/>
        </w:rPr>
      </w:pPr>
      <w:r w:rsidRPr="005F54F6">
        <w:rPr>
          <w:rFonts w:asciiTheme="minorHAnsi" w:hAnsiTheme="minorHAnsi" w:cstheme="minorHAnsi"/>
          <w:color w:val="auto"/>
          <w14:ligatures w14:val="none"/>
        </w:rPr>
        <w:t> </w:t>
      </w:r>
    </w:p>
    <w:p w:rsidR="002C21C3" w:rsidRPr="005F54F6" w:rsidRDefault="002C21C3" w:rsidP="002C21C3">
      <w:pPr>
        <w:widowControl w:val="0"/>
        <w:rPr>
          <w:rFonts w:asciiTheme="minorHAnsi" w:hAnsiTheme="minorHAnsi" w:cstheme="minorHAnsi"/>
          <w:b/>
          <w:bCs/>
          <w:color w:val="auto"/>
          <w14:ligatures w14:val="none"/>
        </w:rPr>
      </w:pPr>
      <w:r w:rsidRPr="005F54F6">
        <w:rPr>
          <w:rFonts w:asciiTheme="minorHAnsi" w:hAnsiTheme="minorHAnsi" w:cstheme="minorHAnsi"/>
          <w:b/>
          <w:bCs/>
          <w:color w:val="auto"/>
          <w14:ligatures w14:val="none"/>
        </w:rPr>
        <w:t>Grief Work</w:t>
      </w:r>
    </w:p>
    <w:p w:rsidR="002C21C3" w:rsidRPr="005F54F6" w:rsidRDefault="002C21C3" w:rsidP="002C21C3">
      <w:pPr>
        <w:spacing w:after="160" w:line="256" w:lineRule="auto"/>
        <w:jc w:val="both"/>
        <w:rPr>
          <w:rFonts w:asciiTheme="minorHAnsi" w:hAnsiTheme="minorHAnsi" w:cstheme="minorHAnsi"/>
          <w:color w:val="auto"/>
          <w14:ligatures w14:val="none"/>
        </w:rPr>
      </w:pPr>
      <w:r w:rsidRPr="005F54F6">
        <w:rPr>
          <w:rFonts w:asciiTheme="minorHAnsi" w:hAnsiTheme="minorHAnsi" w:cstheme="minorHAnsi"/>
          <w:color w:val="auto"/>
          <w14:ligatures w14:val="none"/>
        </w:rPr>
        <w:t xml:space="preserve">Wortman &amp; Silver (2001) could find no research that tested the   value of “working through” the loss of a loved one as a method of avoiding complicated grief, reducing the degree of pain experienced or the length of time </w:t>
      </w:r>
      <w:r w:rsidRPr="005F54F6">
        <w:rPr>
          <w:rFonts w:asciiTheme="minorHAnsi" w:hAnsiTheme="minorHAnsi" w:cstheme="minorHAnsi"/>
          <w:color w:val="auto"/>
          <w14:ligatures w14:val="none"/>
        </w:rPr>
        <w:lastRenderedPageBreak/>
        <w:t xml:space="preserve">spend grieving. Wortman &amp; Silver examined parents who had lost a child to Sudden Infant Death Syndrome (SIDS) and showed that those who spent more time trying to make sense of the death or actively processing it in the first three weeks were more distressed 18 months later than those who had not. This seems to contradict the grief work model which predicts that those who confront the painful questions and review the death should process the death better than those who did not. </w:t>
      </w:r>
      <w:proofErr w:type="gramStart"/>
      <w:r w:rsidRPr="005F54F6">
        <w:rPr>
          <w:rFonts w:asciiTheme="minorHAnsi" w:hAnsiTheme="minorHAnsi" w:cstheme="minorHAnsi"/>
          <w:color w:val="auto"/>
          <w14:ligatures w14:val="none"/>
        </w:rPr>
        <w:t xml:space="preserve">Similarly,   </w:t>
      </w:r>
      <w:proofErr w:type="gramEnd"/>
      <w:r w:rsidRPr="005F54F6">
        <w:rPr>
          <w:rFonts w:asciiTheme="minorHAnsi" w:hAnsiTheme="minorHAnsi" w:cstheme="minorHAnsi"/>
          <w:color w:val="auto"/>
          <w14:ligatures w14:val="none"/>
        </w:rPr>
        <w:t xml:space="preserve">        Nolen-Hoeksema et al (1997) examined gay men who had lost their partners to AIDS and showed that those who thought about their life without their partner and the changes to their lives as a result of their loss had a more positive morale shortly after the death of their partner but they also showed more persistent depression over the 12 months following the loss. This, again, seems to show that trying to “work through” the grief of losing a loved one is not an effective strategy for managing grief.</w:t>
      </w:r>
    </w:p>
    <w:p w:rsidR="002C21C3" w:rsidRPr="005F54F6" w:rsidRDefault="002C21C3" w:rsidP="002C21C3">
      <w:pPr>
        <w:widowControl w:val="0"/>
        <w:rPr>
          <w:rFonts w:asciiTheme="minorHAnsi" w:hAnsiTheme="minorHAnsi" w:cstheme="minorHAnsi"/>
          <w:color w:val="auto"/>
          <w14:ligatures w14:val="none"/>
        </w:rPr>
      </w:pPr>
      <w:r w:rsidRPr="005F54F6">
        <w:rPr>
          <w:rFonts w:asciiTheme="minorHAnsi" w:hAnsiTheme="minorHAnsi" w:cstheme="minorHAnsi"/>
          <w:color w:val="auto"/>
          <w14:ligatures w14:val="none"/>
        </w:rPr>
        <w:t> </w:t>
      </w:r>
    </w:p>
    <w:p w:rsidR="002C21C3" w:rsidRPr="005F54F6" w:rsidRDefault="002C21C3" w:rsidP="002C21C3">
      <w:pPr>
        <w:widowControl w:val="0"/>
        <w:rPr>
          <w:rFonts w:asciiTheme="minorHAnsi" w:hAnsiTheme="minorHAnsi" w:cstheme="minorHAnsi"/>
          <w:b/>
          <w:bCs/>
          <w:color w:val="auto"/>
          <w14:ligatures w14:val="none"/>
        </w:rPr>
      </w:pPr>
      <w:r w:rsidRPr="005F54F6">
        <w:rPr>
          <w:rFonts w:asciiTheme="minorHAnsi" w:hAnsiTheme="minorHAnsi" w:cstheme="minorHAnsi"/>
          <w:b/>
          <w:bCs/>
          <w:color w:val="auto"/>
          <w14:ligatures w14:val="none"/>
        </w:rPr>
        <w:t>Two-Track Theory</w:t>
      </w:r>
    </w:p>
    <w:p w:rsidR="002C21C3" w:rsidRPr="005F54F6" w:rsidRDefault="002C21C3" w:rsidP="002C21C3">
      <w:pPr>
        <w:spacing w:after="160" w:line="256" w:lineRule="auto"/>
        <w:jc w:val="both"/>
        <w:rPr>
          <w:rFonts w:asciiTheme="minorHAnsi" w:hAnsiTheme="minorHAnsi" w:cstheme="minorHAnsi"/>
          <w:color w:val="auto"/>
          <w14:ligatures w14:val="none"/>
        </w:rPr>
      </w:pPr>
      <w:r w:rsidRPr="005F54F6">
        <w:rPr>
          <w:rFonts w:asciiTheme="minorHAnsi" w:hAnsiTheme="minorHAnsi" w:cstheme="minorHAnsi"/>
          <w:color w:val="auto"/>
          <w14:ligatures w14:val="none"/>
        </w:rPr>
        <w:t xml:space="preserve">This model conceptualizes grief as having two tracks that a bereaved person must negotiate simultaneously. The first is biopsychosocial functioning, factors such as the persons physical health, their capacity to work, their behaviour socially and their overall mood, the second is the bereaved persons relationship to the deceased, during life as well as their relationship after the loss (Rubin, 1999; Rubin, </w:t>
      </w:r>
      <w:proofErr w:type="spellStart"/>
      <w:r w:rsidRPr="005F54F6">
        <w:rPr>
          <w:rFonts w:asciiTheme="minorHAnsi" w:hAnsiTheme="minorHAnsi" w:cstheme="minorHAnsi"/>
          <w:color w:val="auto"/>
          <w14:ligatures w14:val="none"/>
        </w:rPr>
        <w:t>Malkinson</w:t>
      </w:r>
      <w:proofErr w:type="spellEnd"/>
      <w:r w:rsidRPr="005F54F6">
        <w:rPr>
          <w:rFonts w:asciiTheme="minorHAnsi" w:hAnsiTheme="minorHAnsi" w:cstheme="minorHAnsi"/>
          <w:color w:val="auto"/>
          <w14:ligatures w14:val="none"/>
        </w:rPr>
        <w:t xml:space="preserve">, &amp; </w:t>
      </w:r>
      <w:proofErr w:type="spellStart"/>
      <w:r w:rsidRPr="005F54F6">
        <w:rPr>
          <w:rFonts w:asciiTheme="minorHAnsi" w:hAnsiTheme="minorHAnsi" w:cstheme="minorHAnsi"/>
          <w:color w:val="auto"/>
          <w14:ligatures w14:val="none"/>
        </w:rPr>
        <w:t>Witztum</w:t>
      </w:r>
      <w:proofErr w:type="spellEnd"/>
      <w:r w:rsidRPr="005F54F6">
        <w:rPr>
          <w:rFonts w:asciiTheme="minorHAnsi" w:hAnsiTheme="minorHAnsi" w:cstheme="minorHAnsi"/>
          <w:color w:val="auto"/>
          <w14:ligatures w14:val="none"/>
        </w:rPr>
        <w:t>, 2003).  From a practitioner’s perspective this model has an advantage over most others as it can model issues that interfere with a participant’s biopsychosocial functioning as well as issues that        interfere with a participant’s relationship to the deceased (</w:t>
      </w:r>
      <w:proofErr w:type="gramStart"/>
      <w:r w:rsidRPr="005F54F6">
        <w:rPr>
          <w:rFonts w:asciiTheme="minorHAnsi" w:hAnsiTheme="minorHAnsi" w:cstheme="minorHAnsi"/>
          <w:color w:val="auto"/>
          <w14:ligatures w14:val="none"/>
        </w:rPr>
        <w:t xml:space="preserve">Rubin,  </w:t>
      </w:r>
      <w:proofErr w:type="spellStart"/>
      <w:r w:rsidRPr="005F54F6">
        <w:rPr>
          <w:rFonts w:asciiTheme="minorHAnsi" w:hAnsiTheme="minorHAnsi" w:cstheme="minorHAnsi"/>
          <w:color w:val="auto"/>
          <w14:ligatures w14:val="none"/>
        </w:rPr>
        <w:t>Malkinson</w:t>
      </w:r>
      <w:proofErr w:type="spellEnd"/>
      <w:proofErr w:type="gramEnd"/>
      <w:r w:rsidRPr="005F54F6">
        <w:rPr>
          <w:rFonts w:asciiTheme="minorHAnsi" w:hAnsiTheme="minorHAnsi" w:cstheme="minorHAnsi"/>
          <w:color w:val="auto"/>
          <w14:ligatures w14:val="none"/>
        </w:rPr>
        <w:t xml:space="preserve">, &amp; </w:t>
      </w:r>
      <w:proofErr w:type="spellStart"/>
      <w:r w:rsidRPr="005F54F6">
        <w:rPr>
          <w:rFonts w:asciiTheme="minorHAnsi" w:hAnsiTheme="minorHAnsi" w:cstheme="minorHAnsi"/>
          <w:color w:val="auto"/>
          <w14:ligatures w14:val="none"/>
        </w:rPr>
        <w:t>Witztum</w:t>
      </w:r>
      <w:proofErr w:type="spellEnd"/>
      <w:r w:rsidRPr="005F54F6">
        <w:rPr>
          <w:rFonts w:asciiTheme="minorHAnsi" w:hAnsiTheme="minorHAnsi" w:cstheme="minorHAnsi"/>
          <w:color w:val="auto"/>
          <w14:ligatures w14:val="none"/>
        </w:rPr>
        <w:t>, 2011</w:t>
      </w:r>
      <w:r w:rsidR="00DF6B8D" w:rsidRPr="005F54F6">
        <w:rPr>
          <w:rFonts w:asciiTheme="minorHAnsi" w:hAnsiTheme="minorHAnsi" w:cstheme="minorHAnsi"/>
          <w:color w:val="auto"/>
          <w14:ligatures w14:val="none"/>
        </w:rPr>
        <w:t>)</w:t>
      </w:r>
      <w:r w:rsidRPr="005F54F6">
        <w:rPr>
          <w:rFonts w:asciiTheme="minorHAnsi" w:hAnsiTheme="minorHAnsi" w:cstheme="minorHAnsi"/>
          <w:color w:val="auto"/>
          <w14:ligatures w14:val="none"/>
        </w:rPr>
        <w:t>.</w:t>
      </w:r>
    </w:p>
    <w:p w:rsidR="002C21C3" w:rsidRPr="005F54F6" w:rsidRDefault="002C21C3" w:rsidP="002C21C3">
      <w:pPr>
        <w:widowControl w:val="0"/>
        <w:rPr>
          <w:rFonts w:asciiTheme="minorHAnsi" w:hAnsiTheme="minorHAnsi" w:cstheme="minorHAnsi"/>
          <w:b/>
          <w:bCs/>
          <w:color w:val="auto"/>
          <w14:ligatures w14:val="none"/>
        </w:rPr>
      </w:pPr>
      <w:r w:rsidRPr="005F54F6">
        <w:rPr>
          <w:rFonts w:asciiTheme="minorHAnsi" w:hAnsiTheme="minorHAnsi" w:cstheme="minorHAnsi"/>
          <w:b/>
          <w:bCs/>
          <w:color w:val="auto"/>
          <w14:ligatures w14:val="none"/>
        </w:rPr>
        <w:t>Two-Track Theory</w:t>
      </w:r>
    </w:p>
    <w:p w:rsidR="002C21C3" w:rsidRPr="00E168D4" w:rsidRDefault="002C21C3" w:rsidP="002C21C3">
      <w:pPr>
        <w:spacing w:after="160" w:line="256" w:lineRule="auto"/>
        <w:jc w:val="both"/>
        <w:rPr>
          <w:rFonts w:asciiTheme="minorHAnsi" w:hAnsiTheme="minorHAnsi" w:cstheme="minorHAnsi"/>
          <w:color w:val="auto"/>
          <w14:ligatures w14:val="none"/>
        </w:rPr>
      </w:pPr>
      <w:r w:rsidRPr="005F54F6">
        <w:rPr>
          <w:rFonts w:asciiTheme="minorHAnsi" w:hAnsiTheme="minorHAnsi" w:cstheme="minorHAnsi"/>
          <w:color w:val="auto"/>
          <w14:ligatures w14:val="none"/>
        </w:rPr>
        <w:t>Certain behaviours that maintain a relationship with the deceased have been reported to lead to more positive grief outcomes (</w:t>
      </w:r>
      <w:proofErr w:type="spellStart"/>
      <w:r w:rsidRPr="005F54F6">
        <w:rPr>
          <w:rFonts w:asciiTheme="minorHAnsi" w:hAnsiTheme="minorHAnsi" w:cstheme="minorHAnsi"/>
          <w:color w:val="auto"/>
          <w14:ligatures w14:val="none"/>
        </w:rPr>
        <w:t>Datson</w:t>
      </w:r>
      <w:proofErr w:type="spellEnd"/>
      <w:r w:rsidRPr="005F54F6">
        <w:rPr>
          <w:rFonts w:asciiTheme="minorHAnsi" w:hAnsiTheme="minorHAnsi" w:cstheme="minorHAnsi"/>
          <w:color w:val="auto"/>
          <w14:ligatures w14:val="none"/>
        </w:rPr>
        <w:t xml:space="preserve"> &amp; </w:t>
      </w:r>
      <w:proofErr w:type="spellStart"/>
      <w:r w:rsidRPr="005F54F6">
        <w:rPr>
          <w:rFonts w:asciiTheme="minorHAnsi" w:hAnsiTheme="minorHAnsi" w:cstheme="minorHAnsi"/>
          <w:color w:val="auto"/>
          <w14:ligatures w14:val="none"/>
        </w:rPr>
        <w:t>Marwit</w:t>
      </w:r>
      <w:proofErr w:type="spellEnd"/>
      <w:r w:rsidRPr="005F54F6">
        <w:rPr>
          <w:rFonts w:asciiTheme="minorHAnsi" w:hAnsiTheme="minorHAnsi" w:cstheme="minorHAnsi"/>
          <w:color w:val="auto"/>
          <w14:ligatures w14:val="none"/>
        </w:rPr>
        <w:t xml:space="preserve"> 1997; Field et al., 2003; </w:t>
      </w:r>
      <w:proofErr w:type="spellStart"/>
      <w:r w:rsidRPr="005F54F6">
        <w:rPr>
          <w:rFonts w:asciiTheme="minorHAnsi" w:hAnsiTheme="minorHAnsi" w:cstheme="minorHAnsi"/>
          <w:color w:val="auto"/>
          <w14:ligatures w14:val="none"/>
        </w:rPr>
        <w:t>Hedtke</w:t>
      </w:r>
      <w:proofErr w:type="spellEnd"/>
      <w:r w:rsidRPr="005F54F6">
        <w:rPr>
          <w:rFonts w:asciiTheme="minorHAnsi" w:hAnsiTheme="minorHAnsi" w:cstheme="minorHAnsi"/>
          <w:color w:val="auto"/>
          <w14:ligatures w14:val="none"/>
        </w:rPr>
        <w:t xml:space="preserve"> &amp; </w:t>
      </w:r>
      <w:proofErr w:type="spellStart"/>
      <w:r w:rsidRPr="005F54F6">
        <w:rPr>
          <w:rFonts w:asciiTheme="minorHAnsi" w:hAnsiTheme="minorHAnsi" w:cstheme="minorHAnsi"/>
          <w:color w:val="auto"/>
          <w14:ligatures w14:val="none"/>
        </w:rPr>
        <w:t>Winslade</w:t>
      </w:r>
      <w:proofErr w:type="spellEnd"/>
      <w:r w:rsidRPr="005F54F6">
        <w:rPr>
          <w:rFonts w:asciiTheme="minorHAnsi" w:hAnsiTheme="minorHAnsi" w:cstheme="minorHAnsi"/>
          <w:color w:val="auto"/>
          <w14:ligatures w14:val="none"/>
        </w:rPr>
        <w:t>, 2004). Using the deceased as a source of inspiration and values to live by after their death seems to be associated with a reduction of negative impacts due to bereavement (</w:t>
      </w:r>
      <w:proofErr w:type="spellStart"/>
      <w:r w:rsidRPr="005F54F6">
        <w:rPr>
          <w:rFonts w:asciiTheme="minorHAnsi" w:hAnsiTheme="minorHAnsi" w:cstheme="minorHAnsi"/>
          <w:color w:val="auto"/>
          <w14:ligatures w14:val="none"/>
        </w:rPr>
        <w:t>Hedtke</w:t>
      </w:r>
      <w:proofErr w:type="spellEnd"/>
      <w:r w:rsidRPr="005F54F6">
        <w:rPr>
          <w:rFonts w:asciiTheme="minorHAnsi" w:hAnsiTheme="minorHAnsi" w:cstheme="minorHAnsi"/>
          <w:color w:val="auto"/>
          <w14:ligatures w14:val="none"/>
        </w:rPr>
        <w:t xml:space="preserve"> &amp; </w:t>
      </w:r>
      <w:proofErr w:type="spellStart"/>
      <w:r w:rsidRPr="005F54F6">
        <w:rPr>
          <w:rFonts w:asciiTheme="minorHAnsi" w:hAnsiTheme="minorHAnsi" w:cstheme="minorHAnsi"/>
          <w:color w:val="auto"/>
          <w14:ligatures w14:val="none"/>
        </w:rPr>
        <w:t>Winslade</w:t>
      </w:r>
      <w:proofErr w:type="spellEnd"/>
      <w:r w:rsidRPr="005F54F6">
        <w:rPr>
          <w:rFonts w:asciiTheme="minorHAnsi" w:hAnsiTheme="minorHAnsi" w:cstheme="minorHAnsi"/>
          <w:color w:val="auto"/>
          <w14:ligatures w14:val="none"/>
        </w:rPr>
        <w:t>, 2004). Reporting feeling the “presence” of a lost loved one as well as being able to have inner    conversations with the deceased person also seem to be associated with a reduced negative impact due to bereavement (</w:t>
      </w:r>
      <w:proofErr w:type="spellStart"/>
      <w:r w:rsidRPr="005F54F6">
        <w:rPr>
          <w:rFonts w:asciiTheme="minorHAnsi" w:hAnsiTheme="minorHAnsi" w:cstheme="minorHAnsi"/>
          <w:color w:val="auto"/>
          <w14:ligatures w14:val="none"/>
        </w:rPr>
        <w:t>Datson</w:t>
      </w:r>
      <w:proofErr w:type="spellEnd"/>
      <w:r w:rsidRPr="005F54F6">
        <w:rPr>
          <w:rFonts w:asciiTheme="minorHAnsi" w:hAnsiTheme="minorHAnsi" w:cstheme="minorHAnsi"/>
          <w:color w:val="auto"/>
          <w14:ligatures w14:val="none"/>
        </w:rPr>
        <w:t xml:space="preserve"> &amp; </w:t>
      </w:r>
      <w:proofErr w:type="spellStart"/>
      <w:r w:rsidRPr="005F54F6">
        <w:rPr>
          <w:rFonts w:asciiTheme="minorHAnsi" w:hAnsiTheme="minorHAnsi" w:cstheme="minorHAnsi"/>
          <w:color w:val="auto"/>
          <w14:ligatures w14:val="none"/>
        </w:rPr>
        <w:t>Marwit</w:t>
      </w:r>
      <w:proofErr w:type="spellEnd"/>
      <w:r w:rsidRPr="005F54F6">
        <w:rPr>
          <w:rFonts w:asciiTheme="minorHAnsi" w:hAnsiTheme="minorHAnsi" w:cstheme="minorHAnsi"/>
          <w:color w:val="auto"/>
          <w14:ligatures w14:val="none"/>
        </w:rPr>
        <w:t xml:space="preserve"> 1997; Field et al., 2003).</w:t>
      </w:r>
      <w:r w:rsidRPr="00E168D4">
        <w:rPr>
          <w:rFonts w:asciiTheme="minorHAnsi" w:hAnsiTheme="minorHAnsi" w:cstheme="minorHAnsi"/>
          <w:color w:val="auto"/>
          <w14:ligatures w14:val="none"/>
        </w:rPr>
        <w:t xml:space="preserve"> </w:t>
      </w:r>
    </w:p>
    <w:p w:rsidR="002C21C3" w:rsidRPr="00E168D4" w:rsidRDefault="002C21C3" w:rsidP="002C21C3">
      <w:pPr>
        <w:widowControl w:val="0"/>
        <w:rPr>
          <w:rFonts w:asciiTheme="minorHAnsi" w:hAnsiTheme="minorHAnsi" w:cstheme="minorHAnsi"/>
          <w:b/>
          <w:bCs/>
          <w:color w:val="auto"/>
          <w14:ligatures w14:val="none"/>
        </w:rPr>
      </w:pPr>
      <w:r w:rsidRPr="00E168D4">
        <w:rPr>
          <w:rFonts w:asciiTheme="minorHAnsi" w:hAnsiTheme="minorHAnsi" w:cstheme="minorHAnsi"/>
          <w:b/>
          <w:bCs/>
          <w:color w:val="auto"/>
          <w14:ligatures w14:val="none"/>
        </w:rPr>
        <w:t>Two-Track Theory</w:t>
      </w:r>
    </w:p>
    <w:p w:rsidR="006C6073" w:rsidRPr="00234EA6" w:rsidRDefault="002C21C3" w:rsidP="002C21C3">
      <w:pPr>
        <w:spacing w:after="160" w:line="256" w:lineRule="auto"/>
        <w:jc w:val="both"/>
        <w:rPr>
          <w:rFonts w:asciiTheme="minorHAnsi" w:hAnsiTheme="minorHAnsi" w:cstheme="minorHAnsi"/>
          <w:color w:val="auto"/>
          <w14:ligatures w14:val="none"/>
        </w:rPr>
      </w:pPr>
      <w:r w:rsidRPr="00E168D4">
        <w:rPr>
          <w:rFonts w:asciiTheme="minorHAnsi" w:hAnsiTheme="minorHAnsi" w:cstheme="minorHAnsi"/>
          <w:color w:val="auto"/>
          <w14:ligatures w14:val="none"/>
        </w:rPr>
        <w:t xml:space="preserve">Research also shows that some other behaviours do not seem to have the same positive effects on the outcomes of </w:t>
      </w:r>
      <w:r w:rsidRPr="005F54F6">
        <w:rPr>
          <w:rFonts w:asciiTheme="minorHAnsi" w:hAnsiTheme="minorHAnsi" w:cstheme="minorHAnsi"/>
          <w:color w:val="auto"/>
          <w14:ligatures w14:val="none"/>
        </w:rPr>
        <w:t>grief (</w:t>
      </w:r>
      <w:proofErr w:type="gramStart"/>
      <w:r w:rsidRPr="005F54F6">
        <w:rPr>
          <w:rFonts w:asciiTheme="minorHAnsi" w:hAnsiTheme="minorHAnsi" w:cstheme="minorHAnsi"/>
          <w:color w:val="auto"/>
          <w14:ligatures w14:val="none"/>
        </w:rPr>
        <w:t xml:space="preserve">Field,   </w:t>
      </w:r>
      <w:proofErr w:type="gramEnd"/>
      <w:r w:rsidRPr="005F54F6">
        <w:rPr>
          <w:rFonts w:asciiTheme="minorHAnsi" w:hAnsiTheme="minorHAnsi" w:cstheme="minorHAnsi"/>
          <w:color w:val="auto"/>
          <w14:ligatures w14:val="none"/>
        </w:rPr>
        <w:t xml:space="preserve">    Gal-Oz &amp; </w:t>
      </w:r>
      <w:proofErr w:type="spellStart"/>
      <w:r w:rsidRPr="005F54F6">
        <w:rPr>
          <w:rFonts w:asciiTheme="minorHAnsi" w:hAnsiTheme="minorHAnsi" w:cstheme="minorHAnsi"/>
          <w:color w:val="auto"/>
          <w14:ligatures w14:val="none"/>
        </w:rPr>
        <w:t>Bonnano</w:t>
      </w:r>
      <w:proofErr w:type="spellEnd"/>
      <w:r w:rsidRPr="005F54F6">
        <w:rPr>
          <w:rFonts w:asciiTheme="minorHAnsi" w:hAnsiTheme="minorHAnsi" w:cstheme="minorHAnsi"/>
          <w:color w:val="auto"/>
          <w14:ligatures w14:val="none"/>
        </w:rPr>
        <w:t xml:space="preserve">, 2003; Field, Gao &amp; </w:t>
      </w:r>
      <w:proofErr w:type="spellStart"/>
      <w:r w:rsidRPr="005F54F6">
        <w:rPr>
          <w:rFonts w:asciiTheme="minorHAnsi" w:hAnsiTheme="minorHAnsi" w:cstheme="minorHAnsi"/>
          <w:color w:val="auto"/>
          <w14:ligatures w14:val="none"/>
        </w:rPr>
        <w:t>Paderna</w:t>
      </w:r>
      <w:proofErr w:type="spellEnd"/>
      <w:r w:rsidRPr="005F54F6">
        <w:rPr>
          <w:rFonts w:asciiTheme="minorHAnsi" w:hAnsiTheme="minorHAnsi" w:cstheme="minorHAnsi"/>
          <w:color w:val="auto"/>
          <w14:ligatures w14:val="none"/>
        </w:rPr>
        <w:t xml:space="preserve"> 2005). Field et al (2003, 2005) show</w:t>
      </w:r>
      <w:r w:rsidRPr="00E168D4">
        <w:rPr>
          <w:rFonts w:asciiTheme="minorHAnsi" w:hAnsiTheme="minorHAnsi" w:cstheme="minorHAnsi"/>
          <w:color w:val="auto"/>
          <w14:ligatures w14:val="none"/>
        </w:rPr>
        <w:t xml:space="preserve"> that proximity seeking behaviours, such as, the presence of the possessions of the deceased needing to be present in order for the bereaved to feel close to their lost loved one as well as frequent visits to the graveyard where the deceased is buried are associated with more negative grief </w:t>
      </w:r>
      <w:r w:rsidRPr="005F54F6">
        <w:rPr>
          <w:rFonts w:asciiTheme="minorHAnsi" w:hAnsiTheme="minorHAnsi" w:cstheme="minorHAnsi"/>
          <w:color w:val="auto"/>
          <w14:ligatures w14:val="none"/>
        </w:rPr>
        <w:t>outcomes. Field et al (2003, 2005) also</w:t>
      </w:r>
      <w:r w:rsidRPr="00E168D4">
        <w:rPr>
          <w:rFonts w:asciiTheme="minorHAnsi" w:hAnsiTheme="minorHAnsi" w:cstheme="minorHAnsi"/>
          <w:color w:val="auto"/>
          <w14:ligatures w14:val="none"/>
        </w:rPr>
        <w:t xml:space="preserve"> stated that bonds that resulted in unwelcome </w:t>
      </w:r>
      <w:proofErr w:type="gramStart"/>
      <w:r w:rsidRPr="00E168D4">
        <w:rPr>
          <w:rFonts w:asciiTheme="minorHAnsi" w:hAnsiTheme="minorHAnsi" w:cstheme="minorHAnsi"/>
          <w:color w:val="auto"/>
          <w14:ligatures w14:val="none"/>
        </w:rPr>
        <w:t>sensory  hallucinations</w:t>
      </w:r>
      <w:proofErr w:type="gramEnd"/>
      <w:r w:rsidRPr="00E168D4">
        <w:rPr>
          <w:rFonts w:asciiTheme="minorHAnsi" w:hAnsiTheme="minorHAnsi" w:cstheme="minorHAnsi"/>
          <w:color w:val="auto"/>
          <w14:ligatures w14:val="none"/>
        </w:rPr>
        <w:t xml:space="preserve"> of the lost loved one’s presence as well as                preoccupation where associated with negative grief outcomes. It seems therefore that there is a deciding factor on whether a           behaviour maintaining the relationship between the bereaved and the deceased in beneficial </w:t>
      </w:r>
      <w:r w:rsidRPr="00234EA6">
        <w:rPr>
          <w:rFonts w:asciiTheme="minorHAnsi" w:hAnsiTheme="minorHAnsi" w:cstheme="minorHAnsi"/>
          <w:color w:val="auto"/>
          <w14:ligatures w14:val="none"/>
        </w:rPr>
        <w:t>to mourners, this factor may be how the loss interacts with the bereaved persons sense of self-narrative (</w:t>
      </w:r>
      <w:proofErr w:type="spellStart"/>
      <w:r w:rsidRPr="00234EA6">
        <w:rPr>
          <w:rFonts w:asciiTheme="minorHAnsi" w:hAnsiTheme="minorHAnsi" w:cstheme="minorHAnsi"/>
          <w:color w:val="auto"/>
          <w14:ligatures w14:val="none"/>
        </w:rPr>
        <w:t>Neimeyer</w:t>
      </w:r>
      <w:proofErr w:type="spellEnd"/>
      <w:r w:rsidRPr="00234EA6">
        <w:rPr>
          <w:rFonts w:asciiTheme="minorHAnsi" w:hAnsiTheme="minorHAnsi" w:cstheme="minorHAnsi"/>
          <w:color w:val="auto"/>
          <w14:ligatures w14:val="none"/>
        </w:rPr>
        <w:t>, Baldwin &amp; Gillies 2006).</w:t>
      </w:r>
    </w:p>
    <w:p w:rsidR="00E168D4" w:rsidRPr="00234EA6" w:rsidRDefault="00E168D4" w:rsidP="002C21C3">
      <w:pPr>
        <w:spacing w:after="160" w:line="256" w:lineRule="auto"/>
        <w:jc w:val="both"/>
        <w:rPr>
          <w:rFonts w:asciiTheme="minorHAnsi" w:hAnsiTheme="minorHAnsi" w:cstheme="minorHAnsi"/>
          <w:color w:val="auto"/>
          <w14:ligatures w14:val="none"/>
        </w:rPr>
      </w:pPr>
    </w:p>
    <w:p w:rsidR="00E168D4" w:rsidRPr="00234EA6" w:rsidRDefault="00E168D4" w:rsidP="00E168D4">
      <w:pPr>
        <w:widowControl w:val="0"/>
        <w:rPr>
          <w:b/>
          <w:bCs/>
          <w:color w:val="auto"/>
          <w14:ligatures w14:val="none"/>
        </w:rPr>
      </w:pPr>
      <w:r w:rsidRPr="00234EA6">
        <w:rPr>
          <w:b/>
          <w:bCs/>
          <w:color w:val="auto"/>
          <w14:ligatures w14:val="none"/>
        </w:rPr>
        <w:t>Narrative Theory</w:t>
      </w:r>
    </w:p>
    <w:p w:rsidR="00E168D4" w:rsidRPr="00E168D4" w:rsidRDefault="00E168D4" w:rsidP="002C21C3">
      <w:pPr>
        <w:spacing w:after="160" w:line="256" w:lineRule="auto"/>
        <w:jc w:val="both"/>
        <w:rPr>
          <w:color w:val="auto"/>
          <w14:ligatures w14:val="none"/>
        </w:rPr>
      </w:pPr>
      <w:proofErr w:type="spellStart"/>
      <w:r w:rsidRPr="00234EA6">
        <w:rPr>
          <w:color w:val="auto"/>
          <w14:ligatures w14:val="none"/>
        </w:rPr>
        <w:t>Neimeyer</w:t>
      </w:r>
      <w:proofErr w:type="spellEnd"/>
      <w:r w:rsidRPr="00234EA6">
        <w:rPr>
          <w:color w:val="auto"/>
          <w14:ligatures w14:val="none"/>
        </w:rPr>
        <w:t xml:space="preserve"> (2001) defines the narrative approach to grief              management as an attempt to reconstruct or reaffirm the </w:t>
      </w:r>
      <w:r w:rsidRPr="00C52CAB">
        <w:rPr>
          <w:color w:val="auto"/>
          <w14:ligatures w14:val="none"/>
        </w:rPr>
        <w:t xml:space="preserve">bereaved world of meaning which has been challenged by the loss. </w:t>
      </w:r>
      <w:proofErr w:type="spellStart"/>
      <w:r w:rsidRPr="00C52CAB">
        <w:rPr>
          <w:color w:val="auto"/>
          <w14:ligatures w14:val="none"/>
        </w:rPr>
        <w:t>Neimeyer</w:t>
      </w:r>
      <w:proofErr w:type="spellEnd"/>
      <w:r w:rsidRPr="00C52CAB">
        <w:rPr>
          <w:color w:val="auto"/>
          <w14:ligatures w14:val="none"/>
        </w:rPr>
        <w:t xml:space="preserve"> &amp; Holland (2015) state that the self-narrative of the bereaved is   frequently undermined by the loss of a loved one. The                    self-narrative, as described by </w:t>
      </w:r>
      <w:proofErr w:type="spellStart"/>
      <w:r w:rsidRPr="00C52CAB">
        <w:rPr>
          <w:color w:val="auto"/>
          <w14:ligatures w14:val="none"/>
        </w:rPr>
        <w:t>Neimeyer</w:t>
      </w:r>
      <w:proofErr w:type="spellEnd"/>
      <w:r w:rsidRPr="00C52CAB">
        <w:rPr>
          <w:color w:val="auto"/>
          <w14:ligatures w14:val="none"/>
        </w:rPr>
        <w:t xml:space="preserve"> (2004), is the                   cognitive-affective-behavioural structure which organises our daily “micro-narratives” into a “macro-narrative” that spans our entire lifetime. The “macro-narrative” guides our actions on our social stage, establishes our goals as well as our characteristic range of emotions and grants us our evolving sense of identity. </w:t>
      </w:r>
      <w:proofErr w:type="spellStart"/>
      <w:r w:rsidRPr="00C52CAB">
        <w:rPr>
          <w:color w:val="auto"/>
          <w14:ligatures w14:val="none"/>
        </w:rPr>
        <w:t>Janoff</w:t>
      </w:r>
      <w:proofErr w:type="spellEnd"/>
      <w:r w:rsidRPr="00C52CAB">
        <w:rPr>
          <w:color w:val="auto"/>
          <w14:ligatures w14:val="none"/>
        </w:rPr>
        <w:t>-Bulman &amp; Berger (200</w:t>
      </w:r>
      <w:r w:rsidR="00234EA6" w:rsidRPr="00C52CAB">
        <w:rPr>
          <w:color w:val="auto"/>
          <w14:ligatures w14:val="none"/>
        </w:rPr>
        <w:t>4</w:t>
      </w:r>
      <w:r w:rsidRPr="00C52CAB">
        <w:rPr>
          <w:color w:val="auto"/>
          <w14:ligatures w14:val="none"/>
        </w:rPr>
        <w:t xml:space="preserve">) detail how the death of a loved one could compromise core assumptions that act as a foundation to a          bereaved person’s sense of </w:t>
      </w:r>
      <w:r w:rsidRPr="00C52CAB">
        <w:rPr>
          <w:color w:val="auto"/>
          <w14:ligatures w14:val="none"/>
        </w:rPr>
        <w:lastRenderedPageBreak/>
        <w:t>self as well as assumptions that form the core of their world view. The death of a loved one, in this    model, is not something that is recovered from but something that becomes a part of the bereaved person’s self-narrative, and   changing it, whether those changes be minor or major (</w:t>
      </w:r>
      <w:proofErr w:type="spellStart"/>
      <w:r w:rsidRPr="00C52CAB">
        <w:rPr>
          <w:color w:val="auto"/>
          <w14:ligatures w14:val="none"/>
        </w:rPr>
        <w:t>Neimeyer</w:t>
      </w:r>
      <w:proofErr w:type="spellEnd"/>
      <w:r w:rsidRPr="00C52CAB">
        <w:rPr>
          <w:color w:val="auto"/>
          <w14:ligatures w14:val="none"/>
        </w:rPr>
        <w:t xml:space="preserve"> &amp; Holland 2015).</w:t>
      </w:r>
    </w:p>
    <w:p w:rsidR="00E168D4" w:rsidRPr="00E168D4" w:rsidRDefault="00E168D4" w:rsidP="00E168D4">
      <w:pPr>
        <w:widowControl w:val="0"/>
        <w:rPr>
          <w:b/>
          <w:bCs/>
          <w:color w:val="auto"/>
          <w14:ligatures w14:val="none"/>
        </w:rPr>
      </w:pPr>
      <w:r w:rsidRPr="00E168D4">
        <w:rPr>
          <w:b/>
          <w:bCs/>
          <w:color w:val="auto"/>
          <w14:ligatures w14:val="none"/>
        </w:rPr>
        <w:t>Narrative Theory</w:t>
      </w:r>
    </w:p>
    <w:p w:rsidR="00E168D4" w:rsidRPr="00AD6AD6" w:rsidRDefault="00E168D4" w:rsidP="00E168D4">
      <w:pPr>
        <w:spacing w:after="160" w:line="256" w:lineRule="auto"/>
        <w:jc w:val="both"/>
        <w:rPr>
          <w:color w:val="auto"/>
          <w14:ligatures w14:val="none"/>
        </w:rPr>
      </w:pPr>
      <w:r w:rsidRPr="00AD6AD6">
        <w:rPr>
          <w:color w:val="auto"/>
          <w14:ligatures w14:val="none"/>
        </w:rPr>
        <w:t xml:space="preserve">Evidence to support the narrative theory can be found in Coleman &amp; </w:t>
      </w:r>
      <w:proofErr w:type="spellStart"/>
      <w:r w:rsidRPr="00AD6AD6">
        <w:rPr>
          <w:color w:val="auto"/>
          <w14:ligatures w14:val="none"/>
        </w:rPr>
        <w:t>Neimeyer’s</w:t>
      </w:r>
      <w:proofErr w:type="spellEnd"/>
      <w:r w:rsidRPr="00AD6AD6">
        <w:rPr>
          <w:color w:val="auto"/>
          <w14:ligatures w14:val="none"/>
        </w:rPr>
        <w:t xml:space="preserve"> (2010) research. They found that older widows who didn’t find meaning early in the bereavement process showed greater     symptoms of depression as well as symptoms of grief in the first few years after the loss. Coleman &amp; </w:t>
      </w:r>
      <w:proofErr w:type="spellStart"/>
      <w:r w:rsidRPr="00AD6AD6">
        <w:rPr>
          <w:color w:val="auto"/>
          <w14:ligatures w14:val="none"/>
        </w:rPr>
        <w:t>Neimeyer</w:t>
      </w:r>
      <w:proofErr w:type="spellEnd"/>
      <w:r w:rsidRPr="00AD6AD6">
        <w:rPr>
          <w:color w:val="auto"/>
          <w14:ligatures w14:val="none"/>
        </w:rPr>
        <w:t xml:space="preserve"> also found that those       widows </w:t>
      </w:r>
      <w:r w:rsidR="0047201B" w:rsidRPr="00AD6AD6">
        <w:rPr>
          <w:color w:val="auto"/>
          <w14:ligatures w14:val="none"/>
        </w:rPr>
        <w:t>who were</w:t>
      </w:r>
      <w:r w:rsidRPr="00AD6AD6">
        <w:rPr>
          <w:color w:val="auto"/>
          <w14:ligatures w14:val="none"/>
        </w:rPr>
        <w:t xml:space="preserve"> able to traverse the unwelcome transition by     finding meaning in the loss reported higher levels of joy, pride as well as wellbeing 48 months later.</w:t>
      </w:r>
    </w:p>
    <w:p w:rsidR="00E168D4" w:rsidRPr="00AD6AD6" w:rsidRDefault="00E168D4" w:rsidP="00E168D4">
      <w:pPr>
        <w:widowControl w:val="0"/>
        <w:rPr>
          <w:color w:val="auto"/>
          <w14:ligatures w14:val="none"/>
        </w:rPr>
      </w:pPr>
      <w:r w:rsidRPr="00AD6AD6">
        <w:rPr>
          <w:color w:val="auto"/>
          <w14:ligatures w14:val="none"/>
        </w:rPr>
        <w:t> </w:t>
      </w:r>
    </w:p>
    <w:p w:rsidR="00E168D4" w:rsidRPr="00AD6AD6" w:rsidRDefault="00E168D4" w:rsidP="00E168D4">
      <w:pPr>
        <w:widowControl w:val="0"/>
        <w:rPr>
          <w:b/>
          <w:bCs/>
          <w:color w:val="auto"/>
          <w14:ligatures w14:val="none"/>
        </w:rPr>
      </w:pPr>
      <w:r w:rsidRPr="00AD6AD6">
        <w:rPr>
          <w:b/>
          <w:bCs/>
          <w:color w:val="auto"/>
          <w14:ligatures w14:val="none"/>
        </w:rPr>
        <w:t>Reworking Continuing Bond</w:t>
      </w:r>
    </w:p>
    <w:p w:rsidR="00E168D4" w:rsidRPr="00AD6AD6" w:rsidRDefault="00E168D4" w:rsidP="00E168D4">
      <w:pPr>
        <w:spacing w:after="160" w:line="256" w:lineRule="auto"/>
        <w:rPr>
          <w:color w:val="auto"/>
          <w14:ligatures w14:val="none"/>
        </w:rPr>
      </w:pPr>
      <w:r w:rsidRPr="00AD6AD6">
        <w:rPr>
          <w:color w:val="auto"/>
          <w14:ligatures w14:val="none"/>
        </w:rPr>
        <w:t>Using the meaning reconstruction model (</w:t>
      </w:r>
      <w:proofErr w:type="spellStart"/>
      <w:r w:rsidRPr="00AD6AD6">
        <w:rPr>
          <w:color w:val="auto"/>
          <w14:ligatures w14:val="none"/>
        </w:rPr>
        <w:t>Neimeyer</w:t>
      </w:r>
      <w:proofErr w:type="spellEnd"/>
      <w:r w:rsidRPr="00AD6AD6">
        <w:rPr>
          <w:color w:val="auto"/>
          <w14:ligatures w14:val="none"/>
        </w:rPr>
        <w:t xml:space="preserve"> 2011) and the two-track theory (Rubin et al 2011) a number of intervention        techniques have been developed in order to rework the bond          between the bereaved and the deceased rather than trying to end the bond. </w:t>
      </w:r>
      <w:proofErr w:type="spellStart"/>
      <w:r w:rsidRPr="00AD6AD6">
        <w:rPr>
          <w:color w:val="auto"/>
          <w14:ligatures w14:val="none"/>
        </w:rPr>
        <w:t>Gamino</w:t>
      </w:r>
      <w:proofErr w:type="spellEnd"/>
      <w:r w:rsidRPr="00AD6AD6">
        <w:rPr>
          <w:color w:val="auto"/>
          <w14:ligatures w14:val="none"/>
        </w:rPr>
        <w:t xml:space="preserve"> (2012) suggests the use of a family photo album in    facilitated review as a method of accessing positive memories of the life with the loved one and consolidating them as a form of reflective procedure. </w:t>
      </w:r>
      <w:proofErr w:type="spellStart"/>
      <w:r w:rsidRPr="00AD6AD6">
        <w:rPr>
          <w:color w:val="auto"/>
          <w14:ligatures w14:val="none"/>
        </w:rPr>
        <w:t>Hedtke</w:t>
      </w:r>
      <w:proofErr w:type="spellEnd"/>
      <w:r w:rsidRPr="00AD6AD6">
        <w:rPr>
          <w:color w:val="auto"/>
          <w14:ligatures w14:val="none"/>
        </w:rPr>
        <w:t xml:space="preserve"> (2012) suggests encouraging patients to tell the stories of their loved one to receptive people as a method of allowing the relationship to develop a resistance to social banishment and    taboo. Shear et al (2005) states that the inclusion of these methods in grief therapy protocols are demonstrably effective and that they may be particularly</w:t>
      </w:r>
      <w:r w:rsidRPr="00E168D4">
        <w:rPr>
          <w:color w:val="auto"/>
          <w14:ligatures w14:val="none"/>
        </w:rPr>
        <w:t xml:space="preserve"> effective when used with </w:t>
      </w:r>
      <w:r w:rsidRPr="00AD6AD6">
        <w:rPr>
          <w:color w:val="auto"/>
          <w14:ligatures w14:val="none"/>
        </w:rPr>
        <w:t xml:space="preserve">older adults, as maintaining their relationship to loved ones lost is particularly relevant to them. </w:t>
      </w:r>
    </w:p>
    <w:p w:rsidR="00E168D4" w:rsidRPr="00E168D4" w:rsidRDefault="00E168D4" w:rsidP="00E168D4">
      <w:pPr>
        <w:spacing w:after="160" w:line="256" w:lineRule="auto"/>
        <w:rPr>
          <w:color w:val="auto"/>
          <w14:ligatures w14:val="none"/>
        </w:rPr>
      </w:pPr>
      <w:proofErr w:type="spellStart"/>
      <w:r w:rsidRPr="00AD6AD6">
        <w:rPr>
          <w:color w:val="auto"/>
          <w14:ligatures w14:val="none"/>
        </w:rPr>
        <w:t>Neimeyer</w:t>
      </w:r>
      <w:proofErr w:type="spellEnd"/>
      <w:r w:rsidRPr="00AD6AD6">
        <w:rPr>
          <w:color w:val="auto"/>
          <w14:ligatures w14:val="none"/>
        </w:rPr>
        <w:t xml:space="preserve"> et al (2006) examined how continuing bonds impacted on complications in bereavement and seemed to show that simply maintaining the bond to the deceased was not enough. </w:t>
      </w:r>
      <w:proofErr w:type="spellStart"/>
      <w:r w:rsidRPr="00AD6AD6">
        <w:rPr>
          <w:color w:val="auto"/>
          <w14:ligatures w14:val="none"/>
        </w:rPr>
        <w:t>Neimeyer</w:t>
      </w:r>
      <w:proofErr w:type="spellEnd"/>
      <w:r w:rsidRPr="00AD6AD6">
        <w:rPr>
          <w:color w:val="auto"/>
          <w14:ligatures w14:val="none"/>
        </w:rPr>
        <w:t xml:space="preserve"> et </w:t>
      </w:r>
      <w:proofErr w:type="spellStart"/>
      <w:r w:rsidRPr="00AD6AD6">
        <w:rPr>
          <w:color w:val="auto"/>
          <w14:ligatures w14:val="none"/>
        </w:rPr>
        <w:t>al’s</w:t>
      </w:r>
      <w:proofErr w:type="spellEnd"/>
      <w:r w:rsidRPr="00AD6AD6">
        <w:rPr>
          <w:color w:val="auto"/>
          <w14:ligatures w14:val="none"/>
        </w:rPr>
        <w:t xml:space="preserve"> findings suggested that those with strong continuing bonds with the deceased can be predicted to have higher levels of separation distress as well as traumatic distress but only if the bereaved could not make sense of the death. </w:t>
      </w:r>
      <w:proofErr w:type="spellStart"/>
      <w:r w:rsidRPr="00AD6AD6">
        <w:rPr>
          <w:color w:val="auto"/>
          <w14:ligatures w14:val="none"/>
        </w:rPr>
        <w:t>Neimeyer</w:t>
      </w:r>
      <w:proofErr w:type="spellEnd"/>
      <w:r w:rsidRPr="00AD6AD6">
        <w:rPr>
          <w:color w:val="auto"/>
          <w14:ligatures w14:val="none"/>
        </w:rPr>
        <w:t xml:space="preserve"> et </w:t>
      </w:r>
      <w:proofErr w:type="spellStart"/>
      <w:r w:rsidRPr="00AD6AD6">
        <w:rPr>
          <w:color w:val="auto"/>
          <w14:ligatures w14:val="none"/>
        </w:rPr>
        <w:t>al</w:t>
      </w:r>
      <w:r w:rsidR="007B79C9" w:rsidRPr="00AD6AD6">
        <w:rPr>
          <w:color w:val="auto"/>
          <w14:ligatures w14:val="none"/>
        </w:rPr>
        <w:t>’s</w:t>
      </w:r>
      <w:proofErr w:type="spellEnd"/>
      <w:r w:rsidRPr="00AD6AD6">
        <w:rPr>
          <w:color w:val="auto"/>
          <w14:ligatures w14:val="none"/>
        </w:rPr>
        <w:t xml:space="preserve"> (2006) research seems to state that in order for a continuing bond to be beneficial to the bereaved then the bereaved must</w:t>
      </w:r>
      <w:r w:rsidRPr="00E168D4">
        <w:rPr>
          <w:color w:val="auto"/>
          <w14:ligatures w14:val="none"/>
        </w:rPr>
        <w:t xml:space="preserve"> make sense of the death and find meaning in it.</w:t>
      </w:r>
    </w:p>
    <w:p w:rsidR="00E168D4" w:rsidRPr="00E168D4" w:rsidRDefault="00E168D4" w:rsidP="00E168D4">
      <w:pPr>
        <w:widowControl w:val="0"/>
        <w:rPr>
          <w:color w:val="auto"/>
          <w14:ligatures w14:val="none"/>
        </w:rPr>
      </w:pPr>
    </w:p>
    <w:p w:rsidR="00E168D4" w:rsidRPr="00B92031" w:rsidRDefault="00E168D4" w:rsidP="00E168D4">
      <w:pPr>
        <w:widowControl w:val="0"/>
        <w:rPr>
          <w:b/>
          <w:bCs/>
          <w:color w:val="auto"/>
          <w14:ligatures w14:val="none"/>
        </w:rPr>
      </w:pPr>
      <w:r w:rsidRPr="00B92031">
        <w:rPr>
          <w:b/>
          <w:bCs/>
          <w:color w:val="auto"/>
          <w14:ligatures w14:val="none"/>
        </w:rPr>
        <w:t>Reconstructing Meaning</w:t>
      </w:r>
    </w:p>
    <w:p w:rsidR="00E168D4" w:rsidRPr="00B92031" w:rsidRDefault="00E168D4" w:rsidP="00E168D4">
      <w:pPr>
        <w:spacing w:after="160" w:line="256" w:lineRule="auto"/>
        <w:jc w:val="both"/>
        <w:rPr>
          <w:color w:val="auto"/>
          <w14:ligatures w14:val="none"/>
        </w:rPr>
      </w:pPr>
      <w:proofErr w:type="spellStart"/>
      <w:r w:rsidRPr="00B92031">
        <w:rPr>
          <w:color w:val="auto"/>
          <w14:ligatures w14:val="none"/>
        </w:rPr>
        <w:t>Neimeyer</w:t>
      </w:r>
      <w:proofErr w:type="spellEnd"/>
      <w:r w:rsidRPr="00B92031">
        <w:rPr>
          <w:color w:val="auto"/>
          <w14:ligatures w14:val="none"/>
        </w:rPr>
        <w:t>, Burke, Mackay &amp; Stringer (2010) describe this intervention as the process of encouraging a bereaved person to try to find   meaning in both the loss itself as well as how they live their lives from the point of loss onward. It has its basis in the narrative theory and has many   potential forms of application, for example analogical listening (</w:t>
      </w:r>
      <w:proofErr w:type="spellStart"/>
      <w:r w:rsidRPr="00B92031">
        <w:rPr>
          <w:color w:val="auto"/>
          <w14:ligatures w14:val="none"/>
        </w:rPr>
        <w:t>Neimeyer</w:t>
      </w:r>
      <w:proofErr w:type="spellEnd"/>
      <w:r w:rsidRPr="00B92031">
        <w:rPr>
          <w:color w:val="auto"/>
          <w14:ligatures w14:val="none"/>
        </w:rPr>
        <w:t xml:space="preserve"> 2012a) or virtual dream stories (</w:t>
      </w:r>
      <w:proofErr w:type="spellStart"/>
      <w:r w:rsidRPr="00B92031">
        <w:rPr>
          <w:color w:val="auto"/>
          <w14:ligatures w14:val="none"/>
        </w:rPr>
        <w:t>Neimeyer</w:t>
      </w:r>
      <w:proofErr w:type="spellEnd"/>
      <w:r w:rsidRPr="00B92031">
        <w:rPr>
          <w:color w:val="auto"/>
          <w14:ligatures w14:val="none"/>
        </w:rPr>
        <w:t xml:space="preserve">, Torres &amp; Smith 2011). </w:t>
      </w:r>
      <w:proofErr w:type="spellStart"/>
      <w:r w:rsidRPr="00B92031">
        <w:rPr>
          <w:color w:val="auto"/>
          <w14:ligatures w14:val="none"/>
        </w:rPr>
        <w:t>Lichtenthal</w:t>
      </w:r>
      <w:proofErr w:type="spellEnd"/>
      <w:r w:rsidRPr="00B92031">
        <w:rPr>
          <w:color w:val="auto"/>
          <w14:ligatures w14:val="none"/>
        </w:rPr>
        <w:t xml:space="preserve"> &amp; </w:t>
      </w:r>
      <w:proofErr w:type="spellStart"/>
      <w:r w:rsidRPr="00B92031">
        <w:rPr>
          <w:color w:val="auto"/>
          <w14:ligatures w14:val="none"/>
        </w:rPr>
        <w:t>Neimeyer</w:t>
      </w:r>
      <w:proofErr w:type="spellEnd"/>
      <w:r w:rsidRPr="00B92031">
        <w:rPr>
          <w:color w:val="auto"/>
          <w14:ligatures w14:val="none"/>
        </w:rPr>
        <w:t xml:space="preserve"> (2012) described what might be the most direct application of the meaning reconstruction model in journaling protocols. </w:t>
      </w:r>
    </w:p>
    <w:p w:rsidR="00E168D4" w:rsidRPr="00B92031" w:rsidRDefault="00E168D4" w:rsidP="00E168D4">
      <w:pPr>
        <w:widowControl w:val="0"/>
        <w:rPr>
          <w:b/>
          <w:bCs/>
          <w:color w:val="auto"/>
          <w14:ligatures w14:val="none"/>
        </w:rPr>
      </w:pPr>
      <w:r w:rsidRPr="00B92031">
        <w:rPr>
          <w:b/>
          <w:bCs/>
          <w:color w:val="auto"/>
          <w14:ligatures w14:val="none"/>
        </w:rPr>
        <w:t>Reconstructing Meaning</w:t>
      </w:r>
    </w:p>
    <w:p w:rsidR="00E168D4" w:rsidRPr="00B92031" w:rsidRDefault="00E168D4" w:rsidP="00E168D4">
      <w:pPr>
        <w:spacing w:after="160" w:line="256" w:lineRule="auto"/>
        <w:jc w:val="both"/>
        <w:rPr>
          <w:color w:val="auto"/>
          <w14:ligatures w14:val="none"/>
        </w:rPr>
      </w:pPr>
      <w:proofErr w:type="spellStart"/>
      <w:r w:rsidRPr="00B92031">
        <w:rPr>
          <w:color w:val="auto"/>
          <w14:ligatures w14:val="none"/>
        </w:rPr>
        <w:t>Lichtenthal</w:t>
      </w:r>
      <w:proofErr w:type="spellEnd"/>
      <w:r w:rsidRPr="00B92031">
        <w:rPr>
          <w:color w:val="auto"/>
          <w14:ligatures w14:val="none"/>
        </w:rPr>
        <w:t xml:space="preserve"> &amp; </w:t>
      </w:r>
      <w:proofErr w:type="spellStart"/>
      <w:r w:rsidRPr="00B92031">
        <w:rPr>
          <w:color w:val="auto"/>
          <w14:ligatures w14:val="none"/>
        </w:rPr>
        <w:t>Cruess</w:t>
      </w:r>
      <w:proofErr w:type="spellEnd"/>
      <w:r w:rsidRPr="00B92031">
        <w:rPr>
          <w:color w:val="auto"/>
          <w14:ligatures w14:val="none"/>
        </w:rPr>
        <w:t xml:space="preserve">, (2010) reported that participant directed to complete a writing task showed an intervention effect on     posttraumatic stress, depressive and prolonged grief symptoms up to three months after completion. They also reported that over time the physical health of their participants had improved in </w:t>
      </w:r>
      <w:proofErr w:type="gramStart"/>
      <w:r w:rsidRPr="00B92031">
        <w:rPr>
          <w:color w:val="auto"/>
          <w14:ligatures w14:val="none"/>
        </w:rPr>
        <w:t>every  treatment</w:t>
      </w:r>
      <w:proofErr w:type="gramEnd"/>
      <w:r w:rsidRPr="00B92031">
        <w:rPr>
          <w:color w:val="auto"/>
          <w14:ligatures w14:val="none"/>
        </w:rPr>
        <w:t xml:space="preserve"> group. Though </w:t>
      </w:r>
      <w:proofErr w:type="spellStart"/>
      <w:r w:rsidRPr="00B92031">
        <w:rPr>
          <w:color w:val="auto"/>
          <w14:ligatures w14:val="none"/>
        </w:rPr>
        <w:t>Lichtenthal</w:t>
      </w:r>
      <w:proofErr w:type="spellEnd"/>
      <w:r w:rsidRPr="00B92031">
        <w:rPr>
          <w:color w:val="auto"/>
          <w14:ligatures w14:val="none"/>
        </w:rPr>
        <w:t xml:space="preserve"> &amp; </w:t>
      </w:r>
      <w:proofErr w:type="spellStart"/>
      <w:r w:rsidRPr="00B92031">
        <w:rPr>
          <w:color w:val="auto"/>
          <w14:ligatures w14:val="none"/>
        </w:rPr>
        <w:t>Cruess</w:t>
      </w:r>
      <w:proofErr w:type="spellEnd"/>
      <w:r w:rsidRPr="00B92031">
        <w:rPr>
          <w:color w:val="auto"/>
          <w14:ligatures w14:val="none"/>
        </w:rPr>
        <w:t xml:space="preserve"> had many               encouraging results their study was not without limitations. Their participants where primarily healthy bereaved undergraduates who did not report much distress or symptoms of prolonged grief        disorder, this raises questions regarding the intervention’s ability to effectively deal with patients who do report high levels of distress or symptoms of prolonged grief disorder. To their credit they also      reported that the participants perceived directed meaning-making interventions as more effective than non-directed writing and that using journaling protocols may be particularly effective at allowing the bereaved to find meaning in their loss. This also means that    because journaling is seen in a positive light it may be particularly effective for particularly vulnerable people.</w:t>
      </w:r>
    </w:p>
    <w:p w:rsidR="00E168D4" w:rsidRPr="00B92031" w:rsidRDefault="00E168D4" w:rsidP="00E168D4">
      <w:pPr>
        <w:spacing w:after="160" w:line="256" w:lineRule="auto"/>
        <w:jc w:val="both"/>
        <w:rPr>
          <w:color w:val="auto"/>
          <w14:ligatures w14:val="none"/>
        </w:rPr>
      </w:pPr>
    </w:p>
    <w:p w:rsidR="00E168D4" w:rsidRPr="00B92031" w:rsidRDefault="00E168D4" w:rsidP="00E168D4">
      <w:pPr>
        <w:widowControl w:val="0"/>
        <w:rPr>
          <w:b/>
          <w:bCs/>
          <w:color w:val="auto"/>
          <w14:ligatures w14:val="none"/>
        </w:rPr>
      </w:pPr>
      <w:r w:rsidRPr="00B92031">
        <w:rPr>
          <w:b/>
          <w:bCs/>
          <w:color w:val="auto"/>
          <w14:ligatures w14:val="none"/>
        </w:rPr>
        <w:t>Conclusion</w:t>
      </w:r>
    </w:p>
    <w:p w:rsidR="00E168D4" w:rsidRPr="001C28B8" w:rsidRDefault="00E168D4" w:rsidP="00E168D4">
      <w:pPr>
        <w:widowControl w:val="0"/>
        <w:spacing w:after="160" w:line="256" w:lineRule="auto"/>
        <w:jc w:val="both"/>
        <w:rPr>
          <w:rFonts w:asciiTheme="minorHAnsi" w:hAnsiTheme="minorHAnsi" w:cstheme="minorHAnsi"/>
          <w:color w:val="auto"/>
          <w14:ligatures w14:val="none"/>
        </w:rPr>
      </w:pPr>
      <w:r w:rsidRPr="00B92031">
        <w:rPr>
          <w:color w:val="auto"/>
          <w14:ligatures w14:val="none"/>
        </w:rPr>
        <w:t xml:space="preserve">In conclusion, the stage </w:t>
      </w:r>
      <w:r w:rsidRPr="00B92031">
        <w:rPr>
          <w:rFonts w:asciiTheme="minorHAnsi" w:hAnsiTheme="minorHAnsi" w:cstheme="minorHAnsi"/>
          <w:color w:val="auto"/>
          <w14:ligatures w14:val="none"/>
        </w:rPr>
        <w:t xml:space="preserve">model and the grief work model do not seem to be the most effective ways to combat the negative         aspects of grief. More contemporary theories such as the           two-track model recommend maintaining the bond between the bereaved and the deceased. This however does not seem to     consistently improve the circumstances of the bereaved and may in some cases negatively impact the mourner (Field, Gal-Oz </w:t>
      </w:r>
      <w:proofErr w:type="gramStart"/>
      <w:r w:rsidRPr="00B92031">
        <w:rPr>
          <w:rFonts w:asciiTheme="minorHAnsi" w:hAnsiTheme="minorHAnsi" w:cstheme="minorHAnsi"/>
          <w:color w:val="auto"/>
          <w14:ligatures w14:val="none"/>
        </w:rPr>
        <w:t xml:space="preserve">&amp;  </w:t>
      </w:r>
      <w:proofErr w:type="spellStart"/>
      <w:r w:rsidRPr="00B92031">
        <w:rPr>
          <w:rFonts w:asciiTheme="minorHAnsi" w:hAnsiTheme="minorHAnsi" w:cstheme="minorHAnsi"/>
          <w:color w:val="auto"/>
          <w14:ligatures w14:val="none"/>
        </w:rPr>
        <w:t>Bonnano</w:t>
      </w:r>
      <w:proofErr w:type="spellEnd"/>
      <w:proofErr w:type="gramEnd"/>
      <w:r w:rsidRPr="00B92031">
        <w:rPr>
          <w:rFonts w:asciiTheme="minorHAnsi" w:hAnsiTheme="minorHAnsi" w:cstheme="minorHAnsi"/>
          <w:color w:val="auto"/>
          <w14:ligatures w14:val="none"/>
        </w:rPr>
        <w:t xml:space="preserve">, 2003; Field, Gao &amp; </w:t>
      </w:r>
      <w:proofErr w:type="spellStart"/>
      <w:r w:rsidRPr="00B92031">
        <w:rPr>
          <w:rFonts w:asciiTheme="minorHAnsi" w:hAnsiTheme="minorHAnsi" w:cstheme="minorHAnsi"/>
          <w:color w:val="auto"/>
          <w14:ligatures w14:val="none"/>
        </w:rPr>
        <w:t>Paderna</w:t>
      </w:r>
      <w:proofErr w:type="spellEnd"/>
      <w:r w:rsidRPr="00B92031">
        <w:rPr>
          <w:rFonts w:asciiTheme="minorHAnsi" w:hAnsiTheme="minorHAnsi" w:cstheme="minorHAnsi"/>
          <w:color w:val="auto"/>
          <w14:ligatures w14:val="none"/>
        </w:rPr>
        <w:t xml:space="preserve"> 2005). According to the     research of </w:t>
      </w:r>
      <w:proofErr w:type="spellStart"/>
      <w:r w:rsidRPr="00B92031">
        <w:rPr>
          <w:rFonts w:asciiTheme="minorHAnsi" w:hAnsiTheme="minorHAnsi" w:cstheme="minorHAnsi"/>
          <w:color w:val="auto"/>
          <w14:ligatures w14:val="none"/>
        </w:rPr>
        <w:t>Neimeyer</w:t>
      </w:r>
      <w:proofErr w:type="spellEnd"/>
      <w:r w:rsidRPr="00B92031">
        <w:rPr>
          <w:rFonts w:asciiTheme="minorHAnsi" w:hAnsiTheme="minorHAnsi" w:cstheme="minorHAnsi"/>
          <w:color w:val="auto"/>
          <w14:ligatures w14:val="none"/>
        </w:rPr>
        <w:t>, Baldwin &amp; Gillies (2006) the self-narrative of the mourner is what determines if their relationship with the     deceased has a positive or negative impact on them. This suggests that future research should focus on the narrative model, with particular emphasis on developing new interventions and refining the interventions that have already been discussed. Particular care must be taken to make sure the interventions are appropriate for the elderly population as they are particularly likely to lose those closest to them</w:t>
      </w:r>
      <w:r w:rsidRPr="001C28B8">
        <w:rPr>
          <w:rFonts w:asciiTheme="minorHAnsi" w:hAnsiTheme="minorHAnsi" w:cstheme="minorHAnsi"/>
          <w:color w:val="auto"/>
          <w14:ligatures w14:val="none"/>
        </w:rPr>
        <w:t>.</w:t>
      </w:r>
    </w:p>
    <w:p w:rsidR="001C28B8" w:rsidRDefault="00E168D4" w:rsidP="001C28B8">
      <w:pPr>
        <w:pStyle w:val="msotitle3"/>
        <w:widowControl w:val="0"/>
        <w:rPr>
          <w:rFonts w:asciiTheme="minorHAnsi" w:hAnsiTheme="minorHAnsi" w:cstheme="minorHAnsi"/>
          <w:color w:val="auto"/>
          <w:sz w:val="20"/>
          <w:szCs w:val="20"/>
          <w14:ligatures w14:val="none"/>
        </w:rPr>
      </w:pPr>
      <w:r w:rsidRPr="001C28B8">
        <w:rPr>
          <w:rFonts w:asciiTheme="minorHAnsi" w:hAnsiTheme="minorHAnsi" w:cstheme="minorHAnsi"/>
          <w:color w:val="auto"/>
          <w:sz w:val="20"/>
          <w:szCs w:val="20"/>
          <w14:ligatures w14:val="none"/>
        </w:rPr>
        <w:t> </w:t>
      </w:r>
    </w:p>
    <w:p w:rsidR="001C28B8" w:rsidRPr="001C28B8" w:rsidRDefault="001C28B8" w:rsidP="001C28B8">
      <w:pPr>
        <w:pStyle w:val="msotitle3"/>
        <w:widowControl w:val="0"/>
        <w:rPr>
          <w:rFonts w:asciiTheme="minorHAnsi" w:hAnsiTheme="minorHAnsi" w:cstheme="minorHAnsi"/>
          <w:color w:val="auto"/>
          <w:sz w:val="20"/>
          <w:szCs w:val="20"/>
          <w:lang w:val="en-US"/>
          <w14:ligatures w14:val="none"/>
        </w:rPr>
      </w:pPr>
      <w:r w:rsidRPr="001C28B8">
        <w:rPr>
          <w:rFonts w:asciiTheme="minorHAnsi" w:hAnsiTheme="minorHAnsi" w:cstheme="minorHAnsi"/>
          <w:color w:val="auto"/>
          <w:sz w:val="20"/>
          <w:szCs w:val="20"/>
          <w:lang w:val="en-US"/>
          <w14:ligatures w14:val="none"/>
        </w:rPr>
        <w:t>How People in Old Age Grieve</w:t>
      </w:r>
      <w:r w:rsidRPr="001C28B8">
        <w:rPr>
          <w:rFonts w:asciiTheme="minorHAnsi" w:hAnsiTheme="minorHAnsi" w:cstheme="minorHAnsi"/>
          <w:color w:val="auto"/>
          <w:sz w:val="20"/>
          <w:szCs w:val="20"/>
          <w14:ligatures w14:val="none"/>
        </w:rPr>
        <w:t> </w:t>
      </w:r>
    </w:p>
    <w:p w:rsidR="001C28B8" w:rsidRPr="001C28B8" w:rsidRDefault="001C28B8" w:rsidP="001C28B8">
      <w:pPr>
        <w:pStyle w:val="msoorganizationname"/>
        <w:widowControl w:val="0"/>
        <w:rPr>
          <w:rFonts w:asciiTheme="minorHAnsi" w:hAnsiTheme="minorHAnsi" w:cstheme="minorHAnsi"/>
          <w:color w:val="auto"/>
          <w:sz w:val="20"/>
          <w:szCs w:val="20"/>
          <w:lang w:val="en-US"/>
          <w14:ligatures w14:val="none"/>
        </w:rPr>
      </w:pPr>
      <w:r w:rsidRPr="001C28B8">
        <w:rPr>
          <w:rFonts w:asciiTheme="minorHAnsi" w:hAnsiTheme="minorHAnsi" w:cstheme="minorHAnsi"/>
          <w:color w:val="auto"/>
          <w:sz w:val="20"/>
          <w:szCs w:val="20"/>
          <w:lang w:val="en-US"/>
          <w14:ligatures w14:val="none"/>
        </w:rPr>
        <w:t>Psychological theories of Grief and how they interact with the elderly</w:t>
      </w:r>
    </w:p>
    <w:p w:rsidR="001C28B8" w:rsidRPr="001C28B8" w:rsidRDefault="001C28B8" w:rsidP="001C28B8">
      <w:pPr>
        <w:pStyle w:val="Heading1"/>
        <w:widowControl w:val="0"/>
        <w:rPr>
          <w:rFonts w:asciiTheme="minorHAnsi" w:hAnsiTheme="minorHAnsi" w:cstheme="minorHAnsi"/>
          <w:b w:val="0"/>
          <w:bCs w:val="0"/>
          <w:color w:val="auto"/>
          <w:sz w:val="20"/>
          <w:szCs w:val="20"/>
          <w14:ligatures w14:val="none"/>
        </w:rPr>
      </w:pPr>
    </w:p>
    <w:p w:rsidR="001C28B8" w:rsidRPr="001C28B8" w:rsidRDefault="001C28B8" w:rsidP="001C28B8">
      <w:pPr>
        <w:pStyle w:val="Heading1"/>
        <w:widowControl w:val="0"/>
        <w:rPr>
          <w:rFonts w:asciiTheme="minorHAnsi" w:hAnsiTheme="minorHAnsi" w:cstheme="minorHAnsi"/>
          <w:color w:val="auto"/>
          <w:sz w:val="20"/>
          <w:szCs w:val="20"/>
          <w:lang w:val="en-US"/>
          <w14:ligatures w14:val="none"/>
        </w:rPr>
      </w:pPr>
      <w:r w:rsidRPr="001C28B8">
        <w:rPr>
          <w:rFonts w:asciiTheme="minorHAnsi" w:hAnsiTheme="minorHAnsi" w:cstheme="minorHAnsi"/>
          <w:color w:val="auto"/>
          <w:sz w:val="20"/>
          <w:szCs w:val="20"/>
          <w14:ligatures w14:val="none"/>
        </w:rPr>
        <w:t> </w:t>
      </w:r>
      <w:r w:rsidRPr="001C28B8">
        <w:rPr>
          <w:rFonts w:asciiTheme="minorHAnsi" w:hAnsiTheme="minorHAnsi" w:cstheme="minorHAnsi"/>
          <w:color w:val="auto"/>
          <w:sz w:val="20"/>
          <w:szCs w:val="20"/>
          <w:lang w:val="en-US"/>
          <w14:ligatures w14:val="none"/>
        </w:rPr>
        <w:t>Stage Model</w:t>
      </w:r>
    </w:p>
    <w:p w:rsidR="001C28B8" w:rsidRPr="001C28B8" w:rsidRDefault="001C28B8" w:rsidP="001C28B8">
      <w:pPr>
        <w:widowControl w:val="0"/>
        <w:jc w:val="both"/>
        <w:rPr>
          <w:rFonts w:asciiTheme="minorHAnsi" w:hAnsiTheme="minorHAnsi" w:cstheme="minorHAnsi"/>
          <w:color w:val="auto"/>
          <w14:ligatures w14:val="none"/>
        </w:rPr>
      </w:pPr>
      <w:r w:rsidRPr="001C28B8">
        <w:rPr>
          <w:rFonts w:asciiTheme="minorHAnsi" w:hAnsiTheme="minorHAnsi" w:cstheme="minorHAnsi"/>
          <w:color w:val="auto"/>
          <w14:ligatures w14:val="none"/>
        </w:rPr>
        <w:t>The stage model has been widely believed by both professionals and the public to be the best model that psychology has to conceptualize grief (</w:t>
      </w:r>
      <w:proofErr w:type="spellStart"/>
      <w:r w:rsidRPr="001C28B8">
        <w:rPr>
          <w:rFonts w:asciiTheme="minorHAnsi" w:hAnsiTheme="minorHAnsi" w:cstheme="minorHAnsi"/>
          <w:color w:val="auto"/>
          <w14:ligatures w14:val="none"/>
        </w:rPr>
        <w:t>Downe-Wamboldt</w:t>
      </w:r>
      <w:proofErr w:type="spellEnd"/>
      <w:r w:rsidRPr="001C28B8">
        <w:rPr>
          <w:rFonts w:asciiTheme="minorHAnsi" w:hAnsiTheme="minorHAnsi" w:cstheme="minorHAnsi"/>
          <w:color w:val="auto"/>
          <w14:ligatures w14:val="none"/>
        </w:rPr>
        <w:t xml:space="preserve"> &amp; </w:t>
      </w:r>
      <w:proofErr w:type="spellStart"/>
      <w:r w:rsidRPr="001C28B8">
        <w:rPr>
          <w:rFonts w:asciiTheme="minorHAnsi" w:hAnsiTheme="minorHAnsi" w:cstheme="minorHAnsi"/>
          <w:color w:val="auto"/>
          <w14:ligatures w14:val="none"/>
        </w:rPr>
        <w:t>Tamlyn</w:t>
      </w:r>
      <w:proofErr w:type="spellEnd"/>
      <w:r w:rsidRPr="001C28B8">
        <w:rPr>
          <w:rFonts w:asciiTheme="minorHAnsi" w:hAnsiTheme="minorHAnsi" w:cstheme="minorHAnsi"/>
          <w:color w:val="auto"/>
          <w14:ligatures w14:val="none"/>
        </w:rPr>
        <w:t xml:space="preserve">, 1997; Kubler-Ross, 1969). </w:t>
      </w:r>
    </w:p>
    <w:p w:rsidR="001C28B8" w:rsidRPr="001C28B8" w:rsidRDefault="001C28B8" w:rsidP="001C28B8">
      <w:pPr>
        <w:widowControl w:val="0"/>
        <w:jc w:val="both"/>
        <w:rPr>
          <w:rFonts w:asciiTheme="minorHAnsi" w:hAnsiTheme="minorHAnsi" w:cstheme="minorHAnsi"/>
          <w:color w:val="auto"/>
          <w14:ligatures w14:val="none"/>
        </w:rPr>
      </w:pPr>
      <w:r w:rsidRPr="001C28B8">
        <w:rPr>
          <w:rFonts w:asciiTheme="minorHAnsi" w:hAnsiTheme="minorHAnsi" w:cstheme="minorHAnsi"/>
          <w:color w:val="auto"/>
          <w14:ligatures w14:val="none"/>
        </w:rPr>
        <w:t>Research shows that the Stage model is not supported by the evidence (</w:t>
      </w:r>
      <w:proofErr w:type="spellStart"/>
      <w:r w:rsidRPr="001C28B8">
        <w:rPr>
          <w:rFonts w:asciiTheme="minorHAnsi" w:hAnsiTheme="minorHAnsi" w:cstheme="minorHAnsi"/>
          <w:color w:val="auto"/>
          <w14:ligatures w14:val="none"/>
        </w:rPr>
        <w:t>Maciejewski</w:t>
      </w:r>
      <w:proofErr w:type="spellEnd"/>
      <w:r w:rsidRPr="001C28B8">
        <w:rPr>
          <w:rFonts w:asciiTheme="minorHAnsi" w:hAnsiTheme="minorHAnsi" w:cstheme="minorHAnsi"/>
          <w:color w:val="auto"/>
          <w14:ligatures w14:val="none"/>
        </w:rPr>
        <w:t xml:space="preserve">, Zhang, Block &amp; </w:t>
      </w:r>
      <w:proofErr w:type="spellStart"/>
      <w:r w:rsidRPr="001C28B8">
        <w:rPr>
          <w:rFonts w:asciiTheme="minorHAnsi" w:hAnsiTheme="minorHAnsi" w:cstheme="minorHAnsi"/>
          <w:color w:val="auto"/>
          <w14:ligatures w14:val="none"/>
        </w:rPr>
        <w:t>Prigerson</w:t>
      </w:r>
      <w:proofErr w:type="spellEnd"/>
      <w:r w:rsidRPr="001C28B8">
        <w:rPr>
          <w:rFonts w:asciiTheme="minorHAnsi" w:hAnsiTheme="minorHAnsi" w:cstheme="minorHAnsi"/>
          <w:color w:val="auto"/>
          <w14:ligatures w14:val="none"/>
        </w:rPr>
        <w:t>, 2007).</w:t>
      </w:r>
    </w:p>
    <w:p w:rsidR="00E168D4" w:rsidRPr="001C28B8" w:rsidRDefault="001C28B8" w:rsidP="001C28B8">
      <w:pPr>
        <w:widowControl w:val="0"/>
        <w:jc w:val="both"/>
        <w:rPr>
          <w:rFonts w:asciiTheme="minorHAnsi" w:hAnsiTheme="minorHAnsi" w:cstheme="minorHAnsi"/>
          <w:color w:val="auto"/>
          <w14:ligatures w14:val="none"/>
        </w:rPr>
      </w:pPr>
      <w:r w:rsidRPr="001C28B8">
        <w:rPr>
          <w:rFonts w:asciiTheme="minorHAnsi" w:hAnsiTheme="minorHAnsi" w:cstheme="minorHAnsi"/>
          <w:color w:val="auto"/>
          <w14:ligatures w14:val="none"/>
        </w:rPr>
        <w:t>The researchers developed a graph of what the stage theory predicts a mourning person would feel in the months following the death of a loved one.</w:t>
      </w:r>
    </w:p>
    <w:p w:rsidR="001C28B8" w:rsidRPr="001C28B8" w:rsidRDefault="001C28B8" w:rsidP="001C28B8">
      <w:pPr>
        <w:widowControl w:val="0"/>
        <w:jc w:val="both"/>
        <w:rPr>
          <w:rFonts w:asciiTheme="minorHAnsi" w:hAnsiTheme="minorHAnsi" w:cstheme="minorHAnsi"/>
          <w:color w:val="auto"/>
          <w14:ligatures w14:val="none"/>
        </w:rPr>
      </w:pPr>
      <w:r w:rsidRPr="001C28B8">
        <w:rPr>
          <w:rFonts w:asciiTheme="minorHAnsi" w:hAnsiTheme="minorHAnsi" w:cstheme="minorHAnsi"/>
          <w:color w:val="auto"/>
          <w14:ligatures w14:val="none"/>
        </w:rPr>
        <w:t>Disbelief </w:t>
      </w:r>
    </w:p>
    <w:p w:rsidR="001C28B8" w:rsidRPr="001C28B8" w:rsidRDefault="001C28B8" w:rsidP="001C28B8">
      <w:pPr>
        <w:widowControl w:val="0"/>
        <w:jc w:val="both"/>
        <w:rPr>
          <w:rFonts w:asciiTheme="minorHAnsi" w:hAnsiTheme="minorHAnsi" w:cstheme="minorHAnsi"/>
          <w:color w:val="auto"/>
          <w14:ligatures w14:val="none"/>
        </w:rPr>
      </w:pPr>
      <w:r w:rsidRPr="001C28B8">
        <w:rPr>
          <w:rFonts w:asciiTheme="minorHAnsi" w:hAnsiTheme="minorHAnsi" w:cstheme="minorHAnsi"/>
          <w:color w:val="auto"/>
          <w14:ligatures w14:val="none"/>
        </w:rPr>
        <w:t>Yearning</w:t>
      </w:r>
    </w:p>
    <w:p w:rsidR="001C28B8" w:rsidRPr="001C28B8" w:rsidRDefault="001C28B8" w:rsidP="001C28B8">
      <w:pPr>
        <w:widowControl w:val="0"/>
        <w:jc w:val="both"/>
        <w:rPr>
          <w:rFonts w:asciiTheme="minorHAnsi" w:hAnsiTheme="minorHAnsi" w:cstheme="minorHAnsi"/>
          <w:color w:val="auto"/>
          <w14:ligatures w14:val="none"/>
        </w:rPr>
      </w:pPr>
      <w:r w:rsidRPr="001C28B8">
        <w:rPr>
          <w:rFonts w:asciiTheme="minorHAnsi" w:hAnsiTheme="minorHAnsi" w:cstheme="minorHAnsi"/>
          <w:color w:val="auto"/>
          <w14:ligatures w14:val="none"/>
        </w:rPr>
        <w:t>Anger</w:t>
      </w:r>
    </w:p>
    <w:p w:rsidR="001C28B8" w:rsidRPr="001C28B8" w:rsidRDefault="001C28B8" w:rsidP="001C28B8">
      <w:pPr>
        <w:widowControl w:val="0"/>
        <w:rPr>
          <w:rFonts w:asciiTheme="minorHAnsi" w:hAnsiTheme="minorHAnsi" w:cstheme="minorHAnsi"/>
          <w:color w:val="auto"/>
          <w14:ligatures w14:val="none"/>
        </w:rPr>
      </w:pPr>
      <w:r w:rsidRPr="001C28B8">
        <w:rPr>
          <w:rFonts w:asciiTheme="minorHAnsi" w:hAnsiTheme="minorHAnsi" w:cstheme="minorHAnsi"/>
          <w:color w:val="auto"/>
          <w14:ligatures w14:val="none"/>
        </w:rPr>
        <w:t>Depression</w:t>
      </w:r>
    </w:p>
    <w:p w:rsidR="001C28B8" w:rsidRPr="001C28B8" w:rsidRDefault="001C28B8" w:rsidP="001C28B8">
      <w:pPr>
        <w:widowControl w:val="0"/>
        <w:rPr>
          <w:rFonts w:asciiTheme="minorHAnsi" w:hAnsiTheme="minorHAnsi" w:cstheme="minorHAnsi"/>
          <w:color w:val="auto"/>
          <w14:ligatures w14:val="none"/>
        </w:rPr>
      </w:pPr>
      <w:r w:rsidRPr="001C28B8">
        <w:rPr>
          <w:rFonts w:asciiTheme="minorHAnsi" w:hAnsiTheme="minorHAnsi" w:cstheme="minorHAnsi"/>
          <w:color w:val="auto"/>
          <w14:ligatures w14:val="none"/>
        </w:rPr>
        <w:t>Acceptance</w:t>
      </w:r>
    </w:p>
    <w:p w:rsidR="001C28B8" w:rsidRPr="001C28B8" w:rsidRDefault="001C28B8" w:rsidP="001C28B8">
      <w:pPr>
        <w:widowControl w:val="0"/>
        <w:jc w:val="both"/>
        <w:rPr>
          <w:rFonts w:asciiTheme="minorHAnsi" w:hAnsiTheme="minorHAnsi" w:cstheme="minorHAnsi"/>
          <w:iCs/>
          <w:color w:val="auto"/>
          <w14:ligatures w14:val="none"/>
        </w:rPr>
      </w:pPr>
      <w:r w:rsidRPr="001C28B8">
        <w:rPr>
          <w:rFonts w:asciiTheme="minorHAnsi" w:hAnsiTheme="minorHAnsi" w:cstheme="minorHAnsi"/>
          <w:iCs/>
          <w:color w:val="auto"/>
          <w14:ligatures w14:val="none"/>
        </w:rPr>
        <w:t>But their results showed that this prediction was not accurate.</w:t>
      </w:r>
    </w:p>
    <w:p w:rsidR="001C28B8" w:rsidRPr="001C28B8" w:rsidRDefault="001C28B8" w:rsidP="001C28B8">
      <w:pPr>
        <w:spacing w:after="160" w:line="256" w:lineRule="auto"/>
        <w:jc w:val="both"/>
        <w:rPr>
          <w:rFonts w:asciiTheme="minorHAnsi" w:hAnsiTheme="minorHAnsi" w:cstheme="minorHAnsi"/>
          <w:color w:val="auto"/>
          <w14:ligatures w14:val="none"/>
        </w:rPr>
      </w:pPr>
      <w:r w:rsidRPr="001C28B8">
        <w:rPr>
          <w:rFonts w:asciiTheme="minorHAnsi" w:hAnsiTheme="minorHAnsi" w:cstheme="minorHAnsi"/>
          <w:color w:val="auto"/>
          <w14:ligatures w14:val="none"/>
        </w:rPr>
        <w:t xml:space="preserve">Though they showed that if they rescaled the graph to show when each variable reached its peak that they did so in the predicted order this does not account for the fact that they only asked about </w:t>
      </w:r>
      <w:proofErr w:type="spellStart"/>
      <w:r w:rsidRPr="001C28B8">
        <w:rPr>
          <w:rFonts w:asciiTheme="minorHAnsi" w:hAnsiTheme="minorHAnsi" w:cstheme="minorHAnsi"/>
          <w:color w:val="auto"/>
          <w14:ligatures w14:val="none"/>
        </w:rPr>
        <w:t>theses</w:t>
      </w:r>
      <w:proofErr w:type="spellEnd"/>
      <w:r w:rsidRPr="001C28B8">
        <w:rPr>
          <w:rFonts w:asciiTheme="minorHAnsi" w:hAnsiTheme="minorHAnsi" w:cstheme="minorHAnsi"/>
          <w:color w:val="auto"/>
          <w14:ligatures w14:val="none"/>
        </w:rPr>
        <w:t xml:space="preserve"> five variables. This meant that there could be more stages or the participants would have expressed their emotions in a way other than five stages if given the opportunity.</w:t>
      </w:r>
    </w:p>
    <w:p w:rsidR="001C28B8" w:rsidRPr="001C28B8" w:rsidRDefault="001C28B8" w:rsidP="001C28B8">
      <w:pPr>
        <w:pStyle w:val="Heading3"/>
        <w:widowControl w:val="0"/>
        <w:rPr>
          <w:rFonts w:asciiTheme="minorHAnsi" w:hAnsiTheme="minorHAnsi" w:cstheme="minorHAnsi"/>
          <w:b/>
          <w:color w:val="auto"/>
          <w:sz w:val="20"/>
          <w:szCs w:val="20"/>
          <w:lang w:val="en-US"/>
          <w14:ligatures w14:val="none"/>
        </w:rPr>
      </w:pPr>
      <w:r w:rsidRPr="001C28B8">
        <w:rPr>
          <w:rFonts w:asciiTheme="minorHAnsi" w:hAnsiTheme="minorHAnsi" w:cstheme="minorHAnsi"/>
          <w:b/>
          <w:color w:val="auto"/>
          <w:sz w:val="20"/>
          <w:szCs w:val="20"/>
          <w:lang w:val="en-US"/>
          <w14:ligatures w14:val="none"/>
        </w:rPr>
        <w:t>Grief Work</w:t>
      </w:r>
    </w:p>
    <w:p w:rsidR="001C28B8" w:rsidRPr="001C28B8" w:rsidRDefault="001C28B8" w:rsidP="001C28B8">
      <w:pPr>
        <w:widowControl w:val="0"/>
        <w:rPr>
          <w:rFonts w:asciiTheme="minorHAnsi" w:hAnsiTheme="minorHAnsi" w:cstheme="minorHAnsi"/>
          <w:color w:val="auto"/>
          <w14:ligatures w14:val="none"/>
        </w:rPr>
      </w:pPr>
      <w:r w:rsidRPr="001C28B8">
        <w:rPr>
          <w:rFonts w:asciiTheme="minorHAnsi" w:hAnsiTheme="minorHAnsi" w:cstheme="minorHAnsi"/>
          <w:color w:val="auto"/>
          <w14:ligatures w14:val="none"/>
        </w:rPr>
        <w:t>The other widely held belief surrounding grief is that it must be “worked through” (</w:t>
      </w:r>
      <w:proofErr w:type="spellStart"/>
      <w:r w:rsidRPr="001C28B8">
        <w:rPr>
          <w:rFonts w:asciiTheme="minorHAnsi" w:hAnsiTheme="minorHAnsi" w:cstheme="minorHAnsi"/>
          <w:color w:val="auto"/>
          <w14:ligatures w14:val="none"/>
        </w:rPr>
        <w:t>Stroebe</w:t>
      </w:r>
      <w:proofErr w:type="spellEnd"/>
      <w:r w:rsidRPr="001C28B8">
        <w:rPr>
          <w:rFonts w:asciiTheme="minorHAnsi" w:hAnsiTheme="minorHAnsi" w:cstheme="minorHAnsi"/>
          <w:color w:val="auto"/>
          <w14:ligatures w14:val="none"/>
        </w:rPr>
        <w:t xml:space="preserve">, 1992). This idea stems from Freud’s (1957) concept “Grief Work”. Freud believed that grief was a process of detachment where the bereaved would withdraw from the world and end their bond with their dead loved one (Freud, 1961). </w:t>
      </w:r>
      <w:proofErr w:type="gramStart"/>
      <w:r w:rsidRPr="001C28B8">
        <w:rPr>
          <w:rFonts w:asciiTheme="minorHAnsi" w:hAnsiTheme="minorHAnsi" w:cstheme="minorHAnsi"/>
          <w:color w:val="auto"/>
          <w14:ligatures w14:val="none"/>
        </w:rPr>
        <w:t>Similarly</w:t>
      </w:r>
      <w:proofErr w:type="gramEnd"/>
      <w:r w:rsidRPr="001C28B8">
        <w:rPr>
          <w:rFonts w:asciiTheme="minorHAnsi" w:hAnsiTheme="minorHAnsi" w:cstheme="minorHAnsi"/>
          <w:color w:val="auto"/>
          <w14:ligatures w14:val="none"/>
        </w:rPr>
        <w:t xml:space="preserve"> to Stage theory the evidence does not seem to support the concept of “Grief Work” (Wortman &amp; Silver 2001).</w:t>
      </w:r>
    </w:p>
    <w:p w:rsidR="001C28B8" w:rsidRPr="001C28B8" w:rsidRDefault="001C28B8" w:rsidP="001C28B8">
      <w:pPr>
        <w:widowControl w:val="0"/>
        <w:rPr>
          <w:rFonts w:asciiTheme="minorHAnsi" w:hAnsiTheme="minorHAnsi" w:cstheme="minorHAnsi"/>
          <w:color w:val="auto"/>
          <w14:ligatures w14:val="none"/>
        </w:rPr>
      </w:pPr>
      <w:r w:rsidRPr="001C28B8">
        <w:rPr>
          <w:rFonts w:asciiTheme="minorHAnsi" w:hAnsiTheme="minorHAnsi" w:cstheme="minorHAnsi"/>
          <w:color w:val="auto"/>
          <w14:ligatures w14:val="none"/>
        </w:rPr>
        <w:t>Evidence showing that “working through” the grief of losing a loved one reduced the amount of time spent grieving or the overall amount of pain or discomfort experienced could not be found (Wortman &amp; Silver 2001).</w:t>
      </w:r>
    </w:p>
    <w:p w:rsidR="001C28B8" w:rsidRPr="001C28B8" w:rsidRDefault="001C28B8" w:rsidP="001C28B8">
      <w:pPr>
        <w:widowControl w:val="0"/>
        <w:rPr>
          <w:rFonts w:asciiTheme="minorHAnsi" w:hAnsiTheme="minorHAnsi" w:cstheme="minorHAnsi"/>
          <w:color w:val="auto"/>
          <w14:ligatures w14:val="none"/>
        </w:rPr>
      </w:pPr>
      <w:r w:rsidRPr="001C28B8">
        <w:rPr>
          <w:rFonts w:asciiTheme="minorHAnsi" w:hAnsiTheme="minorHAnsi" w:cstheme="minorHAnsi"/>
          <w:color w:val="auto"/>
          <w14:ligatures w14:val="none"/>
        </w:rPr>
        <w:t xml:space="preserve">Nolen-Hoeksema et al (1997) also cast doubt on the value of grief work when they showed that men who had lost their partners and had thought how the loss would change their lives showed a more positive morale than </w:t>
      </w:r>
      <w:r w:rsidRPr="001C28B8">
        <w:rPr>
          <w:rFonts w:asciiTheme="minorHAnsi" w:hAnsiTheme="minorHAnsi" w:cstheme="minorHAnsi"/>
          <w:color w:val="auto"/>
          <w14:ligatures w14:val="none"/>
        </w:rPr>
        <w:lastRenderedPageBreak/>
        <w:t xml:space="preserve">those who hadn’t shortly after their partners death, they also showed more persistent depression in the following 12 months. </w:t>
      </w:r>
    </w:p>
    <w:p w:rsidR="001C28B8" w:rsidRDefault="001C28B8" w:rsidP="001C28B8">
      <w:pPr>
        <w:spacing w:after="160" w:line="256" w:lineRule="auto"/>
        <w:rPr>
          <w:rFonts w:asciiTheme="minorHAnsi" w:hAnsiTheme="minorHAnsi" w:cstheme="minorHAnsi"/>
          <w:color w:val="auto"/>
          <w14:ligatures w14:val="none"/>
        </w:rPr>
      </w:pPr>
      <w:r w:rsidRPr="001C28B8">
        <w:rPr>
          <w:rFonts w:asciiTheme="minorHAnsi" w:hAnsiTheme="minorHAnsi" w:cstheme="minorHAnsi"/>
          <w:color w:val="auto"/>
          <w14:ligatures w14:val="none"/>
        </w:rPr>
        <w:t>This shows that the practice of grief work does not seem to be effective for alleviating some the negative aspects of grief.</w:t>
      </w:r>
    </w:p>
    <w:p w:rsidR="001C28B8" w:rsidRPr="001C28B8" w:rsidRDefault="001C28B8" w:rsidP="001C28B8">
      <w:pPr>
        <w:spacing w:after="160" w:line="256" w:lineRule="auto"/>
        <w:rPr>
          <w:rFonts w:asciiTheme="minorHAnsi" w:hAnsiTheme="minorHAnsi" w:cstheme="minorHAnsi"/>
          <w:color w:val="auto"/>
          <w14:ligatures w14:val="none"/>
        </w:rPr>
      </w:pPr>
    </w:p>
    <w:p w:rsidR="001C28B8" w:rsidRPr="001C28B8" w:rsidRDefault="001C28B8" w:rsidP="001C28B8">
      <w:pPr>
        <w:pStyle w:val="Heading3"/>
        <w:widowControl w:val="0"/>
        <w:rPr>
          <w:rFonts w:asciiTheme="minorHAnsi" w:hAnsiTheme="minorHAnsi" w:cstheme="minorHAnsi"/>
          <w:b/>
          <w:color w:val="auto"/>
          <w:sz w:val="20"/>
          <w:szCs w:val="20"/>
          <w:lang w:val="en-US"/>
          <w14:ligatures w14:val="none"/>
        </w:rPr>
      </w:pPr>
      <w:r w:rsidRPr="001C28B8">
        <w:rPr>
          <w:rFonts w:asciiTheme="minorHAnsi" w:hAnsiTheme="minorHAnsi" w:cstheme="minorHAnsi"/>
          <w:b/>
          <w:color w:val="auto"/>
          <w:sz w:val="20"/>
          <w:szCs w:val="20"/>
          <w:lang w:val="en-US"/>
          <w14:ligatures w14:val="none"/>
        </w:rPr>
        <w:t>Narrative Model</w:t>
      </w:r>
    </w:p>
    <w:p w:rsidR="001C28B8" w:rsidRPr="001C28B8" w:rsidRDefault="001C28B8" w:rsidP="001C28B8">
      <w:pPr>
        <w:widowControl w:val="0"/>
        <w:jc w:val="both"/>
        <w:rPr>
          <w:rFonts w:asciiTheme="minorHAnsi" w:hAnsiTheme="minorHAnsi" w:cstheme="minorHAnsi"/>
          <w:color w:val="auto"/>
          <w14:ligatures w14:val="none"/>
        </w:rPr>
      </w:pPr>
      <w:r w:rsidRPr="001C28B8">
        <w:rPr>
          <w:rFonts w:asciiTheme="minorHAnsi" w:hAnsiTheme="minorHAnsi" w:cstheme="minorHAnsi"/>
          <w:color w:val="auto"/>
          <w14:ligatures w14:val="none"/>
        </w:rPr>
        <w:t>A newer more contemporary approach is the Narrative model, which sees the process of grief management as a way of reaffirming or reconstructing the self-narrative of the mourner (</w:t>
      </w:r>
      <w:proofErr w:type="spellStart"/>
      <w:r w:rsidRPr="001C28B8">
        <w:rPr>
          <w:rFonts w:asciiTheme="minorHAnsi" w:hAnsiTheme="minorHAnsi" w:cstheme="minorHAnsi"/>
          <w:color w:val="auto"/>
          <w14:ligatures w14:val="none"/>
        </w:rPr>
        <w:t>Neimeyer</w:t>
      </w:r>
      <w:proofErr w:type="spellEnd"/>
      <w:r w:rsidRPr="001C28B8">
        <w:rPr>
          <w:rFonts w:asciiTheme="minorHAnsi" w:hAnsiTheme="minorHAnsi" w:cstheme="minorHAnsi"/>
          <w:color w:val="auto"/>
          <w14:ligatures w14:val="none"/>
        </w:rPr>
        <w:t xml:space="preserve"> 2001).</w:t>
      </w:r>
    </w:p>
    <w:p w:rsidR="001C28B8" w:rsidRPr="001C28B8" w:rsidRDefault="001C28B8" w:rsidP="001C28B8">
      <w:pPr>
        <w:widowControl w:val="0"/>
        <w:jc w:val="both"/>
        <w:rPr>
          <w:rFonts w:asciiTheme="minorHAnsi" w:hAnsiTheme="minorHAnsi" w:cstheme="minorHAnsi"/>
          <w:color w:val="auto"/>
          <w14:ligatures w14:val="none"/>
        </w:rPr>
      </w:pPr>
      <w:r w:rsidRPr="001C28B8">
        <w:rPr>
          <w:rFonts w:asciiTheme="minorHAnsi" w:hAnsiTheme="minorHAnsi" w:cstheme="minorHAnsi"/>
          <w:color w:val="auto"/>
          <w14:ligatures w14:val="none"/>
        </w:rPr>
        <w:t>The self-narrative is the our daily “micro-narratives” organised by a cognitive-affective-behavioural structure into the “macro-narrative” of our lives as a whole (</w:t>
      </w:r>
      <w:proofErr w:type="spellStart"/>
      <w:r w:rsidRPr="001C28B8">
        <w:rPr>
          <w:rFonts w:asciiTheme="minorHAnsi" w:hAnsiTheme="minorHAnsi" w:cstheme="minorHAnsi"/>
          <w:color w:val="auto"/>
          <w14:ligatures w14:val="none"/>
        </w:rPr>
        <w:t>Neimeyer</w:t>
      </w:r>
      <w:proofErr w:type="spellEnd"/>
      <w:r w:rsidRPr="001C28B8">
        <w:rPr>
          <w:rFonts w:asciiTheme="minorHAnsi" w:hAnsiTheme="minorHAnsi" w:cstheme="minorHAnsi"/>
          <w:color w:val="auto"/>
          <w14:ligatures w14:val="none"/>
        </w:rPr>
        <w:t xml:space="preserve"> 2004). The “macro-narrative” is what determines the actions we take in our social lives, allows for our evolving sense of identity as well as guides what our characteristic range of emotions is and what our goals in life are.</w:t>
      </w:r>
    </w:p>
    <w:p w:rsidR="001C28B8" w:rsidRPr="001C28B8" w:rsidRDefault="001C28B8" w:rsidP="001C28B8">
      <w:pPr>
        <w:widowControl w:val="0"/>
        <w:jc w:val="both"/>
        <w:rPr>
          <w:rFonts w:asciiTheme="minorHAnsi" w:hAnsiTheme="minorHAnsi" w:cstheme="minorHAnsi"/>
          <w:color w:val="auto"/>
          <w14:ligatures w14:val="none"/>
        </w:rPr>
      </w:pPr>
      <w:r w:rsidRPr="001C28B8">
        <w:rPr>
          <w:rFonts w:asciiTheme="minorHAnsi" w:hAnsiTheme="minorHAnsi" w:cstheme="minorHAnsi"/>
          <w:color w:val="auto"/>
          <w14:ligatures w14:val="none"/>
        </w:rPr>
        <w:t xml:space="preserve">The research of </w:t>
      </w:r>
      <w:proofErr w:type="spellStart"/>
      <w:r w:rsidRPr="001C28B8">
        <w:rPr>
          <w:rFonts w:asciiTheme="minorHAnsi" w:hAnsiTheme="minorHAnsi" w:cstheme="minorHAnsi"/>
          <w:color w:val="auto"/>
          <w14:ligatures w14:val="none"/>
        </w:rPr>
        <w:t>Janoff</w:t>
      </w:r>
      <w:proofErr w:type="spellEnd"/>
      <w:r w:rsidRPr="001C28B8">
        <w:rPr>
          <w:rFonts w:asciiTheme="minorHAnsi" w:hAnsiTheme="minorHAnsi" w:cstheme="minorHAnsi"/>
          <w:color w:val="auto"/>
          <w14:ligatures w14:val="none"/>
        </w:rPr>
        <w:t>-Bulman &amp; Berger (2000) show how the loss of a loved one can impact the foundational assumptions that are vital elements in a person’s sense of self as well as the core of their worldview.</w:t>
      </w:r>
    </w:p>
    <w:p w:rsidR="001C28B8" w:rsidRPr="001C28B8" w:rsidRDefault="001C28B8" w:rsidP="001C28B8">
      <w:pPr>
        <w:pStyle w:val="Heading7"/>
        <w:widowControl w:val="0"/>
        <w:rPr>
          <w:rFonts w:asciiTheme="minorHAnsi" w:hAnsiTheme="minorHAnsi" w:cstheme="minorHAnsi"/>
          <w:b/>
          <w:i w:val="0"/>
          <w:color w:val="auto"/>
          <w:lang w:val="en-US"/>
          <w14:ligatures w14:val="none"/>
        </w:rPr>
      </w:pPr>
      <w:r w:rsidRPr="001C28B8">
        <w:rPr>
          <w:rFonts w:asciiTheme="minorHAnsi" w:hAnsiTheme="minorHAnsi" w:cstheme="minorHAnsi"/>
          <w:b/>
          <w:i w:val="0"/>
          <w:color w:val="auto"/>
          <w:lang w:val="en-US"/>
          <w14:ligatures w14:val="none"/>
        </w:rPr>
        <w:t>Narrative Model</w:t>
      </w:r>
    </w:p>
    <w:p w:rsidR="001C28B8" w:rsidRPr="001C28B8" w:rsidRDefault="001C28B8" w:rsidP="001C28B8">
      <w:pPr>
        <w:widowControl w:val="0"/>
        <w:jc w:val="both"/>
        <w:rPr>
          <w:rFonts w:asciiTheme="minorHAnsi" w:hAnsiTheme="minorHAnsi" w:cstheme="minorHAnsi"/>
          <w:color w:val="auto"/>
          <w14:ligatures w14:val="none"/>
        </w:rPr>
      </w:pPr>
      <w:r w:rsidRPr="001C28B8">
        <w:rPr>
          <w:rFonts w:asciiTheme="minorHAnsi" w:hAnsiTheme="minorHAnsi" w:cstheme="minorHAnsi"/>
          <w:color w:val="auto"/>
          <w14:ligatures w14:val="none"/>
        </w:rPr>
        <w:t xml:space="preserve">Coleman &amp; </w:t>
      </w:r>
      <w:proofErr w:type="spellStart"/>
      <w:r w:rsidRPr="001C28B8">
        <w:rPr>
          <w:rFonts w:asciiTheme="minorHAnsi" w:hAnsiTheme="minorHAnsi" w:cstheme="minorHAnsi"/>
          <w:color w:val="auto"/>
          <w14:ligatures w14:val="none"/>
        </w:rPr>
        <w:t>Neimeyer’s</w:t>
      </w:r>
      <w:proofErr w:type="spellEnd"/>
      <w:r w:rsidRPr="001C28B8">
        <w:rPr>
          <w:rFonts w:asciiTheme="minorHAnsi" w:hAnsiTheme="minorHAnsi" w:cstheme="minorHAnsi"/>
          <w:color w:val="auto"/>
          <w14:ligatures w14:val="none"/>
        </w:rPr>
        <w:t xml:space="preserve"> (2010) research also supports the narrative model. Coleman &amp; </w:t>
      </w:r>
      <w:proofErr w:type="spellStart"/>
      <w:r w:rsidRPr="001C28B8">
        <w:rPr>
          <w:rFonts w:asciiTheme="minorHAnsi" w:hAnsiTheme="minorHAnsi" w:cstheme="minorHAnsi"/>
          <w:color w:val="auto"/>
          <w14:ligatures w14:val="none"/>
        </w:rPr>
        <w:t>Neimeyer</w:t>
      </w:r>
      <w:proofErr w:type="spellEnd"/>
      <w:r w:rsidRPr="001C28B8">
        <w:rPr>
          <w:rFonts w:asciiTheme="minorHAnsi" w:hAnsiTheme="minorHAnsi" w:cstheme="minorHAnsi"/>
          <w:color w:val="auto"/>
          <w14:ligatures w14:val="none"/>
        </w:rPr>
        <w:t xml:space="preserve"> showed that older widows who found it difficult to draw meaning from their loss early during the bereavement process also reported higher rates of depression and grief symptoms in the first years after the loss. Those widows who displayed less difficulty in finding meaning in the loss of their loved one reported more pride, joy and wellbeing up to 48 months after the loss.</w:t>
      </w:r>
    </w:p>
    <w:p w:rsidR="001C28B8" w:rsidRPr="001C28B8" w:rsidRDefault="001C28B8" w:rsidP="001C28B8">
      <w:pPr>
        <w:spacing w:after="160" w:line="256" w:lineRule="auto"/>
        <w:jc w:val="both"/>
        <w:rPr>
          <w:rFonts w:asciiTheme="minorHAnsi" w:hAnsiTheme="minorHAnsi" w:cstheme="minorHAnsi"/>
          <w:color w:val="auto"/>
          <w14:ligatures w14:val="none"/>
        </w:rPr>
      </w:pPr>
      <w:r w:rsidRPr="001C28B8">
        <w:rPr>
          <w:rFonts w:asciiTheme="minorHAnsi" w:hAnsiTheme="minorHAnsi" w:cstheme="minorHAnsi"/>
          <w:color w:val="auto"/>
          <w14:ligatures w14:val="none"/>
        </w:rPr>
        <w:t>Instead of expecting a bereaved person to pass through stages or to detach from their deceased loved one the narrative model posits that grief is not something that is cured or worked off, it is something that changes and becomes a part of the self-narrative of the bereaved (</w:t>
      </w:r>
      <w:proofErr w:type="spellStart"/>
      <w:r w:rsidRPr="001C28B8">
        <w:rPr>
          <w:rFonts w:asciiTheme="minorHAnsi" w:hAnsiTheme="minorHAnsi" w:cstheme="minorHAnsi"/>
          <w:color w:val="auto"/>
          <w14:ligatures w14:val="none"/>
        </w:rPr>
        <w:t>Neimeyer</w:t>
      </w:r>
      <w:proofErr w:type="spellEnd"/>
      <w:r w:rsidRPr="001C28B8">
        <w:rPr>
          <w:rFonts w:asciiTheme="minorHAnsi" w:hAnsiTheme="minorHAnsi" w:cstheme="minorHAnsi"/>
          <w:color w:val="auto"/>
          <w14:ligatures w14:val="none"/>
        </w:rPr>
        <w:t xml:space="preserve"> &amp; Holland 2015).</w:t>
      </w:r>
    </w:p>
    <w:p w:rsidR="001C28B8" w:rsidRPr="001C28B8" w:rsidRDefault="001C28B8" w:rsidP="001C28B8">
      <w:pPr>
        <w:widowControl w:val="0"/>
        <w:rPr>
          <w:rFonts w:asciiTheme="minorHAnsi" w:hAnsiTheme="minorHAnsi" w:cstheme="minorHAnsi"/>
          <w:color w:val="auto"/>
          <w14:ligatures w14:val="none"/>
        </w:rPr>
      </w:pPr>
    </w:p>
    <w:p w:rsidR="001C28B8" w:rsidRPr="001C28B8" w:rsidRDefault="001C28B8" w:rsidP="001C28B8">
      <w:pPr>
        <w:pStyle w:val="Heading7"/>
        <w:widowControl w:val="0"/>
        <w:rPr>
          <w:rFonts w:asciiTheme="minorHAnsi" w:hAnsiTheme="minorHAnsi" w:cstheme="minorHAnsi"/>
          <w:b/>
          <w:i w:val="0"/>
          <w:color w:val="auto"/>
          <w:lang w:val="en-US"/>
          <w14:ligatures w14:val="none"/>
        </w:rPr>
      </w:pPr>
      <w:r w:rsidRPr="001C28B8">
        <w:rPr>
          <w:rFonts w:asciiTheme="minorHAnsi" w:hAnsiTheme="minorHAnsi" w:cstheme="minorHAnsi"/>
          <w:b/>
          <w:i w:val="0"/>
          <w:color w:val="auto"/>
          <w:lang w:val="en-US"/>
          <w14:ligatures w14:val="none"/>
        </w:rPr>
        <w:t>Reconstructing Meaning</w:t>
      </w:r>
    </w:p>
    <w:p w:rsidR="001C28B8" w:rsidRPr="001C28B8" w:rsidRDefault="001C28B8" w:rsidP="001C28B8">
      <w:pPr>
        <w:widowControl w:val="0"/>
        <w:jc w:val="both"/>
        <w:rPr>
          <w:rFonts w:asciiTheme="minorHAnsi" w:hAnsiTheme="minorHAnsi" w:cstheme="minorHAnsi"/>
          <w:color w:val="auto"/>
          <w14:ligatures w14:val="none"/>
        </w:rPr>
      </w:pPr>
      <w:r w:rsidRPr="001C28B8">
        <w:rPr>
          <w:rFonts w:asciiTheme="minorHAnsi" w:hAnsiTheme="minorHAnsi" w:cstheme="minorHAnsi"/>
          <w:color w:val="auto"/>
          <w14:ligatures w14:val="none"/>
        </w:rPr>
        <w:t>The Meaning Reconstruction method is described as an intervention in which mourners are encouraged to find meaning in the loss of their loved one and how it has changed their lives for the future (</w:t>
      </w:r>
      <w:proofErr w:type="spellStart"/>
      <w:r w:rsidRPr="001C28B8">
        <w:rPr>
          <w:rFonts w:asciiTheme="minorHAnsi" w:hAnsiTheme="minorHAnsi" w:cstheme="minorHAnsi"/>
          <w:color w:val="auto"/>
          <w14:ligatures w14:val="none"/>
        </w:rPr>
        <w:t>Neimeyer</w:t>
      </w:r>
      <w:proofErr w:type="spellEnd"/>
      <w:r w:rsidRPr="001C28B8">
        <w:rPr>
          <w:rFonts w:asciiTheme="minorHAnsi" w:hAnsiTheme="minorHAnsi" w:cstheme="minorHAnsi"/>
          <w:color w:val="auto"/>
          <w14:ligatures w14:val="none"/>
        </w:rPr>
        <w:t>, Burke, Mackay &amp; Stringer 2010). Based on the Narrative Model Meaning Reconstruction is an intervention that can take many forms, such as virtual dream stories (</w:t>
      </w:r>
      <w:proofErr w:type="spellStart"/>
      <w:r w:rsidRPr="001C28B8">
        <w:rPr>
          <w:rFonts w:asciiTheme="minorHAnsi" w:hAnsiTheme="minorHAnsi" w:cstheme="minorHAnsi"/>
          <w:color w:val="auto"/>
          <w14:ligatures w14:val="none"/>
        </w:rPr>
        <w:t>Neimeyer</w:t>
      </w:r>
      <w:proofErr w:type="spellEnd"/>
      <w:r w:rsidRPr="001C28B8">
        <w:rPr>
          <w:rFonts w:asciiTheme="minorHAnsi" w:hAnsiTheme="minorHAnsi" w:cstheme="minorHAnsi"/>
          <w:color w:val="auto"/>
          <w14:ligatures w14:val="none"/>
        </w:rPr>
        <w:t>, Torres &amp; Smith 2011) or analogical listening (</w:t>
      </w:r>
      <w:proofErr w:type="spellStart"/>
      <w:r w:rsidRPr="001C28B8">
        <w:rPr>
          <w:rFonts w:asciiTheme="minorHAnsi" w:hAnsiTheme="minorHAnsi" w:cstheme="minorHAnsi"/>
          <w:color w:val="auto"/>
          <w14:ligatures w14:val="none"/>
        </w:rPr>
        <w:t>Neimeyer</w:t>
      </w:r>
      <w:proofErr w:type="spellEnd"/>
      <w:r w:rsidRPr="001C28B8">
        <w:rPr>
          <w:rFonts w:asciiTheme="minorHAnsi" w:hAnsiTheme="minorHAnsi" w:cstheme="minorHAnsi"/>
          <w:color w:val="auto"/>
          <w14:ligatures w14:val="none"/>
        </w:rPr>
        <w:t xml:space="preserve"> 2012a). The most direct application of the principles found in the narrative model are the journaling described by </w:t>
      </w:r>
      <w:proofErr w:type="spellStart"/>
      <w:r w:rsidRPr="001C28B8">
        <w:rPr>
          <w:rFonts w:asciiTheme="minorHAnsi" w:hAnsiTheme="minorHAnsi" w:cstheme="minorHAnsi"/>
          <w:color w:val="auto"/>
          <w14:ligatures w14:val="none"/>
        </w:rPr>
        <w:t>Lichtenthal</w:t>
      </w:r>
      <w:proofErr w:type="spellEnd"/>
      <w:r w:rsidRPr="001C28B8">
        <w:rPr>
          <w:rFonts w:asciiTheme="minorHAnsi" w:hAnsiTheme="minorHAnsi" w:cstheme="minorHAnsi"/>
          <w:color w:val="auto"/>
          <w14:ligatures w14:val="none"/>
        </w:rPr>
        <w:t xml:space="preserve"> &amp; </w:t>
      </w:r>
      <w:proofErr w:type="spellStart"/>
      <w:r w:rsidRPr="001C28B8">
        <w:rPr>
          <w:rFonts w:asciiTheme="minorHAnsi" w:hAnsiTheme="minorHAnsi" w:cstheme="minorHAnsi"/>
          <w:color w:val="auto"/>
          <w14:ligatures w14:val="none"/>
        </w:rPr>
        <w:t>Neimeyer</w:t>
      </w:r>
      <w:proofErr w:type="spellEnd"/>
      <w:r w:rsidRPr="001C28B8">
        <w:rPr>
          <w:rFonts w:asciiTheme="minorHAnsi" w:hAnsiTheme="minorHAnsi" w:cstheme="minorHAnsi"/>
          <w:color w:val="auto"/>
          <w14:ligatures w14:val="none"/>
        </w:rPr>
        <w:t xml:space="preserve"> (2012). People who were asked to partake in a directed writing task showed significantly less symptoms of posttraumatic stress, depression and prolonged grief up to three months after completing it (</w:t>
      </w:r>
      <w:proofErr w:type="spellStart"/>
      <w:r w:rsidRPr="001C28B8">
        <w:rPr>
          <w:rFonts w:asciiTheme="minorHAnsi" w:hAnsiTheme="minorHAnsi" w:cstheme="minorHAnsi"/>
          <w:color w:val="auto"/>
          <w14:ligatures w14:val="none"/>
        </w:rPr>
        <w:t>Lichtenthal</w:t>
      </w:r>
      <w:proofErr w:type="spellEnd"/>
      <w:r w:rsidRPr="001C28B8">
        <w:rPr>
          <w:rFonts w:asciiTheme="minorHAnsi" w:hAnsiTheme="minorHAnsi" w:cstheme="minorHAnsi"/>
          <w:color w:val="auto"/>
          <w14:ligatures w14:val="none"/>
        </w:rPr>
        <w:t xml:space="preserve"> &amp; </w:t>
      </w:r>
      <w:proofErr w:type="spellStart"/>
      <w:r w:rsidRPr="001C28B8">
        <w:rPr>
          <w:rFonts w:asciiTheme="minorHAnsi" w:hAnsiTheme="minorHAnsi" w:cstheme="minorHAnsi"/>
          <w:color w:val="auto"/>
          <w14:ligatures w14:val="none"/>
        </w:rPr>
        <w:t>Cruess</w:t>
      </w:r>
      <w:proofErr w:type="spellEnd"/>
      <w:r w:rsidRPr="001C28B8">
        <w:rPr>
          <w:rFonts w:asciiTheme="minorHAnsi" w:hAnsiTheme="minorHAnsi" w:cstheme="minorHAnsi"/>
          <w:color w:val="auto"/>
          <w14:ligatures w14:val="none"/>
        </w:rPr>
        <w:t xml:space="preserve">, 2010). </w:t>
      </w:r>
      <w:proofErr w:type="spellStart"/>
      <w:r w:rsidRPr="001C28B8">
        <w:rPr>
          <w:rFonts w:asciiTheme="minorHAnsi" w:hAnsiTheme="minorHAnsi" w:cstheme="minorHAnsi"/>
          <w:color w:val="auto"/>
          <w14:ligatures w14:val="none"/>
        </w:rPr>
        <w:t>Lichtenthal</w:t>
      </w:r>
      <w:proofErr w:type="spellEnd"/>
      <w:r w:rsidRPr="001C28B8">
        <w:rPr>
          <w:rFonts w:asciiTheme="minorHAnsi" w:hAnsiTheme="minorHAnsi" w:cstheme="minorHAnsi"/>
          <w:color w:val="auto"/>
          <w14:ligatures w14:val="none"/>
        </w:rPr>
        <w:t xml:space="preserve"> &amp; </w:t>
      </w:r>
      <w:proofErr w:type="spellStart"/>
      <w:r w:rsidRPr="001C28B8">
        <w:rPr>
          <w:rFonts w:asciiTheme="minorHAnsi" w:hAnsiTheme="minorHAnsi" w:cstheme="minorHAnsi"/>
          <w:color w:val="auto"/>
          <w14:ligatures w14:val="none"/>
        </w:rPr>
        <w:t>Cruess</w:t>
      </w:r>
      <w:proofErr w:type="spellEnd"/>
      <w:r w:rsidRPr="001C28B8">
        <w:rPr>
          <w:rFonts w:asciiTheme="minorHAnsi" w:hAnsiTheme="minorHAnsi" w:cstheme="minorHAnsi"/>
          <w:color w:val="auto"/>
          <w14:ligatures w14:val="none"/>
        </w:rPr>
        <w:t>, (2010) also showed that the physical health of their sample improved as the treatment went on, but this perhaps reveals some of the limitations of the study.</w:t>
      </w:r>
    </w:p>
    <w:p w:rsidR="001C28B8" w:rsidRPr="001C28B8" w:rsidRDefault="001C28B8" w:rsidP="001C28B8">
      <w:pPr>
        <w:widowControl w:val="0"/>
        <w:jc w:val="both"/>
        <w:rPr>
          <w:rFonts w:asciiTheme="minorHAnsi" w:hAnsiTheme="minorHAnsi" w:cstheme="minorHAnsi"/>
          <w:color w:val="auto"/>
          <w14:ligatures w14:val="none"/>
        </w:rPr>
      </w:pPr>
      <w:r w:rsidRPr="001C28B8">
        <w:rPr>
          <w:rFonts w:asciiTheme="minorHAnsi" w:hAnsiTheme="minorHAnsi" w:cstheme="minorHAnsi"/>
          <w:color w:val="auto"/>
          <w14:ligatures w14:val="none"/>
        </w:rPr>
        <w:t xml:space="preserve">The researchers used bereaved undergraduates who were primarily healthy as participants who did not show high levels of distress or prolonged grief disorder. this creates uncertainty whether interventions based on meaning reconstruction would be effective with people who have prolonged grief disorder or where experiencing a lot of distress. On the other </w:t>
      </w:r>
      <w:proofErr w:type="gramStart"/>
      <w:r w:rsidRPr="001C28B8">
        <w:rPr>
          <w:rFonts w:asciiTheme="minorHAnsi" w:hAnsiTheme="minorHAnsi" w:cstheme="minorHAnsi"/>
          <w:color w:val="auto"/>
          <w14:ligatures w14:val="none"/>
        </w:rPr>
        <w:t>hand</w:t>
      </w:r>
      <w:proofErr w:type="gramEnd"/>
      <w:r w:rsidRPr="001C28B8">
        <w:rPr>
          <w:rFonts w:asciiTheme="minorHAnsi" w:hAnsiTheme="minorHAnsi" w:cstheme="minorHAnsi"/>
          <w:color w:val="auto"/>
          <w14:ligatures w14:val="none"/>
        </w:rPr>
        <w:t xml:space="preserve"> </w:t>
      </w:r>
      <w:proofErr w:type="spellStart"/>
      <w:r w:rsidRPr="001C28B8">
        <w:rPr>
          <w:rFonts w:asciiTheme="minorHAnsi" w:hAnsiTheme="minorHAnsi" w:cstheme="minorHAnsi"/>
          <w:color w:val="auto"/>
          <w14:ligatures w14:val="none"/>
        </w:rPr>
        <w:t>Lichtenthal</w:t>
      </w:r>
      <w:proofErr w:type="spellEnd"/>
      <w:r w:rsidRPr="001C28B8">
        <w:rPr>
          <w:rFonts w:asciiTheme="minorHAnsi" w:hAnsiTheme="minorHAnsi" w:cstheme="minorHAnsi"/>
          <w:color w:val="auto"/>
          <w14:ligatures w14:val="none"/>
        </w:rPr>
        <w:t xml:space="preserve"> &amp; </w:t>
      </w:r>
      <w:proofErr w:type="spellStart"/>
      <w:r w:rsidRPr="001C28B8">
        <w:rPr>
          <w:rFonts w:asciiTheme="minorHAnsi" w:hAnsiTheme="minorHAnsi" w:cstheme="minorHAnsi"/>
          <w:color w:val="auto"/>
          <w14:ligatures w14:val="none"/>
        </w:rPr>
        <w:t>Cruess</w:t>
      </w:r>
      <w:proofErr w:type="spellEnd"/>
      <w:r w:rsidRPr="001C28B8">
        <w:rPr>
          <w:rFonts w:asciiTheme="minorHAnsi" w:hAnsiTheme="minorHAnsi" w:cstheme="minorHAnsi"/>
          <w:color w:val="auto"/>
          <w14:ligatures w14:val="none"/>
        </w:rPr>
        <w:t>, (2010) also showed that the participants of their study felt that meaning-making interventions were more effective that other writing interventions, suggesting that they perceived the meaning-making protocol as more effective. This factor could be particularly useful with vulnerable populations such as the elderly.</w:t>
      </w:r>
    </w:p>
    <w:p w:rsidR="001C28B8" w:rsidRDefault="001C28B8" w:rsidP="001C28B8">
      <w:pPr>
        <w:widowControl w:val="0"/>
        <w:rPr>
          <w:rFonts w:asciiTheme="minorHAnsi" w:hAnsiTheme="minorHAnsi" w:cstheme="minorHAnsi"/>
          <w:color w:val="auto"/>
          <w14:ligatures w14:val="none"/>
        </w:rPr>
      </w:pPr>
      <w:r w:rsidRPr="001C28B8">
        <w:rPr>
          <w:rFonts w:asciiTheme="minorHAnsi" w:hAnsiTheme="minorHAnsi" w:cstheme="minorHAnsi"/>
          <w:color w:val="auto"/>
          <w14:ligatures w14:val="none"/>
        </w:rPr>
        <w:t> </w:t>
      </w:r>
    </w:p>
    <w:p w:rsidR="002A70A4" w:rsidRDefault="002A70A4" w:rsidP="001C28B8">
      <w:pPr>
        <w:widowControl w:val="0"/>
        <w:rPr>
          <w:rFonts w:asciiTheme="minorHAnsi" w:hAnsiTheme="minorHAnsi" w:cstheme="minorHAnsi"/>
          <w:b/>
          <w:color w:val="auto"/>
          <w14:ligatures w14:val="none"/>
        </w:rPr>
      </w:pPr>
      <w:r w:rsidRPr="002A70A4">
        <w:rPr>
          <w:rFonts w:asciiTheme="minorHAnsi" w:hAnsiTheme="minorHAnsi" w:cstheme="minorHAnsi"/>
          <w:b/>
          <w:color w:val="auto"/>
          <w14:ligatures w14:val="none"/>
        </w:rPr>
        <w:t>References</w:t>
      </w:r>
    </w:p>
    <w:p w:rsidR="002A70A4" w:rsidRDefault="002A70A4" w:rsidP="002A70A4">
      <w:pPr>
        <w:rPr>
          <w:rFonts w:ascii="Arial" w:hAnsi="Arial" w:cs="Arial"/>
          <w:color w:val="222222"/>
          <w:shd w:val="clear" w:color="auto" w:fill="FFFFFF"/>
        </w:rPr>
      </w:pPr>
      <w:r>
        <w:rPr>
          <w:rFonts w:ascii="Arial" w:hAnsi="Arial" w:cs="Arial"/>
          <w:color w:val="222222"/>
          <w:shd w:val="clear" w:color="auto" w:fill="FFFFFF"/>
        </w:rPr>
        <w:lastRenderedPageBreak/>
        <w:t>Col</w:t>
      </w:r>
      <w:bookmarkStart w:id="0" w:name="_GoBack"/>
      <w:bookmarkEnd w:id="0"/>
      <w:r>
        <w:rPr>
          <w:rFonts w:ascii="Arial" w:hAnsi="Arial" w:cs="Arial"/>
          <w:color w:val="222222"/>
          <w:shd w:val="clear" w:color="auto" w:fill="FFFFFF"/>
        </w:rPr>
        <w:t xml:space="preserve">eman, R. A., &amp; </w:t>
      </w:r>
      <w:proofErr w:type="spellStart"/>
      <w:r>
        <w:rPr>
          <w:rFonts w:ascii="Arial" w:hAnsi="Arial" w:cs="Arial"/>
          <w:color w:val="222222"/>
          <w:shd w:val="clear" w:color="auto" w:fill="FFFFFF"/>
        </w:rPr>
        <w:t>Neimeyer</w:t>
      </w:r>
      <w:proofErr w:type="spellEnd"/>
      <w:r>
        <w:rPr>
          <w:rFonts w:ascii="Arial" w:hAnsi="Arial" w:cs="Arial"/>
          <w:color w:val="222222"/>
          <w:shd w:val="clear" w:color="auto" w:fill="FFFFFF"/>
        </w:rPr>
        <w:t>, R. A. (2010). Measuring meaning: Searching for and making sense of spousal loss in late-life. </w:t>
      </w:r>
      <w:r>
        <w:rPr>
          <w:rFonts w:ascii="Arial" w:hAnsi="Arial" w:cs="Arial"/>
          <w:i/>
          <w:iCs/>
          <w:color w:val="222222"/>
          <w:shd w:val="clear" w:color="auto" w:fill="FFFFFF"/>
        </w:rPr>
        <w:t>Death Studies</w:t>
      </w:r>
      <w:r>
        <w:rPr>
          <w:rFonts w:ascii="Arial" w:hAnsi="Arial" w:cs="Arial"/>
          <w:color w:val="222222"/>
          <w:shd w:val="clear" w:color="auto" w:fill="FFFFFF"/>
        </w:rPr>
        <w:t>, </w:t>
      </w:r>
      <w:r>
        <w:rPr>
          <w:rFonts w:ascii="Arial" w:hAnsi="Arial" w:cs="Arial"/>
          <w:i/>
          <w:iCs/>
          <w:color w:val="222222"/>
          <w:shd w:val="clear" w:color="auto" w:fill="FFFFFF"/>
        </w:rPr>
        <w:t>34</w:t>
      </w:r>
      <w:r>
        <w:rPr>
          <w:rFonts w:ascii="Arial" w:hAnsi="Arial" w:cs="Arial"/>
          <w:color w:val="222222"/>
          <w:shd w:val="clear" w:color="auto" w:fill="FFFFFF"/>
        </w:rPr>
        <w:t>(9), 804-834.</w:t>
      </w:r>
    </w:p>
    <w:p w:rsidR="002A70A4" w:rsidRDefault="002A70A4" w:rsidP="002A70A4">
      <w:pPr>
        <w:rPr>
          <w:rFonts w:ascii="Arial" w:hAnsi="Arial" w:cs="Arial"/>
          <w:color w:val="222222"/>
          <w:shd w:val="clear" w:color="auto" w:fill="FFFFFF"/>
        </w:rPr>
      </w:pPr>
      <w:r>
        <w:rPr>
          <w:rFonts w:ascii="Arial" w:hAnsi="Arial" w:cs="Arial"/>
          <w:color w:val="222222"/>
          <w:shd w:val="clear" w:color="auto" w:fill="FFFFFF"/>
        </w:rPr>
        <w:t xml:space="preserve">Field, N. P., Gal-Oz, E., &amp; </w:t>
      </w:r>
      <w:proofErr w:type="spellStart"/>
      <w:r>
        <w:rPr>
          <w:rFonts w:ascii="Arial" w:hAnsi="Arial" w:cs="Arial"/>
          <w:color w:val="222222"/>
          <w:shd w:val="clear" w:color="auto" w:fill="FFFFFF"/>
        </w:rPr>
        <w:t>Bonanno</w:t>
      </w:r>
      <w:proofErr w:type="spellEnd"/>
      <w:r>
        <w:rPr>
          <w:rFonts w:ascii="Arial" w:hAnsi="Arial" w:cs="Arial"/>
          <w:color w:val="222222"/>
          <w:shd w:val="clear" w:color="auto" w:fill="FFFFFF"/>
        </w:rPr>
        <w:t>, G. A. (2003). Continuing bonds and adjustment at 5 years after the death of a spouse. </w:t>
      </w:r>
      <w:r>
        <w:rPr>
          <w:rFonts w:ascii="Arial" w:hAnsi="Arial" w:cs="Arial"/>
          <w:i/>
          <w:iCs/>
          <w:color w:val="222222"/>
          <w:shd w:val="clear" w:color="auto" w:fill="FFFFFF"/>
        </w:rPr>
        <w:t>Journal of consulting and clinical psychology</w:t>
      </w:r>
      <w:r>
        <w:rPr>
          <w:rFonts w:ascii="Arial" w:hAnsi="Arial" w:cs="Arial"/>
          <w:color w:val="222222"/>
          <w:shd w:val="clear" w:color="auto" w:fill="FFFFFF"/>
        </w:rPr>
        <w:t>, </w:t>
      </w:r>
      <w:r>
        <w:rPr>
          <w:rFonts w:ascii="Arial" w:hAnsi="Arial" w:cs="Arial"/>
          <w:i/>
          <w:iCs/>
          <w:color w:val="222222"/>
          <w:shd w:val="clear" w:color="auto" w:fill="FFFFFF"/>
        </w:rPr>
        <w:t>71</w:t>
      </w:r>
      <w:r>
        <w:rPr>
          <w:rFonts w:ascii="Arial" w:hAnsi="Arial" w:cs="Arial"/>
          <w:color w:val="222222"/>
          <w:shd w:val="clear" w:color="auto" w:fill="FFFFFF"/>
        </w:rPr>
        <w:t>(1), 110.</w:t>
      </w:r>
    </w:p>
    <w:p w:rsidR="002A70A4" w:rsidRDefault="002A70A4" w:rsidP="002A70A4">
      <w:pPr>
        <w:rPr>
          <w:rFonts w:ascii="Arial" w:hAnsi="Arial" w:cs="Arial"/>
          <w:color w:val="222222"/>
          <w:shd w:val="clear" w:color="auto" w:fill="FFFFFF"/>
        </w:rPr>
      </w:pPr>
      <w:r>
        <w:rPr>
          <w:rFonts w:ascii="Arial" w:hAnsi="Arial" w:cs="Arial"/>
          <w:color w:val="222222"/>
          <w:shd w:val="clear" w:color="auto" w:fill="FFFFFF"/>
        </w:rPr>
        <w:t xml:space="preserve">Field, N. P., Gao, B., &amp; </w:t>
      </w:r>
      <w:proofErr w:type="spellStart"/>
      <w:r>
        <w:rPr>
          <w:rFonts w:ascii="Arial" w:hAnsi="Arial" w:cs="Arial"/>
          <w:color w:val="222222"/>
          <w:shd w:val="clear" w:color="auto" w:fill="FFFFFF"/>
        </w:rPr>
        <w:t>Paderna</w:t>
      </w:r>
      <w:proofErr w:type="spellEnd"/>
      <w:r>
        <w:rPr>
          <w:rFonts w:ascii="Arial" w:hAnsi="Arial" w:cs="Arial"/>
          <w:color w:val="222222"/>
          <w:shd w:val="clear" w:color="auto" w:fill="FFFFFF"/>
        </w:rPr>
        <w:t xml:space="preserve">, L. (2005). Continuing bonds in bereavement: An attachment </w:t>
      </w:r>
      <w:proofErr w:type="gramStart"/>
      <w:r>
        <w:rPr>
          <w:rFonts w:ascii="Arial" w:hAnsi="Arial" w:cs="Arial"/>
          <w:color w:val="222222"/>
          <w:shd w:val="clear" w:color="auto" w:fill="FFFFFF"/>
        </w:rPr>
        <w:t>theory based</w:t>
      </w:r>
      <w:proofErr w:type="gramEnd"/>
      <w:r>
        <w:rPr>
          <w:rFonts w:ascii="Arial" w:hAnsi="Arial" w:cs="Arial"/>
          <w:color w:val="222222"/>
          <w:shd w:val="clear" w:color="auto" w:fill="FFFFFF"/>
        </w:rPr>
        <w:t xml:space="preserve"> perspective. </w:t>
      </w:r>
      <w:r>
        <w:rPr>
          <w:rFonts w:ascii="Arial" w:hAnsi="Arial" w:cs="Arial"/>
          <w:i/>
          <w:iCs/>
          <w:color w:val="222222"/>
          <w:shd w:val="clear" w:color="auto" w:fill="FFFFFF"/>
        </w:rPr>
        <w:t>Death studies</w:t>
      </w:r>
      <w:r>
        <w:rPr>
          <w:rFonts w:ascii="Arial" w:hAnsi="Arial" w:cs="Arial"/>
          <w:color w:val="222222"/>
          <w:shd w:val="clear" w:color="auto" w:fill="FFFFFF"/>
        </w:rPr>
        <w:t>, </w:t>
      </w:r>
      <w:r>
        <w:rPr>
          <w:rFonts w:ascii="Arial" w:hAnsi="Arial" w:cs="Arial"/>
          <w:i/>
          <w:iCs/>
          <w:color w:val="222222"/>
          <w:shd w:val="clear" w:color="auto" w:fill="FFFFFF"/>
        </w:rPr>
        <w:t>29</w:t>
      </w:r>
      <w:r>
        <w:rPr>
          <w:rFonts w:ascii="Arial" w:hAnsi="Arial" w:cs="Arial"/>
          <w:color w:val="222222"/>
          <w:shd w:val="clear" w:color="auto" w:fill="FFFFFF"/>
        </w:rPr>
        <w:t>(4), 277-299.</w:t>
      </w:r>
    </w:p>
    <w:p w:rsidR="002A70A4" w:rsidRDefault="002A70A4" w:rsidP="002A70A4">
      <w:pPr>
        <w:rPr>
          <w:rFonts w:ascii="Arial" w:hAnsi="Arial" w:cs="Arial"/>
          <w:color w:val="222222"/>
          <w:shd w:val="clear" w:color="auto" w:fill="FFFFFF"/>
        </w:rPr>
      </w:pPr>
      <w:r>
        <w:rPr>
          <w:rFonts w:ascii="Arial" w:hAnsi="Arial" w:cs="Arial"/>
          <w:color w:val="222222"/>
          <w:shd w:val="clear" w:color="auto" w:fill="FFFFFF"/>
        </w:rPr>
        <w:t>Freud, S. (1957). Mourning and melancholia. In </w:t>
      </w:r>
      <w:proofErr w:type="gramStart"/>
      <w:r>
        <w:rPr>
          <w:rFonts w:ascii="Arial" w:hAnsi="Arial" w:cs="Arial"/>
          <w:i/>
          <w:iCs/>
          <w:color w:val="222222"/>
          <w:shd w:val="clear" w:color="auto" w:fill="FFFFFF"/>
        </w:rPr>
        <w:t>The</w:t>
      </w:r>
      <w:proofErr w:type="gramEnd"/>
      <w:r>
        <w:rPr>
          <w:rFonts w:ascii="Arial" w:hAnsi="Arial" w:cs="Arial"/>
          <w:i/>
          <w:iCs/>
          <w:color w:val="222222"/>
          <w:shd w:val="clear" w:color="auto" w:fill="FFFFFF"/>
        </w:rPr>
        <w:t xml:space="preserve"> Standard Edition of the Complete Psychological Works of Sigmund Freud, Volume XIV (1914-1916): On the History of the Psycho-Analytic Movement, Papers on Metapsychology and Other Works</w:t>
      </w:r>
      <w:r>
        <w:rPr>
          <w:rFonts w:ascii="Arial" w:hAnsi="Arial" w:cs="Arial"/>
          <w:color w:val="222222"/>
          <w:shd w:val="clear" w:color="auto" w:fill="FFFFFF"/>
        </w:rPr>
        <w:t> (pp. 237-258).</w:t>
      </w:r>
    </w:p>
    <w:p w:rsidR="002A70A4" w:rsidRDefault="002A70A4" w:rsidP="002A70A4">
      <w:pPr>
        <w:rPr>
          <w:rFonts w:ascii="Arial" w:hAnsi="Arial" w:cs="Arial"/>
          <w:color w:val="222222"/>
          <w:shd w:val="clear" w:color="auto" w:fill="FFFFFF"/>
        </w:rPr>
      </w:pPr>
      <w:r>
        <w:rPr>
          <w:rFonts w:ascii="Arial" w:hAnsi="Arial" w:cs="Arial"/>
          <w:color w:val="222222"/>
          <w:shd w:val="clear" w:color="auto" w:fill="FFFFFF"/>
        </w:rPr>
        <w:t xml:space="preserve">Hardy, S. E., </w:t>
      </w:r>
      <w:proofErr w:type="spellStart"/>
      <w:r>
        <w:rPr>
          <w:rFonts w:ascii="Arial" w:hAnsi="Arial" w:cs="Arial"/>
          <w:color w:val="222222"/>
          <w:shd w:val="clear" w:color="auto" w:fill="FFFFFF"/>
        </w:rPr>
        <w:t>Concato</w:t>
      </w:r>
      <w:proofErr w:type="spellEnd"/>
      <w:r>
        <w:rPr>
          <w:rFonts w:ascii="Arial" w:hAnsi="Arial" w:cs="Arial"/>
          <w:color w:val="222222"/>
          <w:shd w:val="clear" w:color="auto" w:fill="FFFFFF"/>
        </w:rPr>
        <w:t>, J., &amp; Gill, T. M. (2002). Stressful life events among community</w:t>
      </w:r>
      <w:r>
        <w:rPr>
          <w:rFonts w:ascii="Cambria Math" w:hAnsi="Cambria Math" w:cs="Cambria Math"/>
          <w:color w:val="222222"/>
          <w:shd w:val="clear" w:color="auto" w:fill="FFFFFF"/>
        </w:rPr>
        <w:t>‐</w:t>
      </w:r>
      <w:r>
        <w:rPr>
          <w:rFonts w:ascii="Arial" w:hAnsi="Arial" w:cs="Arial"/>
          <w:color w:val="222222"/>
          <w:shd w:val="clear" w:color="auto" w:fill="FFFFFF"/>
        </w:rPr>
        <w:t>living older persons. </w:t>
      </w:r>
      <w:r>
        <w:rPr>
          <w:rFonts w:ascii="Arial" w:hAnsi="Arial" w:cs="Arial"/>
          <w:i/>
          <w:iCs/>
          <w:color w:val="222222"/>
          <w:shd w:val="clear" w:color="auto" w:fill="FFFFFF"/>
        </w:rPr>
        <w:t>Journal of General Internal Medicine</w:t>
      </w:r>
      <w:r>
        <w:rPr>
          <w:rFonts w:ascii="Arial" w:hAnsi="Arial" w:cs="Arial"/>
          <w:color w:val="222222"/>
          <w:shd w:val="clear" w:color="auto" w:fill="FFFFFF"/>
        </w:rPr>
        <w:t>, </w:t>
      </w:r>
      <w:r>
        <w:rPr>
          <w:rFonts w:ascii="Arial" w:hAnsi="Arial" w:cs="Arial"/>
          <w:i/>
          <w:iCs/>
          <w:color w:val="222222"/>
          <w:shd w:val="clear" w:color="auto" w:fill="FFFFFF"/>
        </w:rPr>
        <w:t>17</w:t>
      </w:r>
      <w:r>
        <w:rPr>
          <w:rFonts w:ascii="Arial" w:hAnsi="Arial" w:cs="Arial"/>
          <w:color w:val="222222"/>
          <w:shd w:val="clear" w:color="auto" w:fill="FFFFFF"/>
        </w:rPr>
        <w:t>(11), 841-847.</w:t>
      </w:r>
    </w:p>
    <w:p w:rsidR="002A70A4" w:rsidRDefault="002A70A4" w:rsidP="002A70A4">
      <w:pPr>
        <w:rPr>
          <w:rFonts w:ascii="Arial" w:hAnsi="Arial" w:cs="Arial"/>
          <w:color w:val="222222"/>
          <w:shd w:val="clear" w:color="auto" w:fill="FFFFFF"/>
        </w:rPr>
      </w:pPr>
      <w:proofErr w:type="spellStart"/>
      <w:r>
        <w:rPr>
          <w:rFonts w:ascii="Arial" w:hAnsi="Arial" w:cs="Arial"/>
          <w:color w:val="222222"/>
          <w:shd w:val="clear" w:color="auto" w:fill="FFFFFF"/>
        </w:rPr>
        <w:t>Hedtke</w:t>
      </w:r>
      <w:proofErr w:type="spellEnd"/>
      <w:r>
        <w:rPr>
          <w:rFonts w:ascii="Arial" w:hAnsi="Arial" w:cs="Arial"/>
          <w:color w:val="222222"/>
          <w:shd w:val="clear" w:color="auto" w:fill="FFFFFF"/>
        </w:rPr>
        <w:t>, L. (2012). </w:t>
      </w:r>
      <w:r>
        <w:rPr>
          <w:rFonts w:ascii="Arial" w:hAnsi="Arial" w:cs="Arial"/>
          <w:i/>
          <w:iCs/>
          <w:color w:val="222222"/>
          <w:shd w:val="clear" w:color="auto" w:fill="FFFFFF"/>
        </w:rPr>
        <w:t>Bereavement support groups: Breathing life into stories of the dead</w:t>
      </w:r>
      <w:r>
        <w:rPr>
          <w:rFonts w:ascii="Arial" w:hAnsi="Arial" w:cs="Arial"/>
          <w:color w:val="222222"/>
          <w:shd w:val="clear" w:color="auto" w:fill="FFFFFF"/>
        </w:rPr>
        <w:t xml:space="preserve">. Taos Institute </w:t>
      </w:r>
      <w:proofErr w:type="gramStart"/>
      <w:r>
        <w:rPr>
          <w:rFonts w:ascii="Arial" w:hAnsi="Arial" w:cs="Arial"/>
          <w:color w:val="222222"/>
          <w:shd w:val="clear" w:color="auto" w:fill="FFFFFF"/>
        </w:rPr>
        <w:t>Pub..</w:t>
      </w:r>
      <w:proofErr w:type="gramEnd"/>
    </w:p>
    <w:p w:rsidR="002A70A4" w:rsidRDefault="002A70A4" w:rsidP="002A70A4">
      <w:pPr>
        <w:rPr>
          <w:rFonts w:ascii="Arial" w:hAnsi="Arial" w:cs="Arial"/>
          <w:color w:val="222222"/>
          <w:shd w:val="clear" w:color="auto" w:fill="FFFFFF"/>
        </w:rPr>
      </w:pPr>
      <w:proofErr w:type="spellStart"/>
      <w:r>
        <w:rPr>
          <w:rFonts w:ascii="Arial" w:hAnsi="Arial" w:cs="Arial"/>
          <w:color w:val="222222"/>
          <w:shd w:val="clear" w:color="auto" w:fill="FFFFFF"/>
        </w:rPr>
        <w:t>Janoff</w:t>
      </w:r>
      <w:proofErr w:type="spellEnd"/>
      <w:r>
        <w:rPr>
          <w:rFonts w:ascii="Arial" w:hAnsi="Arial" w:cs="Arial"/>
          <w:color w:val="222222"/>
          <w:shd w:val="clear" w:color="auto" w:fill="FFFFFF"/>
        </w:rPr>
        <w:t>-Bulman, R. (2004). Posttraumatic growth: Three explanatory models. </w:t>
      </w:r>
      <w:r>
        <w:rPr>
          <w:rFonts w:ascii="Arial" w:hAnsi="Arial" w:cs="Arial"/>
          <w:i/>
          <w:iCs/>
          <w:color w:val="222222"/>
          <w:shd w:val="clear" w:color="auto" w:fill="FFFFFF"/>
        </w:rPr>
        <w:t>Psychological inquiry</w:t>
      </w:r>
      <w:r>
        <w:rPr>
          <w:rFonts w:ascii="Arial" w:hAnsi="Arial" w:cs="Arial"/>
          <w:color w:val="222222"/>
          <w:shd w:val="clear" w:color="auto" w:fill="FFFFFF"/>
        </w:rPr>
        <w:t>, </w:t>
      </w:r>
      <w:r>
        <w:rPr>
          <w:rFonts w:ascii="Arial" w:hAnsi="Arial" w:cs="Arial"/>
          <w:i/>
          <w:iCs/>
          <w:color w:val="222222"/>
          <w:shd w:val="clear" w:color="auto" w:fill="FFFFFF"/>
        </w:rPr>
        <w:t>15</w:t>
      </w:r>
      <w:r>
        <w:rPr>
          <w:rFonts w:ascii="Arial" w:hAnsi="Arial" w:cs="Arial"/>
          <w:color w:val="222222"/>
          <w:shd w:val="clear" w:color="auto" w:fill="FFFFFF"/>
        </w:rPr>
        <w:t>(1), 30-34.</w:t>
      </w:r>
    </w:p>
    <w:p w:rsidR="002A70A4" w:rsidRDefault="002A70A4" w:rsidP="002A70A4">
      <w:pPr>
        <w:rPr>
          <w:rFonts w:ascii="Arial" w:hAnsi="Arial" w:cs="Arial"/>
          <w:color w:val="222222"/>
          <w:shd w:val="clear" w:color="auto" w:fill="FFFFFF"/>
        </w:rPr>
      </w:pPr>
      <w:r>
        <w:rPr>
          <w:rFonts w:ascii="Arial" w:hAnsi="Arial" w:cs="Arial"/>
          <w:color w:val="222222"/>
          <w:shd w:val="clear" w:color="auto" w:fill="FFFFFF"/>
        </w:rPr>
        <w:t>L. DATSON SAMUEL J. MARWIT, S. U. S. A. N. (1997). Personality constructs and perceived presence of deceased loved ones. </w:t>
      </w:r>
      <w:r>
        <w:rPr>
          <w:rFonts w:ascii="Arial" w:hAnsi="Arial" w:cs="Arial"/>
          <w:i/>
          <w:iCs/>
          <w:color w:val="222222"/>
          <w:shd w:val="clear" w:color="auto" w:fill="FFFFFF"/>
        </w:rPr>
        <w:t>Death studies</w:t>
      </w:r>
      <w:r>
        <w:rPr>
          <w:rFonts w:ascii="Arial" w:hAnsi="Arial" w:cs="Arial"/>
          <w:color w:val="222222"/>
          <w:shd w:val="clear" w:color="auto" w:fill="FFFFFF"/>
        </w:rPr>
        <w:t>, </w:t>
      </w:r>
      <w:r>
        <w:rPr>
          <w:rFonts w:ascii="Arial" w:hAnsi="Arial" w:cs="Arial"/>
          <w:i/>
          <w:iCs/>
          <w:color w:val="222222"/>
          <w:shd w:val="clear" w:color="auto" w:fill="FFFFFF"/>
        </w:rPr>
        <w:t>21</w:t>
      </w:r>
      <w:r>
        <w:rPr>
          <w:rFonts w:ascii="Arial" w:hAnsi="Arial" w:cs="Arial"/>
          <w:color w:val="222222"/>
          <w:shd w:val="clear" w:color="auto" w:fill="FFFFFF"/>
        </w:rPr>
        <w:t>(2), 131-146.</w:t>
      </w:r>
    </w:p>
    <w:p w:rsidR="002A70A4" w:rsidRDefault="002A70A4" w:rsidP="002A70A4">
      <w:pPr>
        <w:rPr>
          <w:rFonts w:ascii="Arial" w:hAnsi="Arial" w:cs="Arial"/>
          <w:color w:val="222222"/>
          <w:shd w:val="clear" w:color="auto" w:fill="FFFFFF"/>
        </w:rPr>
      </w:pPr>
      <w:proofErr w:type="spellStart"/>
      <w:r>
        <w:rPr>
          <w:rFonts w:ascii="Arial" w:hAnsi="Arial" w:cs="Arial"/>
          <w:color w:val="222222"/>
          <w:shd w:val="clear" w:color="auto" w:fill="FFFFFF"/>
        </w:rPr>
        <w:t>Lichtenthal</w:t>
      </w:r>
      <w:proofErr w:type="spellEnd"/>
      <w:r>
        <w:rPr>
          <w:rFonts w:ascii="Arial" w:hAnsi="Arial" w:cs="Arial"/>
          <w:color w:val="222222"/>
          <w:shd w:val="clear" w:color="auto" w:fill="FFFFFF"/>
        </w:rPr>
        <w:t xml:space="preserve">, W. G., &amp; </w:t>
      </w:r>
      <w:proofErr w:type="spellStart"/>
      <w:r>
        <w:rPr>
          <w:rFonts w:ascii="Arial" w:hAnsi="Arial" w:cs="Arial"/>
          <w:color w:val="222222"/>
          <w:shd w:val="clear" w:color="auto" w:fill="FFFFFF"/>
        </w:rPr>
        <w:t>Cruess</w:t>
      </w:r>
      <w:proofErr w:type="spellEnd"/>
      <w:r>
        <w:rPr>
          <w:rFonts w:ascii="Arial" w:hAnsi="Arial" w:cs="Arial"/>
          <w:color w:val="222222"/>
          <w:shd w:val="clear" w:color="auto" w:fill="FFFFFF"/>
        </w:rPr>
        <w:t>, D. G. (2010). Effects of directed written disclosure on grief and distress symptoms among bereaved individuals. </w:t>
      </w:r>
      <w:r>
        <w:rPr>
          <w:rFonts w:ascii="Arial" w:hAnsi="Arial" w:cs="Arial"/>
          <w:i/>
          <w:iCs/>
          <w:color w:val="222222"/>
          <w:shd w:val="clear" w:color="auto" w:fill="FFFFFF"/>
        </w:rPr>
        <w:t>Death Studies</w:t>
      </w:r>
      <w:r>
        <w:rPr>
          <w:rFonts w:ascii="Arial" w:hAnsi="Arial" w:cs="Arial"/>
          <w:color w:val="222222"/>
          <w:shd w:val="clear" w:color="auto" w:fill="FFFFFF"/>
        </w:rPr>
        <w:t>, </w:t>
      </w:r>
      <w:r>
        <w:rPr>
          <w:rFonts w:ascii="Arial" w:hAnsi="Arial" w:cs="Arial"/>
          <w:i/>
          <w:iCs/>
          <w:color w:val="222222"/>
          <w:shd w:val="clear" w:color="auto" w:fill="FFFFFF"/>
        </w:rPr>
        <w:t>34</w:t>
      </w:r>
      <w:r>
        <w:rPr>
          <w:rFonts w:ascii="Arial" w:hAnsi="Arial" w:cs="Arial"/>
          <w:color w:val="222222"/>
          <w:shd w:val="clear" w:color="auto" w:fill="FFFFFF"/>
        </w:rPr>
        <w:t>(6), 475-499.</w:t>
      </w:r>
    </w:p>
    <w:p w:rsidR="002A70A4" w:rsidRDefault="002A70A4" w:rsidP="002A70A4">
      <w:pPr>
        <w:rPr>
          <w:rFonts w:ascii="Arial" w:hAnsi="Arial" w:cs="Arial"/>
          <w:color w:val="222222"/>
          <w:shd w:val="clear" w:color="auto" w:fill="FFFFFF"/>
        </w:rPr>
      </w:pPr>
      <w:proofErr w:type="spellStart"/>
      <w:r>
        <w:rPr>
          <w:rFonts w:ascii="Arial" w:hAnsi="Arial" w:cs="Arial"/>
          <w:color w:val="222222"/>
          <w:shd w:val="clear" w:color="auto" w:fill="FFFFFF"/>
        </w:rPr>
        <w:t>Lichtenthal</w:t>
      </w:r>
      <w:proofErr w:type="spellEnd"/>
      <w:r>
        <w:rPr>
          <w:rFonts w:ascii="Arial" w:hAnsi="Arial" w:cs="Arial"/>
          <w:color w:val="222222"/>
          <w:shd w:val="clear" w:color="auto" w:fill="FFFFFF"/>
        </w:rPr>
        <w:t xml:space="preserve">, W. G., &amp; </w:t>
      </w:r>
      <w:proofErr w:type="spellStart"/>
      <w:r>
        <w:rPr>
          <w:rFonts w:ascii="Arial" w:hAnsi="Arial" w:cs="Arial"/>
          <w:color w:val="222222"/>
          <w:shd w:val="clear" w:color="auto" w:fill="FFFFFF"/>
        </w:rPr>
        <w:t>Neimeyer</w:t>
      </w:r>
      <w:proofErr w:type="spellEnd"/>
      <w:r>
        <w:rPr>
          <w:rFonts w:ascii="Arial" w:hAnsi="Arial" w:cs="Arial"/>
          <w:color w:val="222222"/>
          <w:shd w:val="clear" w:color="auto" w:fill="FFFFFF"/>
        </w:rPr>
        <w:t>, R. A. (2012). Directed journaling to facilitate meaning-making. </w:t>
      </w:r>
      <w:r>
        <w:rPr>
          <w:rFonts w:ascii="Arial" w:hAnsi="Arial" w:cs="Arial"/>
          <w:i/>
          <w:iCs/>
          <w:color w:val="222222"/>
          <w:shd w:val="clear" w:color="auto" w:fill="FFFFFF"/>
        </w:rPr>
        <w:t xml:space="preserve">Techniques of grief therapy: Creative practices for </w:t>
      </w:r>
      <w:proofErr w:type="spellStart"/>
      <w:r>
        <w:rPr>
          <w:rFonts w:ascii="Arial" w:hAnsi="Arial" w:cs="Arial"/>
          <w:i/>
          <w:iCs/>
          <w:color w:val="222222"/>
          <w:shd w:val="clear" w:color="auto" w:fill="FFFFFF"/>
        </w:rPr>
        <w:t>counseling</w:t>
      </w:r>
      <w:proofErr w:type="spellEnd"/>
      <w:r>
        <w:rPr>
          <w:rFonts w:ascii="Arial" w:hAnsi="Arial" w:cs="Arial"/>
          <w:i/>
          <w:iCs/>
          <w:color w:val="222222"/>
          <w:shd w:val="clear" w:color="auto" w:fill="FFFFFF"/>
        </w:rPr>
        <w:t xml:space="preserve"> the bereaved</w:t>
      </w:r>
      <w:r>
        <w:rPr>
          <w:rFonts w:ascii="Arial" w:hAnsi="Arial" w:cs="Arial"/>
          <w:color w:val="222222"/>
          <w:shd w:val="clear" w:color="auto" w:fill="FFFFFF"/>
        </w:rPr>
        <w:t>, 165-168.</w:t>
      </w:r>
    </w:p>
    <w:p w:rsidR="002A70A4" w:rsidRDefault="002A70A4" w:rsidP="002A70A4">
      <w:pPr>
        <w:rPr>
          <w:rFonts w:ascii="Arial" w:hAnsi="Arial" w:cs="Arial"/>
          <w:color w:val="222222"/>
          <w:shd w:val="clear" w:color="auto" w:fill="FFFFFF"/>
        </w:rPr>
      </w:pPr>
      <w:proofErr w:type="spellStart"/>
      <w:r>
        <w:rPr>
          <w:rFonts w:ascii="Arial" w:hAnsi="Arial" w:cs="Arial"/>
          <w:color w:val="222222"/>
          <w:shd w:val="clear" w:color="auto" w:fill="FFFFFF"/>
        </w:rPr>
        <w:t>Maciejewski</w:t>
      </w:r>
      <w:proofErr w:type="spellEnd"/>
      <w:r>
        <w:rPr>
          <w:rFonts w:ascii="Arial" w:hAnsi="Arial" w:cs="Arial"/>
          <w:color w:val="222222"/>
          <w:shd w:val="clear" w:color="auto" w:fill="FFFFFF"/>
        </w:rPr>
        <w:t xml:space="preserve">, P. K., Zhang, B., Block, S. D., &amp; </w:t>
      </w:r>
      <w:proofErr w:type="spellStart"/>
      <w:r>
        <w:rPr>
          <w:rFonts w:ascii="Arial" w:hAnsi="Arial" w:cs="Arial"/>
          <w:color w:val="222222"/>
          <w:shd w:val="clear" w:color="auto" w:fill="FFFFFF"/>
        </w:rPr>
        <w:t>Prigerson</w:t>
      </w:r>
      <w:proofErr w:type="spellEnd"/>
      <w:r>
        <w:rPr>
          <w:rFonts w:ascii="Arial" w:hAnsi="Arial" w:cs="Arial"/>
          <w:color w:val="222222"/>
          <w:shd w:val="clear" w:color="auto" w:fill="FFFFFF"/>
        </w:rPr>
        <w:t>, H. G. (2007). An empirical examination of the stage theory of grief. </w:t>
      </w:r>
      <w:r>
        <w:rPr>
          <w:rFonts w:ascii="Arial" w:hAnsi="Arial" w:cs="Arial"/>
          <w:i/>
          <w:iCs/>
          <w:color w:val="222222"/>
          <w:shd w:val="clear" w:color="auto" w:fill="FFFFFF"/>
        </w:rPr>
        <w:t>Jama</w:t>
      </w:r>
      <w:r>
        <w:rPr>
          <w:rFonts w:ascii="Arial" w:hAnsi="Arial" w:cs="Arial"/>
          <w:color w:val="222222"/>
          <w:shd w:val="clear" w:color="auto" w:fill="FFFFFF"/>
        </w:rPr>
        <w:t>, </w:t>
      </w:r>
      <w:r>
        <w:rPr>
          <w:rFonts w:ascii="Arial" w:hAnsi="Arial" w:cs="Arial"/>
          <w:i/>
          <w:iCs/>
          <w:color w:val="222222"/>
          <w:shd w:val="clear" w:color="auto" w:fill="FFFFFF"/>
        </w:rPr>
        <w:t>297</w:t>
      </w:r>
      <w:r>
        <w:rPr>
          <w:rFonts w:ascii="Arial" w:hAnsi="Arial" w:cs="Arial"/>
          <w:color w:val="222222"/>
          <w:shd w:val="clear" w:color="auto" w:fill="FFFFFF"/>
        </w:rPr>
        <w:t>(7), 716-723.</w:t>
      </w:r>
    </w:p>
    <w:p w:rsidR="002A70A4" w:rsidRDefault="002A70A4" w:rsidP="002A70A4">
      <w:pPr>
        <w:rPr>
          <w:rFonts w:ascii="Arial" w:hAnsi="Arial" w:cs="Arial"/>
          <w:color w:val="222222"/>
          <w:shd w:val="clear" w:color="auto" w:fill="FFFFFF"/>
        </w:rPr>
      </w:pPr>
      <w:proofErr w:type="spellStart"/>
      <w:r>
        <w:rPr>
          <w:rFonts w:ascii="Arial" w:hAnsi="Arial" w:cs="Arial"/>
          <w:color w:val="222222"/>
          <w:shd w:val="clear" w:color="auto" w:fill="FFFFFF"/>
        </w:rPr>
        <w:t>Murrel</w:t>
      </w:r>
      <w:proofErr w:type="spellEnd"/>
      <w:r>
        <w:rPr>
          <w:rFonts w:ascii="Arial" w:hAnsi="Arial" w:cs="Arial"/>
          <w:color w:val="222222"/>
          <w:shd w:val="clear" w:color="auto" w:fill="FFFFFF"/>
        </w:rPr>
        <w:t>, S. A., Norris, F. H., &amp; Hutchins, G. L. (1984). Distribution and desirability of life events in older adults: Population and policy implications. </w:t>
      </w:r>
      <w:r>
        <w:rPr>
          <w:rFonts w:ascii="Arial" w:hAnsi="Arial" w:cs="Arial"/>
          <w:i/>
          <w:iCs/>
          <w:color w:val="222222"/>
          <w:shd w:val="clear" w:color="auto" w:fill="FFFFFF"/>
        </w:rPr>
        <w:t>Journal of Community Psychology</w:t>
      </w:r>
      <w:r>
        <w:rPr>
          <w:rFonts w:ascii="Arial" w:hAnsi="Arial" w:cs="Arial"/>
          <w:color w:val="222222"/>
          <w:shd w:val="clear" w:color="auto" w:fill="FFFFFF"/>
        </w:rPr>
        <w:t>, </w:t>
      </w:r>
      <w:r>
        <w:rPr>
          <w:rFonts w:ascii="Arial" w:hAnsi="Arial" w:cs="Arial"/>
          <w:i/>
          <w:iCs/>
          <w:color w:val="222222"/>
          <w:shd w:val="clear" w:color="auto" w:fill="FFFFFF"/>
        </w:rPr>
        <w:t>12</w:t>
      </w:r>
      <w:r>
        <w:rPr>
          <w:rFonts w:ascii="Arial" w:hAnsi="Arial" w:cs="Arial"/>
          <w:color w:val="222222"/>
          <w:shd w:val="clear" w:color="auto" w:fill="FFFFFF"/>
        </w:rPr>
        <w:t>(4), 301-311.</w:t>
      </w:r>
    </w:p>
    <w:p w:rsidR="002A70A4" w:rsidRDefault="002A70A4" w:rsidP="002A70A4">
      <w:pPr>
        <w:rPr>
          <w:rFonts w:ascii="Arial" w:hAnsi="Arial" w:cs="Arial"/>
          <w:color w:val="222222"/>
          <w:shd w:val="clear" w:color="auto" w:fill="FFFFFF"/>
        </w:rPr>
      </w:pPr>
      <w:proofErr w:type="spellStart"/>
      <w:r>
        <w:rPr>
          <w:rFonts w:ascii="Arial" w:hAnsi="Arial" w:cs="Arial"/>
          <w:color w:val="222222"/>
          <w:shd w:val="clear" w:color="auto" w:fill="FFFFFF"/>
        </w:rPr>
        <w:t>Neimeyer</w:t>
      </w:r>
      <w:proofErr w:type="spellEnd"/>
      <w:r>
        <w:rPr>
          <w:rFonts w:ascii="Arial" w:hAnsi="Arial" w:cs="Arial"/>
          <w:color w:val="222222"/>
          <w:shd w:val="clear" w:color="auto" w:fill="FFFFFF"/>
        </w:rPr>
        <w:t>, R. A. (2001). </w:t>
      </w:r>
      <w:r>
        <w:rPr>
          <w:rFonts w:ascii="Arial" w:hAnsi="Arial" w:cs="Arial"/>
          <w:i/>
          <w:iCs/>
          <w:color w:val="222222"/>
          <w:shd w:val="clear" w:color="auto" w:fill="FFFFFF"/>
        </w:rPr>
        <w:t>Meaning reconstruction &amp; the experience of loss</w:t>
      </w:r>
      <w:r>
        <w:rPr>
          <w:rFonts w:ascii="Arial" w:hAnsi="Arial" w:cs="Arial"/>
          <w:color w:val="222222"/>
          <w:shd w:val="clear" w:color="auto" w:fill="FFFFFF"/>
        </w:rPr>
        <w:t>. American Psychological Association.</w:t>
      </w:r>
    </w:p>
    <w:p w:rsidR="002A70A4" w:rsidRDefault="002A70A4" w:rsidP="002A70A4">
      <w:pPr>
        <w:rPr>
          <w:rFonts w:ascii="Arial" w:hAnsi="Arial" w:cs="Arial"/>
          <w:color w:val="222222"/>
          <w:shd w:val="clear" w:color="auto" w:fill="FFFFFF"/>
        </w:rPr>
      </w:pPr>
      <w:proofErr w:type="spellStart"/>
      <w:r>
        <w:rPr>
          <w:rFonts w:ascii="Arial" w:hAnsi="Arial" w:cs="Arial"/>
          <w:color w:val="222222"/>
          <w:shd w:val="clear" w:color="auto" w:fill="FFFFFF"/>
        </w:rPr>
        <w:t>Neimeyer</w:t>
      </w:r>
      <w:proofErr w:type="spellEnd"/>
      <w:r>
        <w:rPr>
          <w:rFonts w:ascii="Arial" w:hAnsi="Arial" w:cs="Arial"/>
          <w:color w:val="222222"/>
          <w:shd w:val="clear" w:color="auto" w:fill="FFFFFF"/>
        </w:rPr>
        <w:t>, R. A. (2004). Fostering posttraumatic growth: A narrative elaboration. </w:t>
      </w:r>
      <w:r>
        <w:rPr>
          <w:rFonts w:ascii="Arial" w:hAnsi="Arial" w:cs="Arial"/>
          <w:i/>
          <w:iCs/>
          <w:color w:val="222222"/>
          <w:shd w:val="clear" w:color="auto" w:fill="FFFFFF"/>
        </w:rPr>
        <w:t>Psychological inquiry</w:t>
      </w:r>
      <w:r>
        <w:rPr>
          <w:rFonts w:ascii="Arial" w:hAnsi="Arial" w:cs="Arial"/>
          <w:color w:val="222222"/>
          <w:shd w:val="clear" w:color="auto" w:fill="FFFFFF"/>
        </w:rPr>
        <w:t>, </w:t>
      </w:r>
      <w:r>
        <w:rPr>
          <w:rFonts w:ascii="Arial" w:hAnsi="Arial" w:cs="Arial"/>
          <w:i/>
          <w:iCs/>
          <w:color w:val="222222"/>
          <w:shd w:val="clear" w:color="auto" w:fill="FFFFFF"/>
        </w:rPr>
        <w:t>15</w:t>
      </w:r>
      <w:r>
        <w:rPr>
          <w:rFonts w:ascii="Arial" w:hAnsi="Arial" w:cs="Arial"/>
          <w:color w:val="222222"/>
          <w:shd w:val="clear" w:color="auto" w:fill="FFFFFF"/>
        </w:rPr>
        <w:t>(1), 53-59.</w:t>
      </w:r>
    </w:p>
    <w:p w:rsidR="002A70A4" w:rsidRDefault="002A70A4" w:rsidP="002A70A4">
      <w:pPr>
        <w:rPr>
          <w:rFonts w:ascii="Arial" w:hAnsi="Arial" w:cs="Arial"/>
          <w:color w:val="222222"/>
          <w:shd w:val="clear" w:color="auto" w:fill="FFFFFF"/>
        </w:rPr>
      </w:pPr>
      <w:proofErr w:type="spellStart"/>
      <w:r>
        <w:rPr>
          <w:rFonts w:ascii="Arial" w:hAnsi="Arial" w:cs="Arial"/>
          <w:color w:val="222222"/>
          <w:shd w:val="clear" w:color="auto" w:fill="FFFFFF"/>
        </w:rPr>
        <w:t>Neimeyer</w:t>
      </w:r>
      <w:proofErr w:type="spellEnd"/>
      <w:r>
        <w:rPr>
          <w:rFonts w:ascii="Arial" w:hAnsi="Arial" w:cs="Arial"/>
          <w:color w:val="222222"/>
          <w:shd w:val="clear" w:color="auto" w:fill="FFFFFF"/>
        </w:rPr>
        <w:t>, R. A. (2011). 21 Reconstructing Meaning in Bereavement. </w:t>
      </w:r>
      <w:r>
        <w:rPr>
          <w:rFonts w:ascii="Arial" w:hAnsi="Arial" w:cs="Arial"/>
          <w:i/>
          <w:iCs/>
          <w:color w:val="222222"/>
          <w:shd w:val="clear" w:color="auto" w:fill="FFFFFF"/>
        </w:rPr>
        <w:t>Maggie Watson</w:t>
      </w:r>
      <w:r>
        <w:rPr>
          <w:rFonts w:ascii="Arial" w:hAnsi="Arial" w:cs="Arial"/>
          <w:color w:val="222222"/>
          <w:shd w:val="clear" w:color="auto" w:fill="FFFFFF"/>
        </w:rPr>
        <w:t>, 247.</w:t>
      </w:r>
    </w:p>
    <w:p w:rsidR="002A70A4" w:rsidRDefault="002A70A4" w:rsidP="002A70A4">
      <w:pPr>
        <w:rPr>
          <w:rFonts w:ascii="Arial" w:hAnsi="Arial" w:cs="Arial"/>
          <w:color w:val="222222"/>
          <w:shd w:val="clear" w:color="auto" w:fill="FFFFFF"/>
        </w:rPr>
      </w:pPr>
      <w:proofErr w:type="spellStart"/>
      <w:r>
        <w:rPr>
          <w:rFonts w:ascii="Arial" w:hAnsi="Arial" w:cs="Arial"/>
          <w:color w:val="222222"/>
          <w:shd w:val="clear" w:color="auto" w:fill="FFFFFF"/>
        </w:rPr>
        <w:t>Neimeyer</w:t>
      </w:r>
      <w:proofErr w:type="spellEnd"/>
      <w:r>
        <w:rPr>
          <w:rFonts w:ascii="Arial" w:hAnsi="Arial" w:cs="Arial"/>
          <w:color w:val="222222"/>
          <w:shd w:val="clear" w:color="auto" w:fill="FFFFFF"/>
        </w:rPr>
        <w:t>, R. A. (Ed.). (2012). </w:t>
      </w:r>
      <w:r>
        <w:rPr>
          <w:rFonts w:ascii="Arial" w:hAnsi="Arial" w:cs="Arial"/>
          <w:i/>
          <w:iCs/>
          <w:color w:val="222222"/>
          <w:shd w:val="clear" w:color="auto" w:fill="FFFFFF"/>
        </w:rPr>
        <w:t xml:space="preserve">Techniques of grief therapy: Creative practices for </w:t>
      </w:r>
      <w:proofErr w:type="spellStart"/>
      <w:r>
        <w:rPr>
          <w:rFonts w:ascii="Arial" w:hAnsi="Arial" w:cs="Arial"/>
          <w:i/>
          <w:iCs/>
          <w:color w:val="222222"/>
          <w:shd w:val="clear" w:color="auto" w:fill="FFFFFF"/>
        </w:rPr>
        <w:t>counseling</w:t>
      </w:r>
      <w:proofErr w:type="spellEnd"/>
      <w:r>
        <w:rPr>
          <w:rFonts w:ascii="Arial" w:hAnsi="Arial" w:cs="Arial"/>
          <w:i/>
          <w:iCs/>
          <w:color w:val="222222"/>
          <w:shd w:val="clear" w:color="auto" w:fill="FFFFFF"/>
        </w:rPr>
        <w:t xml:space="preserve"> the bereaved</w:t>
      </w:r>
      <w:r>
        <w:rPr>
          <w:rFonts w:ascii="Arial" w:hAnsi="Arial" w:cs="Arial"/>
          <w:color w:val="222222"/>
          <w:shd w:val="clear" w:color="auto" w:fill="FFFFFF"/>
        </w:rPr>
        <w:t>. Routledge.</w:t>
      </w:r>
    </w:p>
    <w:p w:rsidR="002A70A4" w:rsidRDefault="002A70A4" w:rsidP="002A70A4">
      <w:pPr>
        <w:rPr>
          <w:rFonts w:ascii="Arial" w:hAnsi="Arial" w:cs="Arial"/>
          <w:color w:val="222222"/>
          <w:shd w:val="clear" w:color="auto" w:fill="FFFFFF"/>
        </w:rPr>
      </w:pPr>
      <w:proofErr w:type="spellStart"/>
      <w:r>
        <w:rPr>
          <w:rFonts w:ascii="Arial" w:hAnsi="Arial" w:cs="Arial"/>
          <w:color w:val="222222"/>
          <w:shd w:val="clear" w:color="auto" w:fill="FFFFFF"/>
        </w:rPr>
        <w:t>Neimeyer</w:t>
      </w:r>
      <w:proofErr w:type="spellEnd"/>
      <w:r>
        <w:rPr>
          <w:rFonts w:ascii="Arial" w:hAnsi="Arial" w:cs="Arial"/>
          <w:color w:val="222222"/>
          <w:shd w:val="clear" w:color="auto" w:fill="FFFFFF"/>
        </w:rPr>
        <w:t>, R. A. (Ed.). (2012). </w:t>
      </w:r>
      <w:r>
        <w:rPr>
          <w:rFonts w:ascii="Arial" w:hAnsi="Arial" w:cs="Arial"/>
          <w:i/>
          <w:iCs/>
          <w:color w:val="222222"/>
          <w:shd w:val="clear" w:color="auto" w:fill="FFFFFF"/>
        </w:rPr>
        <w:t xml:space="preserve">Techniques of grief therapy: Creative practices for </w:t>
      </w:r>
      <w:proofErr w:type="spellStart"/>
      <w:r>
        <w:rPr>
          <w:rFonts w:ascii="Arial" w:hAnsi="Arial" w:cs="Arial"/>
          <w:i/>
          <w:iCs/>
          <w:color w:val="222222"/>
          <w:shd w:val="clear" w:color="auto" w:fill="FFFFFF"/>
        </w:rPr>
        <w:t>counseling</w:t>
      </w:r>
      <w:proofErr w:type="spellEnd"/>
      <w:r>
        <w:rPr>
          <w:rFonts w:ascii="Arial" w:hAnsi="Arial" w:cs="Arial"/>
          <w:i/>
          <w:iCs/>
          <w:color w:val="222222"/>
          <w:shd w:val="clear" w:color="auto" w:fill="FFFFFF"/>
        </w:rPr>
        <w:t xml:space="preserve"> the bereaved</w:t>
      </w:r>
      <w:r>
        <w:rPr>
          <w:rFonts w:ascii="Arial" w:hAnsi="Arial" w:cs="Arial"/>
          <w:color w:val="222222"/>
          <w:shd w:val="clear" w:color="auto" w:fill="FFFFFF"/>
        </w:rPr>
        <w:t>. Routledge.</w:t>
      </w:r>
    </w:p>
    <w:p w:rsidR="002A70A4" w:rsidRDefault="002A70A4" w:rsidP="002A70A4">
      <w:pPr>
        <w:rPr>
          <w:rFonts w:ascii="Arial" w:hAnsi="Arial" w:cs="Arial"/>
          <w:color w:val="222222"/>
          <w:shd w:val="clear" w:color="auto" w:fill="FFFFFF"/>
        </w:rPr>
      </w:pPr>
      <w:proofErr w:type="spellStart"/>
      <w:r>
        <w:rPr>
          <w:rFonts w:ascii="Arial" w:hAnsi="Arial" w:cs="Arial"/>
          <w:color w:val="222222"/>
          <w:shd w:val="clear" w:color="auto" w:fill="FFFFFF"/>
        </w:rPr>
        <w:t>Neimeyer</w:t>
      </w:r>
      <w:proofErr w:type="spellEnd"/>
      <w:r>
        <w:rPr>
          <w:rFonts w:ascii="Arial" w:hAnsi="Arial" w:cs="Arial"/>
          <w:color w:val="222222"/>
          <w:shd w:val="clear" w:color="auto" w:fill="FFFFFF"/>
        </w:rPr>
        <w:t>, R. A., &amp; Holland, J. M. (2015). Bereavement in later life: Theory, assessment, and intervention. In </w:t>
      </w:r>
      <w:r>
        <w:rPr>
          <w:rFonts w:ascii="Arial" w:hAnsi="Arial" w:cs="Arial"/>
          <w:i/>
          <w:iCs/>
          <w:color w:val="222222"/>
          <w:shd w:val="clear" w:color="auto" w:fill="FFFFFF"/>
        </w:rPr>
        <w:t xml:space="preserve">APA handbook of clinical </w:t>
      </w:r>
      <w:proofErr w:type="spellStart"/>
      <w:r>
        <w:rPr>
          <w:rFonts w:ascii="Arial" w:hAnsi="Arial" w:cs="Arial"/>
          <w:i/>
          <w:iCs/>
          <w:color w:val="222222"/>
          <w:shd w:val="clear" w:color="auto" w:fill="FFFFFF"/>
        </w:rPr>
        <w:t>geropsychology</w:t>
      </w:r>
      <w:proofErr w:type="spellEnd"/>
      <w:r>
        <w:rPr>
          <w:rFonts w:ascii="Arial" w:hAnsi="Arial" w:cs="Arial"/>
          <w:i/>
          <w:iCs/>
          <w:color w:val="222222"/>
          <w:shd w:val="clear" w:color="auto" w:fill="FFFFFF"/>
        </w:rPr>
        <w:t>, Vol. 2: Assessment, treatment, and issues of later life.</w:t>
      </w:r>
      <w:r>
        <w:rPr>
          <w:rFonts w:ascii="Arial" w:hAnsi="Arial" w:cs="Arial"/>
          <w:color w:val="222222"/>
          <w:shd w:val="clear" w:color="auto" w:fill="FFFFFF"/>
        </w:rPr>
        <w:t> (pp. 645-666). American Psychological Association.</w:t>
      </w:r>
    </w:p>
    <w:p w:rsidR="002A70A4" w:rsidRDefault="002A70A4" w:rsidP="002A70A4">
      <w:pPr>
        <w:rPr>
          <w:rFonts w:ascii="Arial" w:hAnsi="Arial" w:cs="Arial"/>
          <w:color w:val="222222"/>
          <w:shd w:val="clear" w:color="auto" w:fill="FFFFFF"/>
        </w:rPr>
      </w:pPr>
      <w:proofErr w:type="spellStart"/>
      <w:r>
        <w:rPr>
          <w:rFonts w:ascii="Arial" w:hAnsi="Arial" w:cs="Arial"/>
          <w:color w:val="222222"/>
          <w:shd w:val="clear" w:color="auto" w:fill="FFFFFF"/>
        </w:rPr>
        <w:t>Neimeyer</w:t>
      </w:r>
      <w:proofErr w:type="spellEnd"/>
      <w:r>
        <w:rPr>
          <w:rFonts w:ascii="Arial" w:hAnsi="Arial" w:cs="Arial"/>
          <w:color w:val="222222"/>
          <w:shd w:val="clear" w:color="auto" w:fill="FFFFFF"/>
        </w:rPr>
        <w:t>, R. A., Baldwin, S. A., &amp; Gillies, J. (2006). Continuing bonds and reconstructing meaning: Mitigating complications in bereavement. </w:t>
      </w:r>
      <w:r>
        <w:rPr>
          <w:rFonts w:ascii="Arial" w:hAnsi="Arial" w:cs="Arial"/>
          <w:i/>
          <w:iCs/>
          <w:color w:val="222222"/>
          <w:shd w:val="clear" w:color="auto" w:fill="FFFFFF"/>
        </w:rPr>
        <w:t>Death studies</w:t>
      </w:r>
      <w:r>
        <w:rPr>
          <w:rFonts w:ascii="Arial" w:hAnsi="Arial" w:cs="Arial"/>
          <w:color w:val="222222"/>
          <w:shd w:val="clear" w:color="auto" w:fill="FFFFFF"/>
        </w:rPr>
        <w:t>, </w:t>
      </w:r>
      <w:r>
        <w:rPr>
          <w:rFonts w:ascii="Arial" w:hAnsi="Arial" w:cs="Arial"/>
          <w:i/>
          <w:iCs/>
          <w:color w:val="222222"/>
          <w:shd w:val="clear" w:color="auto" w:fill="FFFFFF"/>
        </w:rPr>
        <w:t>30</w:t>
      </w:r>
      <w:r>
        <w:rPr>
          <w:rFonts w:ascii="Arial" w:hAnsi="Arial" w:cs="Arial"/>
          <w:color w:val="222222"/>
          <w:shd w:val="clear" w:color="auto" w:fill="FFFFFF"/>
        </w:rPr>
        <w:t>(8), 715-738.</w:t>
      </w:r>
    </w:p>
    <w:p w:rsidR="002A70A4" w:rsidRDefault="002A70A4" w:rsidP="002A70A4">
      <w:proofErr w:type="spellStart"/>
      <w:r>
        <w:t>Neimeyer</w:t>
      </w:r>
      <w:proofErr w:type="spellEnd"/>
      <w:r>
        <w:t xml:space="preserve">, R. A., Burke, L., Mackay, </w:t>
      </w:r>
      <w:proofErr w:type="gramStart"/>
      <w:r>
        <w:t>M. ,</w:t>
      </w:r>
      <w:proofErr w:type="gramEnd"/>
      <w:r>
        <w:t xml:space="preserve"> &amp; Stringer, J. . (2010). Grief therapy and the reconstruction of meaning: From principles to practice. Journal of Contemporary Psychotherapy, 40, 73-83.</w:t>
      </w:r>
    </w:p>
    <w:p w:rsidR="002A70A4" w:rsidRDefault="002A70A4" w:rsidP="002A70A4">
      <w:pPr>
        <w:rPr>
          <w:rFonts w:ascii="Arial" w:hAnsi="Arial" w:cs="Arial"/>
          <w:color w:val="222222"/>
          <w:shd w:val="clear" w:color="auto" w:fill="FFFFFF"/>
        </w:rPr>
      </w:pPr>
      <w:proofErr w:type="spellStart"/>
      <w:r>
        <w:rPr>
          <w:rFonts w:ascii="Arial" w:hAnsi="Arial" w:cs="Arial"/>
          <w:color w:val="222222"/>
          <w:shd w:val="clear" w:color="auto" w:fill="FFFFFF"/>
        </w:rPr>
        <w:lastRenderedPageBreak/>
        <w:t>Neimeyer</w:t>
      </w:r>
      <w:proofErr w:type="spellEnd"/>
      <w:r>
        <w:rPr>
          <w:rFonts w:ascii="Arial" w:hAnsi="Arial" w:cs="Arial"/>
          <w:color w:val="222222"/>
          <w:shd w:val="clear" w:color="auto" w:fill="FFFFFF"/>
        </w:rPr>
        <w:t>, R. A., Torres, C., &amp; Smith, D. C. (2011). The virtual dream: Rewriting stories of loss and grief. </w:t>
      </w:r>
      <w:r>
        <w:rPr>
          <w:rFonts w:ascii="Arial" w:hAnsi="Arial" w:cs="Arial"/>
          <w:i/>
          <w:iCs/>
          <w:color w:val="222222"/>
          <w:shd w:val="clear" w:color="auto" w:fill="FFFFFF"/>
        </w:rPr>
        <w:t>Death studies</w:t>
      </w:r>
      <w:r>
        <w:rPr>
          <w:rFonts w:ascii="Arial" w:hAnsi="Arial" w:cs="Arial"/>
          <w:color w:val="222222"/>
          <w:shd w:val="clear" w:color="auto" w:fill="FFFFFF"/>
        </w:rPr>
        <w:t>, </w:t>
      </w:r>
      <w:r>
        <w:rPr>
          <w:rFonts w:ascii="Arial" w:hAnsi="Arial" w:cs="Arial"/>
          <w:i/>
          <w:iCs/>
          <w:color w:val="222222"/>
          <w:shd w:val="clear" w:color="auto" w:fill="FFFFFF"/>
        </w:rPr>
        <w:t>35</w:t>
      </w:r>
      <w:r>
        <w:rPr>
          <w:rFonts w:ascii="Arial" w:hAnsi="Arial" w:cs="Arial"/>
          <w:color w:val="222222"/>
          <w:shd w:val="clear" w:color="auto" w:fill="FFFFFF"/>
        </w:rPr>
        <w:t>(7), 646-672.</w:t>
      </w:r>
    </w:p>
    <w:p w:rsidR="002A70A4" w:rsidRDefault="002A70A4" w:rsidP="002A70A4">
      <w:pPr>
        <w:rPr>
          <w:rFonts w:ascii="Arial" w:hAnsi="Arial" w:cs="Arial"/>
          <w:color w:val="222222"/>
          <w:shd w:val="clear" w:color="auto" w:fill="FFFFFF"/>
        </w:rPr>
      </w:pPr>
      <w:r>
        <w:rPr>
          <w:rFonts w:ascii="Arial" w:hAnsi="Arial" w:cs="Arial"/>
          <w:color w:val="222222"/>
          <w:shd w:val="clear" w:color="auto" w:fill="FFFFFF"/>
        </w:rPr>
        <w:t>Nolen-Hoeksema, S., McBride, A., &amp; Larson, J. (1997). Rumination and psychological distress among bereaved partners. </w:t>
      </w:r>
      <w:r>
        <w:rPr>
          <w:rFonts w:ascii="Arial" w:hAnsi="Arial" w:cs="Arial"/>
          <w:i/>
          <w:iCs/>
          <w:color w:val="222222"/>
          <w:shd w:val="clear" w:color="auto" w:fill="FFFFFF"/>
        </w:rPr>
        <w:t>Journal of personality and social psychology</w:t>
      </w:r>
      <w:r>
        <w:rPr>
          <w:rFonts w:ascii="Arial" w:hAnsi="Arial" w:cs="Arial"/>
          <w:color w:val="222222"/>
          <w:shd w:val="clear" w:color="auto" w:fill="FFFFFF"/>
        </w:rPr>
        <w:t>, </w:t>
      </w:r>
      <w:r>
        <w:rPr>
          <w:rFonts w:ascii="Arial" w:hAnsi="Arial" w:cs="Arial"/>
          <w:i/>
          <w:iCs/>
          <w:color w:val="222222"/>
          <w:shd w:val="clear" w:color="auto" w:fill="FFFFFF"/>
        </w:rPr>
        <w:t>72</w:t>
      </w:r>
      <w:r>
        <w:rPr>
          <w:rFonts w:ascii="Arial" w:hAnsi="Arial" w:cs="Arial"/>
          <w:color w:val="222222"/>
          <w:shd w:val="clear" w:color="auto" w:fill="FFFFFF"/>
        </w:rPr>
        <w:t>(4), 855.</w:t>
      </w:r>
    </w:p>
    <w:p w:rsidR="002A70A4" w:rsidRDefault="002A70A4" w:rsidP="002A70A4">
      <w:pPr>
        <w:rPr>
          <w:rFonts w:ascii="Arial" w:hAnsi="Arial" w:cs="Arial"/>
          <w:color w:val="222222"/>
          <w:shd w:val="clear" w:color="auto" w:fill="FFFFFF"/>
        </w:rPr>
      </w:pPr>
      <w:r>
        <w:rPr>
          <w:rFonts w:ascii="Arial" w:hAnsi="Arial" w:cs="Arial"/>
          <w:color w:val="222222"/>
          <w:shd w:val="clear" w:color="auto" w:fill="FFFFFF"/>
        </w:rPr>
        <w:t>Rando, T. A. (1993). </w:t>
      </w:r>
      <w:r>
        <w:rPr>
          <w:rFonts w:ascii="Arial" w:hAnsi="Arial" w:cs="Arial"/>
          <w:i/>
          <w:iCs/>
          <w:color w:val="222222"/>
          <w:shd w:val="clear" w:color="auto" w:fill="FFFFFF"/>
        </w:rPr>
        <w:t>Treatment of complicated mourning</w:t>
      </w:r>
      <w:r>
        <w:rPr>
          <w:rFonts w:ascii="Arial" w:hAnsi="Arial" w:cs="Arial"/>
          <w:color w:val="222222"/>
          <w:shd w:val="clear" w:color="auto" w:fill="FFFFFF"/>
        </w:rPr>
        <w:t>. Research Press.</w:t>
      </w:r>
    </w:p>
    <w:p w:rsidR="002A70A4" w:rsidRDefault="002A70A4" w:rsidP="002A70A4">
      <w:pPr>
        <w:rPr>
          <w:rFonts w:ascii="Arial" w:hAnsi="Arial" w:cs="Arial"/>
          <w:color w:val="222222"/>
          <w:shd w:val="clear" w:color="auto" w:fill="FFFFFF"/>
        </w:rPr>
      </w:pPr>
      <w:r>
        <w:rPr>
          <w:rFonts w:ascii="Arial" w:hAnsi="Arial" w:cs="Arial"/>
          <w:color w:val="222222"/>
          <w:shd w:val="clear" w:color="auto" w:fill="FFFFFF"/>
        </w:rPr>
        <w:t xml:space="preserve">Rosenzweig, MD, MPH, A., </w:t>
      </w:r>
      <w:proofErr w:type="spellStart"/>
      <w:r>
        <w:rPr>
          <w:rFonts w:ascii="Arial" w:hAnsi="Arial" w:cs="Arial"/>
          <w:color w:val="222222"/>
          <w:shd w:val="clear" w:color="auto" w:fill="FFFFFF"/>
        </w:rPr>
        <w:t>Prigerson</w:t>
      </w:r>
      <w:proofErr w:type="spellEnd"/>
      <w:r>
        <w:rPr>
          <w:rFonts w:ascii="Arial" w:hAnsi="Arial" w:cs="Arial"/>
          <w:color w:val="222222"/>
          <w:shd w:val="clear" w:color="auto" w:fill="FFFFFF"/>
        </w:rPr>
        <w:t>, PhD, H., Miller, MD, M. D., &amp; Reynolds III, MD, C. F. (1997). Bereavement and late-life depression: Grief and its complications in the elderly. </w:t>
      </w:r>
      <w:r>
        <w:rPr>
          <w:rFonts w:ascii="Arial" w:hAnsi="Arial" w:cs="Arial"/>
          <w:i/>
          <w:iCs/>
          <w:color w:val="222222"/>
          <w:shd w:val="clear" w:color="auto" w:fill="FFFFFF"/>
        </w:rPr>
        <w:t>Annual review of medicine</w:t>
      </w:r>
      <w:r>
        <w:rPr>
          <w:rFonts w:ascii="Arial" w:hAnsi="Arial" w:cs="Arial"/>
          <w:color w:val="222222"/>
          <w:shd w:val="clear" w:color="auto" w:fill="FFFFFF"/>
        </w:rPr>
        <w:t>, </w:t>
      </w:r>
      <w:r>
        <w:rPr>
          <w:rFonts w:ascii="Arial" w:hAnsi="Arial" w:cs="Arial"/>
          <w:i/>
          <w:iCs/>
          <w:color w:val="222222"/>
          <w:shd w:val="clear" w:color="auto" w:fill="FFFFFF"/>
        </w:rPr>
        <w:t>48</w:t>
      </w:r>
      <w:r>
        <w:rPr>
          <w:rFonts w:ascii="Arial" w:hAnsi="Arial" w:cs="Arial"/>
          <w:color w:val="222222"/>
          <w:shd w:val="clear" w:color="auto" w:fill="FFFFFF"/>
        </w:rPr>
        <w:t>(1), 421-428.</w:t>
      </w:r>
    </w:p>
    <w:p w:rsidR="002A70A4" w:rsidRDefault="002A70A4" w:rsidP="002A70A4">
      <w:pPr>
        <w:rPr>
          <w:rFonts w:ascii="Arial" w:hAnsi="Arial" w:cs="Arial"/>
          <w:color w:val="222222"/>
          <w:shd w:val="clear" w:color="auto" w:fill="FFFFFF"/>
        </w:rPr>
      </w:pPr>
      <w:r>
        <w:rPr>
          <w:rFonts w:ascii="Arial" w:hAnsi="Arial" w:cs="Arial"/>
          <w:color w:val="222222"/>
          <w:shd w:val="clear" w:color="auto" w:fill="FFFFFF"/>
        </w:rPr>
        <w:t>Rubin, S. S. (1999). The two-track model of bereavement: Overview, retrospect, and prospect. </w:t>
      </w:r>
      <w:r>
        <w:rPr>
          <w:rFonts w:ascii="Arial" w:hAnsi="Arial" w:cs="Arial"/>
          <w:i/>
          <w:iCs/>
          <w:color w:val="222222"/>
          <w:shd w:val="clear" w:color="auto" w:fill="FFFFFF"/>
        </w:rPr>
        <w:t>Death studies</w:t>
      </w:r>
      <w:r>
        <w:rPr>
          <w:rFonts w:ascii="Arial" w:hAnsi="Arial" w:cs="Arial"/>
          <w:color w:val="222222"/>
          <w:shd w:val="clear" w:color="auto" w:fill="FFFFFF"/>
        </w:rPr>
        <w:t>, </w:t>
      </w:r>
      <w:r>
        <w:rPr>
          <w:rFonts w:ascii="Arial" w:hAnsi="Arial" w:cs="Arial"/>
          <w:i/>
          <w:iCs/>
          <w:color w:val="222222"/>
          <w:shd w:val="clear" w:color="auto" w:fill="FFFFFF"/>
        </w:rPr>
        <w:t>23</w:t>
      </w:r>
      <w:r>
        <w:rPr>
          <w:rFonts w:ascii="Arial" w:hAnsi="Arial" w:cs="Arial"/>
          <w:color w:val="222222"/>
          <w:shd w:val="clear" w:color="auto" w:fill="FFFFFF"/>
        </w:rPr>
        <w:t>(8), 681-714.</w:t>
      </w:r>
    </w:p>
    <w:p w:rsidR="002A70A4" w:rsidRDefault="002A70A4" w:rsidP="002A70A4">
      <w:pPr>
        <w:rPr>
          <w:rFonts w:ascii="Arial" w:hAnsi="Arial" w:cs="Arial"/>
          <w:color w:val="222222"/>
          <w:shd w:val="clear" w:color="auto" w:fill="FFFFFF"/>
        </w:rPr>
      </w:pPr>
      <w:r>
        <w:rPr>
          <w:rFonts w:ascii="Arial" w:hAnsi="Arial" w:cs="Arial"/>
          <w:color w:val="222222"/>
          <w:shd w:val="clear" w:color="auto" w:fill="FFFFFF"/>
        </w:rPr>
        <w:t xml:space="preserve">Rubin, S. S., </w:t>
      </w:r>
      <w:proofErr w:type="spellStart"/>
      <w:r>
        <w:rPr>
          <w:rFonts w:ascii="Arial" w:hAnsi="Arial" w:cs="Arial"/>
          <w:color w:val="222222"/>
          <w:shd w:val="clear" w:color="auto" w:fill="FFFFFF"/>
        </w:rPr>
        <w:t>Malkinson</w:t>
      </w:r>
      <w:proofErr w:type="spellEnd"/>
      <w:r>
        <w:rPr>
          <w:rFonts w:ascii="Arial" w:hAnsi="Arial" w:cs="Arial"/>
          <w:color w:val="222222"/>
          <w:shd w:val="clear" w:color="auto" w:fill="FFFFFF"/>
        </w:rPr>
        <w:t xml:space="preserve">, R., &amp; </w:t>
      </w:r>
      <w:proofErr w:type="spellStart"/>
      <w:r>
        <w:rPr>
          <w:rFonts w:ascii="Arial" w:hAnsi="Arial" w:cs="Arial"/>
          <w:color w:val="222222"/>
          <w:shd w:val="clear" w:color="auto" w:fill="FFFFFF"/>
        </w:rPr>
        <w:t>Witztum</w:t>
      </w:r>
      <w:proofErr w:type="spellEnd"/>
      <w:r>
        <w:rPr>
          <w:rFonts w:ascii="Arial" w:hAnsi="Arial" w:cs="Arial"/>
          <w:color w:val="222222"/>
          <w:shd w:val="clear" w:color="auto" w:fill="FFFFFF"/>
        </w:rPr>
        <w:t>, E. (2003). Trauma and bereavement: Conceptual and clinical issues revolving around relationships. </w:t>
      </w:r>
      <w:r>
        <w:rPr>
          <w:rFonts w:ascii="Arial" w:hAnsi="Arial" w:cs="Arial"/>
          <w:i/>
          <w:iCs/>
          <w:color w:val="222222"/>
          <w:shd w:val="clear" w:color="auto" w:fill="FFFFFF"/>
        </w:rPr>
        <w:t>Death studies</w:t>
      </w:r>
      <w:r>
        <w:rPr>
          <w:rFonts w:ascii="Arial" w:hAnsi="Arial" w:cs="Arial"/>
          <w:color w:val="222222"/>
          <w:shd w:val="clear" w:color="auto" w:fill="FFFFFF"/>
        </w:rPr>
        <w:t>, </w:t>
      </w:r>
      <w:r>
        <w:rPr>
          <w:rFonts w:ascii="Arial" w:hAnsi="Arial" w:cs="Arial"/>
          <w:i/>
          <w:iCs/>
          <w:color w:val="222222"/>
          <w:shd w:val="clear" w:color="auto" w:fill="FFFFFF"/>
        </w:rPr>
        <w:t>27</w:t>
      </w:r>
      <w:r>
        <w:rPr>
          <w:rFonts w:ascii="Arial" w:hAnsi="Arial" w:cs="Arial"/>
          <w:color w:val="222222"/>
          <w:shd w:val="clear" w:color="auto" w:fill="FFFFFF"/>
        </w:rPr>
        <w:t>(8), 667-690.</w:t>
      </w:r>
    </w:p>
    <w:p w:rsidR="002A70A4" w:rsidRDefault="002A70A4" w:rsidP="002A70A4">
      <w:pPr>
        <w:rPr>
          <w:rFonts w:ascii="Arial" w:hAnsi="Arial" w:cs="Arial"/>
          <w:color w:val="222222"/>
          <w:shd w:val="clear" w:color="auto" w:fill="FFFFFF"/>
        </w:rPr>
      </w:pPr>
      <w:r>
        <w:rPr>
          <w:rFonts w:ascii="Arial" w:hAnsi="Arial" w:cs="Arial"/>
          <w:color w:val="222222"/>
          <w:shd w:val="clear" w:color="auto" w:fill="FFFFFF"/>
        </w:rPr>
        <w:t xml:space="preserve">Rubin, S. S., </w:t>
      </w:r>
      <w:proofErr w:type="spellStart"/>
      <w:r>
        <w:rPr>
          <w:rFonts w:ascii="Arial" w:hAnsi="Arial" w:cs="Arial"/>
          <w:color w:val="222222"/>
          <w:shd w:val="clear" w:color="auto" w:fill="FFFFFF"/>
        </w:rPr>
        <w:t>Malkinson</w:t>
      </w:r>
      <w:proofErr w:type="spellEnd"/>
      <w:r>
        <w:rPr>
          <w:rFonts w:ascii="Arial" w:hAnsi="Arial" w:cs="Arial"/>
          <w:color w:val="222222"/>
          <w:shd w:val="clear" w:color="auto" w:fill="FFFFFF"/>
        </w:rPr>
        <w:t xml:space="preserve">, R., &amp; </w:t>
      </w:r>
      <w:proofErr w:type="spellStart"/>
      <w:r>
        <w:rPr>
          <w:rFonts w:ascii="Arial" w:hAnsi="Arial" w:cs="Arial"/>
          <w:color w:val="222222"/>
          <w:shd w:val="clear" w:color="auto" w:fill="FFFFFF"/>
        </w:rPr>
        <w:t>Witztum</w:t>
      </w:r>
      <w:proofErr w:type="spellEnd"/>
      <w:r>
        <w:rPr>
          <w:rFonts w:ascii="Arial" w:hAnsi="Arial" w:cs="Arial"/>
          <w:color w:val="222222"/>
          <w:shd w:val="clear" w:color="auto" w:fill="FFFFFF"/>
        </w:rPr>
        <w:t>, E. (2012). </w:t>
      </w:r>
      <w:r>
        <w:rPr>
          <w:rFonts w:ascii="Arial" w:hAnsi="Arial" w:cs="Arial"/>
          <w:i/>
          <w:iCs/>
          <w:color w:val="222222"/>
          <w:shd w:val="clear" w:color="auto" w:fill="FFFFFF"/>
        </w:rPr>
        <w:t>Working with the bereaved: Multiple lenses on loss and mourning</w:t>
      </w:r>
      <w:r>
        <w:rPr>
          <w:rFonts w:ascii="Arial" w:hAnsi="Arial" w:cs="Arial"/>
          <w:color w:val="222222"/>
          <w:shd w:val="clear" w:color="auto" w:fill="FFFFFF"/>
        </w:rPr>
        <w:t>. Taylor &amp; Francis.</w:t>
      </w:r>
    </w:p>
    <w:p w:rsidR="002A70A4" w:rsidRDefault="002A70A4" w:rsidP="002A70A4">
      <w:pPr>
        <w:rPr>
          <w:rFonts w:ascii="Arial" w:hAnsi="Arial" w:cs="Arial"/>
          <w:color w:val="222222"/>
          <w:shd w:val="clear" w:color="auto" w:fill="FFFFFF"/>
        </w:rPr>
      </w:pPr>
      <w:r>
        <w:rPr>
          <w:rFonts w:ascii="Arial" w:hAnsi="Arial" w:cs="Arial"/>
          <w:color w:val="222222"/>
          <w:shd w:val="clear" w:color="auto" w:fill="FFFFFF"/>
        </w:rPr>
        <w:t xml:space="preserve">Rubin, S. S., </w:t>
      </w:r>
      <w:proofErr w:type="spellStart"/>
      <w:r>
        <w:rPr>
          <w:rFonts w:ascii="Arial" w:hAnsi="Arial" w:cs="Arial"/>
          <w:color w:val="222222"/>
          <w:shd w:val="clear" w:color="auto" w:fill="FFFFFF"/>
        </w:rPr>
        <w:t>Malkinson</w:t>
      </w:r>
      <w:proofErr w:type="spellEnd"/>
      <w:r>
        <w:rPr>
          <w:rFonts w:ascii="Arial" w:hAnsi="Arial" w:cs="Arial"/>
          <w:color w:val="222222"/>
          <w:shd w:val="clear" w:color="auto" w:fill="FFFFFF"/>
        </w:rPr>
        <w:t xml:space="preserve">, R., &amp; </w:t>
      </w:r>
      <w:proofErr w:type="spellStart"/>
      <w:r>
        <w:rPr>
          <w:rFonts w:ascii="Arial" w:hAnsi="Arial" w:cs="Arial"/>
          <w:color w:val="222222"/>
          <w:shd w:val="clear" w:color="auto" w:fill="FFFFFF"/>
        </w:rPr>
        <w:t>Witztum</w:t>
      </w:r>
      <w:proofErr w:type="spellEnd"/>
      <w:r>
        <w:rPr>
          <w:rFonts w:ascii="Arial" w:hAnsi="Arial" w:cs="Arial"/>
          <w:color w:val="222222"/>
          <w:shd w:val="clear" w:color="auto" w:fill="FFFFFF"/>
        </w:rPr>
        <w:t>, E. (2012). </w:t>
      </w:r>
      <w:r>
        <w:rPr>
          <w:rFonts w:ascii="Arial" w:hAnsi="Arial" w:cs="Arial"/>
          <w:i/>
          <w:iCs/>
          <w:color w:val="222222"/>
          <w:shd w:val="clear" w:color="auto" w:fill="FFFFFF"/>
        </w:rPr>
        <w:t>Working with the bereaved: Multiple lenses on loss and mourning</w:t>
      </w:r>
      <w:r>
        <w:rPr>
          <w:rFonts w:ascii="Arial" w:hAnsi="Arial" w:cs="Arial"/>
          <w:color w:val="222222"/>
          <w:shd w:val="clear" w:color="auto" w:fill="FFFFFF"/>
        </w:rPr>
        <w:t>. Taylor &amp; Francis.</w:t>
      </w:r>
    </w:p>
    <w:p w:rsidR="002A70A4" w:rsidRDefault="002A70A4" w:rsidP="002A70A4">
      <w:r w:rsidRPr="00141101">
        <w:t>Sanders, C. M. (1999). Grief: 7% mourning after (2nd ed.). New York John Wiley &amp; Sons.</w:t>
      </w:r>
    </w:p>
    <w:p w:rsidR="002A70A4" w:rsidRDefault="002A70A4" w:rsidP="002A70A4">
      <w:pPr>
        <w:rPr>
          <w:rFonts w:ascii="Arial" w:hAnsi="Arial" w:cs="Arial"/>
          <w:color w:val="222222"/>
          <w:shd w:val="clear" w:color="auto" w:fill="FFFFFF"/>
        </w:rPr>
      </w:pPr>
      <w:r>
        <w:rPr>
          <w:rFonts w:ascii="Arial" w:hAnsi="Arial" w:cs="Arial"/>
          <w:color w:val="222222"/>
          <w:shd w:val="clear" w:color="auto" w:fill="FFFFFF"/>
        </w:rPr>
        <w:t>Shear, K., Frank, E., Houck, P. R., &amp; Reynolds, C. F. (2005). Treatment of complicated grief: a randomized controlled trial. </w:t>
      </w:r>
      <w:r>
        <w:rPr>
          <w:rFonts w:ascii="Arial" w:hAnsi="Arial" w:cs="Arial"/>
          <w:i/>
          <w:iCs/>
          <w:color w:val="222222"/>
          <w:shd w:val="clear" w:color="auto" w:fill="FFFFFF"/>
        </w:rPr>
        <w:t>Jama</w:t>
      </w:r>
      <w:r>
        <w:rPr>
          <w:rFonts w:ascii="Arial" w:hAnsi="Arial" w:cs="Arial"/>
          <w:color w:val="222222"/>
          <w:shd w:val="clear" w:color="auto" w:fill="FFFFFF"/>
        </w:rPr>
        <w:t>, </w:t>
      </w:r>
      <w:r>
        <w:rPr>
          <w:rFonts w:ascii="Arial" w:hAnsi="Arial" w:cs="Arial"/>
          <w:i/>
          <w:iCs/>
          <w:color w:val="222222"/>
          <w:shd w:val="clear" w:color="auto" w:fill="FFFFFF"/>
        </w:rPr>
        <w:t>293</w:t>
      </w:r>
      <w:r>
        <w:rPr>
          <w:rFonts w:ascii="Arial" w:hAnsi="Arial" w:cs="Arial"/>
          <w:color w:val="222222"/>
          <w:shd w:val="clear" w:color="auto" w:fill="FFFFFF"/>
        </w:rPr>
        <w:t>(21), 2601-2608.</w:t>
      </w:r>
    </w:p>
    <w:p w:rsidR="002A70A4" w:rsidRDefault="002A70A4" w:rsidP="002A70A4">
      <w:pPr>
        <w:rPr>
          <w:rFonts w:ascii="Arial" w:hAnsi="Arial" w:cs="Arial"/>
          <w:color w:val="222222"/>
          <w:shd w:val="clear" w:color="auto" w:fill="FFFFFF"/>
        </w:rPr>
      </w:pPr>
      <w:proofErr w:type="spellStart"/>
      <w:r>
        <w:rPr>
          <w:rFonts w:ascii="Arial" w:hAnsi="Arial" w:cs="Arial"/>
          <w:color w:val="222222"/>
          <w:shd w:val="clear" w:color="auto" w:fill="FFFFFF"/>
        </w:rPr>
        <w:t>Stroebe</w:t>
      </w:r>
      <w:proofErr w:type="spellEnd"/>
      <w:r>
        <w:rPr>
          <w:rFonts w:ascii="Arial" w:hAnsi="Arial" w:cs="Arial"/>
          <w:color w:val="222222"/>
          <w:shd w:val="clear" w:color="auto" w:fill="FFFFFF"/>
        </w:rPr>
        <w:t>, M. (1993). Coping with bereavement: A review of the grief work hypothesis. </w:t>
      </w:r>
      <w:r>
        <w:rPr>
          <w:rFonts w:ascii="Arial" w:hAnsi="Arial" w:cs="Arial"/>
          <w:i/>
          <w:iCs/>
          <w:color w:val="222222"/>
          <w:shd w:val="clear" w:color="auto" w:fill="FFFFFF"/>
        </w:rPr>
        <w:t>OMEGA-Journal of Death and Dying</w:t>
      </w:r>
      <w:r>
        <w:rPr>
          <w:rFonts w:ascii="Arial" w:hAnsi="Arial" w:cs="Arial"/>
          <w:color w:val="222222"/>
          <w:shd w:val="clear" w:color="auto" w:fill="FFFFFF"/>
        </w:rPr>
        <w:t>, </w:t>
      </w:r>
      <w:r>
        <w:rPr>
          <w:rFonts w:ascii="Arial" w:hAnsi="Arial" w:cs="Arial"/>
          <w:i/>
          <w:iCs/>
          <w:color w:val="222222"/>
          <w:shd w:val="clear" w:color="auto" w:fill="FFFFFF"/>
        </w:rPr>
        <w:t>26</w:t>
      </w:r>
      <w:r>
        <w:rPr>
          <w:rFonts w:ascii="Arial" w:hAnsi="Arial" w:cs="Arial"/>
          <w:color w:val="222222"/>
          <w:shd w:val="clear" w:color="auto" w:fill="FFFFFF"/>
        </w:rPr>
        <w:t>(1), 19-42.</w:t>
      </w:r>
    </w:p>
    <w:p w:rsidR="002A70A4" w:rsidRDefault="002A70A4" w:rsidP="002A70A4">
      <w:pPr>
        <w:rPr>
          <w:rFonts w:ascii="Arial" w:hAnsi="Arial" w:cs="Arial"/>
          <w:color w:val="222222"/>
          <w:shd w:val="clear" w:color="auto" w:fill="FFFFFF"/>
        </w:rPr>
      </w:pPr>
      <w:r>
        <w:rPr>
          <w:rFonts w:ascii="Arial" w:hAnsi="Arial" w:cs="Arial"/>
          <w:color w:val="222222"/>
          <w:shd w:val="clear" w:color="auto" w:fill="FFFFFF"/>
        </w:rPr>
        <w:t>TAMLYN, B. D. W. D. (1997). An international survey of death education trends in faculties of nursing and medicine. </w:t>
      </w:r>
      <w:r>
        <w:rPr>
          <w:rFonts w:ascii="Arial" w:hAnsi="Arial" w:cs="Arial"/>
          <w:i/>
          <w:iCs/>
          <w:color w:val="222222"/>
          <w:shd w:val="clear" w:color="auto" w:fill="FFFFFF"/>
        </w:rPr>
        <w:t>Death studies</w:t>
      </w:r>
      <w:r>
        <w:rPr>
          <w:rFonts w:ascii="Arial" w:hAnsi="Arial" w:cs="Arial"/>
          <w:color w:val="222222"/>
          <w:shd w:val="clear" w:color="auto" w:fill="FFFFFF"/>
        </w:rPr>
        <w:t>, </w:t>
      </w:r>
      <w:r>
        <w:rPr>
          <w:rFonts w:ascii="Arial" w:hAnsi="Arial" w:cs="Arial"/>
          <w:i/>
          <w:iCs/>
          <w:color w:val="222222"/>
          <w:shd w:val="clear" w:color="auto" w:fill="FFFFFF"/>
        </w:rPr>
        <w:t>21</w:t>
      </w:r>
      <w:r>
        <w:rPr>
          <w:rFonts w:ascii="Arial" w:hAnsi="Arial" w:cs="Arial"/>
          <w:color w:val="222222"/>
          <w:shd w:val="clear" w:color="auto" w:fill="FFFFFF"/>
        </w:rPr>
        <w:t>(2), 177-188.</w:t>
      </w:r>
    </w:p>
    <w:p w:rsidR="002A70A4" w:rsidRDefault="002A70A4" w:rsidP="002A70A4">
      <w:pPr>
        <w:rPr>
          <w:rFonts w:ascii="Arial" w:hAnsi="Arial" w:cs="Arial"/>
          <w:color w:val="222222"/>
          <w:shd w:val="clear" w:color="auto" w:fill="FFFFFF"/>
        </w:rPr>
      </w:pPr>
      <w:proofErr w:type="spellStart"/>
      <w:r>
        <w:rPr>
          <w:rFonts w:ascii="Arial" w:hAnsi="Arial" w:cs="Arial"/>
          <w:color w:val="222222"/>
          <w:shd w:val="clear" w:color="auto" w:fill="FFFFFF"/>
        </w:rPr>
        <w:t>Winslade</w:t>
      </w:r>
      <w:proofErr w:type="spellEnd"/>
      <w:r>
        <w:rPr>
          <w:rFonts w:ascii="Arial" w:hAnsi="Arial" w:cs="Arial"/>
          <w:color w:val="222222"/>
          <w:shd w:val="clear" w:color="auto" w:fill="FFFFFF"/>
        </w:rPr>
        <w:t xml:space="preserve">, J. (2004). Lorraine </w:t>
      </w:r>
      <w:proofErr w:type="spellStart"/>
      <w:r>
        <w:rPr>
          <w:rFonts w:ascii="Arial" w:hAnsi="Arial" w:cs="Arial"/>
          <w:color w:val="222222"/>
          <w:shd w:val="clear" w:color="auto" w:fill="FFFFFF"/>
        </w:rPr>
        <w:t>Hedtke</w:t>
      </w:r>
      <w:proofErr w:type="spellEnd"/>
      <w:r>
        <w:rPr>
          <w:rFonts w:ascii="Arial" w:hAnsi="Arial" w:cs="Arial"/>
          <w:color w:val="222222"/>
          <w:shd w:val="clear" w:color="auto" w:fill="FFFFFF"/>
        </w:rPr>
        <w:t>, MSW, ACSW, CISW (Vitas Hospice).</w:t>
      </w:r>
    </w:p>
    <w:p w:rsidR="002A70A4" w:rsidRDefault="002A70A4" w:rsidP="002A70A4">
      <w:pPr>
        <w:rPr>
          <w:rFonts w:ascii="Arial" w:hAnsi="Arial" w:cs="Arial"/>
          <w:color w:val="222222"/>
          <w:shd w:val="clear" w:color="auto" w:fill="FFFFFF"/>
        </w:rPr>
      </w:pPr>
      <w:r>
        <w:rPr>
          <w:rFonts w:ascii="Arial" w:hAnsi="Arial" w:cs="Arial"/>
          <w:color w:val="222222"/>
          <w:shd w:val="clear" w:color="auto" w:fill="FFFFFF"/>
        </w:rPr>
        <w:t>Worden, J. W. (2018). </w:t>
      </w:r>
      <w:r>
        <w:rPr>
          <w:rFonts w:ascii="Arial" w:hAnsi="Arial" w:cs="Arial"/>
          <w:i/>
          <w:iCs/>
          <w:color w:val="222222"/>
          <w:shd w:val="clear" w:color="auto" w:fill="FFFFFF"/>
        </w:rPr>
        <w:t xml:space="preserve">Grief </w:t>
      </w:r>
      <w:proofErr w:type="spellStart"/>
      <w:r>
        <w:rPr>
          <w:rFonts w:ascii="Arial" w:hAnsi="Arial" w:cs="Arial"/>
          <w:i/>
          <w:iCs/>
          <w:color w:val="222222"/>
          <w:shd w:val="clear" w:color="auto" w:fill="FFFFFF"/>
        </w:rPr>
        <w:t>counseling</w:t>
      </w:r>
      <w:proofErr w:type="spellEnd"/>
      <w:r>
        <w:rPr>
          <w:rFonts w:ascii="Arial" w:hAnsi="Arial" w:cs="Arial"/>
          <w:i/>
          <w:iCs/>
          <w:color w:val="222222"/>
          <w:shd w:val="clear" w:color="auto" w:fill="FFFFFF"/>
        </w:rPr>
        <w:t xml:space="preserve"> and grief therapy: A handbook for the mental health practitioner</w:t>
      </w:r>
      <w:r>
        <w:rPr>
          <w:rFonts w:ascii="Arial" w:hAnsi="Arial" w:cs="Arial"/>
          <w:color w:val="222222"/>
          <w:shd w:val="clear" w:color="auto" w:fill="FFFFFF"/>
        </w:rPr>
        <w:t>. Springer Publishing Company.</w:t>
      </w:r>
    </w:p>
    <w:p w:rsidR="002A70A4" w:rsidRDefault="002A70A4" w:rsidP="002A70A4">
      <w:pPr>
        <w:rPr>
          <w:rFonts w:ascii="Arial" w:hAnsi="Arial" w:cs="Arial"/>
          <w:color w:val="222222"/>
          <w:shd w:val="clear" w:color="auto" w:fill="FFFFFF"/>
        </w:rPr>
      </w:pPr>
      <w:r>
        <w:rPr>
          <w:rFonts w:ascii="Arial" w:hAnsi="Arial" w:cs="Arial"/>
          <w:color w:val="222222"/>
          <w:shd w:val="clear" w:color="auto" w:fill="FFFFFF"/>
        </w:rPr>
        <w:t>Wortman, C. B., &amp; Silver, R. C. (2001). The myths of coping with loss revisited. </w:t>
      </w:r>
      <w:r>
        <w:rPr>
          <w:rFonts w:ascii="Arial" w:hAnsi="Arial" w:cs="Arial"/>
          <w:i/>
          <w:iCs/>
          <w:color w:val="222222"/>
          <w:shd w:val="clear" w:color="auto" w:fill="FFFFFF"/>
        </w:rPr>
        <w:t>Handbook of bereavement research: Consequences, coping, and care</w:t>
      </w:r>
      <w:r>
        <w:rPr>
          <w:rFonts w:ascii="Arial" w:hAnsi="Arial" w:cs="Arial"/>
          <w:color w:val="222222"/>
          <w:shd w:val="clear" w:color="auto" w:fill="FFFFFF"/>
        </w:rPr>
        <w:t>, 405-429.</w:t>
      </w:r>
    </w:p>
    <w:p w:rsidR="002A70A4" w:rsidRDefault="002A70A4" w:rsidP="002A70A4"/>
    <w:p w:rsidR="002A70A4" w:rsidRPr="002A70A4" w:rsidRDefault="002A70A4" w:rsidP="001C28B8">
      <w:pPr>
        <w:widowControl w:val="0"/>
        <w:rPr>
          <w:rFonts w:asciiTheme="minorHAnsi" w:hAnsiTheme="minorHAnsi" w:cstheme="minorHAnsi"/>
          <w:color w:val="auto"/>
          <w14:ligatures w14:val="none"/>
        </w:rPr>
      </w:pPr>
    </w:p>
    <w:p w:rsidR="001C28B8" w:rsidRPr="001C28B8" w:rsidRDefault="001C28B8" w:rsidP="00E168D4">
      <w:pPr>
        <w:widowControl w:val="0"/>
        <w:rPr>
          <w14:ligatures w14:val="none"/>
        </w:rPr>
      </w:pPr>
    </w:p>
    <w:sectPr w:rsidR="001C28B8" w:rsidRPr="001C28B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C6073" w:rsidRDefault="006C6073" w:rsidP="006C6073">
      <w:pPr>
        <w:spacing w:after="0" w:line="240" w:lineRule="auto"/>
      </w:pPr>
      <w:r>
        <w:separator/>
      </w:r>
    </w:p>
  </w:endnote>
  <w:endnote w:type="continuationSeparator" w:id="0">
    <w:p w:rsidR="006C6073" w:rsidRDefault="006C6073" w:rsidP="006C607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gency FB">
    <w:panose1 w:val="020B0503020202020204"/>
    <w:charset w:val="00"/>
    <w:family w:val="swiss"/>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Lucida Sans Typewriter">
    <w:panose1 w:val="020B0509030504030204"/>
    <w:charset w:val="00"/>
    <w:family w:val="modern"/>
    <w:pitch w:val="fixed"/>
    <w:sig w:usb0="00000003" w:usb1="00000000" w:usb2="00000000" w:usb3="00000000" w:csb0="00000001" w:csb1="00000000"/>
  </w:font>
  <w:font w:name="Lucida Sans">
    <w:panose1 w:val="020B0602030504020204"/>
    <w:charset w:val="00"/>
    <w:family w:val="swiss"/>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C6073" w:rsidRDefault="006C6073" w:rsidP="006C6073">
      <w:pPr>
        <w:spacing w:after="0" w:line="240" w:lineRule="auto"/>
      </w:pPr>
      <w:r>
        <w:separator/>
      </w:r>
    </w:p>
  </w:footnote>
  <w:footnote w:type="continuationSeparator" w:id="0">
    <w:p w:rsidR="006C6073" w:rsidRDefault="006C6073" w:rsidP="006C607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050E"/>
    <w:rsid w:val="00194E15"/>
    <w:rsid w:val="001C28B8"/>
    <w:rsid w:val="001F791D"/>
    <w:rsid w:val="00234EA6"/>
    <w:rsid w:val="002A70A4"/>
    <w:rsid w:val="002C21C3"/>
    <w:rsid w:val="003827FF"/>
    <w:rsid w:val="00387A77"/>
    <w:rsid w:val="0047201B"/>
    <w:rsid w:val="00517D8A"/>
    <w:rsid w:val="005F54F6"/>
    <w:rsid w:val="006C6073"/>
    <w:rsid w:val="00705F7B"/>
    <w:rsid w:val="007B79C9"/>
    <w:rsid w:val="00AD6AD6"/>
    <w:rsid w:val="00B92031"/>
    <w:rsid w:val="00C52CAB"/>
    <w:rsid w:val="00D2050E"/>
    <w:rsid w:val="00D25F6B"/>
    <w:rsid w:val="00DF6B8D"/>
    <w:rsid w:val="00E168D4"/>
    <w:rsid w:val="00E66E86"/>
    <w:rsid w:val="00E756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19E14C"/>
  <w15:chartTrackingRefBased/>
  <w15:docId w15:val="{231C3652-D324-4BC7-BC89-C7A26D7620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6C6073"/>
    <w:pPr>
      <w:spacing w:after="120" w:line="285" w:lineRule="auto"/>
    </w:pPr>
    <w:rPr>
      <w:rFonts w:ascii="Calibri" w:eastAsia="Times New Roman" w:hAnsi="Calibri" w:cs="Calibri"/>
      <w:color w:val="000000"/>
      <w:kern w:val="28"/>
      <w:sz w:val="20"/>
      <w:szCs w:val="20"/>
      <w:lang w:eastAsia="en-GB"/>
      <w14:ligatures w14:val="standard"/>
      <w14:cntxtAlts/>
    </w:rPr>
  </w:style>
  <w:style w:type="paragraph" w:styleId="Heading1">
    <w:name w:val="heading 1"/>
    <w:link w:val="Heading1Char"/>
    <w:uiPriority w:val="9"/>
    <w:qFormat/>
    <w:rsid w:val="001C28B8"/>
    <w:pPr>
      <w:spacing w:after="0" w:line="271" w:lineRule="auto"/>
      <w:outlineLvl w:val="0"/>
    </w:pPr>
    <w:rPr>
      <w:rFonts w:ascii="Agency FB" w:eastAsia="Times New Roman" w:hAnsi="Agency FB" w:cs="Times New Roman"/>
      <w:b/>
      <w:bCs/>
      <w:color w:val="000000"/>
      <w:kern w:val="28"/>
      <w:sz w:val="32"/>
      <w:szCs w:val="32"/>
      <w:lang w:eastAsia="en-GB"/>
      <w14:ligatures w14:val="standard"/>
      <w14:cntxtAlts/>
    </w:rPr>
  </w:style>
  <w:style w:type="paragraph" w:styleId="Heading3">
    <w:name w:val="heading 3"/>
    <w:basedOn w:val="Normal"/>
    <w:next w:val="Normal"/>
    <w:link w:val="Heading3Char"/>
    <w:uiPriority w:val="9"/>
    <w:semiHidden/>
    <w:unhideWhenUsed/>
    <w:qFormat/>
    <w:rsid w:val="001C28B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7">
    <w:name w:val="heading 7"/>
    <w:basedOn w:val="Normal"/>
    <w:next w:val="Normal"/>
    <w:link w:val="Heading7Char"/>
    <w:uiPriority w:val="9"/>
    <w:unhideWhenUsed/>
    <w:qFormat/>
    <w:rsid w:val="001C28B8"/>
    <w:pPr>
      <w:keepNext/>
      <w:keepLines/>
      <w:spacing w:before="40" w:after="0"/>
      <w:outlineLvl w:val="6"/>
    </w:pPr>
    <w:rPr>
      <w:rFonts w:asciiTheme="majorHAnsi" w:eastAsiaTheme="majorEastAsia" w:hAnsiTheme="majorHAnsi" w:cstheme="majorBidi"/>
      <w:i/>
      <w:iCs/>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link w:val="TitleChar"/>
    <w:uiPriority w:val="10"/>
    <w:qFormat/>
    <w:rsid w:val="006C6073"/>
    <w:pPr>
      <w:spacing w:after="0" w:line="264" w:lineRule="auto"/>
    </w:pPr>
    <w:rPr>
      <w:rFonts w:ascii="Lucida Sans Typewriter" w:eastAsia="Times New Roman" w:hAnsi="Lucida Sans Typewriter" w:cs="Times New Roman"/>
      <w:color w:val="006699"/>
      <w:kern w:val="28"/>
      <w:sz w:val="56"/>
      <w:szCs w:val="56"/>
      <w:lang w:eastAsia="en-GB"/>
      <w14:ligatures w14:val="standard"/>
      <w14:cntxtAlts/>
    </w:rPr>
  </w:style>
  <w:style w:type="character" w:customStyle="1" w:styleId="TitleChar">
    <w:name w:val="Title Char"/>
    <w:basedOn w:val="DefaultParagraphFont"/>
    <w:link w:val="Title"/>
    <w:uiPriority w:val="10"/>
    <w:rsid w:val="006C6073"/>
    <w:rPr>
      <w:rFonts w:ascii="Lucida Sans Typewriter" w:eastAsia="Times New Roman" w:hAnsi="Lucida Sans Typewriter" w:cs="Times New Roman"/>
      <w:color w:val="006699"/>
      <w:kern w:val="28"/>
      <w:sz w:val="56"/>
      <w:szCs w:val="56"/>
      <w:lang w:eastAsia="en-GB"/>
      <w14:textFill>
        <w14:solidFill>
          <w14:srgbClr w14:val="000000"/>
        </w14:solidFill>
      </w14:textFill>
      <w14:ligatures w14:val="standard"/>
      <w14:cntxtAlts/>
    </w:rPr>
  </w:style>
  <w:style w:type="paragraph" w:styleId="BodyText3">
    <w:name w:val="Body Text 3"/>
    <w:link w:val="BodyText3Char"/>
    <w:uiPriority w:val="99"/>
    <w:semiHidden/>
    <w:unhideWhenUsed/>
    <w:rsid w:val="006C6073"/>
    <w:pPr>
      <w:spacing w:after="120" w:line="268" w:lineRule="auto"/>
    </w:pPr>
    <w:rPr>
      <w:rFonts w:ascii="Lucida Sans" w:eastAsia="Times New Roman" w:hAnsi="Lucida Sans" w:cs="Times New Roman"/>
      <w:color w:val="000000"/>
      <w:kern w:val="28"/>
      <w:sz w:val="18"/>
      <w:szCs w:val="18"/>
      <w:lang w:eastAsia="en-GB"/>
      <w14:ligatures w14:val="standard"/>
      <w14:cntxtAlts/>
    </w:rPr>
  </w:style>
  <w:style w:type="character" w:customStyle="1" w:styleId="BodyText3Char">
    <w:name w:val="Body Text 3 Char"/>
    <w:basedOn w:val="DefaultParagraphFont"/>
    <w:link w:val="BodyText3"/>
    <w:uiPriority w:val="99"/>
    <w:semiHidden/>
    <w:rsid w:val="006C6073"/>
    <w:rPr>
      <w:rFonts w:ascii="Lucida Sans" w:eastAsia="Times New Roman" w:hAnsi="Lucida Sans" w:cs="Times New Roman"/>
      <w:color w:val="000000"/>
      <w:kern w:val="28"/>
      <w:sz w:val="18"/>
      <w:szCs w:val="18"/>
      <w:lang w:eastAsia="en-GB"/>
      <w14:ligatures w14:val="standard"/>
      <w14:cntxtAlts/>
    </w:rPr>
  </w:style>
  <w:style w:type="paragraph" w:styleId="Header">
    <w:name w:val="header"/>
    <w:basedOn w:val="Normal"/>
    <w:link w:val="HeaderChar"/>
    <w:uiPriority w:val="99"/>
    <w:unhideWhenUsed/>
    <w:rsid w:val="006C6073"/>
    <w:pPr>
      <w:tabs>
        <w:tab w:val="center" w:pos="4513"/>
        <w:tab w:val="right" w:pos="9026"/>
      </w:tabs>
      <w:spacing w:after="0" w:line="240" w:lineRule="auto"/>
    </w:pPr>
  </w:style>
  <w:style w:type="character" w:customStyle="1" w:styleId="HeaderChar">
    <w:name w:val="Header Char"/>
    <w:basedOn w:val="DefaultParagraphFont"/>
    <w:link w:val="Header"/>
    <w:uiPriority w:val="99"/>
    <w:rsid w:val="006C6073"/>
    <w:rPr>
      <w:rFonts w:ascii="Calibri" w:eastAsia="Times New Roman" w:hAnsi="Calibri" w:cs="Calibri"/>
      <w:color w:val="000000"/>
      <w:kern w:val="28"/>
      <w:sz w:val="20"/>
      <w:szCs w:val="20"/>
      <w:lang w:eastAsia="en-GB"/>
      <w14:ligatures w14:val="standard"/>
      <w14:cntxtAlts/>
    </w:rPr>
  </w:style>
  <w:style w:type="paragraph" w:styleId="Footer">
    <w:name w:val="footer"/>
    <w:basedOn w:val="Normal"/>
    <w:link w:val="FooterChar"/>
    <w:uiPriority w:val="99"/>
    <w:unhideWhenUsed/>
    <w:rsid w:val="006C6073"/>
    <w:pPr>
      <w:tabs>
        <w:tab w:val="center" w:pos="4513"/>
        <w:tab w:val="right" w:pos="9026"/>
      </w:tabs>
      <w:spacing w:after="0" w:line="240" w:lineRule="auto"/>
    </w:pPr>
  </w:style>
  <w:style w:type="character" w:customStyle="1" w:styleId="FooterChar">
    <w:name w:val="Footer Char"/>
    <w:basedOn w:val="DefaultParagraphFont"/>
    <w:link w:val="Footer"/>
    <w:uiPriority w:val="99"/>
    <w:rsid w:val="006C6073"/>
    <w:rPr>
      <w:rFonts w:ascii="Calibri" w:eastAsia="Times New Roman" w:hAnsi="Calibri" w:cs="Calibri"/>
      <w:color w:val="000000"/>
      <w:kern w:val="28"/>
      <w:sz w:val="20"/>
      <w:szCs w:val="20"/>
      <w:lang w:eastAsia="en-GB"/>
      <w14:ligatures w14:val="standard"/>
      <w14:cntxtAlts/>
    </w:rPr>
  </w:style>
  <w:style w:type="paragraph" w:customStyle="1" w:styleId="msotitle3">
    <w:name w:val="msotitle3"/>
    <w:rsid w:val="001C28B8"/>
    <w:pPr>
      <w:spacing w:after="0" w:line="271" w:lineRule="auto"/>
    </w:pPr>
    <w:rPr>
      <w:rFonts w:ascii="Agency FB" w:eastAsia="Times New Roman" w:hAnsi="Agency FB" w:cs="Times New Roman"/>
      <w:b/>
      <w:bCs/>
      <w:color w:val="000000"/>
      <w:kern w:val="28"/>
      <w:sz w:val="48"/>
      <w:szCs w:val="48"/>
      <w:lang w:eastAsia="en-GB"/>
      <w14:ligatures w14:val="standard"/>
      <w14:cntxtAlts/>
    </w:rPr>
  </w:style>
  <w:style w:type="paragraph" w:customStyle="1" w:styleId="msoorganizationname">
    <w:name w:val="msoorganizationname"/>
    <w:rsid w:val="001C28B8"/>
    <w:pPr>
      <w:spacing w:after="0" w:line="271" w:lineRule="auto"/>
    </w:pPr>
    <w:rPr>
      <w:rFonts w:ascii="Agency FB" w:eastAsia="Times New Roman" w:hAnsi="Agency FB" w:cs="Times New Roman"/>
      <w:color w:val="000000"/>
      <w:kern w:val="28"/>
      <w:sz w:val="24"/>
      <w:szCs w:val="24"/>
      <w:lang w:eastAsia="en-GB"/>
      <w14:ligatures w14:val="standard"/>
      <w14:cntxtAlts/>
    </w:rPr>
  </w:style>
  <w:style w:type="character" w:customStyle="1" w:styleId="Heading1Char">
    <w:name w:val="Heading 1 Char"/>
    <w:basedOn w:val="DefaultParagraphFont"/>
    <w:link w:val="Heading1"/>
    <w:uiPriority w:val="9"/>
    <w:rsid w:val="001C28B8"/>
    <w:rPr>
      <w:rFonts w:ascii="Agency FB" w:eastAsia="Times New Roman" w:hAnsi="Agency FB" w:cs="Times New Roman"/>
      <w:b/>
      <w:bCs/>
      <w:color w:val="000000"/>
      <w:kern w:val="28"/>
      <w:sz w:val="32"/>
      <w:szCs w:val="32"/>
      <w:lang w:eastAsia="en-GB"/>
      <w14:ligatures w14:val="standard"/>
      <w14:cntxtAlts/>
    </w:rPr>
  </w:style>
  <w:style w:type="character" w:customStyle="1" w:styleId="Heading3Char">
    <w:name w:val="Heading 3 Char"/>
    <w:basedOn w:val="DefaultParagraphFont"/>
    <w:link w:val="Heading3"/>
    <w:uiPriority w:val="9"/>
    <w:semiHidden/>
    <w:rsid w:val="001C28B8"/>
    <w:rPr>
      <w:rFonts w:asciiTheme="majorHAnsi" w:eastAsiaTheme="majorEastAsia" w:hAnsiTheme="majorHAnsi" w:cstheme="majorBidi"/>
      <w:color w:val="1F3763" w:themeColor="accent1" w:themeShade="7F"/>
      <w:kern w:val="28"/>
      <w:sz w:val="24"/>
      <w:szCs w:val="24"/>
      <w:lang w:eastAsia="en-GB"/>
      <w14:ligatures w14:val="standard"/>
      <w14:cntxtAlts/>
    </w:rPr>
  </w:style>
  <w:style w:type="character" w:customStyle="1" w:styleId="Heading7Char">
    <w:name w:val="Heading 7 Char"/>
    <w:basedOn w:val="DefaultParagraphFont"/>
    <w:link w:val="Heading7"/>
    <w:uiPriority w:val="9"/>
    <w:rsid w:val="001C28B8"/>
    <w:rPr>
      <w:rFonts w:asciiTheme="majorHAnsi" w:eastAsiaTheme="majorEastAsia" w:hAnsiTheme="majorHAnsi" w:cstheme="majorBidi"/>
      <w:i/>
      <w:iCs/>
      <w:color w:val="1F3763" w:themeColor="accent1" w:themeShade="7F"/>
      <w:kern w:val="28"/>
      <w:sz w:val="20"/>
      <w:szCs w:val="20"/>
      <w:lang w:eastAsia="en-GB"/>
      <w14:ligatures w14:val="standard"/>
      <w14:cntxtAlt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2753376">
      <w:bodyDiv w:val="1"/>
      <w:marLeft w:val="0"/>
      <w:marRight w:val="0"/>
      <w:marTop w:val="0"/>
      <w:marBottom w:val="0"/>
      <w:divBdr>
        <w:top w:val="none" w:sz="0" w:space="0" w:color="auto"/>
        <w:left w:val="none" w:sz="0" w:space="0" w:color="auto"/>
        <w:bottom w:val="none" w:sz="0" w:space="0" w:color="auto"/>
        <w:right w:val="none" w:sz="0" w:space="0" w:color="auto"/>
      </w:divBdr>
    </w:div>
    <w:div w:id="99957904">
      <w:bodyDiv w:val="1"/>
      <w:marLeft w:val="0"/>
      <w:marRight w:val="0"/>
      <w:marTop w:val="0"/>
      <w:marBottom w:val="0"/>
      <w:divBdr>
        <w:top w:val="none" w:sz="0" w:space="0" w:color="auto"/>
        <w:left w:val="none" w:sz="0" w:space="0" w:color="auto"/>
        <w:bottom w:val="none" w:sz="0" w:space="0" w:color="auto"/>
        <w:right w:val="none" w:sz="0" w:space="0" w:color="auto"/>
      </w:divBdr>
    </w:div>
    <w:div w:id="149296083">
      <w:bodyDiv w:val="1"/>
      <w:marLeft w:val="0"/>
      <w:marRight w:val="0"/>
      <w:marTop w:val="0"/>
      <w:marBottom w:val="0"/>
      <w:divBdr>
        <w:top w:val="none" w:sz="0" w:space="0" w:color="auto"/>
        <w:left w:val="none" w:sz="0" w:space="0" w:color="auto"/>
        <w:bottom w:val="none" w:sz="0" w:space="0" w:color="auto"/>
        <w:right w:val="none" w:sz="0" w:space="0" w:color="auto"/>
      </w:divBdr>
    </w:div>
    <w:div w:id="199321382">
      <w:bodyDiv w:val="1"/>
      <w:marLeft w:val="0"/>
      <w:marRight w:val="0"/>
      <w:marTop w:val="0"/>
      <w:marBottom w:val="0"/>
      <w:divBdr>
        <w:top w:val="none" w:sz="0" w:space="0" w:color="auto"/>
        <w:left w:val="none" w:sz="0" w:space="0" w:color="auto"/>
        <w:bottom w:val="none" w:sz="0" w:space="0" w:color="auto"/>
        <w:right w:val="none" w:sz="0" w:space="0" w:color="auto"/>
      </w:divBdr>
    </w:div>
    <w:div w:id="201555519">
      <w:bodyDiv w:val="1"/>
      <w:marLeft w:val="0"/>
      <w:marRight w:val="0"/>
      <w:marTop w:val="0"/>
      <w:marBottom w:val="0"/>
      <w:divBdr>
        <w:top w:val="none" w:sz="0" w:space="0" w:color="auto"/>
        <w:left w:val="none" w:sz="0" w:space="0" w:color="auto"/>
        <w:bottom w:val="none" w:sz="0" w:space="0" w:color="auto"/>
        <w:right w:val="none" w:sz="0" w:space="0" w:color="auto"/>
      </w:divBdr>
    </w:div>
    <w:div w:id="228808073">
      <w:bodyDiv w:val="1"/>
      <w:marLeft w:val="0"/>
      <w:marRight w:val="0"/>
      <w:marTop w:val="0"/>
      <w:marBottom w:val="0"/>
      <w:divBdr>
        <w:top w:val="none" w:sz="0" w:space="0" w:color="auto"/>
        <w:left w:val="none" w:sz="0" w:space="0" w:color="auto"/>
        <w:bottom w:val="none" w:sz="0" w:space="0" w:color="auto"/>
        <w:right w:val="none" w:sz="0" w:space="0" w:color="auto"/>
      </w:divBdr>
    </w:div>
    <w:div w:id="278604734">
      <w:bodyDiv w:val="1"/>
      <w:marLeft w:val="0"/>
      <w:marRight w:val="0"/>
      <w:marTop w:val="0"/>
      <w:marBottom w:val="0"/>
      <w:divBdr>
        <w:top w:val="none" w:sz="0" w:space="0" w:color="auto"/>
        <w:left w:val="none" w:sz="0" w:space="0" w:color="auto"/>
        <w:bottom w:val="none" w:sz="0" w:space="0" w:color="auto"/>
        <w:right w:val="none" w:sz="0" w:space="0" w:color="auto"/>
      </w:divBdr>
    </w:div>
    <w:div w:id="302585002">
      <w:bodyDiv w:val="1"/>
      <w:marLeft w:val="0"/>
      <w:marRight w:val="0"/>
      <w:marTop w:val="0"/>
      <w:marBottom w:val="0"/>
      <w:divBdr>
        <w:top w:val="none" w:sz="0" w:space="0" w:color="auto"/>
        <w:left w:val="none" w:sz="0" w:space="0" w:color="auto"/>
        <w:bottom w:val="none" w:sz="0" w:space="0" w:color="auto"/>
        <w:right w:val="none" w:sz="0" w:space="0" w:color="auto"/>
      </w:divBdr>
    </w:div>
    <w:div w:id="341856812">
      <w:bodyDiv w:val="1"/>
      <w:marLeft w:val="0"/>
      <w:marRight w:val="0"/>
      <w:marTop w:val="0"/>
      <w:marBottom w:val="0"/>
      <w:divBdr>
        <w:top w:val="none" w:sz="0" w:space="0" w:color="auto"/>
        <w:left w:val="none" w:sz="0" w:space="0" w:color="auto"/>
        <w:bottom w:val="none" w:sz="0" w:space="0" w:color="auto"/>
        <w:right w:val="none" w:sz="0" w:space="0" w:color="auto"/>
      </w:divBdr>
    </w:div>
    <w:div w:id="396899229">
      <w:bodyDiv w:val="1"/>
      <w:marLeft w:val="0"/>
      <w:marRight w:val="0"/>
      <w:marTop w:val="0"/>
      <w:marBottom w:val="0"/>
      <w:divBdr>
        <w:top w:val="none" w:sz="0" w:space="0" w:color="auto"/>
        <w:left w:val="none" w:sz="0" w:space="0" w:color="auto"/>
        <w:bottom w:val="none" w:sz="0" w:space="0" w:color="auto"/>
        <w:right w:val="none" w:sz="0" w:space="0" w:color="auto"/>
      </w:divBdr>
    </w:div>
    <w:div w:id="494108538">
      <w:bodyDiv w:val="1"/>
      <w:marLeft w:val="0"/>
      <w:marRight w:val="0"/>
      <w:marTop w:val="0"/>
      <w:marBottom w:val="0"/>
      <w:divBdr>
        <w:top w:val="none" w:sz="0" w:space="0" w:color="auto"/>
        <w:left w:val="none" w:sz="0" w:space="0" w:color="auto"/>
        <w:bottom w:val="none" w:sz="0" w:space="0" w:color="auto"/>
        <w:right w:val="none" w:sz="0" w:space="0" w:color="auto"/>
      </w:divBdr>
    </w:div>
    <w:div w:id="494300558">
      <w:bodyDiv w:val="1"/>
      <w:marLeft w:val="0"/>
      <w:marRight w:val="0"/>
      <w:marTop w:val="0"/>
      <w:marBottom w:val="0"/>
      <w:divBdr>
        <w:top w:val="none" w:sz="0" w:space="0" w:color="auto"/>
        <w:left w:val="none" w:sz="0" w:space="0" w:color="auto"/>
        <w:bottom w:val="none" w:sz="0" w:space="0" w:color="auto"/>
        <w:right w:val="none" w:sz="0" w:space="0" w:color="auto"/>
      </w:divBdr>
    </w:div>
    <w:div w:id="542208102">
      <w:bodyDiv w:val="1"/>
      <w:marLeft w:val="0"/>
      <w:marRight w:val="0"/>
      <w:marTop w:val="0"/>
      <w:marBottom w:val="0"/>
      <w:divBdr>
        <w:top w:val="none" w:sz="0" w:space="0" w:color="auto"/>
        <w:left w:val="none" w:sz="0" w:space="0" w:color="auto"/>
        <w:bottom w:val="none" w:sz="0" w:space="0" w:color="auto"/>
        <w:right w:val="none" w:sz="0" w:space="0" w:color="auto"/>
      </w:divBdr>
    </w:div>
    <w:div w:id="591161373">
      <w:bodyDiv w:val="1"/>
      <w:marLeft w:val="0"/>
      <w:marRight w:val="0"/>
      <w:marTop w:val="0"/>
      <w:marBottom w:val="0"/>
      <w:divBdr>
        <w:top w:val="none" w:sz="0" w:space="0" w:color="auto"/>
        <w:left w:val="none" w:sz="0" w:space="0" w:color="auto"/>
        <w:bottom w:val="none" w:sz="0" w:space="0" w:color="auto"/>
        <w:right w:val="none" w:sz="0" w:space="0" w:color="auto"/>
      </w:divBdr>
    </w:div>
    <w:div w:id="653948363">
      <w:bodyDiv w:val="1"/>
      <w:marLeft w:val="0"/>
      <w:marRight w:val="0"/>
      <w:marTop w:val="0"/>
      <w:marBottom w:val="0"/>
      <w:divBdr>
        <w:top w:val="none" w:sz="0" w:space="0" w:color="auto"/>
        <w:left w:val="none" w:sz="0" w:space="0" w:color="auto"/>
        <w:bottom w:val="none" w:sz="0" w:space="0" w:color="auto"/>
        <w:right w:val="none" w:sz="0" w:space="0" w:color="auto"/>
      </w:divBdr>
    </w:div>
    <w:div w:id="658341024">
      <w:bodyDiv w:val="1"/>
      <w:marLeft w:val="0"/>
      <w:marRight w:val="0"/>
      <w:marTop w:val="0"/>
      <w:marBottom w:val="0"/>
      <w:divBdr>
        <w:top w:val="none" w:sz="0" w:space="0" w:color="auto"/>
        <w:left w:val="none" w:sz="0" w:space="0" w:color="auto"/>
        <w:bottom w:val="none" w:sz="0" w:space="0" w:color="auto"/>
        <w:right w:val="none" w:sz="0" w:space="0" w:color="auto"/>
      </w:divBdr>
    </w:div>
    <w:div w:id="669990893">
      <w:bodyDiv w:val="1"/>
      <w:marLeft w:val="0"/>
      <w:marRight w:val="0"/>
      <w:marTop w:val="0"/>
      <w:marBottom w:val="0"/>
      <w:divBdr>
        <w:top w:val="none" w:sz="0" w:space="0" w:color="auto"/>
        <w:left w:val="none" w:sz="0" w:space="0" w:color="auto"/>
        <w:bottom w:val="none" w:sz="0" w:space="0" w:color="auto"/>
        <w:right w:val="none" w:sz="0" w:space="0" w:color="auto"/>
      </w:divBdr>
    </w:div>
    <w:div w:id="781728663">
      <w:bodyDiv w:val="1"/>
      <w:marLeft w:val="0"/>
      <w:marRight w:val="0"/>
      <w:marTop w:val="0"/>
      <w:marBottom w:val="0"/>
      <w:divBdr>
        <w:top w:val="none" w:sz="0" w:space="0" w:color="auto"/>
        <w:left w:val="none" w:sz="0" w:space="0" w:color="auto"/>
        <w:bottom w:val="none" w:sz="0" w:space="0" w:color="auto"/>
        <w:right w:val="none" w:sz="0" w:space="0" w:color="auto"/>
      </w:divBdr>
    </w:div>
    <w:div w:id="808010647">
      <w:bodyDiv w:val="1"/>
      <w:marLeft w:val="0"/>
      <w:marRight w:val="0"/>
      <w:marTop w:val="0"/>
      <w:marBottom w:val="0"/>
      <w:divBdr>
        <w:top w:val="none" w:sz="0" w:space="0" w:color="auto"/>
        <w:left w:val="none" w:sz="0" w:space="0" w:color="auto"/>
        <w:bottom w:val="none" w:sz="0" w:space="0" w:color="auto"/>
        <w:right w:val="none" w:sz="0" w:space="0" w:color="auto"/>
      </w:divBdr>
    </w:div>
    <w:div w:id="812453648">
      <w:bodyDiv w:val="1"/>
      <w:marLeft w:val="0"/>
      <w:marRight w:val="0"/>
      <w:marTop w:val="0"/>
      <w:marBottom w:val="0"/>
      <w:divBdr>
        <w:top w:val="none" w:sz="0" w:space="0" w:color="auto"/>
        <w:left w:val="none" w:sz="0" w:space="0" w:color="auto"/>
        <w:bottom w:val="none" w:sz="0" w:space="0" w:color="auto"/>
        <w:right w:val="none" w:sz="0" w:space="0" w:color="auto"/>
      </w:divBdr>
    </w:div>
    <w:div w:id="818107073">
      <w:bodyDiv w:val="1"/>
      <w:marLeft w:val="0"/>
      <w:marRight w:val="0"/>
      <w:marTop w:val="0"/>
      <w:marBottom w:val="0"/>
      <w:divBdr>
        <w:top w:val="none" w:sz="0" w:space="0" w:color="auto"/>
        <w:left w:val="none" w:sz="0" w:space="0" w:color="auto"/>
        <w:bottom w:val="none" w:sz="0" w:space="0" w:color="auto"/>
        <w:right w:val="none" w:sz="0" w:space="0" w:color="auto"/>
      </w:divBdr>
    </w:div>
    <w:div w:id="834229514">
      <w:bodyDiv w:val="1"/>
      <w:marLeft w:val="0"/>
      <w:marRight w:val="0"/>
      <w:marTop w:val="0"/>
      <w:marBottom w:val="0"/>
      <w:divBdr>
        <w:top w:val="none" w:sz="0" w:space="0" w:color="auto"/>
        <w:left w:val="none" w:sz="0" w:space="0" w:color="auto"/>
        <w:bottom w:val="none" w:sz="0" w:space="0" w:color="auto"/>
        <w:right w:val="none" w:sz="0" w:space="0" w:color="auto"/>
      </w:divBdr>
    </w:div>
    <w:div w:id="839928890">
      <w:bodyDiv w:val="1"/>
      <w:marLeft w:val="0"/>
      <w:marRight w:val="0"/>
      <w:marTop w:val="0"/>
      <w:marBottom w:val="0"/>
      <w:divBdr>
        <w:top w:val="none" w:sz="0" w:space="0" w:color="auto"/>
        <w:left w:val="none" w:sz="0" w:space="0" w:color="auto"/>
        <w:bottom w:val="none" w:sz="0" w:space="0" w:color="auto"/>
        <w:right w:val="none" w:sz="0" w:space="0" w:color="auto"/>
      </w:divBdr>
    </w:div>
    <w:div w:id="869030083">
      <w:bodyDiv w:val="1"/>
      <w:marLeft w:val="0"/>
      <w:marRight w:val="0"/>
      <w:marTop w:val="0"/>
      <w:marBottom w:val="0"/>
      <w:divBdr>
        <w:top w:val="none" w:sz="0" w:space="0" w:color="auto"/>
        <w:left w:val="none" w:sz="0" w:space="0" w:color="auto"/>
        <w:bottom w:val="none" w:sz="0" w:space="0" w:color="auto"/>
        <w:right w:val="none" w:sz="0" w:space="0" w:color="auto"/>
      </w:divBdr>
    </w:div>
    <w:div w:id="878124983">
      <w:bodyDiv w:val="1"/>
      <w:marLeft w:val="0"/>
      <w:marRight w:val="0"/>
      <w:marTop w:val="0"/>
      <w:marBottom w:val="0"/>
      <w:divBdr>
        <w:top w:val="none" w:sz="0" w:space="0" w:color="auto"/>
        <w:left w:val="none" w:sz="0" w:space="0" w:color="auto"/>
        <w:bottom w:val="none" w:sz="0" w:space="0" w:color="auto"/>
        <w:right w:val="none" w:sz="0" w:space="0" w:color="auto"/>
      </w:divBdr>
    </w:div>
    <w:div w:id="924152443">
      <w:bodyDiv w:val="1"/>
      <w:marLeft w:val="0"/>
      <w:marRight w:val="0"/>
      <w:marTop w:val="0"/>
      <w:marBottom w:val="0"/>
      <w:divBdr>
        <w:top w:val="none" w:sz="0" w:space="0" w:color="auto"/>
        <w:left w:val="none" w:sz="0" w:space="0" w:color="auto"/>
        <w:bottom w:val="none" w:sz="0" w:space="0" w:color="auto"/>
        <w:right w:val="none" w:sz="0" w:space="0" w:color="auto"/>
      </w:divBdr>
    </w:div>
    <w:div w:id="959452774">
      <w:bodyDiv w:val="1"/>
      <w:marLeft w:val="0"/>
      <w:marRight w:val="0"/>
      <w:marTop w:val="0"/>
      <w:marBottom w:val="0"/>
      <w:divBdr>
        <w:top w:val="none" w:sz="0" w:space="0" w:color="auto"/>
        <w:left w:val="none" w:sz="0" w:space="0" w:color="auto"/>
        <w:bottom w:val="none" w:sz="0" w:space="0" w:color="auto"/>
        <w:right w:val="none" w:sz="0" w:space="0" w:color="auto"/>
      </w:divBdr>
    </w:div>
    <w:div w:id="980575115">
      <w:bodyDiv w:val="1"/>
      <w:marLeft w:val="0"/>
      <w:marRight w:val="0"/>
      <w:marTop w:val="0"/>
      <w:marBottom w:val="0"/>
      <w:divBdr>
        <w:top w:val="none" w:sz="0" w:space="0" w:color="auto"/>
        <w:left w:val="none" w:sz="0" w:space="0" w:color="auto"/>
        <w:bottom w:val="none" w:sz="0" w:space="0" w:color="auto"/>
        <w:right w:val="none" w:sz="0" w:space="0" w:color="auto"/>
      </w:divBdr>
    </w:div>
    <w:div w:id="992946383">
      <w:bodyDiv w:val="1"/>
      <w:marLeft w:val="0"/>
      <w:marRight w:val="0"/>
      <w:marTop w:val="0"/>
      <w:marBottom w:val="0"/>
      <w:divBdr>
        <w:top w:val="none" w:sz="0" w:space="0" w:color="auto"/>
        <w:left w:val="none" w:sz="0" w:space="0" w:color="auto"/>
        <w:bottom w:val="none" w:sz="0" w:space="0" w:color="auto"/>
        <w:right w:val="none" w:sz="0" w:space="0" w:color="auto"/>
      </w:divBdr>
    </w:div>
    <w:div w:id="1082291511">
      <w:bodyDiv w:val="1"/>
      <w:marLeft w:val="0"/>
      <w:marRight w:val="0"/>
      <w:marTop w:val="0"/>
      <w:marBottom w:val="0"/>
      <w:divBdr>
        <w:top w:val="none" w:sz="0" w:space="0" w:color="auto"/>
        <w:left w:val="none" w:sz="0" w:space="0" w:color="auto"/>
        <w:bottom w:val="none" w:sz="0" w:space="0" w:color="auto"/>
        <w:right w:val="none" w:sz="0" w:space="0" w:color="auto"/>
      </w:divBdr>
    </w:div>
    <w:div w:id="1106730141">
      <w:bodyDiv w:val="1"/>
      <w:marLeft w:val="0"/>
      <w:marRight w:val="0"/>
      <w:marTop w:val="0"/>
      <w:marBottom w:val="0"/>
      <w:divBdr>
        <w:top w:val="none" w:sz="0" w:space="0" w:color="auto"/>
        <w:left w:val="none" w:sz="0" w:space="0" w:color="auto"/>
        <w:bottom w:val="none" w:sz="0" w:space="0" w:color="auto"/>
        <w:right w:val="none" w:sz="0" w:space="0" w:color="auto"/>
      </w:divBdr>
    </w:div>
    <w:div w:id="1118524281">
      <w:bodyDiv w:val="1"/>
      <w:marLeft w:val="0"/>
      <w:marRight w:val="0"/>
      <w:marTop w:val="0"/>
      <w:marBottom w:val="0"/>
      <w:divBdr>
        <w:top w:val="none" w:sz="0" w:space="0" w:color="auto"/>
        <w:left w:val="none" w:sz="0" w:space="0" w:color="auto"/>
        <w:bottom w:val="none" w:sz="0" w:space="0" w:color="auto"/>
        <w:right w:val="none" w:sz="0" w:space="0" w:color="auto"/>
      </w:divBdr>
    </w:div>
    <w:div w:id="1159881426">
      <w:bodyDiv w:val="1"/>
      <w:marLeft w:val="0"/>
      <w:marRight w:val="0"/>
      <w:marTop w:val="0"/>
      <w:marBottom w:val="0"/>
      <w:divBdr>
        <w:top w:val="none" w:sz="0" w:space="0" w:color="auto"/>
        <w:left w:val="none" w:sz="0" w:space="0" w:color="auto"/>
        <w:bottom w:val="none" w:sz="0" w:space="0" w:color="auto"/>
        <w:right w:val="none" w:sz="0" w:space="0" w:color="auto"/>
      </w:divBdr>
    </w:div>
    <w:div w:id="1284119219">
      <w:bodyDiv w:val="1"/>
      <w:marLeft w:val="0"/>
      <w:marRight w:val="0"/>
      <w:marTop w:val="0"/>
      <w:marBottom w:val="0"/>
      <w:divBdr>
        <w:top w:val="none" w:sz="0" w:space="0" w:color="auto"/>
        <w:left w:val="none" w:sz="0" w:space="0" w:color="auto"/>
        <w:bottom w:val="none" w:sz="0" w:space="0" w:color="auto"/>
        <w:right w:val="none" w:sz="0" w:space="0" w:color="auto"/>
      </w:divBdr>
    </w:div>
    <w:div w:id="1310132236">
      <w:bodyDiv w:val="1"/>
      <w:marLeft w:val="0"/>
      <w:marRight w:val="0"/>
      <w:marTop w:val="0"/>
      <w:marBottom w:val="0"/>
      <w:divBdr>
        <w:top w:val="none" w:sz="0" w:space="0" w:color="auto"/>
        <w:left w:val="none" w:sz="0" w:space="0" w:color="auto"/>
        <w:bottom w:val="none" w:sz="0" w:space="0" w:color="auto"/>
        <w:right w:val="none" w:sz="0" w:space="0" w:color="auto"/>
      </w:divBdr>
    </w:div>
    <w:div w:id="1330911981">
      <w:bodyDiv w:val="1"/>
      <w:marLeft w:val="0"/>
      <w:marRight w:val="0"/>
      <w:marTop w:val="0"/>
      <w:marBottom w:val="0"/>
      <w:divBdr>
        <w:top w:val="none" w:sz="0" w:space="0" w:color="auto"/>
        <w:left w:val="none" w:sz="0" w:space="0" w:color="auto"/>
        <w:bottom w:val="none" w:sz="0" w:space="0" w:color="auto"/>
        <w:right w:val="none" w:sz="0" w:space="0" w:color="auto"/>
      </w:divBdr>
    </w:div>
    <w:div w:id="1356660904">
      <w:bodyDiv w:val="1"/>
      <w:marLeft w:val="0"/>
      <w:marRight w:val="0"/>
      <w:marTop w:val="0"/>
      <w:marBottom w:val="0"/>
      <w:divBdr>
        <w:top w:val="none" w:sz="0" w:space="0" w:color="auto"/>
        <w:left w:val="none" w:sz="0" w:space="0" w:color="auto"/>
        <w:bottom w:val="none" w:sz="0" w:space="0" w:color="auto"/>
        <w:right w:val="none" w:sz="0" w:space="0" w:color="auto"/>
      </w:divBdr>
    </w:div>
    <w:div w:id="1395396484">
      <w:bodyDiv w:val="1"/>
      <w:marLeft w:val="0"/>
      <w:marRight w:val="0"/>
      <w:marTop w:val="0"/>
      <w:marBottom w:val="0"/>
      <w:divBdr>
        <w:top w:val="none" w:sz="0" w:space="0" w:color="auto"/>
        <w:left w:val="none" w:sz="0" w:space="0" w:color="auto"/>
        <w:bottom w:val="none" w:sz="0" w:space="0" w:color="auto"/>
        <w:right w:val="none" w:sz="0" w:space="0" w:color="auto"/>
      </w:divBdr>
    </w:div>
    <w:div w:id="1407144268">
      <w:bodyDiv w:val="1"/>
      <w:marLeft w:val="0"/>
      <w:marRight w:val="0"/>
      <w:marTop w:val="0"/>
      <w:marBottom w:val="0"/>
      <w:divBdr>
        <w:top w:val="none" w:sz="0" w:space="0" w:color="auto"/>
        <w:left w:val="none" w:sz="0" w:space="0" w:color="auto"/>
        <w:bottom w:val="none" w:sz="0" w:space="0" w:color="auto"/>
        <w:right w:val="none" w:sz="0" w:space="0" w:color="auto"/>
      </w:divBdr>
    </w:div>
    <w:div w:id="1611818287">
      <w:bodyDiv w:val="1"/>
      <w:marLeft w:val="0"/>
      <w:marRight w:val="0"/>
      <w:marTop w:val="0"/>
      <w:marBottom w:val="0"/>
      <w:divBdr>
        <w:top w:val="none" w:sz="0" w:space="0" w:color="auto"/>
        <w:left w:val="none" w:sz="0" w:space="0" w:color="auto"/>
        <w:bottom w:val="none" w:sz="0" w:space="0" w:color="auto"/>
        <w:right w:val="none" w:sz="0" w:space="0" w:color="auto"/>
      </w:divBdr>
    </w:div>
    <w:div w:id="1617519093">
      <w:bodyDiv w:val="1"/>
      <w:marLeft w:val="0"/>
      <w:marRight w:val="0"/>
      <w:marTop w:val="0"/>
      <w:marBottom w:val="0"/>
      <w:divBdr>
        <w:top w:val="none" w:sz="0" w:space="0" w:color="auto"/>
        <w:left w:val="none" w:sz="0" w:space="0" w:color="auto"/>
        <w:bottom w:val="none" w:sz="0" w:space="0" w:color="auto"/>
        <w:right w:val="none" w:sz="0" w:space="0" w:color="auto"/>
      </w:divBdr>
    </w:div>
    <w:div w:id="1630472062">
      <w:bodyDiv w:val="1"/>
      <w:marLeft w:val="0"/>
      <w:marRight w:val="0"/>
      <w:marTop w:val="0"/>
      <w:marBottom w:val="0"/>
      <w:divBdr>
        <w:top w:val="none" w:sz="0" w:space="0" w:color="auto"/>
        <w:left w:val="none" w:sz="0" w:space="0" w:color="auto"/>
        <w:bottom w:val="none" w:sz="0" w:space="0" w:color="auto"/>
        <w:right w:val="none" w:sz="0" w:space="0" w:color="auto"/>
      </w:divBdr>
    </w:div>
    <w:div w:id="1655913171">
      <w:bodyDiv w:val="1"/>
      <w:marLeft w:val="0"/>
      <w:marRight w:val="0"/>
      <w:marTop w:val="0"/>
      <w:marBottom w:val="0"/>
      <w:divBdr>
        <w:top w:val="none" w:sz="0" w:space="0" w:color="auto"/>
        <w:left w:val="none" w:sz="0" w:space="0" w:color="auto"/>
        <w:bottom w:val="none" w:sz="0" w:space="0" w:color="auto"/>
        <w:right w:val="none" w:sz="0" w:space="0" w:color="auto"/>
      </w:divBdr>
    </w:div>
    <w:div w:id="1656376339">
      <w:bodyDiv w:val="1"/>
      <w:marLeft w:val="0"/>
      <w:marRight w:val="0"/>
      <w:marTop w:val="0"/>
      <w:marBottom w:val="0"/>
      <w:divBdr>
        <w:top w:val="none" w:sz="0" w:space="0" w:color="auto"/>
        <w:left w:val="none" w:sz="0" w:space="0" w:color="auto"/>
        <w:bottom w:val="none" w:sz="0" w:space="0" w:color="auto"/>
        <w:right w:val="none" w:sz="0" w:space="0" w:color="auto"/>
      </w:divBdr>
    </w:div>
    <w:div w:id="1755710874">
      <w:bodyDiv w:val="1"/>
      <w:marLeft w:val="0"/>
      <w:marRight w:val="0"/>
      <w:marTop w:val="0"/>
      <w:marBottom w:val="0"/>
      <w:divBdr>
        <w:top w:val="none" w:sz="0" w:space="0" w:color="auto"/>
        <w:left w:val="none" w:sz="0" w:space="0" w:color="auto"/>
        <w:bottom w:val="none" w:sz="0" w:space="0" w:color="auto"/>
        <w:right w:val="none" w:sz="0" w:space="0" w:color="auto"/>
      </w:divBdr>
    </w:div>
    <w:div w:id="1764759980">
      <w:bodyDiv w:val="1"/>
      <w:marLeft w:val="0"/>
      <w:marRight w:val="0"/>
      <w:marTop w:val="0"/>
      <w:marBottom w:val="0"/>
      <w:divBdr>
        <w:top w:val="none" w:sz="0" w:space="0" w:color="auto"/>
        <w:left w:val="none" w:sz="0" w:space="0" w:color="auto"/>
        <w:bottom w:val="none" w:sz="0" w:space="0" w:color="auto"/>
        <w:right w:val="none" w:sz="0" w:space="0" w:color="auto"/>
      </w:divBdr>
    </w:div>
    <w:div w:id="1793591009">
      <w:bodyDiv w:val="1"/>
      <w:marLeft w:val="0"/>
      <w:marRight w:val="0"/>
      <w:marTop w:val="0"/>
      <w:marBottom w:val="0"/>
      <w:divBdr>
        <w:top w:val="none" w:sz="0" w:space="0" w:color="auto"/>
        <w:left w:val="none" w:sz="0" w:space="0" w:color="auto"/>
        <w:bottom w:val="none" w:sz="0" w:space="0" w:color="auto"/>
        <w:right w:val="none" w:sz="0" w:space="0" w:color="auto"/>
      </w:divBdr>
    </w:div>
    <w:div w:id="1799833281">
      <w:bodyDiv w:val="1"/>
      <w:marLeft w:val="0"/>
      <w:marRight w:val="0"/>
      <w:marTop w:val="0"/>
      <w:marBottom w:val="0"/>
      <w:divBdr>
        <w:top w:val="none" w:sz="0" w:space="0" w:color="auto"/>
        <w:left w:val="none" w:sz="0" w:space="0" w:color="auto"/>
        <w:bottom w:val="none" w:sz="0" w:space="0" w:color="auto"/>
        <w:right w:val="none" w:sz="0" w:space="0" w:color="auto"/>
      </w:divBdr>
    </w:div>
    <w:div w:id="1836260830">
      <w:bodyDiv w:val="1"/>
      <w:marLeft w:val="0"/>
      <w:marRight w:val="0"/>
      <w:marTop w:val="0"/>
      <w:marBottom w:val="0"/>
      <w:divBdr>
        <w:top w:val="none" w:sz="0" w:space="0" w:color="auto"/>
        <w:left w:val="none" w:sz="0" w:space="0" w:color="auto"/>
        <w:bottom w:val="none" w:sz="0" w:space="0" w:color="auto"/>
        <w:right w:val="none" w:sz="0" w:space="0" w:color="auto"/>
      </w:divBdr>
    </w:div>
    <w:div w:id="1910337260">
      <w:bodyDiv w:val="1"/>
      <w:marLeft w:val="0"/>
      <w:marRight w:val="0"/>
      <w:marTop w:val="0"/>
      <w:marBottom w:val="0"/>
      <w:divBdr>
        <w:top w:val="none" w:sz="0" w:space="0" w:color="auto"/>
        <w:left w:val="none" w:sz="0" w:space="0" w:color="auto"/>
        <w:bottom w:val="none" w:sz="0" w:space="0" w:color="auto"/>
        <w:right w:val="none" w:sz="0" w:space="0" w:color="auto"/>
      </w:divBdr>
    </w:div>
    <w:div w:id="1925217942">
      <w:bodyDiv w:val="1"/>
      <w:marLeft w:val="0"/>
      <w:marRight w:val="0"/>
      <w:marTop w:val="0"/>
      <w:marBottom w:val="0"/>
      <w:divBdr>
        <w:top w:val="none" w:sz="0" w:space="0" w:color="auto"/>
        <w:left w:val="none" w:sz="0" w:space="0" w:color="auto"/>
        <w:bottom w:val="none" w:sz="0" w:space="0" w:color="auto"/>
        <w:right w:val="none" w:sz="0" w:space="0" w:color="auto"/>
      </w:divBdr>
    </w:div>
    <w:div w:id="1978027575">
      <w:bodyDiv w:val="1"/>
      <w:marLeft w:val="0"/>
      <w:marRight w:val="0"/>
      <w:marTop w:val="0"/>
      <w:marBottom w:val="0"/>
      <w:divBdr>
        <w:top w:val="none" w:sz="0" w:space="0" w:color="auto"/>
        <w:left w:val="none" w:sz="0" w:space="0" w:color="auto"/>
        <w:bottom w:val="none" w:sz="0" w:space="0" w:color="auto"/>
        <w:right w:val="none" w:sz="0" w:space="0" w:color="auto"/>
      </w:divBdr>
    </w:div>
    <w:div w:id="1979653011">
      <w:bodyDiv w:val="1"/>
      <w:marLeft w:val="0"/>
      <w:marRight w:val="0"/>
      <w:marTop w:val="0"/>
      <w:marBottom w:val="0"/>
      <w:divBdr>
        <w:top w:val="none" w:sz="0" w:space="0" w:color="auto"/>
        <w:left w:val="none" w:sz="0" w:space="0" w:color="auto"/>
        <w:bottom w:val="none" w:sz="0" w:space="0" w:color="auto"/>
        <w:right w:val="none" w:sz="0" w:space="0" w:color="auto"/>
      </w:divBdr>
    </w:div>
    <w:div w:id="20639420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42</TotalTime>
  <Pages>8</Pages>
  <Words>3764</Words>
  <Characters>21459</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25173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Gruffydd Evans (1601183)</dc:creator>
  <cp:keywords/>
  <dc:description/>
  <cp:lastModifiedBy>Gruffydd Evans (1601183)</cp:lastModifiedBy>
  <cp:revision>22</cp:revision>
  <dcterms:created xsi:type="dcterms:W3CDTF">2019-12-20T20:43:00Z</dcterms:created>
  <dcterms:modified xsi:type="dcterms:W3CDTF">2019-12-20T21:58:00Z</dcterms:modified>
</cp:coreProperties>
</file>