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2B893" w14:textId="70A20D4B" w:rsidR="00C91291" w:rsidRPr="00550B57" w:rsidRDefault="00550B57" w:rsidP="00550B57">
      <w:pPr>
        <w:spacing w:before="100" w:beforeAutospacing="1" w:after="100" w:afterAutospacing="1"/>
        <w:jc w:val="center"/>
        <w:rPr>
          <w:b/>
          <w:bCs/>
        </w:rPr>
      </w:pPr>
      <w:r w:rsidRPr="00B613AD">
        <w:rPr>
          <w:b/>
          <w:bCs/>
        </w:rPr>
        <w:t xml:space="preserve">THE IMPACT OF GREEN PRODUCT AWARENESS AND GREEN PRICING ON PURCHASE INTENTIONS: </w:t>
      </w:r>
      <w:r>
        <w:rPr>
          <w:b/>
          <w:bCs/>
        </w:rPr>
        <w:t>EVIDENCE FROM EUROPEAN AND ASIAN UNIVERSITY STUDE</w:t>
      </w:r>
      <w:r w:rsidR="00FA59DF">
        <w:rPr>
          <w:b/>
          <w:bCs/>
        </w:rPr>
        <w:t>N</w:t>
      </w:r>
      <w:r>
        <w:rPr>
          <w:b/>
          <w:bCs/>
        </w:rPr>
        <w:t xml:space="preserve">TS WITHIN THE SUSTAINABLE DEVELOPMENT GOALS FRAMEWORK. </w:t>
      </w:r>
    </w:p>
    <w:p w14:paraId="786FD15D" w14:textId="77777777" w:rsidR="00C91291" w:rsidRPr="00B613AD" w:rsidRDefault="00C91291" w:rsidP="001266FE">
      <w:pPr>
        <w:jc w:val="center"/>
        <w:outlineLvl w:val="0"/>
        <w:rPr>
          <w:b/>
          <w:bCs/>
        </w:rPr>
      </w:pPr>
    </w:p>
    <w:p w14:paraId="16268EE5" w14:textId="77777777" w:rsidR="00BF1E62" w:rsidRPr="00B613AD" w:rsidRDefault="00000000" w:rsidP="001266FE">
      <w:pPr>
        <w:jc w:val="center"/>
        <w:outlineLvl w:val="0"/>
      </w:pPr>
      <w:r w:rsidRPr="00B613AD">
        <w:t>GIUSEPPE UMBERTO CANTAFIO</w:t>
      </w:r>
    </w:p>
    <w:p w14:paraId="604498B8" w14:textId="77777777" w:rsidR="00BF1E62" w:rsidRPr="00B613AD" w:rsidRDefault="00000000" w:rsidP="001266FE">
      <w:pPr>
        <w:jc w:val="center"/>
        <w:outlineLvl w:val="0"/>
      </w:pPr>
      <w:r w:rsidRPr="00B613AD">
        <w:t>COLLEGE OF BUSINESS AND MANAGEMENT</w:t>
      </w:r>
    </w:p>
    <w:p w14:paraId="42A3A728" w14:textId="77777777" w:rsidR="00BF1E62" w:rsidRPr="00B613AD" w:rsidRDefault="00000000" w:rsidP="001266FE">
      <w:pPr>
        <w:jc w:val="center"/>
        <w:outlineLvl w:val="0"/>
      </w:pPr>
      <w:r w:rsidRPr="00B613AD">
        <w:t>AMERICAN UNIVERSITY OF BAHRAIN</w:t>
      </w:r>
    </w:p>
    <w:p w14:paraId="1B507AFB" w14:textId="77777777" w:rsidR="00BF1E62" w:rsidRPr="00B613AD" w:rsidRDefault="00000000" w:rsidP="001266FE">
      <w:pPr>
        <w:jc w:val="center"/>
        <w:outlineLvl w:val="0"/>
      </w:pPr>
      <w:r w:rsidRPr="00B613AD">
        <w:t>BAHRAIN</w:t>
      </w:r>
    </w:p>
    <w:p w14:paraId="7E9AD7B2" w14:textId="798AB3AA" w:rsidR="00C91291" w:rsidRPr="002F4D9C" w:rsidRDefault="00000000" w:rsidP="001266FE">
      <w:pPr>
        <w:jc w:val="center"/>
        <w:outlineLvl w:val="0"/>
        <w:rPr>
          <w:u w:val="single"/>
        </w:rPr>
      </w:pPr>
      <w:r w:rsidRPr="002F4D9C">
        <w:rPr>
          <w:u w:val="single"/>
        </w:rPr>
        <w:t>GIUSEPPE.CANTAFIO@AUBH.EDU.BH</w:t>
      </w:r>
    </w:p>
    <w:p w14:paraId="1551CB51" w14:textId="77777777" w:rsidR="00C91291" w:rsidRPr="00B613AD" w:rsidRDefault="00C91291" w:rsidP="001266FE">
      <w:pPr>
        <w:jc w:val="center"/>
        <w:outlineLvl w:val="0"/>
        <w:rPr>
          <w:b/>
          <w:bCs/>
        </w:rPr>
      </w:pPr>
    </w:p>
    <w:p w14:paraId="7DF19B71" w14:textId="6B239869" w:rsidR="00C91291" w:rsidRPr="00B613AD" w:rsidRDefault="00000000" w:rsidP="001266FE">
      <w:pPr>
        <w:jc w:val="center"/>
        <w:outlineLvl w:val="0"/>
      </w:pPr>
      <w:r w:rsidRPr="00B613AD">
        <w:t>AFZAL SAYED MUNNA</w:t>
      </w:r>
    </w:p>
    <w:p w14:paraId="38E54705" w14:textId="77777777" w:rsidR="00C91291" w:rsidRPr="00B613AD" w:rsidRDefault="00000000" w:rsidP="001266FE">
      <w:pPr>
        <w:jc w:val="center"/>
        <w:outlineLvl w:val="0"/>
      </w:pPr>
      <w:r w:rsidRPr="00B613AD">
        <w:t>SCHOOL OF BUSINESS LAW AND POLITICS</w:t>
      </w:r>
    </w:p>
    <w:p w14:paraId="4EE26627" w14:textId="4F9AD16E" w:rsidR="00C91291" w:rsidRPr="00B613AD" w:rsidRDefault="00000000" w:rsidP="001266FE">
      <w:pPr>
        <w:jc w:val="center"/>
        <w:outlineLvl w:val="0"/>
      </w:pPr>
      <w:r w:rsidRPr="00B613AD">
        <w:t>UNIVERSITY OF HULL</w:t>
      </w:r>
    </w:p>
    <w:p w14:paraId="5E75D01D" w14:textId="77777777" w:rsidR="00C91291" w:rsidRPr="00B613AD" w:rsidRDefault="00000000" w:rsidP="001266FE">
      <w:pPr>
        <w:jc w:val="center"/>
        <w:outlineLvl w:val="0"/>
      </w:pPr>
      <w:r w:rsidRPr="00B613AD">
        <w:t>LONDON, UNITED KINGDOM</w:t>
      </w:r>
    </w:p>
    <w:p w14:paraId="68BDE297" w14:textId="08C2AC7D" w:rsidR="00C91291" w:rsidRPr="00B613AD" w:rsidRDefault="00C91291" w:rsidP="001266FE">
      <w:pPr>
        <w:jc w:val="center"/>
        <w:outlineLvl w:val="0"/>
      </w:pPr>
      <w:hyperlink r:id="rId8" w:history="1">
        <w:r w:rsidRPr="00B613AD">
          <w:rPr>
            <w:rStyle w:val="Hyperlink"/>
            <w:color w:val="auto"/>
          </w:rPr>
          <w:t>A.MUNNA@HULL.AC.UK</w:t>
        </w:r>
      </w:hyperlink>
    </w:p>
    <w:p w14:paraId="655889F0" w14:textId="77777777" w:rsidR="00BF1E62" w:rsidRPr="00B613AD" w:rsidRDefault="00BF1E62" w:rsidP="00B613AD">
      <w:pPr>
        <w:jc w:val="both"/>
        <w:outlineLvl w:val="0"/>
      </w:pPr>
    </w:p>
    <w:p w14:paraId="047FDC05" w14:textId="7D26C4A2" w:rsidR="00E75827" w:rsidRPr="00B613AD" w:rsidRDefault="00000000" w:rsidP="00B613AD">
      <w:pPr>
        <w:spacing w:before="100" w:beforeAutospacing="1" w:after="100" w:afterAutospacing="1"/>
        <w:jc w:val="both"/>
        <w:rPr>
          <w:b/>
          <w:bCs/>
        </w:rPr>
      </w:pPr>
      <w:r w:rsidRPr="00B613AD">
        <w:rPr>
          <w:b/>
          <w:bCs/>
        </w:rPr>
        <w:t>ABSTRACT</w:t>
      </w:r>
    </w:p>
    <w:p w14:paraId="4B0E4D64" w14:textId="77777777" w:rsidR="0094269A" w:rsidRDefault="0094269A" w:rsidP="0094269A">
      <w:pPr>
        <w:spacing w:before="100" w:beforeAutospacing="1" w:after="100" w:afterAutospacing="1"/>
        <w:jc w:val="both"/>
      </w:pPr>
      <w:r>
        <w:t>This study investigates how green product awareness and perceptions of green pricing influence purchase intentions among university students in Europe and Asia, using Starbucks as the brand context and aligning sustainability with the United Nations Sustainable Development Goals (SDGs). Drawing on the Theory of Planned Behaviour, it proposes that awareness of environmental attributes and perceived fairness of green pricing positively impact purchase intentions.</w:t>
      </w:r>
    </w:p>
    <w:p w14:paraId="7EBBC520" w14:textId="77777777" w:rsidR="0094269A" w:rsidRDefault="0094269A" w:rsidP="0094269A">
      <w:pPr>
        <w:spacing w:before="100" w:beforeAutospacing="1" w:after="100" w:afterAutospacing="1"/>
        <w:jc w:val="both"/>
      </w:pPr>
      <w:r>
        <w:t>Data were collected through a cross-sectional online survey of 600 students (300 European and 300 Asian). Established scales measured green awareness, pricing perceptions, sustainability orientation, and purchase intention. Structural equation modelling (SEM) and multi-group analysis were used to test relationships and regional differences.</w:t>
      </w:r>
    </w:p>
    <w:p w14:paraId="32B2025C" w14:textId="2211898B" w:rsidR="0094269A" w:rsidRDefault="0094269A" w:rsidP="0094269A">
      <w:pPr>
        <w:spacing w:before="100" w:beforeAutospacing="1" w:after="100" w:afterAutospacing="1"/>
        <w:jc w:val="both"/>
      </w:pPr>
      <w:r>
        <w:t>Findings show both green product awareness and green pricing perceptions significantly influence purchase intention, with awareness having a stronger effect. Pricing perceptions vary across regions. The study highlights the role of sustainability-driven marketing while noting that results reflect intentions rather than actual behaviour</w:t>
      </w:r>
      <w:r w:rsidR="009717FD">
        <w:t xml:space="preserve">. </w:t>
      </w:r>
    </w:p>
    <w:p w14:paraId="23758979" w14:textId="1430E446" w:rsidR="00721D26" w:rsidRPr="00B613AD" w:rsidRDefault="006A493A" w:rsidP="0094269A">
      <w:pPr>
        <w:spacing w:before="100" w:beforeAutospacing="1" w:after="100" w:afterAutospacing="1"/>
        <w:jc w:val="both"/>
      </w:pPr>
      <w:r w:rsidRPr="0094269A">
        <w:rPr>
          <w:b/>
          <w:bCs/>
        </w:rPr>
        <w:t>Keywords:</w:t>
      </w:r>
      <w:r w:rsidRPr="00B613AD">
        <w:t xml:space="preserve"> Green product awareness; Green pricing; Purchase intention; Sustainable Development Goals; University students; Europe; Asia</w:t>
      </w:r>
    </w:p>
    <w:p w14:paraId="1A27FCEF" w14:textId="77777777" w:rsidR="00FC4B05" w:rsidRDefault="00FC4B05" w:rsidP="00B613AD">
      <w:pPr>
        <w:jc w:val="both"/>
        <w:rPr>
          <w:b/>
          <w:bCs/>
        </w:rPr>
      </w:pPr>
    </w:p>
    <w:p w14:paraId="466CF5D8" w14:textId="77777777" w:rsidR="00FC4B05" w:rsidRDefault="00FC4B05" w:rsidP="00B613AD">
      <w:pPr>
        <w:jc w:val="both"/>
        <w:rPr>
          <w:b/>
          <w:bCs/>
        </w:rPr>
      </w:pPr>
    </w:p>
    <w:p w14:paraId="4E190F1B" w14:textId="0B1F2F79" w:rsidR="0083179F" w:rsidRPr="00B613AD" w:rsidRDefault="00000000" w:rsidP="00B613AD">
      <w:pPr>
        <w:jc w:val="both"/>
      </w:pPr>
      <w:r w:rsidRPr="00B613AD">
        <w:rPr>
          <w:b/>
          <w:bCs/>
        </w:rPr>
        <w:t>1. I</w:t>
      </w:r>
      <w:r w:rsidR="00C62B2D" w:rsidRPr="00B613AD">
        <w:rPr>
          <w:b/>
          <w:bCs/>
        </w:rPr>
        <w:t>NTRODUCTION</w:t>
      </w:r>
    </w:p>
    <w:p w14:paraId="014D9B00" w14:textId="77777777" w:rsidR="001A1628" w:rsidRPr="00B613AD" w:rsidRDefault="001A1628" w:rsidP="00B613AD">
      <w:pPr>
        <w:pStyle w:val="Heading2"/>
        <w:spacing w:line="240" w:lineRule="auto"/>
        <w:jc w:val="both"/>
        <w:rPr>
          <w:rFonts w:ascii="Times New Roman" w:hAnsi="Times New Roman" w:cs="Times New Roman"/>
          <w:b/>
          <w:bCs/>
          <w:color w:val="auto"/>
          <w:sz w:val="24"/>
          <w:szCs w:val="24"/>
        </w:rPr>
      </w:pPr>
    </w:p>
    <w:p w14:paraId="5682A9A2" w14:textId="45483670" w:rsidR="009565BD" w:rsidRPr="00B613AD" w:rsidRDefault="006E2D1C" w:rsidP="00B613AD">
      <w:pPr>
        <w:pStyle w:val="Heading2"/>
        <w:spacing w:line="240" w:lineRule="auto"/>
        <w:jc w:val="both"/>
        <w:rPr>
          <w:rFonts w:ascii="Times New Roman" w:hAnsi="Times New Roman" w:cs="Times New Roman"/>
          <w:color w:val="auto"/>
          <w:sz w:val="24"/>
          <w:szCs w:val="24"/>
        </w:rPr>
      </w:pPr>
      <w:r w:rsidRPr="006E2D1C">
        <w:rPr>
          <w:rFonts w:ascii="Times New Roman" w:hAnsi="Times New Roman" w:cs="Times New Roman"/>
          <w:color w:val="auto"/>
          <w:sz w:val="24"/>
          <w:szCs w:val="24"/>
        </w:rPr>
        <w:t xml:space="preserve">Sustainable consumption remains a central concern for business and policy, yet evidence on how specific green marketing signals translate into purchase intentions across cultural regions is still fragmented. </w:t>
      </w:r>
      <w:proofErr w:type="gramStart"/>
      <w:r w:rsidRPr="006E2D1C">
        <w:rPr>
          <w:rFonts w:ascii="Times New Roman" w:hAnsi="Times New Roman" w:cs="Times New Roman"/>
          <w:color w:val="auto"/>
          <w:sz w:val="24"/>
          <w:szCs w:val="24"/>
        </w:rPr>
        <w:t>In particular, prior</w:t>
      </w:r>
      <w:proofErr w:type="gramEnd"/>
      <w:r w:rsidRPr="006E2D1C">
        <w:rPr>
          <w:rFonts w:ascii="Times New Roman" w:hAnsi="Times New Roman" w:cs="Times New Roman"/>
          <w:color w:val="auto"/>
          <w:sz w:val="24"/>
          <w:szCs w:val="24"/>
        </w:rPr>
        <w:t xml:space="preserve"> studies often examine awareness and pricing in isolation and with limited attention to how consumers interpret these cues within an explicit Sustainable Development Goals (SDGs) framing. </w:t>
      </w:r>
    </w:p>
    <w:p w14:paraId="6DB294AD" w14:textId="77777777" w:rsidR="009565BD" w:rsidRPr="00B613AD" w:rsidRDefault="009565BD" w:rsidP="00B613AD">
      <w:pPr>
        <w:pStyle w:val="Heading2"/>
        <w:spacing w:line="240" w:lineRule="auto"/>
        <w:jc w:val="both"/>
        <w:rPr>
          <w:rFonts w:ascii="Times New Roman" w:hAnsi="Times New Roman" w:cs="Times New Roman"/>
          <w:color w:val="auto"/>
          <w:sz w:val="24"/>
          <w:szCs w:val="24"/>
        </w:rPr>
      </w:pPr>
      <w:r w:rsidRPr="00B613AD">
        <w:rPr>
          <w:rFonts w:ascii="Times New Roman" w:hAnsi="Times New Roman" w:cs="Times New Roman"/>
          <w:color w:val="auto"/>
          <w:sz w:val="24"/>
          <w:szCs w:val="24"/>
        </w:rPr>
        <w:t>This study addresses these gaps by examining how green product awareness and green pricing perceptions influence purchase intentions within an explicit SDG framing. Rather than positioning SDGs as outcomes, this research treats SDG alignment as a contextual lens shaping consumer interpretation of green marketing signals. University students are selected as the focal population due to their high exposure to sustainability discourse and their relevance as future consumers.</w:t>
      </w:r>
    </w:p>
    <w:p w14:paraId="4E941A20" w14:textId="77777777" w:rsidR="006E2D1C" w:rsidRDefault="009565BD" w:rsidP="00B613AD">
      <w:pPr>
        <w:pStyle w:val="Heading2"/>
        <w:spacing w:line="240" w:lineRule="auto"/>
        <w:jc w:val="both"/>
      </w:pPr>
      <w:r w:rsidRPr="00B613AD">
        <w:rPr>
          <w:rFonts w:ascii="Times New Roman" w:hAnsi="Times New Roman" w:cs="Times New Roman"/>
          <w:color w:val="auto"/>
          <w:sz w:val="24"/>
          <w:szCs w:val="24"/>
        </w:rPr>
        <w:t>Using a global brand context (Starbucks) as a standardised stimulus, the study applies the Theory of Planned Behaviour to test intention-based outcomes across European and Asian student samples.</w:t>
      </w:r>
      <w:r w:rsidR="006E2D1C" w:rsidRPr="006E2D1C">
        <w:t xml:space="preserve"> </w:t>
      </w:r>
    </w:p>
    <w:p w14:paraId="3B000B8B" w14:textId="061250C3" w:rsidR="006E2D1C" w:rsidRDefault="006E2D1C" w:rsidP="00B613AD">
      <w:pPr>
        <w:pStyle w:val="Heading2"/>
        <w:spacing w:line="240" w:lineRule="auto"/>
        <w:jc w:val="both"/>
        <w:rPr>
          <w:rFonts w:ascii="Times New Roman" w:hAnsi="Times New Roman" w:cs="Times New Roman"/>
          <w:color w:val="auto"/>
          <w:sz w:val="24"/>
          <w:szCs w:val="24"/>
        </w:rPr>
      </w:pPr>
      <w:r w:rsidRPr="006E2D1C">
        <w:rPr>
          <w:rFonts w:ascii="Times New Roman" w:hAnsi="Times New Roman" w:cs="Times New Roman"/>
          <w:color w:val="auto"/>
          <w:sz w:val="24"/>
          <w:szCs w:val="24"/>
        </w:rPr>
        <w:t>Two gaps motivate this study: first, the SDGs are rarely treated as a contextual lens that shapes consumers’ processing of green claims; second, comparative evidence on whether established relationships hold similarly for European versus Asian students remains limited and methodologically inconsistent.</w:t>
      </w:r>
      <w:r>
        <w:rPr>
          <w:rFonts w:ascii="Times New Roman" w:hAnsi="Times New Roman" w:cs="Times New Roman"/>
          <w:color w:val="auto"/>
          <w:sz w:val="24"/>
          <w:szCs w:val="24"/>
        </w:rPr>
        <w:t xml:space="preserve"> </w:t>
      </w:r>
      <w:r w:rsidRPr="006E2D1C">
        <w:rPr>
          <w:rFonts w:ascii="Times New Roman" w:hAnsi="Times New Roman" w:cs="Times New Roman"/>
          <w:color w:val="auto"/>
          <w:sz w:val="24"/>
          <w:szCs w:val="24"/>
        </w:rPr>
        <w:t>We address these gaps by testing a model in which green product awareness and perceived fairness of green pricing predict purchase intention among students, situating interpretation within an SDG context and comparing effects across Europe and Asia. Starbucks is used solely as a brand stimulus in survey items to standardize product/brand exposure across respondents</w:t>
      </w:r>
      <w:r>
        <w:rPr>
          <w:rFonts w:ascii="Times New Roman" w:hAnsi="Times New Roman" w:cs="Times New Roman"/>
          <w:color w:val="auto"/>
          <w:sz w:val="24"/>
          <w:szCs w:val="24"/>
        </w:rPr>
        <w:t xml:space="preserve">. </w:t>
      </w:r>
    </w:p>
    <w:p w14:paraId="133D3367" w14:textId="2DD1E9D2" w:rsidR="00C812A1" w:rsidRDefault="006E2D1C" w:rsidP="00B613AD">
      <w:pPr>
        <w:pStyle w:val="Heading2"/>
        <w:spacing w:line="240" w:lineRule="auto"/>
        <w:jc w:val="both"/>
        <w:rPr>
          <w:rFonts w:ascii="Times New Roman" w:hAnsi="Times New Roman" w:cs="Times New Roman"/>
          <w:color w:val="auto"/>
          <w:sz w:val="24"/>
          <w:szCs w:val="24"/>
        </w:rPr>
      </w:pPr>
      <w:r w:rsidRPr="006E2D1C">
        <w:rPr>
          <w:rFonts w:ascii="Times New Roman" w:hAnsi="Times New Roman" w:cs="Times New Roman"/>
          <w:color w:val="auto"/>
          <w:sz w:val="24"/>
          <w:szCs w:val="24"/>
        </w:rPr>
        <w:t>This study contributes by (</w:t>
      </w:r>
      <w:proofErr w:type="spellStart"/>
      <w:r w:rsidRPr="006E2D1C">
        <w:rPr>
          <w:rFonts w:ascii="Times New Roman" w:hAnsi="Times New Roman" w:cs="Times New Roman"/>
          <w:color w:val="auto"/>
          <w:sz w:val="24"/>
          <w:szCs w:val="24"/>
        </w:rPr>
        <w:t>i</w:t>
      </w:r>
      <w:proofErr w:type="spellEnd"/>
      <w:r w:rsidRPr="006E2D1C">
        <w:rPr>
          <w:rFonts w:ascii="Times New Roman" w:hAnsi="Times New Roman" w:cs="Times New Roman"/>
          <w:color w:val="auto"/>
          <w:sz w:val="24"/>
          <w:szCs w:val="24"/>
        </w:rPr>
        <w:t>) embedding SDG contextualization into a TPB‑consistent green marketing model, (ii) offering cross‑regional evidence with clearly reported assumptions and limitations, and (iii) deriving communication implications for transparent green pricing directed at student segments.</w:t>
      </w:r>
    </w:p>
    <w:p w14:paraId="5F691EB2" w14:textId="77777777" w:rsidR="006E2D1C" w:rsidRPr="006E2D1C" w:rsidRDefault="006E2D1C" w:rsidP="006E2D1C"/>
    <w:p w14:paraId="7B4C63A6" w14:textId="77777777" w:rsidR="00C812A1" w:rsidRPr="00B613AD" w:rsidRDefault="00C812A1" w:rsidP="00B613AD">
      <w:pPr>
        <w:jc w:val="both"/>
      </w:pPr>
    </w:p>
    <w:p w14:paraId="36771A00" w14:textId="194001CE" w:rsidR="007C4955" w:rsidRPr="00B613AD" w:rsidRDefault="00000000" w:rsidP="00B613AD">
      <w:pPr>
        <w:pStyle w:val="Heading2"/>
        <w:spacing w:line="240" w:lineRule="auto"/>
        <w:jc w:val="both"/>
        <w:rPr>
          <w:rFonts w:ascii="Times New Roman" w:hAnsi="Times New Roman" w:cs="Times New Roman"/>
          <w:b/>
          <w:bCs/>
          <w:color w:val="auto"/>
          <w:sz w:val="24"/>
          <w:szCs w:val="24"/>
        </w:rPr>
      </w:pPr>
      <w:r w:rsidRPr="00B613AD">
        <w:rPr>
          <w:rFonts w:ascii="Times New Roman" w:hAnsi="Times New Roman" w:cs="Times New Roman"/>
          <w:b/>
          <w:bCs/>
          <w:color w:val="auto"/>
          <w:sz w:val="24"/>
          <w:szCs w:val="24"/>
        </w:rPr>
        <w:t xml:space="preserve">2. </w:t>
      </w:r>
      <w:r w:rsidR="00914AD5" w:rsidRPr="00B613AD">
        <w:rPr>
          <w:rFonts w:ascii="Times New Roman" w:hAnsi="Times New Roman" w:cs="Times New Roman"/>
          <w:b/>
          <w:bCs/>
          <w:color w:val="auto"/>
          <w:sz w:val="24"/>
          <w:szCs w:val="24"/>
        </w:rPr>
        <w:t>LITERATURE REVIEW</w:t>
      </w:r>
    </w:p>
    <w:p w14:paraId="584080EB" w14:textId="77777777" w:rsidR="00C558AF" w:rsidRPr="00B613AD" w:rsidRDefault="00C558AF" w:rsidP="00B613AD">
      <w:pPr>
        <w:jc w:val="both"/>
      </w:pPr>
    </w:p>
    <w:p w14:paraId="6D6936A5" w14:textId="15BEEAC0" w:rsidR="00C558AF" w:rsidRPr="00B613AD" w:rsidRDefault="00C558AF" w:rsidP="00B613AD">
      <w:pPr>
        <w:jc w:val="both"/>
      </w:pPr>
      <w:r w:rsidRPr="00B613AD">
        <w:t>Theoretical Background and Hypotheses Development</w:t>
      </w:r>
    </w:p>
    <w:p w14:paraId="708E8D2B" w14:textId="2B73359E" w:rsidR="00C558AF" w:rsidRDefault="006E2D1C" w:rsidP="00B613AD">
      <w:pPr>
        <w:jc w:val="both"/>
      </w:pPr>
      <w:r w:rsidRPr="006E2D1C">
        <w:t>Grounded in the Theory of Planned Behavior, we consider how green product awareness and perceived fairness of green pricing inform attitudes and perceived control that, in turn, shape purchase intentions, while recognizing the SDGs as part of the communicative context in which consumers evaluate green claims</w:t>
      </w:r>
      <w:r w:rsidR="00C558AF" w:rsidRPr="00B613AD">
        <w:t>.</w:t>
      </w:r>
    </w:p>
    <w:p w14:paraId="7DDCB042" w14:textId="5A8F1440" w:rsidR="006E2D1C" w:rsidRPr="00B613AD" w:rsidRDefault="006E2D1C" w:rsidP="00B613AD">
      <w:pPr>
        <w:jc w:val="both"/>
      </w:pPr>
      <w:r w:rsidRPr="006E2D1C">
        <w:t>Green product awareness captures consumers’ understanding of credible environmental attributes and signals (e.g., materials, sourcing, packaging), which can strengthen favourable attitudes and perceived efficacy in making sustainable choices. We therefore propose:</w:t>
      </w:r>
    </w:p>
    <w:p w14:paraId="27CA9818" w14:textId="3E08BC5C" w:rsidR="00C558AF" w:rsidRDefault="00C558AF" w:rsidP="00B613AD">
      <w:pPr>
        <w:jc w:val="both"/>
      </w:pPr>
      <w:r w:rsidRPr="00B613AD">
        <w:t>H1: Green product awareness has a positive effect on purchase intention.</w:t>
      </w:r>
    </w:p>
    <w:p w14:paraId="702ED87B" w14:textId="75D51211" w:rsidR="006E2D1C" w:rsidRPr="00B613AD" w:rsidRDefault="006E2D1C" w:rsidP="00B613AD">
      <w:pPr>
        <w:jc w:val="both"/>
      </w:pPr>
      <w:r w:rsidRPr="006E2D1C">
        <w:t>When price premiums are perceived as fair and transparently linked to environmental outcomes, consumers may view the offering as congruent with their values, supporting intention formation despite cost considerations. Accordingly,</w:t>
      </w:r>
    </w:p>
    <w:p w14:paraId="5AD84EDC" w14:textId="223992BC" w:rsidR="00C558AF" w:rsidRPr="00B613AD" w:rsidRDefault="00C558AF" w:rsidP="00B613AD">
      <w:pPr>
        <w:jc w:val="both"/>
      </w:pPr>
      <w:r w:rsidRPr="00B613AD">
        <w:t>H2: Perceived green pricing fairness has a positive effect on purchase intention.</w:t>
      </w:r>
    </w:p>
    <w:p w14:paraId="0C362A9E" w14:textId="66FC9447" w:rsidR="00D329A2" w:rsidRPr="00B613AD" w:rsidRDefault="00000000" w:rsidP="00B613AD">
      <w:pPr>
        <w:pStyle w:val="Heading3"/>
        <w:jc w:val="both"/>
        <w:rPr>
          <w:sz w:val="24"/>
          <w:szCs w:val="24"/>
        </w:rPr>
      </w:pPr>
      <w:r w:rsidRPr="00B613AD">
        <w:rPr>
          <w:sz w:val="24"/>
          <w:szCs w:val="24"/>
        </w:rPr>
        <w:t xml:space="preserve">2.1 SUSTAINABLE DEVELOPMENT GOALS AND CONSUMER BEHABIOUR </w:t>
      </w:r>
    </w:p>
    <w:p w14:paraId="6EC90884" w14:textId="26956BFE" w:rsidR="007C4955" w:rsidRPr="00B613AD" w:rsidRDefault="00000000" w:rsidP="00B613AD">
      <w:pPr>
        <w:pStyle w:val="whitespace-normal"/>
        <w:jc w:val="both"/>
      </w:pPr>
      <w:r w:rsidRPr="00B613AD">
        <w:lastRenderedPageBreak/>
        <w:t>The Sustainable Development Goals, established by the United Nations in 2015, provide a transformative global blueprint for achieving sustainable development by 2030 (United Nations, 2015). Among the 17 interconnected goals, SDG 12 (Responsible Consumption and Production) and SDG 13 (Climate Action) demonstrate particular relevance to consumer behaviour research (Pizzi et al., 202</w:t>
      </w:r>
      <w:r w:rsidR="00AF4A39">
        <w:t>0</w:t>
      </w:r>
      <w:r w:rsidRPr="00B613AD">
        <w:t>). SDG 12 advocates for sustainable consumption and production patterns, emphasizing resource efficiency, waste reduction, and lifecycle thinking, whilst SDG 13 calls for urgent action to combat climate change and its multifaceted impacts (Scherer, 202</w:t>
      </w:r>
      <w:r w:rsidR="00AF4A39">
        <w:t>5</w:t>
      </w:r>
      <w:r w:rsidRPr="00B613AD">
        <w:t>).</w:t>
      </w:r>
    </w:p>
    <w:p w14:paraId="3158A777" w14:textId="49B64068" w:rsidR="007C4955" w:rsidRPr="00B613AD" w:rsidRDefault="00000000" w:rsidP="00B613AD">
      <w:pPr>
        <w:pStyle w:val="whitespace-normal"/>
        <w:jc w:val="both"/>
      </w:pPr>
      <w:r w:rsidRPr="00B613AD">
        <w:t xml:space="preserve">Recent empirical research demonstrates that consumers increasingly recognize their role in achieving these global objectives, with younger demographics exhibiting particularly strong correlations between SDG awareness and pro-environmental </w:t>
      </w:r>
      <w:proofErr w:type="spellStart"/>
      <w:r w:rsidRPr="00B613AD">
        <w:t>behaviours</w:t>
      </w:r>
      <w:proofErr w:type="spellEnd"/>
      <w:r w:rsidRPr="00B613AD">
        <w:t xml:space="preserve"> (Kumar &amp; Polonsky, 2022). Contemporary studies indicate that consumers are not merely passive recipients of sustainable products but active participants in sustainability transitions, making purchasing decisions based on products' alignment with broader environmental and social objectives (Minton et al., </w:t>
      </w:r>
      <w:r w:rsidR="007660AA">
        <w:t>2018</w:t>
      </w:r>
      <w:r w:rsidRPr="00B613AD">
        <w:t>; Zhang et al., 202</w:t>
      </w:r>
      <w:r w:rsidR="00D56A1C">
        <w:t>0</w:t>
      </w:r>
      <w:r w:rsidRPr="00B613AD">
        <w:t>).</w:t>
      </w:r>
    </w:p>
    <w:p w14:paraId="311D4F48" w14:textId="12FD8D21" w:rsidR="007C4955" w:rsidRPr="00B613AD" w:rsidRDefault="00000000" w:rsidP="00B613AD">
      <w:pPr>
        <w:pStyle w:val="whitespace-normal"/>
        <w:jc w:val="both"/>
      </w:pPr>
      <w:r w:rsidRPr="00B613AD">
        <w:t>The integration of SDG principles into business operations transcends corporate social responsibility obligations, fundamentally transforming brand equity and consumer trust dynamics (</w:t>
      </w:r>
      <w:proofErr w:type="spellStart"/>
      <w:r w:rsidRPr="00B613AD">
        <w:t>Kopnina</w:t>
      </w:r>
      <w:proofErr w:type="spellEnd"/>
      <w:r w:rsidRPr="00B613AD">
        <w:t>, 2022). Organizations that authentically align their missions and practices with SDG frameworks experience enhanced loyalty among environmentally conscious consumers, particularly within younger demographic segments (Abbas et al., 2023; Nielsen</w:t>
      </w:r>
      <w:r w:rsidR="008F0A5C">
        <w:t xml:space="preserve"> et al.</w:t>
      </w:r>
      <w:r w:rsidRPr="00B613AD">
        <w:t>, 2022).</w:t>
      </w:r>
    </w:p>
    <w:p w14:paraId="4C7748D5" w14:textId="5C555CC6" w:rsidR="007C4955" w:rsidRPr="00B613AD" w:rsidRDefault="00000000" w:rsidP="00B613AD">
      <w:pPr>
        <w:pStyle w:val="whitespace-normal"/>
        <w:jc w:val="both"/>
      </w:pPr>
      <w:r w:rsidRPr="00B613AD">
        <w:t>Educational institutions play increasingly pivotal roles in fostering SDG awareness among youth populations (Leal Filho et al., 2022). Across European and Asian contexts, universities integrate sustainability principles into curricula, shaping generations of informed consumers who comprehend the long-term benefits of sustainable consumption patterns (Findler et al., 2021; Wang et al., 20</w:t>
      </w:r>
      <w:r w:rsidR="00B0679D">
        <w:t>19</w:t>
      </w:r>
      <w:r w:rsidRPr="00B613AD">
        <w:t xml:space="preserve">). This educational foundation contributes to fundamental mindset shifts, promoting </w:t>
      </w:r>
      <w:proofErr w:type="spellStart"/>
      <w:r w:rsidRPr="00B613AD">
        <w:t>behaviours</w:t>
      </w:r>
      <w:proofErr w:type="spellEnd"/>
      <w:r w:rsidRPr="00B613AD">
        <w:t xml:space="preserve"> that align with environmental preservation and social equity objectives.</w:t>
      </w:r>
    </w:p>
    <w:p w14:paraId="1731FEC1" w14:textId="77777777" w:rsidR="007C4955" w:rsidRPr="00B613AD" w:rsidRDefault="00000000" w:rsidP="00B613AD">
      <w:pPr>
        <w:pStyle w:val="whitespace-normal"/>
        <w:jc w:val="both"/>
      </w:pPr>
      <w:r w:rsidRPr="00B613AD">
        <w:t>Contemporary consumer behaviour research indicates that purchasing decisions increasingly reflect not merely product attributes such as quality and price, but also products' alignment with global sustainability goals (Dangelico et al., 2023). Brands' commitments to SDGs serve as key differentiators in competitive markets, particularly among youth demographics who demonstrate heightened inclinations to support organizations taking tangible actions toward climate resilience and sustainability (Bhaduri &amp; Ha-Brookshire, 2021).</w:t>
      </w:r>
    </w:p>
    <w:p w14:paraId="7406F0C0" w14:textId="36D4F018" w:rsidR="007C4955" w:rsidRPr="00B613AD" w:rsidRDefault="00000000" w:rsidP="00B613AD">
      <w:pPr>
        <w:pStyle w:val="Heading3"/>
        <w:jc w:val="both"/>
        <w:rPr>
          <w:sz w:val="24"/>
          <w:szCs w:val="24"/>
        </w:rPr>
      </w:pPr>
      <w:r w:rsidRPr="00B613AD">
        <w:rPr>
          <w:sz w:val="24"/>
          <w:szCs w:val="24"/>
        </w:rPr>
        <w:t xml:space="preserve">2.2 </w:t>
      </w:r>
      <w:r w:rsidR="00831A2B" w:rsidRPr="00B613AD">
        <w:rPr>
          <w:sz w:val="24"/>
          <w:szCs w:val="24"/>
        </w:rPr>
        <w:t>GREEN MARKETING AND THE THEORY OF PLANNED BEHAVIOUR</w:t>
      </w:r>
    </w:p>
    <w:p w14:paraId="494EF042" w14:textId="77777777" w:rsidR="007C4955" w:rsidRPr="00B613AD" w:rsidRDefault="00000000" w:rsidP="00B613AD">
      <w:pPr>
        <w:pStyle w:val="whitespace-normal"/>
        <w:jc w:val="both"/>
      </w:pPr>
      <w:r w:rsidRPr="00B613AD">
        <w:t>The Theory of Planned Behaviour (TPB), formulated by Ajzen (1991), provides a robust theoretical foundation for understanding deliberate consumer behaviour. According to TPB, behavioural intentions can be predicted through three key constructs: attitudes toward the behaviour, subjective norms, and perceived behavioural control (Ajzen, 2020). This theoretical framework proves particularly valuable for understanding consumer decision-making processes within environmental sustainability contexts (Qi et al., 2021).</w:t>
      </w:r>
    </w:p>
    <w:p w14:paraId="7463ED37" w14:textId="77777777" w:rsidR="007C4955" w:rsidRPr="00B613AD" w:rsidRDefault="00000000" w:rsidP="00B613AD">
      <w:pPr>
        <w:pStyle w:val="whitespace-normal"/>
        <w:jc w:val="both"/>
      </w:pPr>
      <w:r w:rsidRPr="00B613AD">
        <w:lastRenderedPageBreak/>
        <w:t>Green marketing—defined as the strategic promotion of products and services based on their environmental benefits—aligns seamlessly with TPB constructs (Dangelico &amp; Vocalelli, 2017). Contemporary green marketing strategies aim to influence consumer attitudes by highlighting how purchasing decisions can positively impact environmental outcomes whilst simultaneously addressing social norms that increasingly favor environmentally responsible consumption (Khan &amp; Fatma, 2023).</w:t>
      </w:r>
    </w:p>
    <w:p w14:paraId="38903DA2" w14:textId="6CA9E482" w:rsidR="007C4955" w:rsidRPr="00B613AD" w:rsidRDefault="00000000" w:rsidP="00B613AD">
      <w:pPr>
        <w:pStyle w:val="whitespace-normal"/>
        <w:jc w:val="both"/>
      </w:pPr>
      <w:r w:rsidRPr="00B613AD">
        <w:t>Recent empirical applications of TPB within green marketing contexts demonstrate that consumers exhibit stronger intentions to purchase sustainable products when they: (1) hold positive attitudes toward environmental protection, (2) perceive that their social reference groups value sustainability, and (3) feel confident in their ability to identify and purchase genuinely green products (Liu et al., 2023; Nguyen et al., 202</w:t>
      </w:r>
      <w:r w:rsidR="007660AA">
        <w:t>5</w:t>
      </w:r>
      <w:r w:rsidRPr="00B613AD">
        <w:t>). This theoretical framework therefore operates not merely at informational levels but addresses psychological dimensions that influence how consumers perceive themselves and their roles in addressing environmental degradation.</w:t>
      </w:r>
    </w:p>
    <w:p w14:paraId="10994400" w14:textId="0F1FCF4C" w:rsidR="007C4955" w:rsidRPr="00B613AD" w:rsidRDefault="00000000" w:rsidP="00B613AD">
      <w:pPr>
        <w:pStyle w:val="whitespace-normal"/>
        <w:jc w:val="both"/>
      </w:pPr>
      <w:r w:rsidRPr="00B613AD">
        <w:t xml:space="preserve">Contemporary research extends TPB applications to examine how green marketing influences perceived behavioural control by making sustainable options more accessible, affordable, and clearly communicated (Yadav &amp; Pathak, 2023). Clear labeling regarding carbon neutrality, sustainable sourcing, and environmental certifications reduces cognitive complexity involved in making environmentally conscious decisions, thereby empowering consumers to align their purchasing </w:t>
      </w:r>
      <w:proofErr w:type="spellStart"/>
      <w:r w:rsidRPr="00B613AD">
        <w:t>behaviours</w:t>
      </w:r>
      <w:proofErr w:type="spellEnd"/>
      <w:r w:rsidRPr="00B613AD">
        <w:t xml:space="preserve"> with their environmental values (Rahman </w:t>
      </w:r>
      <w:r w:rsidR="00AF4A39">
        <w:t>&amp; Nguyen-Viet</w:t>
      </w:r>
      <w:r w:rsidRPr="00B613AD">
        <w:t>, 2023).</w:t>
      </w:r>
    </w:p>
    <w:p w14:paraId="62D266CD" w14:textId="4CFB1101" w:rsidR="007C4955" w:rsidRPr="00B613AD" w:rsidRDefault="00000000" w:rsidP="00B613AD">
      <w:pPr>
        <w:pStyle w:val="Heading3"/>
        <w:jc w:val="both"/>
        <w:rPr>
          <w:sz w:val="24"/>
          <w:szCs w:val="24"/>
        </w:rPr>
      </w:pPr>
      <w:r w:rsidRPr="00B613AD">
        <w:rPr>
          <w:sz w:val="24"/>
          <w:szCs w:val="24"/>
        </w:rPr>
        <w:t xml:space="preserve">2.3 </w:t>
      </w:r>
      <w:r w:rsidR="000828A3" w:rsidRPr="00B613AD">
        <w:rPr>
          <w:sz w:val="24"/>
          <w:szCs w:val="24"/>
        </w:rPr>
        <w:t>GREEN PRODUCT AWARENESS</w:t>
      </w:r>
    </w:p>
    <w:p w14:paraId="3CBEA628" w14:textId="77777777" w:rsidR="007C4955" w:rsidRPr="00B613AD" w:rsidRDefault="00000000" w:rsidP="00B613AD">
      <w:pPr>
        <w:pStyle w:val="whitespace-normal"/>
        <w:jc w:val="both"/>
      </w:pPr>
      <w:r w:rsidRPr="00B613AD">
        <w:t>Green product awareness encompasses consumers' understanding and knowledge of products designed to minimize environmental impact throughout their lifecycles (Ansu-Mensah et al., 2021). This multifaceted construct includes awareness of carbon footprints, recyclable or biodegradable packaging, sustainable sourcing practices, ethical production processes, and end-of-life disposal considerations (Wang et al., 2022). Contemporary research indicates that elevated levels of green product awareness correlate strongly with willingness to pay sustainability premiums (Nguyen et al., 2023).</w:t>
      </w:r>
    </w:p>
    <w:p w14:paraId="78F924A5" w14:textId="77777777" w:rsidR="007C4955" w:rsidRPr="00B613AD" w:rsidRDefault="00000000" w:rsidP="00B613AD">
      <w:pPr>
        <w:pStyle w:val="whitespace-normal"/>
        <w:jc w:val="both"/>
      </w:pPr>
      <w:r w:rsidRPr="00B613AD">
        <w:t>As sustainability consciousness becomes increasingly mainstream, consumer awareness demonstrates growing sophistication (Chen &amp; Chang, 2023). Modern consumers, particularly educated youth populations, increasingly differentiate between authentic green products and "greenwashed" alternatives—products marketed as sustainable without credible evidence or measurable impact (Lyon &amp; Maxwell, 2021). This trend underscores the necessity for businesses to ensure transparency and integrity in their environmental claims, as consumers become more discerning in their evaluation of sustainability credentials (Schmuck et al., 2022).</w:t>
      </w:r>
    </w:p>
    <w:p w14:paraId="08FFBF29" w14:textId="77777777" w:rsidR="007C4955" w:rsidRPr="00B613AD" w:rsidRDefault="00000000" w:rsidP="00B613AD">
      <w:pPr>
        <w:pStyle w:val="whitespace-normal"/>
        <w:jc w:val="both"/>
      </w:pPr>
      <w:r w:rsidRPr="00B613AD">
        <w:t>Numerous recent studies support the proposition that green product awareness significantly influences purchasing behaviour. Contemporary research demonstrates that when consumers comprehend the environmental benefits of products, they perceive higher value propositions, thereby increasing purchase intentions (Kumar et al., 2021; Zhang et al., 2023). This awareness-value-loyalty chain proves particularly robust when consumers feel their personal values are reflected in their consumption choices (Bhaduri &amp; Ha-Brookshire, 2021).</w:t>
      </w:r>
    </w:p>
    <w:p w14:paraId="56554D0D" w14:textId="65B8AD33" w:rsidR="007C4955" w:rsidRDefault="00000000" w:rsidP="00B613AD">
      <w:pPr>
        <w:pStyle w:val="whitespace-normal"/>
        <w:jc w:val="both"/>
      </w:pPr>
      <w:r w:rsidRPr="00B613AD">
        <w:lastRenderedPageBreak/>
        <w:t>Educational campaigns, eco-labels, and third-party certifications (such as Fair Trade, Rainforest Alliance, or Energy Star) serve as crucial tools for enhancing green product awareness (Minton et al., 2021). When these labels are recognized and trusted by consumers, they enhance confidence and promote feelings of responsibility and empowerment</w:t>
      </w:r>
      <w:r w:rsidR="007660AA">
        <w:t xml:space="preserve">. </w:t>
      </w:r>
      <w:r w:rsidRPr="00B613AD">
        <w:t>Among university students, awareness is cultivated through academic exposure, social media engagement, and peer influence mechanisms (Joshi &amp; Rahman, 2021).</w:t>
      </w:r>
    </w:p>
    <w:p w14:paraId="5EECB995" w14:textId="16F61844" w:rsidR="006E2D1C" w:rsidRPr="00B613AD" w:rsidRDefault="006E2D1C" w:rsidP="00B613AD">
      <w:pPr>
        <w:pStyle w:val="whitespace-normal"/>
        <w:jc w:val="both"/>
      </w:pPr>
      <w:r w:rsidRPr="006E2D1C">
        <w:t xml:space="preserve">Because the SDGs provide a shared language for sustainability, explicitly </w:t>
      </w:r>
      <w:proofErr w:type="spellStart"/>
      <w:r w:rsidRPr="006E2D1C">
        <w:t>signalling</w:t>
      </w:r>
      <w:proofErr w:type="spellEnd"/>
      <w:r w:rsidRPr="006E2D1C">
        <w:t xml:space="preserve"> SDG alignment may shape how students interpret awareness and pricing cues. We examine whether estimated relationships are comparable across Europe and Asia using multi‑group analysis, while being transparent about sampling limits and measurement invariance</w:t>
      </w:r>
    </w:p>
    <w:p w14:paraId="2179DEAA" w14:textId="5710C5DB" w:rsidR="007C4955" w:rsidRPr="00B613AD" w:rsidRDefault="00000000" w:rsidP="00B613AD">
      <w:pPr>
        <w:pStyle w:val="Heading3"/>
        <w:jc w:val="both"/>
        <w:rPr>
          <w:sz w:val="24"/>
          <w:szCs w:val="24"/>
        </w:rPr>
      </w:pPr>
      <w:r w:rsidRPr="00B613AD">
        <w:rPr>
          <w:sz w:val="24"/>
          <w:szCs w:val="24"/>
        </w:rPr>
        <w:t xml:space="preserve">2.4 </w:t>
      </w:r>
      <w:r w:rsidR="000828A3" w:rsidRPr="00B613AD">
        <w:rPr>
          <w:sz w:val="24"/>
          <w:szCs w:val="24"/>
        </w:rPr>
        <w:t>GREEN PRICING</w:t>
      </w:r>
    </w:p>
    <w:p w14:paraId="5B5FEBA9" w14:textId="77777777" w:rsidR="007C4955" w:rsidRPr="00B613AD" w:rsidRDefault="00000000" w:rsidP="00B613AD">
      <w:pPr>
        <w:pStyle w:val="whitespace-normal"/>
        <w:jc w:val="both"/>
      </w:pPr>
      <w:r w:rsidRPr="00B613AD">
        <w:t>Green pricing refers to pricing strategies employed for environmentally sustainable products and services, often involving premiums justified by additional costs associated with sustainable raw materials, ethical labor practices, or investments in environmental technologies (Kumar &amp; Polonsky, 2022). Whilst price has traditionally been perceived as a barrier to green product adoption, contemporary research indicates shifting perceptions, particularly among young, environmentally conscious consumers (Abbas et al., 2023).</w:t>
      </w:r>
    </w:p>
    <w:p w14:paraId="09E08C50" w14:textId="77777777" w:rsidR="007C4955" w:rsidRPr="00B613AD" w:rsidRDefault="00000000" w:rsidP="00B613AD">
      <w:pPr>
        <w:pStyle w:val="whitespace-normal"/>
        <w:jc w:val="both"/>
      </w:pPr>
      <w:r w:rsidRPr="00B613AD">
        <w:t>Recent empirical studies demonstrate that consumers increasingly express willingness to pay premiums for products that align with their values, contingent upon clear understanding of how their financial contributions support sustainability objectives (Nielsen, 2022). Transparency proves crucial in this context; when consumers understand how price premiums support carbon offsetting, fair wages, or environmental restoration, they are more likely to perceive pricing as fair and justified (Dangelico et al., 2023).</w:t>
      </w:r>
    </w:p>
    <w:p w14:paraId="06738B58" w14:textId="77777777" w:rsidR="007C4955" w:rsidRPr="00B613AD" w:rsidRDefault="00000000" w:rsidP="00B613AD">
      <w:pPr>
        <w:pStyle w:val="whitespace-normal"/>
        <w:jc w:val="both"/>
      </w:pPr>
      <w:r w:rsidRPr="00B613AD">
        <w:t>Contemporary research emphasizes the importance of framing in green pricing strategies (</w:t>
      </w:r>
      <w:proofErr w:type="spellStart"/>
      <w:r w:rsidRPr="00B613AD">
        <w:t>Kopnina</w:t>
      </w:r>
      <w:proofErr w:type="spellEnd"/>
      <w:r w:rsidRPr="00B613AD">
        <w:t>, 2022). When green products are presented as higher quality or components of broader social missions, consumers respond more positively, particularly when pricing strategies are accompanied by impact narratives, such as supply chain worker testimonials or environmental statistics (Chen &amp; Chang, 2023).</w:t>
      </w:r>
    </w:p>
    <w:p w14:paraId="19B55DE0" w14:textId="699681B2" w:rsidR="007C4955" w:rsidRPr="00B613AD" w:rsidRDefault="00000000" w:rsidP="00B613AD">
      <w:pPr>
        <w:pStyle w:val="whitespace-normal"/>
        <w:jc w:val="both"/>
      </w:pPr>
      <w:r w:rsidRPr="00B613AD">
        <w:t>Green pricing also benefits from perceived exclusivity dynamics (Qi et al., 2021). Products marketed as premium due to their environmental standards can appeal to consumers' desires for uniqueness and ethical superiority, proving particularly relevant in status-driven cultures or market segments where consumption is tied to identity formation (Liu et al., 202</w:t>
      </w:r>
      <w:r w:rsidR="007660AA">
        <w:t>4</w:t>
      </w:r>
      <w:r w:rsidRPr="00B613AD">
        <w:t>).</w:t>
      </w:r>
    </w:p>
    <w:p w14:paraId="5DDF28F9" w14:textId="77777777" w:rsidR="007C4955" w:rsidRPr="00B613AD" w:rsidRDefault="00000000" w:rsidP="00B613AD">
      <w:pPr>
        <w:pStyle w:val="whitespace-normal"/>
        <w:jc w:val="both"/>
      </w:pPr>
      <w:r w:rsidRPr="00B613AD">
        <w:t>Cross-cultural research indicates that European students, influenced by higher levels of sustainability education, demonstrate greater acceptance of green pricing strategies (Leal Filho et al., 2022). Conversely, price sensitivity remains more pronounced among Asian students, especially in emerging economies, though both demographic groups demonstrate increased purchase intentions when green pricing is accompanied by education and transparency regarding environmental impact (Wang et al., 2023).</w:t>
      </w:r>
    </w:p>
    <w:p w14:paraId="5533C70D" w14:textId="7DB34410" w:rsidR="007C4955" w:rsidRPr="00B613AD" w:rsidRDefault="00000000" w:rsidP="00B613AD">
      <w:pPr>
        <w:pStyle w:val="Heading3"/>
        <w:jc w:val="both"/>
        <w:rPr>
          <w:sz w:val="24"/>
          <w:szCs w:val="24"/>
        </w:rPr>
      </w:pPr>
      <w:r w:rsidRPr="00B613AD">
        <w:rPr>
          <w:sz w:val="24"/>
          <w:szCs w:val="24"/>
        </w:rPr>
        <w:lastRenderedPageBreak/>
        <w:t xml:space="preserve">2.5 </w:t>
      </w:r>
      <w:r w:rsidR="000828A3" w:rsidRPr="00B613AD">
        <w:rPr>
          <w:sz w:val="24"/>
          <w:szCs w:val="24"/>
        </w:rPr>
        <w:t>CULTURAL CONTEXTS IN EUROPE AND ASIA</w:t>
      </w:r>
    </w:p>
    <w:p w14:paraId="3E681B75" w14:textId="77777777" w:rsidR="007C4955" w:rsidRPr="00B613AD" w:rsidRDefault="00000000" w:rsidP="00B613AD">
      <w:pPr>
        <w:pStyle w:val="whitespace-normal"/>
        <w:jc w:val="both"/>
      </w:pPr>
      <w:r w:rsidRPr="00B613AD">
        <w:t>Cultural values, economic conditions, and educational systems significantly influence how sustainability is perceived and practiced across geographical regions (Findler et al., 2021). European contexts demonstrate long-standing traditions of environmental activism and policy-driven sustainability measures, with countries such as Sweden, Germany, and the Netherlands incorporating sustainability into public discourse, education, and legislation (Scherer et al., 2022). Consequently, European students often possess higher baseline understanding of environmental issues and demonstrate greater responsiveness to green marketing messages emphasizing long-term ecological benefits.</w:t>
      </w:r>
    </w:p>
    <w:p w14:paraId="3AF23A43" w14:textId="77777777" w:rsidR="007C4955" w:rsidRPr="00B613AD" w:rsidRDefault="00000000" w:rsidP="00B613AD">
      <w:pPr>
        <w:pStyle w:val="whitespace-normal"/>
        <w:jc w:val="both"/>
      </w:pPr>
      <w:r w:rsidRPr="00B613AD">
        <w:t>Asian contexts present more heterogeneous landscapes (Wang et al., 2023). Developed nations like Japan and South Korea have advanced sustainability policies and technological innovations, whilst developing economies including India, Vietnam, and Indonesia continue balancing rapid industrialization with environmental sustainability objectives (Kumar et al., 2021). This diversity affects how green marketing strategies are received and interpreted across Asian markets.</w:t>
      </w:r>
    </w:p>
    <w:p w14:paraId="79B1DF3F" w14:textId="77777777" w:rsidR="007C4955" w:rsidRPr="00B613AD" w:rsidRDefault="00000000" w:rsidP="00B613AD">
      <w:pPr>
        <w:pStyle w:val="whitespace-normal"/>
        <w:jc w:val="both"/>
      </w:pPr>
      <w:r w:rsidRPr="00B613AD">
        <w:t>Recent cross-cultural research indicates that European students typically exhibit higher levels of green product awareness and demonstrate greater responsiveness to green marketing messages emphasizing long-term ecological benefits (Librandi et al., 2023). Their purchasing decisions are increasingly influenced by ethical and social considerations, aligning closely with SDG narratives, and European consumers often hold companies accountable for environmental transparency whilst critically evaluating greenwashing attempts (Schmuck et al., 2022).</w:t>
      </w:r>
    </w:p>
    <w:p w14:paraId="37CE7BF5" w14:textId="77777777" w:rsidR="007C4955" w:rsidRPr="00B613AD" w:rsidRDefault="00000000" w:rsidP="00B613AD">
      <w:pPr>
        <w:pStyle w:val="whitespace-normal"/>
        <w:jc w:val="both"/>
      </w:pPr>
      <w:r w:rsidRPr="00B613AD">
        <w:t>Asian students often prioritize value-for-money considerations due to prevailing economic conditions, though this does not indicate lack of environmental interest (Joshi &amp; Rahman, 2021). Many Asian students express strong environmental concerns but face budgetary constraints that make green products less accessible (Nguyen et al., 2024). This accessibility gap can be mitigated through region-specific marketing strategies that emphasize affordability and collective impact narratives.</w:t>
      </w:r>
    </w:p>
    <w:p w14:paraId="07763A74" w14:textId="77777777" w:rsidR="007C4955" w:rsidRPr="00B613AD" w:rsidRDefault="00000000" w:rsidP="00B613AD">
      <w:pPr>
        <w:pStyle w:val="whitespace-normal"/>
        <w:jc w:val="both"/>
      </w:pPr>
      <w:r w:rsidRPr="00B613AD">
        <w:t>Cultural dimensions including language, religious beliefs, and social norms also influence sustainability perceptions (Zhang et al., 2023). In many Asian cultures, concepts of harmony with nature are deeply embedded in spiritual and philosophical traditions, providing cultural resonance for sustainability messaging when appropriately contextualized (Rahman et al., 2023).</w:t>
      </w:r>
    </w:p>
    <w:p w14:paraId="5DAD1C73" w14:textId="602564F9" w:rsidR="007C4955" w:rsidRPr="00B613AD" w:rsidRDefault="00000000" w:rsidP="00B613AD">
      <w:pPr>
        <w:pStyle w:val="Heading2"/>
        <w:spacing w:line="240" w:lineRule="auto"/>
        <w:jc w:val="both"/>
        <w:rPr>
          <w:rFonts w:ascii="Times New Roman" w:hAnsi="Times New Roman" w:cs="Times New Roman"/>
          <w:b/>
          <w:bCs/>
          <w:color w:val="auto"/>
          <w:sz w:val="24"/>
          <w:szCs w:val="24"/>
        </w:rPr>
      </w:pPr>
      <w:r w:rsidRPr="00B613AD">
        <w:rPr>
          <w:rFonts w:ascii="Times New Roman" w:hAnsi="Times New Roman" w:cs="Times New Roman"/>
          <w:b/>
          <w:bCs/>
          <w:color w:val="auto"/>
          <w:sz w:val="24"/>
          <w:szCs w:val="24"/>
        </w:rPr>
        <w:t>3. RESEARCH METHODOLOGY</w:t>
      </w:r>
    </w:p>
    <w:p w14:paraId="55295D57" w14:textId="2796C36A" w:rsidR="007C4955" w:rsidRPr="00B613AD" w:rsidRDefault="00000000" w:rsidP="00B613AD">
      <w:pPr>
        <w:pStyle w:val="Heading3"/>
        <w:jc w:val="both"/>
        <w:rPr>
          <w:sz w:val="24"/>
          <w:szCs w:val="24"/>
        </w:rPr>
      </w:pPr>
      <w:r w:rsidRPr="00B613AD">
        <w:rPr>
          <w:sz w:val="24"/>
          <w:szCs w:val="24"/>
        </w:rPr>
        <w:t>3.1 RESEARCH DESIGN</w:t>
      </w:r>
    </w:p>
    <w:p w14:paraId="522AB11D" w14:textId="5D876095" w:rsidR="007C58E0" w:rsidRPr="00B613AD" w:rsidRDefault="00E17271" w:rsidP="00B613AD">
      <w:pPr>
        <w:jc w:val="both"/>
      </w:pPr>
      <w:r w:rsidRPr="00E17271">
        <w:t>We conducted a quantitative, cross‑sectional online survey. Starbucks served as a brand context/stimulus embedded in items to standardize respondents’ reference points; no qualitative or archival protocol was used, and we do not claim a methodological case study.</w:t>
      </w:r>
      <w:r>
        <w:t xml:space="preserve"> </w:t>
      </w:r>
      <w:r w:rsidR="007C58E0" w:rsidRPr="00B613AD">
        <w:t>All constructs were measured using adapted items from previously validated scales and analysed using structural equation modelling (SEM).</w:t>
      </w:r>
    </w:p>
    <w:p w14:paraId="5D4243AA" w14:textId="77777777" w:rsidR="007C58E0" w:rsidRPr="00B613AD" w:rsidRDefault="007C58E0" w:rsidP="00B613AD">
      <w:pPr>
        <w:pStyle w:val="whitespace-normal"/>
        <w:jc w:val="both"/>
      </w:pPr>
    </w:p>
    <w:p w14:paraId="7CC4DEB5" w14:textId="16616AAF" w:rsidR="007C4955" w:rsidRPr="00B613AD" w:rsidRDefault="00000000" w:rsidP="00B613AD">
      <w:pPr>
        <w:pStyle w:val="Heading3"/>
        <w:jc w:val="both"/>
        <w:rPr>
          <w:sz w:val="24"/>
          <w:szCs w:val="24"/>
        </w:rPr>
      </w:pPr>
      <w:r w:rsidRPr="00B613AD">
        <w:rPr>
          <w:sz w:val="24"/>
          <w:szCs w:val="24"/>
        </w:rPr>
        <w:t xml:space="preserve">3.2 </w:t>
      </w:r>
      <w:r w:rsidR="000828A3" w:rsidRPr="00B613AD">
        <w:rPr>
          <w:sz w:val="24"/>
          <w:szCs w:val="24"/>
        </w:rPr>
        <w:t>SAMPLE SELECTION</w:t>
      </w:r>
    </w:p>
    <w:p w14:paraId="454C2E42" w14:textId="48858A27" w:rsidR="00E17271" w:rsidRDefault="00E17271" w:rsidP="00B613AD">
      <w:pPr>
        <w:pStyle w:val="whitespace-normal"/>
        <w:jc w:val="both"/>
      </w:pPr>
      <w:r w:rsidRPr="00E17271">
        <w:t>We used a non‑probability, voluntary (self‑selection) sampling approach via university mailing lists, student forums, and social media. Recruitment targeted coverage across region (Europe vs. Asia), discipline, and gender; however, invitations were not randomly drawn from a sampling frame, and the sample is therefore not probabilistic. Findings should be interpreted with appropriate caution regarding generalizability.</w:t>
      </w:r>
    </w:p>
    <w:p w14:paraId="5BEE6FBC" w14:textId="72691B60" w:rsidR="007C4955" w:rsidRPr="00B613AD" w:rsidRDefault="00000000" w:rsidP="00B613AD">
      <w:pPr>
        <w:pStyle w:val="whitespace-normal"/>
        <w:jc w:val="both"/>
      </w:pPr>
      <w:r w:rsidRPr="00B613AD">
        <w:t>The final sample comprised 600 university students: 300 from five European universities (institutions from the United Kingdom, Germany, Sweden, France, and the Netherlands) and 300 from five Asian universities (institutions from China, India, Japan, South Korea, and Singapore). This multi-institutional approach enabled cross-cultural comparisons whilst ensuring data diversity.</w:t>
      </w:r>
    </w:p>
    <w:p w14:paraId="654169B1" w14:textId="77777777" w:rsidR="007C4955" w:rsidRPr="00B613AD" w:rsidRDefault="00000000" w:rsidP="00B613AD">
      <w:pPr>
        <w:pStyle w:val="whitespace-normal"/>
        <w:jc w:val="both"/>
      </w:pPr>
      <w:r w:rsidRPr="00B613AD">
        <w:t>Participants were primarily undergraduate and postgraduate students aged 18-30 years. This demographic proves particularly relevant for sustainability research given its pivotal role in shaping future consumption patterns and heightened exposure to environmental issues through academic, media, and social platforms (Wang et al., 2023). Recruitment was conducted through university mailing lists, social media platforms, and student forums, ensuring voluntary participation and ethical compliance.</w:t>
      </w:r>
    </w:p>
    <w:p w14:paraId="1980A8CF" w14:textId="4C782789" w:rsidR="007C4955" w:rsidRPr="00B613AD" w:rsidRDefault="00000000" w:rsidP="00B613AD">
      <w:pPr>
        <w:pStyle w:val="Heading3"/>
        <w:jc w:val="both"/>
        <w:rPr>
          <w:sz w:val="24"/>
          <w:szCs w:val="24"/>
        </w:rPr>
      </w:pPr>
      <w:r w:rsidRPr="00B613AD">
        <w:rPr>
          <w:sz w:val="24"/>
          <w:szCs w:val="24"/>
        </w:rPr>
        <w:t xml:space="preserve">3.3 </w:t>
      </w:r>
      <w:r w:rsidR="00940802" w:rsidRPr="00B613AD">
        <w:rPr>
          <w:sz w:val="24"/>
          <w:szCs w:val="24"/>
        </w:rPr>
        <w:t>DATA COLLECTION</w:t>
      </w:r>
    </w:p>
    <w:p w14:paraId="679FA806" w14:textId="23A86692" w:rsidR="00D94C06" w:rsidRPr="00B613AD" w:rsidRDefault="00D94C06" w:rsidP="00B613AD">
      <w:pPr>
        <w:pStyle w:val="whitespace-normal"/>
        <w:jc w:val="both"/>
      </w:pPr>
      <w:r w:rsidRPr="00B613AD">
        <w:t>Data were collected using non-probability, self-selected sampling through university mailing lists, student forums, and social media platforms. The final sample consisted of 600 university students, evenly split between Europe (n = 300) and Asia (n = 300). Participants were aged between 18 and 30 years.</w:t>
      </w:r>
    </w:p>
    <w:p w14:paraId="77D8CA30" w14:textId="38E295F5" w:rsidR="007C4955" w:rsidRPr="00B613AD" w:rsidRDefault="00000000" w:rsidP="00B613AD">
      <w:pPr>
        <w:pStyle w:val="whitespace-normal"/>
        <w:jc w:val="both"/>
      </w:pPr>
      <w:r w:rsidRPr="00B613AD">
        <w:t>Data were collected through an online survey instrument comprising 30 items divided across five sections:</w:t>
      </w:r>
    </w:p>
    <w:p w14:paraId="52D18E18" w14:textId="77777777" w:rsidR="007C4955" w:rsidRPr="00B613AD" w:rsidRDefault="00000000" w:rsidP="00B613AD">
      <w:pPr>
        <w:pStyle w:val="whitespace-normal"/>
        <w:numPr>
          <w:ilvl w:val="0"/>
          <w:numId w:val="23"/>
        </w:numPr>
        <w:jc w:val="both"/>
      </w:pPr>
      <w:r w:rsidRPr="00B613AD">
        <w:rPr>
          <w:rStyle w:val="Strong"/>
        </w:rPr>
        <w:t>Demographic Information</w:t>
      </w:r>
      <w:r w:rsidRPr="00B613AD">
        <w:t>: Age, gender, academic discipline, income level, and geographical location.</w:t>
      </w:r>
    </w:p>
    <w:p w14:paraId="4C4515E5" w14:textId="77777777" w:rsidR="007C4955" w:rsidRPr="00B613AD" w:rsidRDefault="00000000" w:rsidP="00B613AD">
      <w:pPr>
        <w:pStyle w:val="whitespace-normal"/>
        <w:numPr>
          <w:ilvl w:val="0"/>
          <w:numId w:val="23"/>
        </w:numPr>
        <w:jc w:val="both"/>
      </w:pPr>
      <w:r w:rsidRPr="00B613AD">
        <w:rPr>
          <w:rStyle w:val="Strong"/>
        </w:rPr>
        <w:t>Green Product Awareness</w:t>
      </w:r>
      <w:r w:rsidRPr="00B613AD">
        <w:t>: Items assessing participants' knowledge of environmental attributes associated with green products (recyclable materials, carbon-neutral production, ethical sourcing).</w:t>
      </w:r>
    </w:p>
    <w:p w14:paraId="1165D09B" w14:textId="77777777" w:rsidR="007C4955" w:rsidRPr="00B613AD" w:rsidRDefault="00000000" w:rsidP="00B613AD">
      <w:pPr>
        <w:pStyle w:val="whitespace-normal"/>
        <w:numPr>
          <w:ilvl w:val="0"/>
          <w:numId w:val="23"/>
        </w:numPr>
        <w:jc w:val="both"/>
      </w:pPr>
      <w:r w:rsidRPr="00B613AD">
        <w:rPr>
          <w:rStyle w:val="Strong"/>
        </w:rPr>
        <w:t>Green Pricing Perception</w:t>
      </w:r>
      <w:r w:rsidRPr="00B613AD">
        <w:t>: Items measuring participants' perceptions of value and justification for higher prices of green products.</w:t>
      </w:r>
    </w:p>
    <w:p w14:paraId="0A0078B1" w14:textId="77777777" w:rsidR="007C4955" w:rsidRPr="00B613AD" w:rsidRDefault="00000000" w:rsidP="00B613AD">
      <w:pPr>
        <w:pStyle w:val="whitespace-normal"/>
        <w:numPr>
          <w:ilvl w:val="0"/>
          <w:numId w:val="23"/>
        </w:numPr>
        <w:jc w:val="both"/>
      </w:pPr>
      <w:r w:rsidRPr="00B613AD">
        <w:rPr>
          <w:rStyle w:val="Strong"/>
        </w:rPr>
        <w:t>Sustainability Orientation</w:t>
      </w:r>
      <w:r w:rsidRPr="00B613AD">
        <w:t>: Items aligned with SDG 12 and SDG 13, measuring importance participants placed on sustainable consumption and climate-conscious behaviour.</w:t>
      </w:r>
    </w:p>
    <w:p w14:paraId="4F22E27C" w14:textId="77777777" w:rsidR="007C4955" w:rsidRPr="00B613AD" w:rsidRDefault="00000000" w:rsidP="00B613AD">
      <w:pPr>
        <w:pStyle w:val="whitespace-normal"/>
        <w:numPr>
          <w:ilvl w:val="0"/>
          <w:numId w:val="23"/>
        </w:numPr>
        <w:jc w:val="both"/>
      </w:pPr>
      <w:r w:rsidRPr="00B613AD">
        <w:rPr>
          <w:rStyle w:val="Strong"/>
        </w:rPr>
        <w:t>Purchase Intentions</w:t>
      </w:r>
      <w:r w:rsidRPr="00B613AD">
        <w:t>: Participants rated their likelihood of purchasing environmentally sustainable products from brands such as Starbucks.</w:t>
      </w:r>
    </w:p>
    <w:p w14:paraId="08579421" w14:textId="77777777" w:rsidR="007C4955" w:rsidRPr="00B613AD" w:rsidRDefault="00000000" w:rsidP="00B613AD">
      <w:pPr>
        <w:pStyle w:val="whitespace-normal"/>
        <w:jc w:val="both"/>
      </w:pPr>
      <w:r w:rsidRPr="00B613AD">
        <w:lastRenderedPageBreak/>
        <w:t>The survey utilized a 5-point Likert scale ranging from "Strongly Disagree" (1) to "Strongly Agree" (5) for attitudinal items. Prior to distribution, the instrument was pilot tested with 30 students to ensure clarity, relevance, and reliability. Minor adjustments were made based on pilot feedback to enhance comprehensibility and cultural appropriateness.</w:t>
      </w:r>
    </w:p>
    <w:p w14:paraId="36245535" w14:textId="01D8BBB0" w:rsidR="00E17271" w:rsidRPr="00B613AD" w:rsidRDefault="00E17271" w:rsidP="00B613AD">
      <w:pPr>
        <w:pStyle w:val="whitespace-normal"/>
        <w:jc w:val="both"/>
      </w:pPr>
      <w:r w:rsidRPr="00E17271">
        <w:t>Green Product Awareness (e.g., “I can identify environmental attributes of coffee products such as responsible sourcing or recyclable packaging”) and Green Pricing Fairness (e.g., “I consider a modest premium acceptable when it supports credible environmental practices”) were assessed with multi‑item measures adapted for the Starbucks stimulus. Purchase Intention items captured likelihood of choosing environmentally friendlier options from the brand. Sources and exact wording for all 30 items are provided in the embedded appendix, along with an indication of any adapted phrases</w:t>
      </w:r>
      <w:r>
        <w:t>.</w:t>
      </w:r>
    </w:p>
    <w:p w14:paraId="6C569307" w14:textId="525277A0" w:rsidR="00D94C06" w:rsidRPr="00B613AD" w:rsidRDefault="00E17271" w:rsidP="00AF4A39">
      <w:pPr>
        <w:pStyle w:val="whitespace-normal"/>
        <w:jc w:val="both"/>
      </w:pPr>
      <w:r w:rsidRPr="00B613AD">
        <w:t>Ethical approval was obtained from the university ethics committee. Informed consent was secured from all participants, and data confidentiality was strictly maintained throughout the research process. The online survey was optimized for mobile and desktop formats to ensure high response rates.</w:t>
      </w:r>
    </w:p>
    <w:p w14:paraId="303DA9B4" w14:textId="68A232AF" w:rsidR="007C4955" w:rsidRPr="00B613AD" w:rsidRDefault="00000000" w:rsidP="00B613AD">
      <w:pPr>
        <w:pStyle w:val="Heading3"/>
        <w:jc w:val="both"/>
        <w:rPr>
          <w:sz w:val="24"/>
          <w:szCs w:val="24"/>
        </w:rPr>
      </w:pPr>
      <w:r w:rsidRPr="00B613AD">
        <w:rPr>
          <w:sz w:val="24"/>
          <w:szCs w:val="24"/>
        </w:rPr>
        <w:t xml:space="preserve">3.4 </w:t>
      </w:r>
      <w:r w:rsidR="00F46675" w:rsidRPr="00B613AD">
        <w:rPr>
          <w:sz w:val="24"/>
          <w:szCs w:val="24"/>
        </w:rPr>
        <w:t>DATA ANALYSIS</w:t>
      </w:r>
    </w:p>
    <w:p w14:paraId="48A43E73" w14:textId="0D97FB8D" w:rsidR="007C4955" w:rsidRPr="00B613AD" w:rsidRDefault="00EB7BFA" w:rsidP="00B613AD">
      <w:pPr>
        <w:pStyle w:val="whitespace-normal"/>
        <w:jc w:val="both"/>
      </w:pPr>
      <w:r w:rsidRPr="00FC4B05">
        <w:t xml:space="preserve">Data were analysed using SPSS and AMOS, and structural equation modelling (SEM) was employed to test the </w:t>
      </w:r>
      <w:proofErr w:type="spellStart"/>
      <w:r w:rsidRPr="00FC4B05">
        <w:t>hypothesised</w:t>
      </w:r>
      <w:proofErr w:type="spellEnd"/>
      <w:r w:rsidRPr="00FC4B05">
        <w:t xml:space="preserve"> relationships. Measurement reliability and validity were assessed using factor loadings, Cronbach’s alpha, composite reliability (CR), average variance extracted (AVE), and discriminant validity criteria. Model fit was evaluated using multiple indices, including χ², CFI, TLI, RMSEA, and SRMR. Following widely accepted SEM guidelines (e.g., Hu &amp; Bentler, 1999; Kline, 2016), we adopted CFI and TLI ≥ 0.90 as indicators of acceptable fit, RMSEA ≤ 0.08 and SRMR ≤ 0.08 as recommended thresholds for reasonable approximation error and residual fit, and we report χ² only as a descriptive statistic due to its sensitivity to sample size. These guidelines were chosen because they represent the most commonly cited, empirically validated benchmark criteria in contemporary SEM applications and allow for balanced evaluation across absolute, incremental, and residual‑based fit indices. This multi‑index approach ensures that overall model fit is not judged by any single potentially sample‑dependent statistic.</w:t>
      </w:r>
      <w:r w:rsidR="000754B9" w:rsidRPr="00FC4B05">
        <w:t xml:space="preserve"> </w:t>
      </w:r>
      <w:r w:rsidRPr="00FC4B05">
        <w:t>Collected data were analyzed using SPSS (Statistical Package for the Social Sciences) and AMOS (Analysis of Moment Structures), widely utilized in social science research for quantitative analysis. The analytical approach incorporated both descriptive and inferential statistics.</w:t>
      </w:r>
    </w:p>
    <w:p w14:paraId="5FFC965F" w14:textId="77777777" w:rsidR="007C4955" w:rsidRPr="00B613AD" w:rsidRDefault="00000000" w:rsidP="00B613AD">
      <w:pPr>
        <w:pStyle w:val="whitespace-normal"/>
        <w:jc w:val="both"/>
      </w:pPr>
      <w:r w:rsidRPr="00B613AD">
        <w:rPr>
          <w:rStyle w:val="Strong"/>
        </w:rPr>
        <w:t>Descriptive Statistics</w:t>
      </w:r>
      <w:r w:rsidRPr="00B613AD">
        <w:t xml:space="preserve"> were employed to summarize demographic characteristics and provide response overviews across survey sections, calculating means, standard deviations, and frequency distributions.</w:t>
      </w:r>
    </w:p>
    <w:p w14:paraId="7821971F" w14:textId="77777777" w:rsidR="007C4955" w:rsidRPr="00B613AD" w:rsidRDefault="00000000" w:rsidP="00B613AD">
      <w:pPr>
        <w:pStyle w:val="whitespace-normal"/>
        <w:jc w:val="both"/>
      </w:pPr>
      <w:r w:rsidRPr="00B613AD">
        <w:rPr>
          <w:rStyle w:val="Strong"/>
        </w:rPr>
        <w:t>Correlation Analysis</w:t>
      </w:r>
      <w:r w:rsidRPr="00B613AD">
        <w:t xml:space="preserve"> examined relationships between green product awareness, green pricing perception, sustainability orientation, and purchase intentions using Pearson's correlation coefficients to determine relationship strength and direction.</w:t>
      </w:r>
    </w:p>
    <w:p w14:paraId="3BAF6D95" w14:textId="77777777" w:rsidR="007C4955" w:rsidRPr="00B613AD" w:rsidRDefault="00000000" w:rsidP="00B613AD">
      <w:pPr>
        <w:pStyle w:val="whitespace-normal"/>
        <w:jc w:val="both"/>
      </w:pPr>
      <w:r w:rsidRPr="00B613AD">
        <w:rPr>
          <w:rStyle w:val="Strong"/>
        </w:rPr>
        <w:lastRenderedPageBreak/>
        <w:t>Structural Equation Modeling (SEM)</w:t>
      </w:r>
      <w:r w:rsidRPr="00B613AD">
        <w:t xml:space="preserve"> in AMOS tested the study's hypotheses. SEM proves particularly suitable for studies involving complex relationships between observed and latent variables. The model included:</w:t>
      </w:r>
    </w:p>
    <w:p w14:paraId="540BC791" w14:textId="77777777" w:rsidR="007C4955" w:rsidRPr="00B613AD" w:rsidRDefault="00000000" w:rsidP="00B613AD">
      <w:pPr>
        <w:pStyle w:val="whitespace-normal"/>
        <w:numPr>
          <w:ilvl w:val="0"/>
          <w:numId w:val="24"/>
        </w:numPr>
        <w:jc w:val="both"/>
      </w:pPr>
      <w:r w:rsidRPr="00B613AD">
        <w:t>Green Product Awareness (exogenous variable)</w:t>
      </w:r>
    </w:p>
    <w:p w14:paraId="62F3E8BB" w14:textId="77777777" w:rsidR="007C4955" w:rsidRPr="00B613AD" w:rsidRDefault="00000000" w:rsidP="00B613AD">
      <w:pPr>
        <w:pStyle w:val="whitespace-normal"/>
        <w:numPr>
          <w:ilvl w:val="0"/>
          <w:numId w:val="24"/>
        </w:numPr>
        <w:jc w:val="both"/>
      </w:pPr>
      <w:r w:rsidRPr="00B613AD">
        <w:t>Green Pricing (exogenous variable)</w:t>
      </w:r>
    </w:p>
    <w:p w14:paraId="42342CB8" w14:textId="77777777" w:rsidR="007C4955" w:rsidRPr="00B613AD" w:rsidRDefault="00000000" w:rsidP="00B613AD">
      <w:pPr>
        <w:pStyle w:val="whitespace-normal"/>
        <w:numPr>
          <w:ilvl w:val="0"/>
          <w:numId w:val="24"/>
        </w:numPr>
        <w:jc w:val="both"/>
      </w:pPr>
      <w:r w:rsidRPr="00B613AD">
        <w:t>Sustainability Orientation (mediating variable)</w:t>
      </w:r>
    </w:p>
    <w:p w14:paraId="66A46010" w14:textId="77777777" w:rsidR="007C4955" w:rsidRPr="00B613AD" w:rsidRDefault="00000000" w:rsidP="00B613AD">
      <w:pPr>
        <w:pStyle w:val="whitespace-normal"/>
        <w:numPr>
          <w:ilvl w:val="0"/>
          <w:numId w:val="24"/>
        </w:numPr>
        <w:jc w:val="both"/>
      </w:pPr>
      <w:r w:rsidRPr="00B613AD">
        <w:t>Purchase Intention (endogenous variable)</w:t>
      </w:r>
    </w:p>
    <w:p w14:paraId="4B06421E" w14:textId="77777777" w:rsidR="007C4955" w:rsidRPr="00B613AD" w:rsidRDefault="00000000" w:rsidP="00B613AD">
      <w:pPr>
        <w:pStyle w:val="whitespace-normal"/>
        <w:jc w:val="both"/>
      </w:pPr>
      <w:r w:rsidRPr="00B613AD">
        <w:t>Model fit was evaluated using multiple indices: Chi-square (χ²), Root Mean Square Error of Approximation (RMSEA), Comparative Fit Index (CFI), and Tucker-Lewis Index (TLI). Acceptable model fit was determined based on established thresholds: RMSEA &lt; 0.08, CFI &gt; 0.90, and TLI &gt; 0.90. Bootstrapping methods assessed indirect effects of mediating variables.</w:t>
      </w:r>
    </w:p>
    <w:p w14:paraId="4A235FDA" w14:textId="77777777" w:rsidR="007C4955" w:rsidRPr="00B613AD" w:rsidRDefault="00000000" w:rsidP="00B613AD">
      <w:pPr>
        <w:pStyle w:val="whitespace-normal"/>
        <w:jc w:val="both"/>
      </w:pPr>
      <w:r w:rsidRPr="00B613AD">
        <w:t>Reliability and validity of measurement scales were confirmed using Cronbach's alpha (α &gt; 0.7), Composite Reliability (CR), and Average Variance Extracted (AVE), ensuring internal consistency and convergent validity of constructs.</w:t>
      </w:r>
    </w:p>
    <w:p w14:paraId="70DD8BF7" w14:textId="77777777" w:rsidR="006F1283" w:rsidRPr="00FC4B05" w:rsidRDefault="006F1283" w:rsidP="006F1283">
      <w:pPr>
        <w:pStyle w:val="Heading2"/>
        <w:spacing w:line="240" w:lineRule="auto"/>
        <w:jc w:val="both"/>
        <w:rPr>
          <w:rFonts w:ascii="Times New Roman" w:hAnsi="Times New Roman" w:cs="Times New Roman"/>
          <w:color w:val="auto"/>
          <w:sz w:val="24"/>
          <w:szCs w:val="24"/>
        </w:rPr>
      </w:pPr>
      <w:r w:rsidRPr="00FC4B05">
        <w:rPr>
          <w:rFonts w:ascii="Times New Roman" w:hAnsi="Times New Roman" w:cs="Times New Roman"/>
          <w:color w:val="auto"/>
          <w:sz w:val="24"/>
          <w:szCs w:val="24"/>
        </w:rPr>
        <w:t xml:space="preserve">To examine whether the structural relationships differed meaningfully between European and Asian respondents, a multi‑group structural equation modelling (MG‑SEM) procedure was conducted. This analytical approach enables the systematic comparison of path estimates, factor structures, and model performance across distinct cultural sub-samples, thereby assessing whether the theoretical model operates equivalently in different regional contexts. Following standard SEM practice, the multi‑group procedure began with testing configural invariance, ensuring that the overall pattern of fixed and free parameters was comparable across groups and that respondents in both regions </w:t>
      </w:r>
      <w:proofErr w:type="spellStart"/>
      <w:r w:rsidRPr="00FC4B05">
        <w:rPr>
          <w:rFonts w:ascii="Times New Roman" w:hAnsi="Times New Roman" w:cs="Times New Roman"/>
          <w:color w:val="auto"/>
          <w:sz w:val="24"/>
          <w:szCs w:val="24"/>
        </w:rPr>
        <w:t>conceptualised</w:t>
      </w:r>
      <w:proofErr w:type="spellEnd"/>
      <w:r w:rsidRPr="00FC4B05">
        <w:rPr>
          <w:rFonts w:ascii="Times New Roman" w:hAnsi="Times New Roman" w:cs="Times New Roman"/>
          <w:color w:val="auto"/>
          <w:sz w:val="24"/>
          <w:szCs w:val="24"/>
        </w:rPr>
        <w:t xml:space="preserve"> the latent constructs similarly. Once configural compatibility was established, additional invariance tests—namely metric (factor loading) invariance and scalar (intercept) invariance—were examined to determine whether meaningful comparisons of regression paths and latent means could be made across the two samples.</w:t>
      </w:r>
    </w:p>
    <w:p w14:paraId="238C85FC" w14:textId="77777777" w:rsidR="006F1283" w:rsidRPr="004B6748" w:rsidRDefault="006F1283" w:rsidP="006F1283">
      <w:pPr>
        <w:rPr>
          <w:highlight w:val="yellow"/>
        </w:rPr>
      </w:pPr>
    </w:p>
    <w:p w14:paraId="114F5726" w14:textId="77777777" w:rsidR="006F1283" w:rsidRPr="006F1283" w:rsidRDefault="006F1283" w:rsidP="006F1283">
      <w:pPr>
        <w:pStyle w:val="Heading2"/>
        <w:spacing w:line="240" w:lineRule="auto"/>
        <w:jc w:val="both"/>
        <w:rPr>
          <w:rFonts w:ascii="Times New Roman" w:hAnsi="Times New Roman" w:cs="Times New Roman"/>
          <w:color w:val="auto"/>
          <w:sz w:val="24"/>
          <w:szCs w:val="24"/>
        </w:rPr>
      </w:pPr>
      <w:r w:rsidRPr="00FC4B05">
        <w:rPr>
          <w:rFonts w:ascii="Times New Roman" w:hAnsi="Times New Roman" w:cs="Times New Roman"/>
          <w:color w:val="auto"/>
          <w:sz w:val="24"/>
          <w:szCs w:val="24"/>
        </w:rPr>
        <w:t>After verifying acceptable levels of measurement invariance, group‑specific structural paths were compared to identify whether green product awareness, perceived fairness of green pricing, and sustainability orientation contributed differently to purchase intentions across regions. This step allowed the analysis to highlight culturally specific patterns—such as potential differences in price sensitivity, awareness levels, or the relative weight of sustainability values—while simultaneously indicating whether the core TPB‑based relationships demonstrated structural consistency across both populations. The MG‑SEM framework thus not only supported evaluation of regional variations but also provided evidence regarding the generalizability and robustness of the proposed model across European and Asian contexts. Together, these tests ensured that any observed differences were attributable to actual behavioural or perceptual variation rather than measurement artefacts, thereby strengthening the validity of cross‑cultural interpretations drawn from the findings.</w:t>
      </w:r>
    </w:p>
    <w:p w14:paraId="4272577D" w14:textId="77777777" w:rsidR="006F1283" w:rsidRDefault="006F1283" w:rsidP="006F1283">
      <w:pPr>
        <w:pStyle w:val="Heading2"/>
        <w:spacing w:line="240" w:lineRule="auto"/>
        <w:jc w:val="both"/>
        <w:rPr>
          <w:rFonts w:ascii="Times New Roman" w:hAnsi="Times New Roman" w:cs="Times New Roman"/>
          <w:b/>
          <w:bCs/>
          <w:color w:val="auto"/>
          <w:sz w:val="24"/>
          <w:szCs w:val="24"/>
        </w:rPr>
      </w:pPr>
    </w:p>
    <w:p w14:paraId="66CD522D" w14:textId="2BCF1556" w:rsidR="00CA01A7" w:rsidRDefault="00000000" w:rsidP="006F1283">
      <w:pPr>
        <w:pStyle w:val="Heading2"/>
        <w:spacing w:line="240" w:lineRule="auto"/>
        <w:jc w:val="both"/>
        <w:rPr>
          <w:rFonts w:ascii="Times New Roman" w:hAnsi="Times New Roman" w:cs="Times New Roman"/>
          <w:b/>
          <w:bCs/>
          <w:color w:val="auto"/>
          <w:sz w:val="24"/>
          <w:szCs w:val="24"/>
        </w:rPr>
      </w:pPr>
      <w:r w:rsidRPr="00B613AD">
        <w:rPr>
          <w:rFonts w:ascii="Times New Roman" w:hAnsi="Times New Roman" w:cs="Times New Roman"/>
          <w:b/>
          <w:bCs/>
          <w:color w:val="auto"/>
          <w:sz w:val="24"/>
          <w:szCs w:val="24"/>
        </w:rPr>
        <w:t>4. RESULTS AND DISCUSSION</w:t>
      </w:r>
    </w:p>
    <w:p w14:paraId="0969B26E" w14:textId="6DD6785D" w:rsidR="00CA01A7" w:rsidRPr="00B613AD" w:rsidRDefault="00CA01A7" w:rsidP="00B613AD">
      <w:pPr>
        <w:jc w:val="both"/>
      </w:pPr>
      <w:r w:rsidRPr="00B613AD">
        <w:t xml:space="preserve">The SEM results indicate that green product awareness has a significant positive effect on purchase intention, supporting H1. Green pricing perception also exhibits a significant positive relationship </w:t>
      </w:r>
      <w:r w:rsidRPr="00B613AD">
        <w:lastRenderedPageBreak/>
        <w:t>with purchase intention, supporting H2. Multi-group analysis reveals that while the structural relationships are consistent across regions, the strength of the green pricing effect varies between European and Asian samples.</w:t>
      </w:r>
    </w:p>
    <w:p w14:paraId="307354C7" w14:textId="1DB253F6" w:rsidR="007C4955" w:rsidRPr="00B613AD" w:rsidRDefault="00000000" w:rsidP="00B613AD">
      <w:pPr>
        <w:pStyle w:val="Heading3"/>
        <w:jc w:val="both"/>
        <w:rPr>
          <w:sz w:val="24"/>
          <w:szCs w:val="24"/>
        </w:rPr>
      </w:pPr>
      <w:r w:rsidRPr="00B613AD">
        <w:rPr>
          <w:sz w:val="24"/>
          <w:szCs w:val="24"/>
        </w:rPr>
        <w:t>4.1 DEMOGRAPHIC OVERVIEW</w:t>
      </w:r>
    </w:p>
    <w:p w14:paraId="53881FA6" w14:textId="77777777" w:rsidR="007C4955" w:rsidRPr="00B613AD" w:rsidRDefault="00000000" w:rsidP="00B613AD">
      <w:pPr>
        <w:pStyle w:val="whitespace-normal"/>
        <w:jc w:val="both"/>
      </w:pPr>
      <w:r w:rsidRPr="00B613AD">
        <w:t>The sample population comprised 600 university students evenly distributed between European and Asian institutions, with balanced gender representation (49.5% male, 50.5% female). Respondent ages ranged from 18-30 years, reflecting typical university student demographics. Both undergraduate and postgraduate students were included, ensuring diverse academic representation across disciplines.</w:t>
      </w:r>
    </w:p>
    <w:p w14:paraId="2832F67A" w14:textId="77777777" w:rsidR="007C4955" w:rsidRPr="00B613AD" w:rsidRDefault="00000000" w:rsidP="00B613AD">
      <w:pPr>
        <w:pStyle w:val="whitespace-normal"/>
        <w:jc w:val="both"/>
      </w:pPr>
      <w:r w:rsidRPr="00B613AD">
        <w:t>Significantly, 72% of respondents reported moderate to high awareness levels of United Nations Sustainable Development Goals, particularly those related to environmental protection. This awareness served as a foundational variable influencing interpretation of green marketing initiatives and providing context for purchase intention evaluation. The demographic profile aligns with broader trends indicating heightened environmental engagement among younger, educated populations likely to shape future consumer patterns.</w:t>
      </w:r>
    </w:p>
    <w:p w14:paraId="462671A0" w14:textId="4167B6A2" w:rsidR="007C4955" w:rsidRPr="00B613AD" w:rsidRDefault="00000000" w:rsidP="00B613AD">
      <w:pPr>
        <w:pStyle w:val="Heading3"/>
        <w:jc w:val="both"/>
        <w:rPr>
          <w:sz w:val="24"/>
          <w:szCs w:val="24"/>
        </w:rPr>
      </w:pPr>
      <w:r w:rsidRPr="00B613AD">
        <w:rPr>
          <w:sz w:val="24"/>
          <w:szCs w:val="24"/>
        </w:rPr>
        <w:t xml:space="preserve">4.2 </w:t>
      </w:r>
      <w:r w:rsidR="00F46675" w:rsidRPr="00B613AD">
        <w:rPr>
          <w:sz w:val="24"/>
          <w:szCs w:val="24"/>
        </w:rPr>
        <w:t>HYPOTHESIS TESTING</w:t>
      </w:r>
    </w:p>
    <w:p w14:paraId="71624C30" w14:textId="3DB1ADC1" w:rsidR="002810CD" w:rsidRDefault="002810CD" w:rsidP="00B613AD">
      <w:pPr>
        <w:pStyle w:val="whitespace-normal"/>
        <w:jc w:val="both"/>
      </w:pPr>
      <w:r w:rsidRPr="002810CD">
        <w:t>Consistent with H1, green product awareness showed a positive association with purchase intention. Consistent with H2, perceived fairness of green pricing also showed a positive association. We interpret these estimates as intention‑level relationships rather than evidence of realized purchasing.</w:t>
      </w:r>
    </w:p>
    <w:p w14:paraId="30E83347" w14:textId="27094A53" w:rsidR="007C4955" w:rsidRPr="00B613AD" w:rsidRDefault="00000000" w:rsidP="00B613AD">
      <w:pPr>
        <w:pStyle w:val="whitespace-normal"/>
        <w:jc w:val="both"/>
      </w:pPr>
      <w:r w:rsidRPr="00B613AD">
        <w:rPr>
          <w:rStyle w:val="Strong"/>
        </w:rPr>
        <w:t>H1: Green product awareness positively influences purchase intentions.</w:t>
      </w:r>
      <w:r w:rsidRPr="00B613AD">
        <w:t xml:space="preserve"> This hypothesis received strong support through SEM analysis. A significant path coefficient (β = 0.61, p &lt; 0.01) </w:t>
      </w:r>
      <w:r w:rsidR="00FC4B05">
        <w:t>(Appendix 1, 2, and 3)</w:t>
      </w:r>
      <w:r w:rsidR="00300E97">
        <w:t xml:space="preserve"> </w:t>
      </w:r>
      <w:r w:rsidRPr="00B613AD">
        <w:t xml:space="preserve">confirmed that students reporting higher green product awareness were more likely to express intentions to purchase environmentally friendly offerings. This result aligns with contemporary literature emphasizing awareness's critical role in shaping pro-environmental </w:t>
      </w:r>
      <w:proofErr w:type="spellStart"/>
      <w:r w:rsidRPr="00B613AD">
        <w:t>behaviours</w:t>
      </w:r>
      <w:proofErr w:type="spellEnd"/>
      <w:r w:rsidRPr="00B613AD">
        <w:t xml:space="preserve"> (Liu et al., 2023; Nguyen et al., 2024). In the Starbucks context, students demonstrated stronger purchase intentions when recognizing efforts such as ethical sourcing, recyclable packaging, and reduced carbon footprints, underscoring the necessity for education and communication strategies emphasizing products' environmental credentials.</w:t>
      </w:r>
    </w:p>
    <w:p w14:paraId="5703FD10" w14:textId="77777777" w:rsidR="007C4955" w:rsidRPr="00B613AD" w:rsidRDefault="00000000" w:rsidP="00B613AD">
      <w:pPr>
        <w:pStyle w:val="whitespace-normal"/>
        <w:jc w:val="both"/>
      </w:pPr>
      <w:r w:rsidRPr="00B613AD">
        <w:rPr>
          <w:rStyle w:val="Strong"/>
        </w:rPr>
        <w:t>H2: Green pricing positively influences purchase intentions.</w:t>
      </w:r>
      <w:r w:rsidRPr="00B613AD">
        <w:t xml:space="preserve"> The second hypothesis was supported with a moderate but statistically significant path coefficient (β = 0.44, p &lt; 0.05). Whilst some students expressed price sensitivity, particularly in Asian regions, the majority acknowledged willingness to pay sustainability premiums when clearly communicated how premiums contributed to environmental outcomes (Nielsen, 2022; Chen &amp; Chang, 2023). This indicates that whilst green pricing can present barriers, it also represents opportunities when combined with transparency and educational marketing. Starbucks' use of in-store materials and online campaigns explaining how pricing supports sustainable farming and carbon reduction was positively received among the sample.</w:t>
      </w:r>
    </w:p>
    <w:p w14:paraId="4F103996" w14:textId="0B675A00" w:rsidR="007C4955" w:rsidRDefault="00000000" w:rsidP="00B613AD">
      <w:pPr>
        <w:pStyle w:val="whitespace-normal"/>
        <w:jc w:val="both"/>
      </w:pPr>
      <w:r w:rsidRPr="00B613AD">
        <w:rPr>
          <w:rStyle w:val="Strong"/>
        </w:rPr>
        <w:lastRenderedPageBreak/>
        <w:t xml:space="preserve">H3: </w:t>
      </w:r>
      <w:r w:rsidR="00A104BC" w:rsidRPr="00A104BC">
        <w:rPr>
          <w:rStyle w:val="Strong"/>
          <w:b w:val="0"/>
          <w:bCs w:val="0"/>
        </w:rPr>
        <w:t xml:space="preserve">The initial interpretation of H3 suggested a “synergistic” or combined effect; however, the SEM results reflect additive main effects, not a formally estimated interaction term. In the present model, no latent interaction or moderation term was explicitly specified, which means the reported coefficient (previously stated as β = 0.71) does not represent a statistical interaction in the SEM sense. Moderation in SEM requires </w:t>
      </w:r>
      <w:proofErr w:type="spellStart"/>
      <w:r w:rsidR="00A104BC" w:rsidRPr="00A104BC">
        <w:rPr>
          <w:rStyle w:val="Strong"/>
          <w:b w:val="0"/>
          <w:bCs w:val="0"/>
        </w:rPr>
        <w:t>specialised</w:t>
      </w:r>
      <w:proofErr w:type="spellEnd"/>
      <w:r w:rsidR="00A104BC" w:rsidRPr="00A104BC">
        <w:rPr>
          <w:rStyle w:val="Strong"/>
          <w:b w:val="0"/>
          <w:bCs w:val="0"/>
        </w:rPr>
        <w:t xml:space="preserve"> procedures—such as latent moderated structural equations (LMS), product‑indicator methods, or multi‑group interaction modelling—to generate and test an interaction construct, none of which were implemented in this study. Instead, model results indicate that both green product awareness and green pricing independently and significantly predict purchase intention, and when considered together in the same model, they produce a stronger overall explanatory contribution than either predictor alone. This should be accurately described as a joint additive influence rather than a synergistic or moderated effect. Students responded more </w:t>
      </w:r>
      <w:proofErr w:type="spellStart"/>
      <w:r w:rsidR="00A104BC" w:rsidRPr="00A104BC">
        <w:rPr>
          <w:rStyle w:val="Strong"/>
          <w:b w:val="0"/>
          <w:bCs w:val="0"/>
        </w:rPr>
        <w:t>favourably</w:t>
      </w:r>
      <w:proofErr w:type="spellEnd"/>
      <w:r w:rsidR="00A104BC" w:rsidRPr="00A104BC">
        <w:rPr>
          <w:rStyle w:val="Strong"/>
          <w:b w:val="0"/>
          <w:bCs w:val="0"/>
        </w:rPr>
        <w:t xml:space="preserve"> when they perceived both credible environmental product attributes and fair green pricing practices; however, this reflects parallel positive predictors, not a tested statistical interaction. The paragraph has therefore been revised to clarify that the model identifies two complementary but independent pathways, supporting the importance of integrating product‑level and pricing‑level sustainability cues in green marketing strategies without implying an untested moderation effect.</w:t>
      </w:r>
    </w:p>
    <w:p w14:paraId="5A41C50E" w14:textId="63B9DEF2" w:rsidR="008D5022" w:rsidRPr="008D5022" w:rsidRDefault="008D5022" w:rsidP="00B613AD">
      <w:pPr>
        <w:pStyle w:val="whitespace-normal"/>
        <w:jc w:val="both"/>
        <w:rPr>
          <w:b/>
          <w:bCs/>
        </w:rPr>
      </w:pPr>
      <w:r w:rsidRPr="008D5022">
        <w:rPr>
          <w:b/>
          <w:bCs/>
        </w:rPr>
        <w:t>4.3 DISCUSSION</w:t>
      </w:r>
    </w:p>
    <w:p w14:paraId="1050FC8A" w14:textId="60D2A553" w:rsidR="008D5022" w:rsidRDefault="008D5022" w:rsidP="00B613AD">
      <w:pPr>
        <w:pStyle w:val="whitespace-normal"/>
        <w:jc w:val="both"/>
      </w:pPr>
      <w:r w:rsidRPr="008D5022">
        <w:t xml:space="preserve">The findings align with a TPB‑consistent account in which credible awareness cues and transparent fairness perceptions contribute to intention formation, with awareness playing the more robust role for students in both regions. SDG </w:t>
      </w:r>
      <w:r w:rsidR="0057706D" w:rsidRPr="008D5022">
        <w:t>contextualization</w:t>
      </w:r>
      <w:r w:rsidRPr="008D5022">
        <w:t xml:space="preserve"> appears useful as a communicative frame that may help students interpret green marketing signals, without being specified as a moderator in the present model.</w:t>
      </w:r>
    </w:p>
    <w:p w14:paraId="08E63527" w14:textId="5C1A3086" w:rsidR="0057706D" w:rsidRDefault="0057706D" w:rsidP="0057706D">
      <w:pPr>
        <w:pStyle w:val="whitespace-normal"/>
        <w:jc w:val="both"/>
      </w:pPr>
      <w:r>
        <w:t>In terms of intentions and behaviors, b</w:t>
      </w:r>
      <w:r w:rsidRPr="0057706D">
        <w:t>ecause measures capture intentions, estimates should not be construed as behavioral impact without validation using observed purchasing or field data.</w:t>
      </w:r>
    </w:p>
    <w:p w14:paraId="3C7E031D" w14:textId="70D9559D" w:rsidR="007C4955" w:rsidRPr="00B613AD" w:rsidRDefault="00000000" w:rsidP="00B613AD">
      <w:pPr>
        <w:pStyle w:val="Heading3"/>
        <w:jc w:val="both"/>
        <w:rPr>
          <w:sz w:val="24"/>
          <w:szCs w:val="24"/>
        </w:rPr>
      </w:pPr>
      <w:r w:rsidRPr="00B613AD">
        <w:rPr>
          <w:sz w:val="24"/>
          <w:szCs w:val="24"/>
        </w:rPr>
        <w:t>4.</w:t>
      </w:r>
      <w:r w:rsidR="008D5022">
        <w:rPr>
          <w:sz w:val="24"/>
          <w:szCs w:val="24"/>
        </w:rPr>
        <w:t>4</w:t>
      </w:r>
      <w:r w:rsidRPr="00B613AD">
        <w:rPr>
          <w:sz w:val="24"/>
          <w:szCs w:val="24"/>
        </w:rPr>
        <w:t xml:space="preserve"> </w:t>
      </w:r>
      <w:r w:rsidR="00F46675" w:rsidRPr="00B613AD">
        <w:rPr>
          <w:sz w:val="24"/>
          <w:szCs w:val="24"/>
        </w:rPr>
        <w:t>REGIONAL INSIGHTS</w:t>
      </w:r>
    </w:p>
    <w:p w14:paraId="1E4563CE" w14:textId="77777777" w:rsidR="00C222B2" w:rsidRDefault="00C222B2" w:rsidP="00C222B2">
      <w:pPr>
        <w:pStyle w:val="whitespace-normal"/>
        <w:jc w:val="both"/>
      </w:pPr>
      <w:r>
        <w:t xml:space="preserve">Cross‑regional analysis was conducted to determine whether the structural relationships differed meaningfully between European and Asian respondents. To ensure that any regional comparisons were statistically valid, we first performed a series of measurement invariance tests—including configural, metric, and scalar invariance—which demonstrated acceptable fit at each stage, indicating that respondents across both regions </w:t>
      </w:r>
      <w:proofErr w:type="spellStart"/>
      <w:r>
        <w:t>conceptualised</w:t>
      </w:r>
      <w:proofErr w:type="spellEnd"/>
      <w:r>
        <w:t xml:space="preserve"> the latent constructs equivalently. After establishing invariance, we compared standardised path coefficients with corresponding 95% confidence intervals to identify whether effect sizes differed substantively across groups. These comparisons indicated that the effect of green product awareness on purchase intention was moderately stronger among European students than Asian students, while the effect of green pricing exhibited greater variability between regions; however, the confidence‑interval overlap across most paths suggests that the differences, while directionally meaningful, were not uniformly large.</w:t>
      </w:r>
    </w:p>
    <w:p w14:paraId="40444CB0" w14:textId="56CC352B" w:rsidR="007C4955" w:rsidRPr="00B613AD" w:rsidRDefault="00C222B2" w:rsidP="00C222B2">
      <w:pPr>
        <w:pStyle w:val="whitespace-normal"/>
        <w:jc w:val="both"/>
      </w:pPr>
      <w:r>
        <w:t xml:space="preserve">To further ensure that regional differences were not artefacts of underlying demographic factors, additional multi‑group SEM models were estimated controlling for relevant covariates, including </w:t>
      </w:r>
      <w:r>
        <w:lastRenderedPageBreak/>
        <w:t>gender, income‑proxy measures (e.g., self‑reported monthly expenditure capacity), and prior purchase frequency of sustainable products. The inclusion of these controls did not materially alter model comparisons, suggesting that observed regional patterns reflected substantive cultural and educational differences rather than compositional biases. Specifically, European students’ comparatively higher green product awareness is consistent with sustainability‑oriented educational policies and widespread environmental literacy embedded within EU contexts (Leal Filho et al., 2022), whereas Asian respondents exhibited more heterogeneous levels of sustainability knowledge reflective of diverse national education systems and economic contexts. Together, these results indicate that while the core model structure is consistent across regions, meaningful but measured cross‑regional differences persist once measurement equivalence and demographic covariates are properly accounted for.</w:t>
      </w:r>
      <w:r w:rsidR="00A526DB">
        <w:t xml:space="preserve"> </w:t>
      </w:r>
      <w:r w:rsidRPr="00B613AD">
        <w:t>Conversely, Asian students demonstrated greater price sensitivity, though not at the expense of sustainability values. Whilst initial responses indicated caution toward green pricing, further analysis revealed that transparent communication about SDG alignment significantly mitigated this sensitivity (Wang et al., 2023). Students from Japan, India, and Singapore showed strong support for green initiatives when framed in ways relating to social responsibility, national development, and long-term environmental benefits, emphasizing the critical importance of culturally adaptive messaging for multinational companies operating across regions with diverse economic contexts.</w:t>
      </w:r>
    </w:p>
    <w:p w14:paraId="173ED16F" w14:textId="77777777" w:rsidR="007C4955" w:rsidRPr="00B613AD" w:rsidRDefault="00000000" w:rsidP="00B613AD">
      <w:pPr>
        <w:pStyle w:val="whitespace-normal"/>
        <w:jc w:val="both"/>
      </w:pPr>
      <w:r w:rsidRPr="00B613AD">
        <w:t>Despite regional variations, one unifying factor emerged: students from both Europe and Asia reported positive attitudes and heightened purchase intentions when green initiatives were credibly linked to SDGs. This reinforces the global relevance of the SDG framework as a strategic tool for marketing communications.</w:t>
      </w:r>
    </w:p>
    <w:p w14:paraId="5FF54C77" w14:textId="5D5F372E" w:rsidR="007C4955" w:rsidRPr="00B613AD" w:rsidRDefault="00000000" w:rsidP="00B613AD">
      <w:pPr>
        <w:pStyle w:val="Heading3"/>
        <w:jc w:val="both"/>
        <w:rPr>
          <w:sz w:val="24"/>
          <w:szCs w:val="24"/>
        </w:rPr>
      </w:pPr>
      <w:r w:rsidRPr="00B613AD">
        <w:rPr>
          <w:sz w:val="24"/>
          <w:szCs w:val="24"/>
        </w:rPr>
        <w:t>4.</w:t>
      </w:r>
      <w:r w:rsidR="008D5022">
        <w:rPr>
          <w:sz w:val="24"/>
          <w:szCs w:val="24"/>
        </w:rPr>
        <w:t>5</w:t>
      </w:r>
      <w:r w:rsidRPr="00B613AD">
        <w:rPr>
          <w:sz w:val="24"/>
          <w:szCs w:val="24"/>
        </w:rPr>
        <w:t xml:space="preserve"> </w:t>
      </w:r>
      <w:r w:rsidR="00F46675" w:rsidRPr="00B613AD">
        <w:rPr>
          <w:sz w:val="24"/>
          <w:szCs w:val="24"/>
        </w:rPr>
        <w:t>THE ROLE OF SDG INTEGRATION</w:t>
      </w:r>
    </w:p>
    <w:p w14:paraId="60835376" w14:textId="77777777" w:rsidR="007C4955" w:rsidRPr="00B613AD" w:rsidRDefault="00000000" w:rsidP="00B613AD">
      <w:pPr>
        <w:pStyle w:val="whitespace-normal"/>
        <w:jc w:val="both"/>
      </w:pPr>
      <w:r w:rsidRPr="00B613AD">
        <w:t>An overarching theme in the findings was the significant impact of SDG integration on consumer perception and behaviour. Students indicated clear preferences for businesses aligning operations and products with recognizable sustainability goals. Specifically, brands demonstrating transparent commitment to SDG 12 (Responsible Consumption and Production) and SDG 13 (Climate Action) were perceived as more authentic, trustworthy, and socially responsible.</w:t>
      </w:r>
    </w:p>
    <w:p w14:paraId="2925B4BA" w14:textId="77777777" w:rsidR="007C4955" w:rsidRPr="00B613AD" w:rsidRDefault="00000000" w:rsidP="00B613AD">
      <w:pPr>
        <w:pStyle w:val="whitespace-normal"/>
        <w:jc w:val="both"/>
      </w:pPr>
      <w:r w:rsidRPr="00B613AD">
        <w:t>In the Starbucks case, students appreciated initiatives including ethically sourced coffee beans, renewable energy investments, and single-use plastic reduction. These efforts were not only viewed positively but also translated into increased willingness to engage with the brand. Survey responses showed students were more inclined to support companies whose green pricing premiums were explicitly justified as contributions toward measurable sustainability impacts.</w:t>
      </w:r>
    </w:p>
    <w:p w14:paraId="26931BC3" w14:textId="77777777" w:rsidR="007C4955" w:rsidRPr="00B613AD" w:rsidRDefault="00000000" w:rsidP="00B613AD">
      <w:pPr>
        <w:pStyle w:val="whitespace-normal"/>
        <w:jc w:val="both"/>
      </w:pPr>
      <w:r w:rsidRPr="00B613AD">
        <w:t>Furthermore, respondents expressed desire for companies to enhance visibility and clarity regarding sustainability objectives. Over 68% of students indicated they would be more likely to support brands communicating how each purchase contributed to specific SDGs. This finding suggests that SDG-based branding and marketing offer competitive advantages, especially among young consumers increasingly demanding ethical accountability from businesses.</w:t>
      </w:r>
    </w:p>
    <w:p w14:paraId="749CD9A9" w14:textId="77777777" w:rsidR="007C4955" w:rsidRPr="00B613AD" w:rsidRDefault="00000000" w:rsidP="00B613AD">
      <w:pPr>
        <w:pStyle w:val="whitespace-normal"/>
        <w:jc w:val="both"/>
      </w:pPr>
      <w:r w:rsidRPr="00B613AD">
        <w:t xml:space="preserve">From a managerial perspective, these results highlight the importance of SDG-oriented marketing as a means of building brand equity and customer loyalty. Companies should move beyond generic </w:t>
      </w:r>
      <w:r w:rsidRPr="00B613AD">
        <w:lastRenderedPageBreak/>
        <w:t>sustainability claims and adopt targeted messaging showcasing direct contributions to global development goals.</w:t>
      </w:r>
    </w:p>
    <w:p w14:paraId="40570FB9" w14:textId="6DBE28FA" w:rsidR="007C4955" w:rsidRPr="00B613AD" w:rsidRDefault="00000000" w:rsidP="00B613AD">
      <w:pPr>
        <w:pStyle w:val="Heading2"/>
        <w:spacing w:line="240" w:lineRule="auto"/>
        <w:jc w:val="both"/>
        <w:rPr>
          <w:rFonts w:ascii="Times New Roman" w:hAnsi="Times New Roman" w:cs="Times New Roman"/>
          <w:b/>
          <w:bCs/>
          <w:color w:val="auto"/>
          <w:sz w:val="24"/>
          <w:szCs w:val="24"/>
        </w:rPr>
      </w:pPr>
      <w:r w:rsidRPr="00B613AD">
        <w:rPr>
          <w:rFonts w:ascii="Times New Roman" w:hAnsi="Times New Roman" w:cs="Times New Roman"/>
          <w:b/>
          <w:bCs/>
          <w:color w:val="auto"/>
          <w:sz w:val="24"/>
          <w:szCs w:val="24"/>
        </w:rPr>
        <w:t>5. IMPLICATIONS FOR BUSINESS AND POLICY</w:t>
      </w:r>
    </w:p>
    <w:p w14:paraId="6702F243" w14:textId="5E640C0D" w:rsidR="007C4955" w:rsidRPr="00B613AD" w:rsidRDefault="00000000" w:rsidP="00B613AD">
      <w:pPr>
        <w:pStyle w:val="Heading3"/>
        <w:jc w:val="both"/>
        <w:rPr>
          <w:sz w:val="24"/>
          <w:szCs w:val="24"/>
        </w:rPr>
      </w:pPr>
      <w:r w:rsidRPr="00B613AD">
        <w:rPr>
          <w:sz w:val="24"/>
          <w:szCs w:val="24"/>
        </w:rPr>
        <w:t>5.1 BUSINESS STRATEGIES</w:t>
      </w:r>
    </w:p>
    <w:p w14:paraId="7714EE2C" w14:textId="77777777" w:rsidR="007C4955" w:rsidRPr="00B613AD" w:rsidRDefault="00000000" w:rsidP="00B613AD">
      <w:pPr>
        <w:pStyle w:val="whitespace-normal"/>
        <w:jc w:val="both"/>
      </w:pPr>
      <w:r w:rsidRPr="00B613AD">
        <w:t>The empirical findings provide actionable insights for businesses, particularly multinational corporations seeking to align commercial objectives with sustainability principles. Three major strategic imperatives emerge:</w:t>
      </w:r>
    </w:p>
    <w:p w14:paraId="7901F528" w14:textId="77777777" w:rsidR="007C4955" w:rsidRPr="00B613AD" w:rsidRDefault="00000000" w:rsidP="00B613AD">
      <w:pPr>
        <w:pStyle w:val="whitespace-normal"/>
        <w:jc w:val="both"/>
      </w:pPr>
      <w:r w:rsidRPr="00B613AD">
        <w:rPr>
          <w:rStyle w:val="Strong"/>
        </w:rPr>
        <w:t>Embedding SDGs Visibly in Marketing and Product Communications</w:t>
      </w:r>
      <w:r w:rsidRPr="00B613AD">
        <w:t xml:space="preserve"> Businesses should explicitly embed Sustainable Development Goals into marketing narratives and product communications. The data reveals that students across both European and Asian regions respond positively to brands demonstrating transparent commitment to SDG-aligned values. By aligning products with specific goals such as SDG 12 and SDG 13, companies can leverage consumer environmental consciousness whilst building trust through measurable sustainability contributions (Abbas et al., 2023).</w:t>
      </w:r>
    </w:p>
    <w:p w14:paraId="5B270461" w14:textId="77777777" w:rsidR="007C4955" w:rsidRPr="00B613AD" w:rsidRDefault="00000000" w:rsidP="00B613AD">
      <w:pPr>
        <w:pStyle w:val="whitespace-normal"/>
        <w:jc w:val="both"/>
      </w:pPr>
      <w:r w:rsidRPr="00B613AD">
        <w:rPr>
          <w:rStyle w:val="Strong"/>
        </w:rPr>
        <w:t>Transparent Communication About Green Pricing Premiums</w:t>
      </w:r>
      <w:r w:rsidRPr="00B613AD">
        <w:t xml:space="preserve"> The research highlights the necessity for businesses to communicate green pricing premiums transparently. Whilst green pricing remains challenging, especially in price-sensitive markets, student responses suggest that when consumers understand the purpose and environmental benefits of premiums, resistance declines (Kumar &amp; Polonsky, 2022). Transparency can be achieved through detailed cost-breakdowns showing how premiums contribute to specific sustainability objectives.</w:t>
      </w:r>
    </w:p>
    <w:p w14:paraId="02DFD908" w14:textId="77777777" w:rsidR="007C4955" w:rsidRPr="00B613AD" w:rsidRDefault="00000000" w:rsidP="00B613AD">
      <w:pPr>
        <w:pStyle w:val="whitespace-normal"/>
        <w:jc w:val="both"/>
      </w:pPr>
      <w:r w:rsidRPr="00B613AD">
        <w:rPr>
          <w:rStyle w:val="Strong"/>
        </w:rPr>
        <w:t>Tailoring Green Strategies Based on Regional Differences</w:t>
      </w:r>
      <w:r w:rsidRPr="00B613AD">
        <w:t xml:space="preserve"> Cultural and regional differences necessitate localized green strategies. European students generally exhibit higher sustainability literacy due to widespread integration of environmental education, whilst Asian students demonstrate equal environmental commitment but greater price sensitivity (Wang et al., 2023). Marketing strategies should be tailored accordingly, with European approaches emphasizing certifications and environmental impact, whilst Asian markets may benefit from affordability-focused sustainability narratives.</w:t>
      </w:r>
    </w:p>
    <w:p w14:paraId="6095A893" w14:textId="57B6EEFE" w:rsidR="007C4955" w:rsidRPr="00B613AD" w:rsidRDefault="00000000" w:rsidP="00B613AD">
      <w:pPr>
        <w:pStyle w:val="Heading3"/>
        <w:jc w:val="both"/>
        <w:rPr>
          <w:sz w:val="24"/>
          <w:szCs w:val="24"/>
        </w:rPr>
      </w:pPr>
      <w:r w:rsidRPr="00B613AD">
        <w:rPr>
          <w:sz w:val="24"/>
          <w:szCs w:val="24"/>
        </w:rPr>
        <w:t xml:space="preserve">5.2 </w:t>
      </w:r>
      <w:r w:rsidR="00EA24C6" w:rsidRPr="00B613AD">
        <w:rPr>
          <w:sz w:val="24"/>
          <w:szCs w:val="24"/>
        </w:rPr>
        <w:t>EDUCATIONAL AND POLICY RECOMMENDATIONS</w:t>
      </w:r>
    </w:p>
    <w:p w14:paraId="6870F0BC" w14:textId="77777777" w:rsidR="007C4955" w:rsidRPr="00B613AD" w:rsidRDefault="00000000" w:rsidP="00B613AD">
      <w:pPr>
        <w:pStyle w:val="whitespace-normal"/>
        <w:jc w:val="both"/>
      </w:pPr>
      <w:r w:rsidRPr="00B613AD">
        <w:t>Fostering environmentally responsible consumer behaviour among young adults requires systemic efforts from educational institutions and governments.</w:t>
      </w:r>
    </w:p>
    <w:p w14:paraId="4FD04B44" w14:textId="101BB949" w:rsidR="007C4955" w:rsidRPr="00B613AD" w:rsidRDefault="00000000" w:rsidP="00B613AD">
      <w:pPr>
        <w:pStyle w:val="whitespace-normal"/>
        <w:jc w:val="both"/>
      </w:pPr>
      <w:r w:rsidRPr="00B613AD">
        <w:rPr>
          <w:rStyle w:val="Strong"/>
          <w:b w:val="0"/>
          <w:bCs w:val="0"/>
        </w:rPr>
        <w:t>Integrating SDGs into University Curricula</w:t>
      </w:r>
      <w:r w:rsidR="00D80BC5" w:rsidRPr="00B613AD">
        <w:t xml:space="preserve">: </w:t>
      </w:r>
      <w:r w:rsidRPr="00B613AD">
        <w:t>Universities should integrate SDG principles into academic curricula across disciplines. This integration can take several forms: mandatory sustainability modules, interdisciplinary courses, student-led sustainability initiatives, or practical engagement opportunities such as internships with green companies (Findler et al., 2021).</w:t>
      </w:r>
    </w:p>
    <w:p w14:paraId="04E449EC" w14:textId="6FEC5524" w:rsidR="007C4955" w:rsidRPr="00B613AD" w:rsidRDefault="00000000" w:rsidP="00B613AD">
      <w:pPr>
        <w:pStyle w:val="whitespace-normal"/>
        <w:jc w:val="both"/>
      </w:pPr>
      <w:r w:rsidRPr="00B613AD">
        <w:rPr>
          <w:rStyle w:val="Strong"/>
          <w:b w:val="0"/>
          <w:bCs w:val="0"/>
        </w:rPr>
        <w:t>Government Incentives for Green Business Practices</w:t>
      </w:r>
      <w:r w:rsidR="00D80BC5" w:rsidRPr="00B613AD">
        <w:t xml:space="preserve">: </w:t>
      </w:r>
      <w:r w:rsidRPr="00B613AD">
        <w:t xml:space="preserve">Government support proves critical for scaling green business practices. Public policies should be designed to alleviate cost barriers </w:t>
      </w:r>
      <w:r w:rsidRPr="00B613AD">
        <w:lastRenderedPageBreak/>
        <w:t>through targeted incentives and regulatory frameworks rewarding sustainability. Governments could introduce tax benefits, grants, or subsidies for companies meeting specific SDG targets (Sachs et al., 20</w:t>
      </w:r>
      <w:r w:rsidR="00BC26D7">
        <w:t>19</w:t>
      </w:r>
      <w:r w:rsidRPr="00B613AD">
        <w:t>).</w:t>
      </w:r>
    </w:p>
    <w:p w14:paraId="184F7B1A" w14:textId="33D94ACA" w:rsidR="007C4955" w:rsidRDefault="00346A21" w:rsidP="00B613AD">
      <w:pPr>
        <w:pStyle w:val="Heading2"/>
        <w:spacing w:line="240" w:lineRule="auto"/>
        <w:jc w:val="both"/>
        <w:rPr>
          <w:rFonts w:ascii="Times New Roman" w:hAnsi="Times New Roman" w:cs="Times New Roman"/>
          <w:b/>
          <w:bCs/>
          <w:color w:val="auto"/>
          <w:sz w:val="24"/>
          <w:szCs w:val="24"/>
        </w:rPr>
      </w:pPr>
      <w:r w:rsidRPr="00B613AD">
        <w:rPr>
          <w:rFonts w:ascii="Times New Roman" w:hAnsi="Times New Roman" w:cs="Times New Roman"/>
          <w:b/>
          <w:bCs/>
          <w:color w:val="auto"/>
          <w:sz w:val="24"/>
          <w:szCs w:val="24"/>
        </w:rPr>
        <w:t>6. CONCLUSION</w:t>
      </w:r>
    </w:p>
    <w:p w14:paraId="354BF8AB" w14:textId="77777777" w:rsidR="002077B8" w:rsidRPr="002077B8" w:rsidRDefault="002077B8" w:rsidP="002077B8">
      <w:pPr>
        <w:rPr>
          <w:lang w:val="en-US" w:eastAsia="en-US"/>
        </w:rPr>
      </w:pPr>
    </w:p>
    <w:p w14:paraId="7B4B2E4E" w14:textId="24E63AD4" w:rsidR="00264D78" w:rsidRDefault="001B7DF7" w:rsidP="001B5357">
      <w:pPr>
        <w:pStyle w:val="Heading2"/>
        <w:jc w:val="both"/>
        <w:rPr>
          <w:rFonts w:ascii="Times New Roman" w:eastAsia="Times New Roman" w:hAnsi="Times New Roman" w:cs="Times New Roman"/>
          <w:color w:val="auto"/>
          <w:sz w:val="24"/>
          <w:szCs w:val="24"/>
        </w:rPr>
      </w:pPr>
      <w:r w:rsidRPr="001B7DF7">
        <w:rPr>
          <w:rFonts w:ascii="Times New Roman" w:eastAsia="Times New Roman" w:hAnsi="Times New Roman" w:cs="Times New Roman"/>
          <w:color w:val="auto"/>
          <w:sz w:val="24"/>
          <w:szCs w:val="24"/>
        </w:rPr>
        <w:t>This study finds that across European and Asian student samples, green product awareness and perceived fairness of green pricing are positively associated with purchase intention, with awareness showing a stronger effect. However, results reflect stated intentions rather than actual behaviour, requiring future validation through observed or longitudinal data.</w:t>
      </w:r>
      <w:r w:rsidR="001B5357">
        <w:rPr>
          <w:rFonts w:ascii="Times New Roman" w:eastAsia="Times New Roman" w:hAnsi="Times New Roman" w:cs="Times New Roman"/>
          <w:color w:val="auto"/>
          <w:sz w:val="24"/>
          <w:szCs w:val="24"/>
        </w:rPr>
        <w:t xml:space="preserve"> </w:t>
      </w:r>
      <w:r w:rsidRPr="001B7DF7">
        <w:rPr>
          <w:rFonts w:ascii="Times New Roman" w:eastAsia="Times New Roman" w:hAnsi="Times New Roman" w:cs="Times New Roman"/>
          <w:color w:val="auto"/>
          <w:sz w:val="24"/>
          <w:szCs w:val="24"/>
        </w:rPr>
        <w:t xml:space="preserve">The study contributes theoretically by integrating SDG </w:t>
      </w:r>
      <w:r w:rsidR="001B5357" w:rsidRPr="001B7DF7">
        <w:rPr>
          <w:rFonts w:ascii="Times New Roman" w:eastAsia="Times New Roman" w:hAnsi="Times New Roman" w:cs="Times New Roman"/>
          <w:color w:val="auto"/>
          <w:sz w:val="24"/>
          <w:szCs w:val="24"/>
        </w:rPr>
        <w:t>Contextualisation</w:t>
      </w:r>
      <w:r w:rsidRPr="001B7DF7">
        <w:rPr>
          <w:rFonts w:ascii="Times New Roman" w:eastAsia="Times New Roman" w:hAnsi="Times New Roman" w:cs="Times New Roman"/>
          <w:color w:val="auto"/>
          <w:sz w:val="24"/>
          <w:szCs w:val="24"/>
        </w:rPr>
        <w:t xml:space="preserve"> into a Theory of Planned Behaviour framework, offering cross-regional insights into how awareness and pricing perceptions shape intention.</w:t>
      </w:r>
      <w:r w:rsidR="001B5357">
        <w:rPr>
          <w:rFonts w:ascii="Times New Roman" w:eastAsia="Times New Roman" w:hAnsi="Times New Roman" w:cs="Times New Roman"/>
          <w:color w:val="auto"/>
          <w:sz w:val="24"/>
          <w:szCs w:val="24"/>
        </w:rPr>
        <w:t xml:space="preserve"> </w:t>
      </w:r>
      <w:r w:rsidRPr="001B7DF7">
        <w:rPr>
          <w:rFonts w:ascii="Times New Roman" w:eastAsia="Times New Roman" w:hAnsi="Times New Roman" w:cs="Times New Roman"/>
          <w:color w:val="auto"/>
          <w:sz w:val="24"/>
          <w:szCs w:val="24"/>
        </w:rPr>
        <w:t>Practically, organisations should clearly communicate SDG alignment and justify green pricing through transparent environmental impact, while universities and policymakers should enhance sustainability literacy. Messaging should also be adapted to regional sensitivities.</w:t>
      </w:r>
      <w:r w:rsidR="001B5357">
        <w:rPr>
          <w:rFonts w:ascii="Times New Roman" w:eastAsia="Times New Roman" w:hAnsi="Times New Roman" w:cs="Times New Roman"/>
          <w:color w:val="auto"/>
          <w:sz w:val="24"/>
          <w:szCs w:val="24"/>
        </w:rPr>
        <w:t xml:space="preserve"> </w:t>
      </w:r>
      <w:r w:rsidRPr="001B7DF7">
        <w:rPr>
          <w:rFonts w:ascii="Times New Roman" w:eastAsia="Times New Roman" w:hAnsi="Times New Roman" w:cs="Times New Roman"/>
          <w:color w:val="auto"/>
          <w:sz w:val="24"/>
          <w:szCs w:val="24"/>
        </w:rPr>
        <w:t>Limitations include the use of a non-probability student sample, a single brand context, and a cross-sectional design. Future research should incorporate behavioural data, broader samples, and qualitative insights into decision-making processes.</w:t>
      </w:r>
    </w:p>
    <w:p w14:paraId="7049C440" w14:textId="77777777" w:rsidR="00E547EA" w:rsidRPr="00E547EA" w:rsidRDefault="00E547EA" w:rsidP="00E547EA">
      <w:pPr>
        <w:rPr>
          <w:lang w:val="en-US" w:eastAsia="en-US"/>
        </w:rPr>
      </w:pPr>
    </w:p>
    <w:p w14:paraId="63CEBE11" w14:textId="265DE5F2" w:rsidR="007C4955" w:rsidRPr="00B613AD" w:rsidRDefault="00000000" w:rsidP="00264D78">
      <w:pPr>
        <w:pStyle w:val="Heading2"/>
        <w:spacing w:line="240" w:lineRule="auto"/>
        <w:jc w:val="both"/>
        <w:rPr>
          <w:rFonts w:ascii="Times New Roman" w:hAnsi="Times New Roman" w:cs="Times New Roman"/>
          <w:b/>
          <w:bCs/>
          <w:color w:val="auto"/>
          <w:sz w:val="24"/>
          <w:szCs w:val="24"/>
        </w:rPr>
      </w:pPr>
      <w:r w:rsidRPr="00B613AD">
        <w:rPr>
          <w:rFonts w:ascii="Times New Roman" w:hAnsi="Times New Roman" w:cs="Times New Roman"/>
          <w:b/>
          <w:bCs/>
          <w:color w:val="auto"/>
          <w:sz w:val="24"/>
          <w:szCs w:val="24"/>
        </w:rPr>
        <w:t>REFERENCES</w:t>
      </w:r>
    </w:p>
    <w:p w14:paraId="780A6F31" w14:textId="77777777" w:rsidR="00AD77EA" w:rsidRPr="005C3BCD" w:rsidRDefault="00AD77EA" w:rsidP="00AD77EA">
      <w:pPr>
        <w:pStyle w:val="whitespace-normal"/>
        <w:jc w:val="both"/>
      </w:pPr>
      <w:r w:rsidRPr="00B613AD">
        <w:t xml:space="preserve">Abbas, M., </w:t>
      </w:r>
      <w:r w:rsidRPr="005C3BCD">
        <w:t xml:space="preserve">Gao, Y., &amp; Shah, S. S. H. (2023). CSR and customer outcomes: The mediating role of customer engagement. </w:t>
      </w:r>
      <w:r w:rsidRPr="005C3BCD">
        <w:rPr>
          <w:rStyle w:val="Emphasis"/>
          <w:rFonts w:eastAsiaTheme="majorEastAsia"/>
        </w:rPr>
        <w:t>Sustainability</w:t>
      </w:r>
      <w:r w:rsidRPr="005C3BCD">
        <w:t xml:space="preserve">, 15(1), 1-19. </w:t>
      </w:r>
      <w:hyperlink r:id="rId9" w:history="1">
        <w:r w:rsidRPr="005C3BCD">
          <w:rPr>
            <w:rStyle w:val="Hyperlink"/>
            <w:color w:val="auto"/>
            <w:u w:val="none"/>
          </w:rPr>
          <w:t>https://doi.org/10.3390/su15010012</w:t>
        </w:r>
      </w:hyperlink>
    </w:p>
    <w:p w14:paraId="435892A7" w14:textId="77777777" w:rsidR="00AD77EA" w:rsidRPr="005C3BCD" w:rsidRDefault="00AD77EA" w:rsidP="00AD77EA">
      <w:pPr>
        <w:pStyle w:val="whitespace-normal"/>
        <w:jc w:val="both"/>
      </w:pPr>
      <w:r w:rsidRPr="005C3BCD">
        <w:t xml:space="preserve">Ajzen, I. (1991). The theory of planned behavior. </w:t>
      </w:r>
      <w:r w:rsidRPr="005C3BCD">
        <w:rPr>
          <w:rStyle w:val="Emphasis"/>
          <w:rFonts w:eastAsiaTheme="majorEastAsia"/>
        </w:rPr>
        <w:t>Organizational Behavior and Human Decision Processes</w:t>
      </w:r>
      <w:r w:rsidRPr="005C3BCD">
        <w:t xml:space="preserve">, 50(2), 179-211. </w:t>
      </w:r>
      <w:hyperlink r:id="rId10" w:history="1">
        <w:r w:rsidRPr="005C3BCD">
          <w:rPr>
            <w:rStyle w:val="Hyperlink"/>
            <w:color w:val="auto"/>
            <w:u w:val="none"/>
          </w:rPr>
          <w:t>https://doi.org/10.1016/0749-5978(91)90020-T</w:t>
        </w:r>
      </w:hyperlink>
    </w:p>
    <w:p w14:paraId="37FEF7FF" w14:textId="77777777" w:rsidR="00AD77EA" w:rsidRPr="005C3BCD" w:rsidRDefault="00AD77EA" w:rsidP="00AD77EA">
      <w:pPr>
        <w:pStyle w:val="whitespace-normal"/>
        <w:jc w:val="both"/>
      </w:pPr>
      <w:r w:rsidRPr="005C3BCD">
        <w:t xml:space="preserve">Ajzen, I. (2020). The theory of planned behavior: Frequently asked questions. </w:t>
      </w:r>
      <w:r w:rsidRPr="005C3BCD">
        <w:rPr>
          <w:rStyle w:val="Emphasis"/>
          <w:rFonts w:eastAsiaTheme="majorEastAsia"/>
        </w:rPr>
        <w:t>Human Behavior and Emerging Technologies</w:t>
      </w:r>
      <w:r w:rsidRPr="005C3BCD">
        <w:t xml:space="preserve">, 2(4), 314-324. </w:t>
      </w:r>
      <w:hyperlink r:id="rId11" w:history="1">
        <w:r w:rsidRPr="005C3BCD">
          <w:rPr>
            <w:rStyle w:val="Hyperlink"/>
            <w:color w:val="auto"/>
            <w:u w:val="none"/>
          </w:rPr>
          <w:t>https://doi.org/10.1002/hbe2.195</w:t>
        </w:r>
      </w:hyperlink>
    </w:p>
    <w:p w14:paraId="4B7CB79F" w14:textId="77777777" w:rsidR="00AD77EA" w:rsidRPr="005C3BCD" w:rsidRDefault="00AD77EA" w:rsidP="00AD77EA">
      <w:pPr>
        <w:pStyle w:val="whitespace-normal"/>
        <w:jc w:val="both"/>
      </w:pPr>
      <w:r w:rsidRPr="005C3BCD">
        <w:t xml:space="preserve">Ansu-Mensah, P., Marfo, E. O., Awuah, L. S., &amp; Amoako, K. O. (2021). Green product awareness effect on green purchase intentions of university students: An emerging market's perspective. </w:t>
      </w:r>
      <w:r w:rsidRPr="005C3BCD">
        <w:rPr>
          <w:rStyle w:val="Emphasis"/>
          <w:rFonts w:eastAsiaTheme="majorEastAsia"/>
        </w:rPr>
        <w:t>Future Business Journal</w:t>
      </w:r>
      <w:r w:rsidRPr="005C3BCD">
        <w:t xml:space="preserve">, 7(1), 1-13. </w:t>
      </w:r>
      <w:hyperlink r:id="rId12" w:history="1">
        <w:r w:rsidRPr="005C3BCD">
          <w:rPr>
            <w:rStyle w:val="Hyperlink"/>
            <w:color w:val="auto"/>
            <w:u w:val="none"/>
          </w:rPr>
          <w:t>https://doi.org/10.1186/s43093-021-00094-5</w:t>
        </w:r>
      </w:hyperlink>
    </w:p>
    <w:p w14:paraId="0A9D1B44" w14:textId="77777777" w:rsidR="00AD77EA" w:rsidRPr="005C3BCD" w:rsidRDefault="00AD77EA" w:rsidP="00AD77EA">
      <w:pPr>
        <w:pStyle w:val="whitespace-normal"/>
        <w:jc w:val="both"/>
      </w:pPr>
      <w:r w:rsidRPr="005C3BCD">
        <w:t xml:space="preserve">Bhaduri, G., &amp; Ha-Brookshire, J. E. (2021). Sustainability orientation and textile recycling: Understanding consumer preferences for textile recycling. </w:t>
      </w:r>
      <w:r w:rsidRPr="005C3BCD">
        <w:rPr>
          <w:rStyle w:val="Emphasis"/>
          <w:rFonts w:eastAsiaTheme="majorEastAsia"/>
        </w:rPr>
        <w:t>Sustainability</w:t>
      </w:r>
      <w:r w:rsidRPr="005C3BCD">
        <w:t xml:space="preserve">, 13(12), 6934. </w:t>
      </w:r>
      <w:hyperlink r:id="rId13" w:history="1">
        <w:r w:rsidRPr="005C3BCD">
          <w:rPr>
            <w:rStyle w:val="Hyperlink"/>
            <w:color w:val="auto"/>
            <w:u w:val="none"/>
          </w:rPr>
          <w:t>https://doi.org/10.3390/su13126934</w:t>
        </w:r>
      </w:hyperlink>
    </w:p>
    <w:p w14:paraId="482BC4A3" w14:textId="77777777" w:rsidR="00AD77EA" w:rsidRPr="005C3BCD" w:rsidRDefault="00AD77EA" w:rsidP="00AD77EA">
      <w:pPr>
        <w:pStyle w:val="whitespace-normal"/>
        <w:jc w:val="both"/>
      </w:pPr>
      <w:r w:rsidRPr="005C3BCD">
        <w:t xml:space="preserve">Chen, Y. S., &amp; Chang, C. H. (2023). Greenwash and green trust: The mediation effects of green consumer confusion and green perceived risk. </w:t>
      </w:r>
      <w:r w:rsidRPr="005C3BCD">
        <w:rPr>
          <w:rStyle w:val="Emphasis"/>
          <w:rFonts w:eastAsiaTheme="majorEastAsia"/>
        </w:rPr>
        <w:t>Journal of Business Ethics</w:t>
      </w:r>
      <w:r w:rsidRPr="005C3BCD">
        <w:t xml:space="preserve">, 184(1), 141-158. </w:t>
      </w:r>
      <w:hyperlink r:id="rId14" w:history="1">
        <w:r w:rsidRPr="005C3BCD">
          <w:rPr>
            <w:rStyle w:val="Hyperlink"/>
            <w:color w:val="auto"/>
            <w:u w:val="none"/>
          </w:rPr>
          <w:t>https://doi.org/10.1007/s10551-022-05168-2</w:t>
        </w:r>
      </w:hyperlink>
    </w:p>
    <w:p w14:paraId="36D59284" w14:textId="77777777" w:rsidR="00AD77EA" w:rsidRPr="005C3BCD" w:rsidRDefault="00AD77EA" w:rsidP="00AD77EA">
      <w:pPr>
        <w:pStyle w:val="whitespace-normal"/>
        <w:jc w:val="both"/>
      </w:pPr>
      <w:r w:rsidRPr="005C3BCD">
        <w:t xml:space="preserve">Dangelico, R. M., &amp; Vocalelli, D. (2017). "Green marketing": An analysis of definitions, strategy steps, and tools through a systematic review of the literature. </w:t>
      </w:r>
      <w:r w:rsidRPr="005C3BCD">
        <w:rPr>
          <w:rStyle w:val="Emphasis"/>
          <w:rFonts w:eastAsiaTheme="majorEastAsia"/>
        </w:rPr>
        <w:t>Journal of Cleaner Production</w:t>
      </w:r>
      <w:r w:rsidRPr="005C3BCD">
        <w:t xml:space="preserve">, 165, 1263-1279. </w:t>
      </w:r>
      <w:hyperlink r:id="rId15" w:history="1">
        <w:r w:rsidRPr="005C3BCD">
          <w:rPr>
            <w:rStyle w:val="Hyperlink"/>
            <w:color w:val="auto"/>
            <w:u w:val="none"/>
          </w:rPr>
          <w:t>https://doi.org/10.1016/j.jclepro.2017.07.184</w:t>
        </w:r>
      </w:hyperlink>
    </w:p>
    <w:p w14:paraId="3A62AABE" w14:textId="77777777" w:rsidR="00AD77EA" w:rsidRPr="005C3BCD" w:rsidRDefault="00AD77EA" w:rsidP="00AD77EA">
      <w:pPr>
        <w:pStyle w:val="whitespace-normal"/>
        <w:jc w:val="both"/>
      </w:pPr>
      <w:r w:rsidRPr="005C3BCD">
        <w:lastRenderedPageBreak/>
        <w:t xml:space="preserve">Dangelico, R. M., </w:t>
      </w:r>
      <w:proofErr w:type="spellStart"/>
      <w:r w:rsidRPr="005C3BCD">
        <w:t>Schiaroli</w:t>
      </w:r>
      <w:proofErr w:type="spellEnd"/>
      <w:r w:rsidRPr="005C3BCD">
        <w:t xml:space="preserve">, D., &amp; </w:t>
      </w:r>
      <w:proofErr w:type="spellStart"/>
      <w:r w:rsidRPr="005C3BCD">
        <w:t>Fraccascia</w:t>
      </w:r>
      <w:proofErr w:type="spellEnd"/>
      <w:r w:rsidRPr="005C3BCD">
        <w:t xml:space="preserve">, L. (2023). Is COVID-19 changing sustainable consumer behavior? A survey of Italian consumers. </w:t>
      </w:r>
      <w:r w:rsidRPr="005C3BCD">
        <w:rPr>
          <w:rStyle w:val="Emphasis"/>
          <w:rFonts w:eastAsiaTheme="majorEastAsia"/>
        </w:rPr>
        <w:t>Sustainable Development</w:t>
      </w:r>
      <w:r w:rsidRPr="005C3BCD">
        <w:t xml:space="preserve">, 31(3), 1477-1496. </w:t>
      </w:r>
      <w:hyperlink r:id="rId16" w:history="1">
        <w:r w:rsidRPr="005C3BCD">
          <w:rPr>
            <w:rStyle w:val="Hyperlink"/>
            <w:color w:val="auto"/>
            <w:u w:val="none"/>
          </w:rPr>
          <w:t>https://doi.org/10.1002/sd.2456</w:t>
        </w:r>
      </w:hyperlink>
    </w:p>
    <w:p w14:paraId="763D1E3A" w14:textId="77777777" w:rsidR="00AD77EA" w:rsidRPr="005C3BCD" w:rsidRDefault="00AD77EA" w:rsidP="00AD77EA">
      <w:pPr>
        <w:pStyle w:val="whitespace-normal"/>
        <w:jc w:val="both"/>
      </w:pPr>
      <w:r w:rsidRPr="005C3BCD">
        <w:t xml:space="preserve">Findler, F., Schönherr, N., Lozano, R., Reider, D., &amp; </w:t>
      </w:r>
      <w:proofErr w:type="spellStart"/>
      <w:r w:rsidRPr="005C3BCD">
        <w:t>Martinuzzi</w:t>
      </w:r>
      <w:proofErr w:type="spellEnd"/>
      <w:r w:rsidRPr="005C3BCD">
        <w:t xml:space="preserve">, A. (2021). The impacts of higher education institutions on sustainable development: A review and conceptualization. </w:t>
      </w:r>
      <w:r w:rsidRPr="005C3BCD">
        <w:rPr>
          <w:rStyle w:val="Emphasis"/>
          <w:rFonts w:eastAsiaTheme="majorEastAsia"/>
        </w:rPr>
        <w:t>International Journal of Sustainability in Higher Education</w:t>
      </w:r>
      <w:r w:rsidRPr="005C3BCD">
        <w:t xml:space="preserve">, 22(4), 923-947. </w:t>
      </w:r>
      <w:hyperlink r:id="rId17" w:history="1">
        <w:r w:rsidRPr="005C3BCD">
          <w:rPr>
            <w:rStyle w:val="Hyperlink"/>
            <w:color w:val="auto"/>
            <w:u w:val="none"/>
          </w:rPr>
          <w:t>https://doi.org/10.1108/IJSHE-07-2020-0259</w:t>
        </w:r>
      </w:hyperlink>
    </w:p>
    <w:p w14:paraId="21BD83CB" w14:textId="77777777" w:rsidR="00AD77EA" w:rsidRPr="005C3BCD" w:rsidRDefault="00AD77EA" w:rsidP="00AD77EA">
      <w:pPr>
        <w:pStyle w:val="whitespace-normal"/>
        <w:jc w:val="both"/>
      </w:pPr>
      <w:r w:rsidRPr="005C3BCD">
        <w:t xml:space="preserve">Joshi, Y., &amp; Rahman, Z. (2021). Factors affecting green purchase behavior and future research directions. </w:t>
      </w:r>
      <w:r w:rsidRPr="005C3BCD">
        <w:rPr>
          <w:rStyle w:val="Emphasis"/>
          <w:rFonts w:eastAsiaTheme="majorEastAsia"/>
        </w:rPr>
        <w:t>International Strategic Management Review</w:t>
      </w:r>
      <w:r w:rsidRPr="005C3BCD">
        <w:t xml:space="preserve">, 3(1-2), 128-143. </w:t>
      </w:r>
      <w:hyperlink r:id="rId18" w:history="1">
        <w:r w:rsidRPr="005C3BCD">
          <w:rPr>
            <w:rStyle w:val="Hyperlink"/>
            <w:color w:val="auto"/>
            <w:u w:val="none"/>
          </w:rPr>
          <w:t>https://doi.org/10.1016/j.ism.2015.04.001</w:t>
        </w:r>
      </w:hyperlink>
    </w:p>
    <w:p w14:paraId="7E75CBCC" w14:textId="77777777" w:rsidR="00AD77EA" w:rsidRPr="005C3BCD" w:rsidRDefault="00AD77EA" w:rsidP="00AD77EA">
      <w:pPr>
        <w:pStyle w:val="whitespace-normal"/>
        <w:jc w:val="both"/>
      </w:pPr>
      <w:r w:rsidRPr="005C3BCD">
        <w:t xml:space="preserve">Khan, S. N., &amp; Fatma, M. (2023). Antecedents and consequences of CSR authenticity in the banking sector. </w:t>
      </w:r>
      <w:r w:rsidRPr="005C3BCD">
        <w:rPr>
          <w:rStyle w:val="Emphasis"/>
          <w:rFonts w:eastAsiaTheme="majorEastAsia"/>
        </w:rPr>
        <w:t>International Journal of Bank Marketing</w:t>
      </w:r>
      <w:r w:rsidRPr="005C3BCD">
        <w:t xml:space="preserve">, 41(1), 1-25. </w:t>
      </w:r>
      <w:hyperlink r:id="rId19" w:history="1">
        <w:r w:rsidRPr="005C3BCD">
          <w:rPr>
            <w:rStyle w:val="Hyperlink"/>
            <w:color w:val="auto"/>
            <w:u w:val="none"/>
          </w:rPr>
          <w:t>https://doi.org/10.1108/IJBM-03-2022-0096</w:t>
        </w:r>
      </w:hyperlink>
    </w:p>
    <w:p w14:paraId="08185523" w14:textId="77777777" w:rsidR="00AD77EA" w:rsidRPr="005C3BCD" w:rsidRDefault="00AD77EA" w:rsidP="00AD77EA">
      <w:pPr>
        <w:pStyle w:val="whitespace-normal"/>
        <w:jc w:val="both"/>
      </w:pPr>
      <w:proofErr w:type="spellStart"/>
      <w:r w:rsidRPr="005C3BCD">
        <w:t>Kopnina</w:t>
      </w:r>
      <w:proofErr w:type="spellEnd"/>
      <w:r w:rsidRPr="005C3BCD">
        <w:t xml:space="preserve">, H. (2022). Putting sustainability first: From circular economy to circular society. </w:t>
      </w:r>
      <w:r w:rsidRPr="005C3BCD">
        <w:rPr>
          <w:rStyle w:val="Emphasis"/>
          <w:rFonts w:eastAsiaTheme="majorEastAsia"/>
        </w:rPr>
        <w:t>Sustainability</w:t>
      </w:r>
      <w:r w:rsidRPr="005C3BCD">
        <w:t xml:space="preserve">, 14(22), 15186. </w:t>
      </w:r>
      <w:hyperlink r:id="rId20" w:history="1">
        <w:r w:rsidRPr="005C3BCD">
          <w:rPr>
            <w:rStyle w:val="Hyperlink"/>
            <w:color w:val="auto"/>
            <w:u w:val="none"/>
          </w:rPr>
          <w:t>https://doi.org/10.3390/su142215186</w:t>
        </w:r>
      </w:hyperlink>
    </w:p>
    <w:p w14:paraId="2886D524" w14:textId="77777777" w:rsidR="00AD77EA" w:rsidRPr="005C3BCD" w:rsidRDefault="00AD77EA" w:rsidP="00AD77EA">
      <w:pPr>
        <w:pStyle w:val="whitespace-normal"/>
        <w:jc w:val="both"/>
      </w:pPr>
      <w:r w:rsidRPr="005C3BCD">
        <w:t xml:space="preserve">Kumar, A., &amp; Polonsky, M. J. (2022). An analysis of the green consumption barriers and their impact on green consumption intention. </w:t>
      </w:r>
      <w:r w:rsidRPr="005C3BCD">
        <w:rPr>
          <w:rStyle w:val="Emphasis"/>
          <w:rFonts w:eastAsiaTheme="majorEastAsia"/>
        </w:rPr>
        <w:t>Journal of Environmental Management</w:t>
      </w:r>
      <w:r w:rsidRPr="005C3BCD">
        <w:t xml:space="preserve">, 316, 115274. </w:t>
      </w:r>
      <w:hyperlink r:id="rId21" w:history="1">
        <w:r w:rsidRPr="005C3BCD">
          <w:rPr>
            <w:rStyle w:val="Hyperlink"/>
            <w:color w:val="auto"/>
            <w:u w:val="none"/>
          </w:rPr>
          <w:t>https://doi.org/10.1016/j.jenvman.2022.115274</w:t>
        </w:r>
      </w:hyperlink>
    </w:p>
    <w:p w14:paraId="57AB8D1C" w14:textId="77777777" w:rsidR="00AD77EA" w:rsidRPr="005C3BCD" w:rsidRDefault="00AD77EA" w:rsidP="00AD77EA">
      <w:pPr>
        <w:pStyle w:val="whitespace-normal"/>
        <w:jc w:val="both"/>
      </w:pPr>
      <w:r w:rsidRPr="005C3BCD">
        <w:t xml:space="preserve">Kumar, S., Sureka, R., Lim, W. M., Mangla, S. K., &amp; Goyal, N. (2021). What do we know about business strategy and environmental research? Insights from Business Strategy and the Environment. </w:t>
      </w:r>
      <w:r w:rsidRPr="005C3BCD">
        <w:rPr>
          <w:rStyle w:val="Emphasis"/>
          <w:rFonts w:eastAsiaTheme="majorEastAsia"/>
        </w:rPr>
        <w:t>Business Strategy and the Environment</w:t>
      </w:r>
      <w:r w:rsidRPr="005C3BCD">
        <w:t xml:space="preserve">, 30(8), 3454-3492. </w:t>
      </w:r>
      <w:hyperlink r:id="rId22" w:history="1">
        <w:r w:rsidRPr="005C3BCD">
          <w:rPr>
            <w:rStyle w:val="Hyperlink"/>
            <w:color w:val="auto"/>
            <w:u w:val="none"/>
          </w:rPr>
          <w:t>https://doi.org/10.1002/bse.2813</w:t>
        </w:r>
      </w:hyperlink>
    </w:p>
    <w:p w14:paraId="6B514C80" w14:textId="4DFA84B2" w:rsidR="00AD77EA" w:rsidRPr="005C3BCD" w:rsidRDefault="00AD77EA" w:rsidP="00AD77EA">
      <w:pPr>
        <w:pStyle w:val="whitespace-normal"/>
        <w:jc w:val="both"/>
        <w:rPr>
          <w:rStyle w:val="Hyperlink"/>
          <w:color w:val="auto"/>
          <w:u w:val="none"/>
        </w:rPr>
      </w:pPr>
      <w:r w:rsidRPr="005C3BCD">
        <w:t xml:space="preserve">Leal Filho, W., </w:t>
      </w:r>
      <w:proofErr w:type="spellStart"/>
      <w:r w:rsidRPr="005C3BCD">
        <w:t>Platje</w:t>
      </w:r>
      <w:proofErr w:type="spellEnd"/>
      <w:r w:rsidRPr="005C3BCD">
        <w:t xml:space="preserve">, J., </w:t>
      </w:r>
      <w:proofErr w:type="spellStart"/>
      <w:r w:rsidRPr="005C3BCD">
        <w:t>Gerstlberger</w:t>
      </w:r>
      <w:proofErr w:type="spellEnd"/>
      <w:r w:rsidRPr="005C3BCD">
        <w:t xml:space="preserve">, W., </w:t>
      </w:r>
      <w:proofErr w:type="spellStart"/>
      <w:r w:rsidRPr="005C3BCD">
        <w:t>Ciegis</w:t>
      </w:r>
      <w:proofErr w:type="spellEnd"/>
      <w:r w:rsidRPr="005C3BCD">
        <w:t xml:space="preserve">, R., </w:t>
      </w:r>
      <w:proofErr w:type="spellStart"/>
      <w:r w:rsidRPr="005C3BCD">
        <w:t>Kääriä</w:t>
      </w:r>
      <w:proofErr w:type="spellEnd"/>
      <w:r w:rsidRPr="005C3BCD">
        <w:t xml:space="preserve">, J., Klavins, M., &amp; </w:t>
      </w:r>
      <w:proofErr w:type="spellStart"/>
      <w:r w:rsidRPr="005C3BCD">
        <w:t>Kliucininkas</w:t>
      </w:r>
      <w:proofErr w:type="spellEnd"/>
      <w:r w:rsidRPr="005C3BCD">
        <w:t xml:space="preserve">, L. (2022). The role of green bonds in advancing sustainability. </w:t>
      </w:r>
      <w:r w:rsidRPr="005C3BCD">
        <w:rPr>
          <w:rStyle w:val="Emphasis"/>
          <w:rFonts w:eastAsiaTheme="majorEastAsia"/>
        </w:rPr>
        <w:t>Environment, Development and Sustainability</w:t>
      </w:r>
      <w:r w:rsidRPr="005C3BCD">
        <w:t xml:space="preserve">, 24(3), 3551-3572. </w:t>
      </w:r>
      <w:hyperlink r:id="rId23" w:history="1">
        <w:r w:rsidRPr="005C3BCD">
          <w:rPr>
            <w:rStyle w:val="Hyperlink"/>
            <w:color w:val="auto"/>
            <w:u w:val="none"/>
          </w:rPr>
          <w:t>https://doi.org/10.1007/s10668-021-01625-1</w:t>
        </w:r>
      </w:hyperlink>
    </w:p>
    <w:p w14:paraId="1EE5554C" w14:textId="3F80C864" w:rsidR="00E17271" w:rsidRPr="007660AA" w:rsidRDefault="007660AA" w:rsidP="007660AA">
      <w:pPr>
        <w:pStyle w:val="whitespace-normal"/>
        <w:jc w:val="both"/>
        <w:rPr>
          <w:rStyle w:val="Hyperlink"/>
          <w:color w:val="auto"/>
          <w:u w:val="none"/>
        </w:rPr>
      </w:pPr>
      <w:r w:rsidRPr="007660AA">
        <w:rPr>
          <w:rStyle w:val="Hyperlink"/>
          <w:color w:val="auto"/>
          <w:u w:val="none"/>
        </w:rPr>
        <w:t>Liu, J., Su, X., Liu, Y., &amp; Shui, W. (2024). A review of research on progress in the theory and practice of eco-product value realization. Land, 13(3), 316.</w:t>
      </w:r>
    </w:p>
    <w:p w14:paraId="4A946DAF" w14:textId="4CB04EE7" w:rsidR="007660AA" w:rsidRDefault="007660AA" w:rsidP="007660AA">
      <w:pPr>
        <w:pStyle w:val="whitespace-normal"/>
        <w:jc w:val="both"/>
        <w:rPr>
          <w:rStyle w:val="Hyperlink"/>
          <w:color w:val="auto"/>
          <w:u w:val="none"/>
        </w:rPr>
      </w:pPr>
      <w:r w:rsidRPr="007660AA">
        <w:rPr>
          <w:rStyle w:val="Hyperlink"/>
          <w:color w:val="auto"/>
          <w:u w:val="none"/>
        </w:rPr>
        <w:t>Minton, E. A., Spielmann, N., Kahle, L. R., &amp; Kim, C. H. (2018). The subjective norms of sustainable consumption: A cross-cultural exploration. Journal of Business Research, 82, 400-408.</w:t>
      </w:r>
    </w:p>
    <w:p w14:paraId="22CFE18A" w14:textId="241BEF66" w:rsidR="007660AA" w:rsidRDefault="007660AA" w:rsidP="007660AA">
      <w:pPr>
        <w:pStyle w:val="whitespace-normal"/>
        <w:jc w:val="both"/>
        <w:rPr>
          <w:rStyle w:val="Hyperlink"/>
          <w:color w:val="auto"/>
          <w:u w:val="none"/>
        </w:rPr>
      </w:pPr>
      <w:r w:rsidRPr="007660AA">
        <w:rPr>
          <w:rStyle w:val="Hyperlink"/>
          <w:color w:val="auto"/>
          <w:u w:val="none"/>
        </w:rPr>
        <w:t>Nguyen, M. T., Thach, K. T. D., Nguyen, C. N. L., Nguyen, A. C., &amp; Doan, H. K. (2025). The Influence of AI Chatbots on Green Satisfaction and Loyalty: Evidence from Sustainability-Driven Consumer Behavior. Journal of Global Marketing, 1-30.</w:t>
      </w:r>
    </w:p>
    <w:p w14:paraId="5EBBEFAC" w14:textId="7C04A61C" w:rsidR="008F0A5C" w:rsidRPr="007660AA" w:rsidRDefault="008F0A5C" w:rsidP="007660AA">
      <w:pPr>
        <w:pStyle w:val="whitespace-normal"/>
        <w:jc w:val="both"/>
        <w:rPr>
          <w:rStyle w:val="Hyperlink"/>
          <w:color w:val="auto"/>
          <w:u w:val="none"/>
        </w:rPr>
      </w:pPr>
      <w:r w:rsidRPr="008F0A5C">
        <w:rPr>
          <w:rStyle w:val="Hyperlink"/>
          <w:color w:val="auto"/>
          <w:u w:val="none"/>
        </w:rPr>
        <w:t>Nielsen, K. S., Brick, C., Hofmann, W., Joanes, T., Lange, F., &amp; Gwozdz, W. (2022). The motivation–impact gap in pro-environmental clothing consumption. Nature Sustainability, 5(8), 665-668.</w:t>
      </w:r>
    </w:p>
    <w:p w14:paraId="68D6742D" w14:textId="78B04CDF" w:rsidR="006E2D1C" w:rsidRDefault="006E2D1C" w:rsidP="006E2D1C">
      <w:pPr>
        <w:pStyle w:val="whitespace-normal"/>
      </w:pPr>
      <w:r>
        <w:lastRenderedPageBreak/>
        <w:t>Ottman, J.A., 2011. The New Rules of Green Marketing: Strategies, Tools, and Inspiration for Sustainable Branding. San Francisco: Berrett-Koehler Publishers.</w:t>
      </w:r>
    </w:p>
    <w:p w14:paraId="1E820E1C" w14:textId="52604AD5" w:rsidR="00AF4A39" w:rsidRDefault="00AF4A39" w:rsidP="006E2D1C">
      <w:pPr>
        <w:pStyle w:val="whitespace-normal"/>
      </w:pPr>
      <w:r w:rsidRPr="00AF4A39">
        <w:t>Pizzi, S., Caputo, A., Corvino, A., &amp; Venturelli, A. (2020). Management research and the UN sustainable development goals (SDGs): A bibliometric investigation and systematic review. Journal of cleaner production, 276, 124033.</w:t>
      </w:r>
    </w:p>
    <w:p w14:paraId="5323BE5F" w14:textId="588B4BAD" w:rsidR="00AF4A39" w:rsidRDefault="00AF4A39" w:rsidP="006E2D1C">
      <w:pPr>
        <w:pStyle w:val="whitespace-normal"/>
      </w:pPr>
      <w:r w:rsidRPr="00AF4A39">
        <w:t>Rahman, S. U., &amp; Nguyen‐Viet, B. (2023). Towards sustainable development: Coupling green marketing strategies and consumer perceptions in addressing greenwashing. Business Strategy and the Environment, 32(4), 2420-2433.</w:t>
      </w:r>
    </w:p>
    <w:p w14:paraId="72E30097" w14:textId="59A60154" w:rsidR="00BC26D7" w:rsidRDefault="00BC26D7" w:rsidP="006E2D1C">
      <w:pPr>
        <w:pStyle w:val="whitespace-normal"/>
      </w:pPr>
      <w:r w:rsidRPr="00BC26D7">
        <w:t xml:space="preserve">Sachs, J. D., Schmidt-Traub, G., Mazzucato, M., Messner, D., </w:t>
      </w:r>
      <w:proofErr w:type="spellStart"/>
      <w:r w:rsidRPr="00BC26D7">
        <w:t>Nakicenovic</w:t>
      </w:r>
      <w:proofErr w:type="spellEnd"/>
      <w:r w:rsidRPr="00BC26D7">
        <w:t xml:space="preserve">, N., &amp; </w:t>
      </w:r>
      <w:proofErr w:type="spellStart"/>
      <w:r w:rsidRPr="00BC26D7">
        <w:t>Rockström</w:t>
      </w:r>
      <w:proofErr w:type="spellEnd"/>
      <w:r w:rsidRPr="00BC26D7">
        <w:t>, J. (2019). Six transformations to achieve the sustainable development goals. Nature sustainability, 2(9), 805-814.</w:t>
      </w:r>
    </w:p>
    <w:p w14:paraId="76F624BF" w14:textId="09E45B30" w:rsidR="00AF4A39" w:rsidRDefault="00AF4A39" w:rsidP="006E2D1C">
      <w:pPr>
        <w:pStyle w:val="whitespace-normal"/>
      </w:pPr>
      <w:r w:rsidRPr="00AF4A39">
        <w:t>Scherrer, B. (2025). Rethinking Climate Change in Education: From Climate Coloniality to Decolonial Educational Ecologies in Comparative and International Education. Current Issues in Comparative Education, 27(1).</w:t>
      </w:r>
    </w:p>
    <w:p w14:paraId="0633E135" w14:textId="77777777" w:rsidR="006E2D1C" w:rsidRDefault="006E2D1C" w:rsidP="006E2D1C">
      <w:pPr>
        <w:pStyle w:val="whitespace-normal"/>
      </w:pPr>
      <w:r>
        <w:t>Starbucks, 2024. Sustainability Report. [online] Starbucks Corporation. Available at: https://www.starbucks.com/responsibility [Accessed 18 May 2025].</w:t>
      </w:r>
    </w:p>
    <w:p w14:paraId="0F534F3A" w14:textId="51D4F404" w:rsidR="006E2D1C" w:rsidRDefault="006E2D1C" w:rsidP="006E2D1C">
      <w:pPr>
        <w:pStyle w:val="whitespace-normal"/>
      </w:pPr>
      <w:r>
        <w:t>UNDP, 2020. Sustainable Development Goals. [online] United Nations Development Programme. Available at: https://www.undp.org/sustainable-development-goals [Accessed 18 May 2025].</w:t>
      </w:r>
    </w:p>
    <w:p w14:paraId="71A2205B" w14:textId="550B1508" w:rsidR="00B0679D" w:rsidRDefault="00B0679D" w:rsidP="006E2D1C">
      <w:pPr>
        <w:pStyle w:val="whitespace-normal"/>
      </w:pPr>
      <w:r w:rsidRPr="00B0679D">
        <w:t>Wang, C., Ghadimi, P., Lim, M. K., &amp; Tseng, M. L. (2019). A literature review of sustainable consumption and production: A comparative analysis in developed and developing economies. Journal of cleaner production, 206, 741-754.</w:t>
      </w:r>
    </w:p>
    <w:p w14:paraId="021557B2" w14:textId="6FD1C280" w:rsidR="006E2D1C" w:rsidRDefault="006E2D1C" w:rsidP="006E2D1C">
      <w:pPr>
        <w:pStyle w:val="whitespace-normal"/>
        <w:jc w:val="both"/>
      </w:pPr>
      <w:r>
        <w:t>Wijekoon, R. and Sabri, M.F., 2021. Determinants that influence green product purchase intention and behavior: A literature review and guiding framework. Sustainability, 13(11), p.6219. Available at: https://www.mdpi.com/2071-1050/13/11/6219 [Accessed 18 May 2025].</w:t>
      </w:r>
    </w:p>
    <w:p w14:paraId="5D1F97D8" w14:textId="789DCBC9" w:rsidR="00D56A1C" w:rsidRPr="00B613AD" w:rsidRDefault="00D56A1C" w:rsidP="006E2D1C">
      <w:pPr>
        <w:pStyle w:val="whitespace-normal"/>
        <w:jc w:val="both"/>
      </w:pPr>
      <w:r w:rsidRPr="00D56A1C">
        <w:t>Zhang, X., &amp; Dong, F. (2020). Why do consumers make green purchase decisions? Insights from a systematic review. International journal of environmental research and public health, 17(18), 6607.</w:t>
      </w:r>
    </w:p>
    <w:p w14:paraId="63BF3976" w14:textId="19449349" w:rsidR="00FC4B05" w:rsidRDefault="00FC4B05" w:rsidP="007E1D8A">
      <w:pPr>
        <w:spacing w:before="100" w:beforeAutospacing="1" w:after="100" w:afterAutospacing="1" w:line="300" w:lineRule="atLeast"/>
        <w:jc w:val="both"/>
        <w:outlineLvl w:val="0"/>
        <w:rPr>
          <w:rFonts w:asciiTheme="majorBidi" w:hAnsiTheme="majorBidi" w:cstheme="majorBidi"/>
          <w:b/>
          <w:bCs/>
          <w:color w:val="000000"/>
          <w:kern w:val="36"/>
          <w:sz w:val="48"/>
          <w:szCs w:val="48"/>
        </w:rPr>
      </w:pPr>
      <w:r>
        <w:rPr>
          <w:b/>
          <w:bCs/>
        </w:rPr>
        <w:t>APPENDICES</w:t>
      </w:r>
    </w:p>
    <w:p w14:paraId="5F4681EF" w14:textId="1AA0EF13" w:rsidR="002C7A12" w:rsidRPr="00FC4B05" w:rsidRDefault="00FC4B05" w:rsidP="007E1D8A">
      <w:pPr>
        <w:spacing w:before="100" w:beforeAutospacing="1" w:after="100" w:afterAutospacing="1" w:line="300" w:lineRule="atLeast"/>
        <w:jc w:val="both"/>
        <w:outlineLvl w:val="0"/>
        <w:rPr>
          <w:rFonts w:asciiTheme="majorBidi" w:hAnsiTheme="majorBidi" w:cstheme="majorBidi"/>
          <w:b/>
          <w:bCs/>
          <w:color w:val="000000"/>
          <w:kern w:val="36"/>
        </w:rPr>
      </w:pPr>
      <w:r w:rsidRPr="00FC4B05">
        <w:rPr>
          <w:rFonts w:asciiTheme="majorBidi" w:hAnsiTheme="majorBidi" w:cstheme="majorBidi"/>
          <w:b/>
          <w:bCs/>
          <w:color w:val="000000"/>
          <w:kern w:val="36"/>
        </w:rPr>
        <w:t xml:space="preserve">Appendix 1: </w:t>
      </w:r>
      <w:r w:rsidR="00D86190" w:rsidRPr="00FC4B05">
        <w:rPr>
          <w:rFonts w:asciiTheme="majorBidi" w:hAnsiTheme="majorBidi" w:cstheme="majorBidi"/>
          <w:b/>
          <w:bCs/>
          <w:color w:val="000000"/>
          <w:kern w:val="36"/>
        </w:rPr>
        <w:t xml:space="preserve">Table 1. </w:t>
      </w:r>
    </w:p>
    <w:p w14:paraId="25C63F17" w14:textId="7803B095" w:rsidR="00D86190" w:rsidRPr="00FC4B05" w:rsidRDefault="00D86190" w:rsidP="007E1D8A">
      <w:pPr>
        <w:spacing w:before="100" w:beforeAutospacing="1" w:after="100" w:afterAutospacing="1" w:line="300" w:lineRule="atLeast"/>
        <w:jc w:val="both"/>
        <w:outlineLvl w:val="0"/>
        <w:rPr>
          <w:rFonts w:asciiTheme="majorBidi" w:hAnsiTheme="majorBidi" w:cstheme="majorBidi"/>
          <w:b/>
          <w:bCs/>
          <w:color w:val="000000"/>
          <w:kern w:val="36"/>
        </w:rPr>
      </w:pPr>
      <w:r w:rsidRPr="00FC4B05">
        <w:rPr>
          <w:rFonts w:asciiTheme="majorBidi" w:hAnsiTheme="majorBidi" w:cstheme="majorBidi"/>
          <w:b/>
          <w:bCs/>
          <w:color w:val="000000"/>
          <w:kern w:val="36"/>
        </w:rPr>
        <w:t>Measurement Model Results: Factor Loadings, Reliability and Convergent Validity</w:t>
      </w:r>
      <w:r w:rsidR="00686850">
        <w:rPr>
          <w:rFonts w:asciiTheme="majorBidi" w:hAnsiTheme="majorBidi" w:cstheme="majorBidi"/>
          <w:b/>
          <w:bCs/>
          <w:color w:val="000000"/>
          <w:kern w:val="36"/>
        </w:rPr>
        <w:t xml:space="preserve"> (authors’ own 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81"/>
        <w:gridCol w:w="1121"/>
        <w:gridCol w:w="2953"/>
        <w:gridCol w:w="1467"/>
        <w:gridCol w:w="510"/>
        <w:gridCol w:w="612"/>
      </w:tblGrid>
      <w:tr w:rsidR="00D86190" w:rsidRPr="00FC4B05" w14:paraId="0269EE0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16F247B"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lastRenderedPageBreak/>
              <w:t>Construct</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FD75554"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Item Code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2F15EC4"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Standardised Factor Loading</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0CD6A94"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Cronbach’s α</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37EA6C0"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CR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CCFFEAC"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AVE</w:t>
            </w:r>
          </w:p>
        </w:tc>
      </w:tr>
      <w:tr w:rsidR="00D86190" w:rsidRPr="00FC4B05" w14:paraId="5564889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4DDE281"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Green Product Awareness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4745C8" w14:textId="77777777" w:rsidR="00D86190" w:rsidRPr="00FC4B05" w:rsidRDefault="00D86190" w:rsidP="00D86190">
            <w:pPr>
              <w:rPr>
                <w:rFonts w:asciiTheme="majorBidi" w:hAnsiTheme="majorBidi" w:cstheme="majorBidi"/>
              </w:rPr>
            </w:pPr>
            <w:r w:rsidRPr="00FC4B05">
              <w:rPr>
                <w:rFonts w:asciiTheme="majorBidi" w:hAnsiTheme="majorBidi" w:cstheme="majorBidi"/>
              </w:rPr>
              <w:t>GPA1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C4CEF1C" w14:textId="77777777" w:rsidR="00D86190" w:rsidRPr="00FC4B05" w:rsidRDefault="00D86190" w:rsidP="00D86190">
            <w:pPr>
              <w:rPr>
                <w:rFonts w:asciiTheme="majorBidi" w:hAnsiTheme="majorBidi" w:cstheme="majorBidi"/>
              </w:rPr>
            </w:pPr>
            <w:r w:rsidRPr="00FC4B05">
              <w:rPr>
                <w:rFonts w:asciiTheme="majorBidi" w:hAnsiTheme="majorBidi" w:cstheme="majorBidi"/>
              </w:rPr>
              <w:t>0.78</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E7DDCC4" w14:textId="77777777" w:rsidR="00D86190" w:rsidRPr="00FC4B05" w:rsidRDefault="00D86190" w:rsidP="00D86190">
            <w:pPr>
              <w:rPr>
                <w:rFonts w:asciiTheme="majorBidi" w:hAnsiTheme="majorBidi" w:cstheme="majorBidi"/>
              </w:rPr>
            </w:pPr>
            <w:r w:rsidRPr="00FC4B05">
              <w:rPr>
                <w:rFonts w:asciiTheme="majorBidi" w:hAnsiTheme="majorBidi" w:cstheme="majorBidi"/>
              </w:rPr>
              <w:t>0.87</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D8B0BA4" w14:textId="77777777" w:rsidR="00D86190" w:rsidRPr="00FC4B05" w:rsidRDefault="00D86190" w:rsidP="00D86190">
            <w:pPr>
              <w:rPr>
                <w:rFonts w:asciiTheme="majorBidi" w:hAnsiTheme="majorBidi" w:cstheme="majorBidi"/>
              </w:rPr>
            </w:pPr>
            <w:r w:rsidRPr="00FC4B05">
              <w:rPr>
                <w:rFonts w:asciiTheme="majorBidi" w:hAnsiTheme="majorBidi" w:cstheme="majorBidi"/>
              </w:rPr>
              <w:t>0.89</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A4A7483" w14:textId="77777777" w:rsidR="00D86190" w:rsidRPr="00FC4B05" w:rsidRDefault="00D86190" w:rsidP="00D86190">
            <w:pPr>
              <w:rPr>
                <w:rFonts w:asciiTheme="majorBidi" w:hAnsiTheme="majorBidi" w:cstheme="majorBidi"/>
              </w:rPr>
            </w:pPr>
            <w:r w:rsidRPr="00FC4B05">
              <w:rPr>
                <w:rFonts w:asciiTheme="majorBidi" w:hAnsiTheme="majorBidi" w:cstheme="majorBidi"/>
              </w:rPr>
              <w:t>0.62</w:t>
            </w:r>
          </w:p>
        </w:tc>
      </w:tr>
      <w:tr w:rsidR="00D86190" w:rsidRPr="00FC4B05" w14:paraId="4FB72DE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CD85815"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B7C796" w14:textId="77777777" w:rsidR="00D86190" w:rsidRPr="00FC4B05" w:rsidRDefault="00D86190" w:rsidP="00D86190">
            <w:pPr>
              <w:rPr>
                <w:rFonts w:asciiTheme="majorBidi" w:hAnsiTheme="majorBidi" w:cstheme="majorBidi"/>
              </w:rPr>
            </w:pPr>
            <w:r w:rsidRPr="00FC4B05">
              <w:rPr>
                <w:rFonts w:asciiTheme="majorBidi" w:hAnsiTheme="majorBidi" w:cstheme="majorBidi"/>
              </w:rPr>
              <w:t>GPA2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70BAE8" w14:textId="77777777" w:rsidR="00D86190" w:rsidRPr="00FC4B05" w:rsidRDefault="00D86190" w:rsidP="00D86190">
            <w:pPr>
              <w:rPr>
                <w:rFonts w:asciiTheme="majorBidi" w:hAnsiTheme="majorBidi" w:cstheme="majorBidi"/>
              </w:rPr>
            </w:pPr>
            <w:r w:rsidRPr="00FC4B05">
              <w:rPr>
                <w:rFonts w:asciiTheme="majorBidi" w:hAnsiTheme="majorBidi" w:cstheme="majorBidi"/>
              </w:rPr>
              <w:t>0.82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BF21F5"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869F60"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C9D0AE1" w14:textId="77777777" w:rsidR="00D86190" w:rsidRPr="00FC4B05" w:rsidRDefault="00D86190" w:rsidP="00D86190">
            <w:pPr>
              <w:rPr>
                <w:rFonts w:asciiTheme="majorBidi" w:hAnsiTheme="majorBidi" w:cstheme="majorBidi"/>
                <w:sz w:val="20"/>
                <w:szCs w:val="20"/>
              </w:rPr>
            </w:pPr>
          </w:p>
        </w:tc>
      </w:tr>
      <w:tr w:rsidR="00D86190" w:rsidRPr="00FC4B05" w14:paraId="1081284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1681044"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044E063" w14:textId="77777777" w:rsidR="00D86190" w:rsidRPr="00FC4B05" w:rsidRDefault="00D86190" w:rsidP="00D86190">
            <w:pPr>
              <w:rPr>
                <w:rFonts w:asciiTheme="majorBidi" w:hAnsiTheme="majorBidi" w:cstheme="majorBidi"/>
              </w:rPr>
            </w:pPr>
            <w:r w:rsidRPr="00FC4B05">
              <w:rPr>
                <w:rFonts w:asciiTheme="majorBidi" w:hAnsiTheme="majorBidi" w:cstheme="majorBidi"/>
              </w:rPr>
              <w:t>GPA3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D610E14" w14:textId="77777777" w:rsidR="00D86190" w:rsidRPr="00FC4B05" w:rsidRDefault="00D86190" w:rsidP="00D86190">
            <w:pPr>
              <w:rPr>
                <w:rFonts w:asciiTheme="majorBidi" w:hAnsiTheme="majorBidi" w:cstheme="majorBidi"/>
              </w:rPr>
            </w:pPr>
            <w:r w:rsidRPr="00FC4B05">
              <w:rPr>
                <w:rFonts w:asciiTheme="majorBidi" w:hAnsiTheme="majorBidi" w:cstheme="majorBidi"/>
              </w:rPr>
              <w:t>0.80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F66067C"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8138834"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05D25D6" w14:textId="77777777" w:rsidR="00D86190" w:rsidRPr="00FC4B05" w:rsidRDefault="00D86190" w:rsidP="00D86190">
            <w:pPr>
              <w:rPr>
                <w:rFonts w:asciiTheme="majorBidi" w:hAnsiTheme="majorBidi" w:cstheme="majorBidi"/>
                <w:sz w:val="20"/>
                <w:szCs w:val="20"/>
              </w:rPr>
            </w:pPr>
          </w:p>
        </w:tc>
      </w:tr>
      <w:tr w:rsidR="00D86190" w:rsidRPr="00FC4B05" w14:paraId="5B222E6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5F32C12"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Green Pricing Fairness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CEE958D" w14:textId="77777777" w:rsidR="00D86190" w:rsidRPr="00FC4B05" w:rsidRDefault="00D86190" w:rsidP="00D86190">
            <w:pPr>
              <w:rPr>
                <w:rFonts w:asciiTheme="majorBidi" w:hAnsiTheme="majorBidi" w:cstheme="majorBidi"/>
              </w:rPr>
            </w:pPr>
            <w:r w:rsidRPr="00FC4B05">
              <w:rPr>
                <w:rFonts w:asciiTheme="majorBidi" w:hAnsiTheme="majorBidi" w:cstheme="majorBidi"/>
              </w:rPr>
              <w:t>GP1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7EBF434" w14:textId="77777777" w:rsidR="00D86190" w:rsidRPr="00FC4B05" w:rsidRDefault="00D86190" w:rsidP="00D86190">
            <w:pPr>
              <w:rPr>
                <w:rFonts w:asciiTheme="majorBidi" w:hAnsiTheme="majorBidi" w:cstheme="majorBidi"/>
              </w:rPr>
            </w:pPr>
            <w:r w:rsidRPr="00FC4B05">
              <w:rPr>
                <w:rFonts w:asciiTheme="majorBidi" w:hAnsiTheme="majorBidi" w:cstheme="majorBidi"/>
              </w:rPr>
              <w:t>0.75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04284A" w14:textId="77777777" w:rsidR="00D86190" w:rsidRPr="00FC4B05" w:rsidRDefault="00D86190" w:rsidP="00D86190">
            <w:pPr>
              <w:rPr>
                <w:rFonts w:asciiTheme="majorBidi" w:hAnsiTheme="majorBidi" w:cstheme="majorBidi"/>
              </w:rPr>
            </w:pPr>
            <w:r w:rsidRPr="00FC4B05">
              <w:rPr>
                <w:rFonts w:asciiTheme="majorBidi" w:hAnsiTheme="majorBidi" w:cstheme="majorBidi"/>
              </w:rPr>
              <w:t>0.84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48A579A" w14:textId="77777777" w:rsidR="00D86190" w:rsidRPr="00FC4B05" w:rsidRDefault="00D86190" w:rsidP="00D86190">
            <w:pPr>
              <w:rPr>
                <w:rFonts w:asciiTheme="majorBidi" w:hAnsiTheme="majorBidi" w:cstheme="majorBidi"/>
              </w:rPr>
            </w:pPr>
            <w:r w:rsidRPr="00FC4B05">
              <w:rPr>
                <w:rFonts w:asciiTheme="majorBidi" w:hAnsiTheme="majorBidi" w:cstheme="majorBidi"/>
              </w:rPr>
              <w:t>0.86</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A4F9C0A" w14:textId="77777777" w:rsidR="00D86190" w:rsidRPr="00FC4B05" w:rsidRDefault="00D86190" w:rsidP="00D86190">
            <w:pPr>
              <w:rPr>
                <w:rFonts w:asciiTheme="majorBidi" w:hAnsiTheme="majorBidi" w:cstheme="majorBidi"/>
              </w:rPr>
            </w:pPr>
            <w:r w:rsidRPr="00FC4B05">
              <w:rPr>
                <w:rFonts w:asciiTheme="majorBidi" w:hAnsiTheme="majorBidi" w:cstheme="majorBidi"/>
              </w:rPr>
              <w:t>0.60</w:t>
            </w:r>
          </w:p>
        </w:tc>
      </w:tr>
      <w:tr w:rsidR="00D86190" w:rsidRPr="00FC4B05" w14:paraId="036E878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95A3E17"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0CE60D" w14:textId="77777777" w:rsidR="00D86190" w:rsidRPr="00FC4B05" w:rsidRDefault="00D86190" w:rsidP="00D86190">
            <w:pPr>
              <w:rPr>
                <w:rFonts w:asciiTheme="majorBidi" w:hAnsiTheme="majorBidi" w:cstheme="majorBidi"/>
              </w:rPr>
            </w:pPr>
            <w:r w:rsidRPr="00FC4B05">
              <w:rPr>
                <w:rFonts w:asciiTheme="majorBidi" w:hAnsiTheme="majorBidi" w:cstheme="majorBidi"/>
              </w:rPr>
              <w:t>GP2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7E25790" w14:textId="77777777" w:rsidR="00D86190" w:rsidRPr="00FC4B05" w:rsidRDefault="00D86190" w:rsidP="00D86190">
            <w:pPr>
              <w:rPr>
                <w:rFonts w:asciiTheme="majorBidi" w:hAnsiTheme="majorBidi" w:cstheme="majorBidi"/>
              </w:rPr>
            </w:pPr>
            <w:r w:rsidRPr="00FC4B05">
              <w:rPr>
                <w:rFonts w:asciiTheme="majorBidi" w:hAnsiTheme="majorBidi" w:cstheme="majorBidi"/>
              </w:rPr>
              <w:t>0.81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1461D29"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9D96C50"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51CF84D" w14:textId="77777777" w:rsidR="00D86190" w:rsidRPr="00FC4B05" w:rsidRDefault="00D86190" w:rsidP="00D86190">
            <w:pPr>
              <w:rPr>
                <w:rFonts w:asciiTheme="majorBidi" w:hAnsiTheme="majorBidi" w:cstheme="majorBidi"/>
                <w:sz w:val="20"/>
                <w:szCs w:val="20"/>
              </w:rPr>
            </w:pPr>
          </w:p>
        </w:tc>
      </w:tr>
      <w:tr w:rsidR="00D86190" w:rsidRPr="00FC4B05" w14:paraId="2FC2E57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251180F"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C14DA21" w14:textId="77777777" w:rsidR="00D86190" w:rsidRPr="00FC4B05" w:rsidRDefault="00D86190" w:rsidP="00D86190">
            <w:pPr>
              <w:rPr>
                <w:rFonts w:asciiTheme="majorBidi" w:hAnsiTheme="majorBidi" w:cstheme="majorBidi"/>
              </w:rPr>
            </w:pPr>
            <w:r w:rsidRPr="00FC4B05">
              <w:rPr>
                <w:rFonts w:asciiTheme="majorBidi" w:hAnsiTheme="majorBidi" w:cstheme="majorBidi"/>
              </w:rPr>
              <w:t>GP3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701064C" w14:textId="77777777" w:rsidR="00D86190" w:rsidRPr="00FC4B05" w:rsidRDefault="00D86190" w:rsidP="00D86190">
            <w:pPr>
              <w:rPr>
                <w:rFonts w:asciiTheme="majorBidi" w:hAnsiTheme="majorBidi" w:cstheme="majorBidi"/>
              </w:rPr>
            </w:pPr>
            <w:r w:rsidRPr="00FC4B05">
              <w:rPr>
                <w:rFonts w:asciiTheme="majorBidi" w:hAnsiTheme="majorBidi" w:cstheme="majorBidi"/>
              </w:rPr>
              <w:t>0.79</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D5B5113"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34219F9"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EB37A7" w14:textId="77777777" w:rsidR="00D86190" w:rsidRPr="00FC4B05" w:rsidRDefault="00D86190" w:rsidP="00D86190">
            <w:pPr>
              <w:rPr>
                <w:rFonts w:asciiTheme="majorBidi" w:hAnsiTheme="majorBidi" w:cstheme="majorBidi"/>
                <w:sz w:val="20"/>
                <w:szCs w:val="20"/>
              </w:rPr>
            </w:pPr>
          </w:p>
        </w:tc>
      </w:tr>
      <w:tr w:rsidR="00D86190" w:rsidRPr="00FC4B05" w14:paraId="78CE23D7"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2EA2AB2"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Sustainability Orientation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74E367" w14:textId="77777777" w:rsidR="00D86190" w:rsidRPr="00FC4B05" w:rsidRDefault="00D86190" w:rsidP="00D86190">
            <w:pPr>
              <w:rPr>
                <w:rFonts w:asciiTheme="majorBidi" w:hAnsiTheme="majorBidi" w:cstheme="majorBidi"/>
              </w:rPr>
            </w:pPr>
            <w:r w:rsidRPr="00FC4B05">
              <w:rPr>
                <w:rFonts w:asciiTheme="majorBidi" w:hAnsiTheme="majorBidi" w:cstheme="majorBidi"/>
              </w:rPr>
              <w:t>SO1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B44C01C" w14:textId="77777777" w:rsidR="00D86190" w:rsidRPr="00FC4B05" w:rsidRDefault="00D86190" w:rsidP="00D86190">
            <w:pPr>
              <w:rPr>
                <w:rFonts w:asciiTheme="majorBidi" w:hAnsiTheme="majorBidi" w:cstheme="majorBidi"/>
              </w:rPr>
            </w:pPr>
            <w:r w:rsidRPr="00FC4B05">
              <w:rPr>
                <w:rFonts w:asciiTheme="majorBidi" w:hAnsiTheme="majorBidi" w:cstheme="majorBidi"/>
              </w:rPr>
              <w:t>0.83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78AB5E8" w14:textId="77777777" w:rsidR="00D86190" w:rsidRPr="00FC4B05" w:rsidRDefault="00D86190" w:rsidP="00D86190">
            <w:pPr>
              <w:rPr>
                <w:rFonts w:asciiTheme="majorBidi" w:hAnsiTheme="majorBidi" w:cstheme="majorBidi"/>
              </w:rPr>
            </w:pPr>
            <w:r w:rsidRPr="00FC4B05">
              <w:rPr>
                <w:rFonts w:asciiTheme="majorBidi" w:hAnsiTheme="majorBidi" w:cstheme="majorBidi"/>
              </w:rPr>
              <w:t>0.88</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F7166E9" w14:textId="77777777" w:rsidR="00D86190" w:rsidRPr="00FC4B05" w:rsidRDefault="00D86190" w:rsidP="00D86190">
            <w:pPr>
              <w:rPr>
                <w:rFonts w:asciiTheme="majorBidi" w:hAnsiTheme="majorBidi" w:cstheme="majorBidi"/>
              </w:rPr>
            </w:pPr>
            <w:r w:rsidRPr="00FC4B05">
              <w:rPr>
                <w:rFonts w:asciiTheme="majorBidi" w:hAnsiTheme="majorBidi" w:cstheme="majorBidi"/>
              </w:rPr>
              <w:t>0.90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C85EC7C" w14:textId="77777777" w:rsidR="00D86190" w:rsidRPr="00FC4B05" w:rsidRDefault="00D86190" w:rsidP="00D86190">
            <w:pPr>
              <w:rPr>
                <w:rFonts w:asciiTheme="majorBidi" w:hAnsiTheme="majorBidi" w:cstheme="majorBidi"/>
              </w:rPr>
            </w:pPr>
            <w:r w:rsidRPr="00FC4B05">
              <w:rPr>
                <w:rFonts w:asciiTheme="majorBidi" w:hAnsiTheme="majorBidi" w:cstheme="majorBidi"/>
              </w:rPr>
              <w:t>0.64</w:t>
            </w:r>
          </w:p>
        </w:tc>
      </w:tr>
      <w:tr w:rsidR="00D86190" w:rsidRPr="00FC4B05" w14:paraId="1ED4404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741E44C"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5DFEE62" w14:textId="77777777" w:rsidR="00D86190" w:rsidRPr="00FC4B05" w:rsidRDefault="00D86190" w:rsidP="00D86190">
            <w:pPr>
              <w:rPr>
                <w:rFonts w:asciiTheme="majorBidi" w:hAnsiTheme="majorBidi" w:cstheme="majorBidi"/>
              </w:rPr>
            </w:pPr>
            <w:r w:rsidRPr="00FC4B05">
              <w:rPr>
                <w:rFonts w:asciiTheme="majorBidi" w:hAnsiTheme="majorBidi" w:cstheme="majorBidi"/>
              </w:rPr>
              <w:t>SO2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AC8F6FA" w14:textId="77777777" w:rsidR="00D86190" w:rsidRPr="00FC4B05" w:rsidRDefault="00D86190" w:rsidP="00D86190">
            <w:pPr>
              <w:rPr>
                <w:rFonts w:asciiTheme="majorBidi" w:hAnsiTheme="majorBidi" w:cstheme="majorBidi"/>
              </w:rPr>
            </w:pPr>
            <w:r w:rsidRPr="00FC4B05">
              <w:rPr>
                <w:rFonts w:asciiTheme="majorBidi" w:hAnsiTheme="majorBidi" w:cstheme="majorBidi"/>
              </w:rPr>
              <w:t>0.81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AB79256"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F75CBF3"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1E19E4" w14:textId="77777777" w:rsidR="00D86190" w:rsidRPr="00FC4B05" w:rsidRDefault="00D86190" w:rsidP="00D86190">
            <w:pPr>
              <w:rPr>
                <w:rFonts w:asciiTheme="majorBidi" w:hAnsiTheme="majorBidi" w:cstheme="majorBidi"/>
                <w:sz w:val="20"/>
                <w:szCs w:val="20"/>
              </w:rPr>
            </w:pPr>
          </w:p>
        </w:tc>
      </w:tr>
      <w:tr w:rsidR="00D86190" w:rsidRPr="00FC4B05" w14:paraId="7FDDA6E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FB1E431"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68BF8D3" w14:textId="77777777" w:rsidR="00D86190" w:rsidRPr="00FC4B05" w:rsidRDefault="00D86190" w:rsidP="00D86190">
            <w:pPr>
              <w:rPr>
                <w:rFonts w:asciiTheme="majorBidi" w:hAnsiTheme="majorBidi" w:cstheme="majorBidi"/>
              </w:rPr>
            </w:pPr>
            <w:r w:rsidRPr="00FC4B05">
              <w:rPr>
                <w:rFonts w:asciiTheme="majorBidi" w:hAnsiTheme="majorBidi" w:cstheme="majorBidi"/>
              </w:rPr>
              <w:t>SO3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2D5AC5D" w14:textId="77777777" w:rsidR="00D86190" w:rsidRPr="00FC4B05" w:rsidRDefault="00D86190" w:rsidP="00D86190">
            <w:pPr>
              <w:rPr>
                <w:rFonts w:asciiTheme="majorBidi" w:hAnsiTheme="majorBidi" w:cstheme="majorBidi"/>
              </w:rPr>
            </w:pPr>
            <w:r w:rsidRPr="00FC4B05">
              <w:rPr>
                <w:rFonts w:asciiTheme="majorBidi" w:hAnsiTheme="majorBidi" w:cstheme="majorBidi"/>
              </w:rPr>
              <w:t>0.77</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A42536A"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D86C514"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435341" w14:textId="77777777" w:rsidR="00D86190" w:rsidRPr="00FC4B05" w:rsidRDefault="00D86190" w:rsidP="00D86190">
            <w:pPr>
              <w:rPr>
                <w:rFonts w:asciiTheme="majorBidi" w:hAnsiTheme="majorBidi" w:cstheme="majorBidi"/>
                <w:sz w:val="20"/>
                <w:szCs w:val="20"/>
              </w:rPr>
            </w:pPr>
          </w:p>
        </w:tc>
      </w:tr>
      <w:tr w:rsidR="00D86190" w:rsidRPr="00FC4B05" w14:paraId="084D6D7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559A26B"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Purchase Intention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AB8D84A" w14:textId="77777777" w:rsidR="00D86190" w:rsidRPr="00FC4B05" w:rsidRDefault="00D86190" w:rsidP="00D86190">
            <w:pPr>
              <w:rPr>
                <w:rFonts w:asciiTheme="majorBidi" w:hAnsiTheme="majorBidi" w:cstheme="majorBidi"/>
              </w:rPr>
            </w:pPr>
            <w:r w:rsidRPr="00FC4B05">
              <w:rPr>
                <w:rFonts w:asciiTheme="majorBidi" w:hAnsiTheme="majorBidi" w:cstheme="majorBidi"/>
              </w:rPr>
              <w:t>PI1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04E3445" w14:textId="77777777" w:rsidR="00D86190" w:rsidRPr="00FC4B05" w:rsidRDefault="00D86190" w:rsidP="00D86190">
            <w:pPr>
              <w:rPr>
                <w:rFonts w:asciiTheme="majorBidi" w:hAnsiTheme="majorBidi" w:cstheme="majorBidi"/>
              </w:rPr>
            </w:pPr>
            <w:r w:rsidRPr="00FC4B05">
              <w:rPr>
                <w:rFonts w:asciiTheme="majorBidi" w:hAnsiTheme="majorBidi" w:cstheme="majorBidi"/>
              </w:rPr>
              <w:t>0.85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3382D69" w14:textId="77777777" w:rsidR="00D86190" w:rsidRPr="00FC4B05" w:rsidRDefault="00D86190" w:rsidP="00D86190">
            <w:pPr>
              <w:rPr>
                <w:rFonts w:asciiTheme="majorBidi" w:hAnsiTheme="majorBidi" w:cstheme="majorBidi"/>
              </w:rPr>
            </w:pPr>
            <w:r w:rsidRPr="00FC4B05">
              <w:rPr>
                <w:rFonts w:asciiTheme="majorBidi" w:hAnsiTheme="majorBidi" w:cstheme="majorBidi"/>
              </w:rPr>
              <w:t>0.89</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D32CFAA" w14:textId="77777777" w:rsidR="00D86190" w:rsidRPr="00FC4B05" w:rsidRDefault="00D86190" w:rsidP="00D86190">
            <w:pPr>
              <w:rPr>
                <w:rFonts w:asciiTheme="majorBidi" w:hAnsiTheme="majorBidi" w:cstheme="majorBidi"/>
              </w:rPr>
            </w:pPr>
            <w:r w:rsidRPr="00FC4B05">
              <w:rPr>
                <w:rFonts w:asciiTheme="majorBidi" w:hAnsiTheme="majorBidi" w:cstheme="majorBidi"/>
              </w:rPr>
              <w:t>0.91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1558148" w14:textId="77777777" w:rsidR="00D86190" w:rsidRPr="00FC4B05" w:rsidRDefault="00D86190" w:rsidP="00D86190">
            <w:pPr>
              <w:rPr>
                <w:rFonts w:asciiTheme="majorBidi" w:hAnsiTheme="majorBidi" w:cstheme="majorBidi"/>
              </w:rPr>
            </w:pPr>
            <w:r w:rsidRPr="00FC4B05">
              <w:rPr>
                <w:rFonts w:asciiTheme="majorBidi" w:hAnsiTheme="majorBidi" w:cstheme="majorBidi"/>
              </w:rPr>
              <w:t>0.67</w:t>
            </w:r>
          </w:p>
        </w:tc>
      </w:tr>
      <w:tr w:rsidR="00D86190" w:rsidRPr="00FC4B05" w14:paraId="429F266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D6C4A11"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E6222A0" w14:textId="77777777" w:rsidR="00D86190" w:rsidRPr="00FC4B05" w:rsidRDefault="00D86190" w:rsidP="00D86190">
            <w:pPr>
              <w:rPr>
                <w:rFonts w:asciiTheme="majorBidi" w:hAnsiTheme="majorBidi" w:cstheme="majorBidi"/>
              </w:rPr>
            </w:pPr>
            <w:r w:rsidRPr="00FC4B05">
              <w:rPr>
                <w:rFonts w:asciiTheme="majorBidi" w:hAnsiTheme="majorBidi" w:cstheme="majorBidi"/>
              </w:rPr>
              <w:t>PI2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D733A8" w14:textId="77777777" w:rsidR="00D86190" w:rsidRPr="00FC4B05" w:rsidRDefault="00D86190" w:rsidP="00D86190">
            <w:pPr>
              <w:rPr>
                <w:rFonts w:asciiTheme="majorBidi" w:hAnsiTheme="majorBidi" w:cstheme="majorBidi"/>
              </w:rPr>
            </w:pPr>
            <w:r w:rsidRPr="00FC4B05">
              <w:rPr>
                <w:rFonts w:asciiTheme="majorBidi" w:hAnsiTheme="majorBidi" w:cstheme="majorBidi"/>
              </w:rPr>
              <w:t>0.82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BE5A492"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3E76E80"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86E8D6" w14:textId="77777777" w:rsidR="00D86190" w:rsidRPr="00FC4B05" w:rsidRDefault="00D86190" w:rsidP="00D86190">
            <w:pPr>
              <w:rPr>
                <w:rFonts w:asciiTheme="majorBidi" w:hAnsiTheme="majorBidi" w:cstheme="majorBidi"/>
                <w:sz w:val="20"/>
                <w:szCs w:val="20"/>
              </w:rPr>
            </w:pPr>
          </w:p>
        </w:tc>
      </w:tr>
      <w:tr w:rsidR="00D86190" w:rsidRPr="00FC4B05" w14:paraId="0544588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E90C38F"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AB411B" w14:textId="77777777" w:rsidR="00D86190" w:rsidRPr="00FC4B05" w:rsidRDefault="00D86190" w:rsidP="00D86190">
            <w:pPr>
              <w:rPr>
                <w:rFonts w:asciiTheme="majorBidi" w:hAnsiTheme="majorBidi" w:cstheme="majorBidi"/>
              </w:rPr>
            </w:pPr>
            <w:r w:rsidRPr="00FC4B05">
              <w:rPr>
                <w:rFonts w:asciiTheme="majorBidi" w:hAnsiTheme="majorBidi" w:cstheme="majorBidi"/>
              </w:rPr>
              <w:t>PI3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EED81E6" w14:textId="77777777" w:rsidR="00D86190" w:rsidRPr="00FC4B05" w:rsidRDefault="00D86190" w:rsidP="00D86190">
            <w:pPr>
              <w:rPr>
                <w:rFonts w:asciiTheme="majorBidi" w:hAnsiTheme="majorBidi" w:cstheme="majorBidi"/>
              </w:rPr>
            </w:pPr>
            <w:r w:rsidRPr="00FC4B05">
              <w:rPr>
                <w:rFonts w:asciiTheme="majorBidi" w:hAnsiTheme="majorBidi" w:cstheme="majorBidi"/>
              </w:rPr>
              <w:t>0.78</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89D2D45" w14:textId="77777777" w:rsidR="00D86190" w:rsidRPr="00FC4B05" w:rsidRDefault="00D86190" w:rsidP="00D86190">
            <w:pPr>
              <w:rPr>
                <w:rFonts w:asciiTheme="majorBidi" w:hAnsiTheme="majorBidi" w:cstheme="majorBidi"/>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0DE8C4F" w14:textId="77777777" w:rsidR="00D86190" w:rsidRPr="00FC4B05" w:rsidRDefault="00D86190" w:rsidP="00D86190">
            <w:pPr>
              <w:rPr>
                <w:rFonts w:asciiTheme="majorBidi" w:hAnsiTheme="majorBidi" w:cstheme="majorBidi"/>
                <w:sz w:val="20"/>
                <w:szCs w:val="20"/>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4B956D0" w14:textId="77777777" w:rsidR="00D86190" w:rsidRPr="00FC4B05" w:rsidRDefault="00D86190" w:rsidP="00D86190">
            <w:pPr>
              <w:rPr>
                <w:rFonts w:asciiTheme="majorBidi" w:hAnsiTheme="majorBidi" w:cstheme="majorBidi"/>
                <w:sz w:val="20"/>
                <w:szCs w:val="20"/>
              </w:rPr>
            </w:pPr>
          </w:p>
        </w:tc>
      </w:tr>
    </w:tbl>
    <w:p w14:paraId="2651F521" w14:textId="4BCBD256" w:rsidR="00D86190" w:rsidRPr="00FC4B05" w:rsidRDefault="00D86190" w:rsidP="00613864">
      <w:pPr>
        <w:spacing w:before="100" w:beforeAutospacing="1" w:after="100" w:afterAutospacing="1" w:line="300" w:lineRule="atLeast"/>
        <w:rPr>
          <w:rFonts w:asciiTheme="majorBidi" w:hAnsiTheme="majorBidi" w:cstheme="majorBidi"/>
          <w:color w:val="000000"/>
          <w:sz w:val="21"/>
          <w:szCs w:val="21"/>
        </w:rPr>
      </w:pPr>
      <w:r w:rsidRPr="00FC4B05">
        <w:rPr>
          <w:rFonts w:asciiTheme="majorBidi" w:hAnsiTheme="majorBidi" w:cstheme="majorBidi"/>
          <w:b/>
          <w:bCs/>
          <w:color w:val="000000"/>
          <w:sz w:val="21"/>
          <w:szCs w:val="21"/>
        </w:rPr>
        <w:t>Notes:</w:t>
      </w:r>
      <w:r w:rsidRPr="00FC4B05">
        <w:rPr>
          <w:rFonts w:asciiTheme="majorBidi" w:hAnsiTheme="majorBidi" w:cstheme="majorBidi"/>
          <w:color w:val="000000"/>
          <w:sz w:val="21"/>
          <w:szCs w:val="21"/>
        </w:rPr>
        <w:br/>
        <w:t>• All factor loadings ≥ 0.70 indicate acceptable convergent validity.</w:t>
      </w:r>
      <w:r w:rsidRPr="00FC4B05">
        <w:rPr>
          <w:rFonts w:asciiTheme="majorBidi" w:hAnsiTheme="majorBidi" w:cstheme="majorBidi"/>
          <w:color w:val="000000"/>
          <w:sz w:val="21"/>
          <w:szCs w:val="21"/>
        </w:rPr>
        <w:br/>
        <w:t>• CR values ≥ 0.70 and AVE ≥ 0.50 meet recommended thresholds (Hair et al., 2019).</w:t>
      </w:r>
    </w:p>
    <w:p w14:paraId="710DBC59" w14:textId="337DE46B" w:rsidR="00613864" w:rsidRPr="00FC4B05" w:rsidRDefault="00FC4B05" w:rsidP="00D86190">
      <w:pPr>
        <w:spacing w:before="100" w:beforeAutospacing="1" w:after="100" w:afterAutospacing="1" w:line="300" w:lineRule="atLeast"/>
        <w:outlineLvl w:val="0"/>
        <w:rPr>
          <w:rFonts w:asciiTheme="majorBidi" w:hAnsiTheme="majorBidi" w:cstheme="majorBidi"/>
          <w:b/>
          <w:bCs/>
          <w:color w:val="000000"/>
          <w:kern w:val="36"/>
        </w:rPr>
      </w:pPr>
      <w:r w:rsidRPr="00FC4B05">
        <w:rPr>
          <w:rFonts w:asciiTheme="majorBidi" w:hAnsiTheme="majorBidi" w:cstheme="majorBidi"/>
          <w:b/>
          <w:bCs/>
          <w:color w:val="000000"/>
          <w:kern w:val="36"/>
        </w:rPr>
        <w:t xml:space="preserve">Appendix 2: </w:t>
      </w:r>
      <w:r w:rsidR="00D86190" w:rsidRPr="00FC4B05">
        <w:rPr>
          <w:rFonts w:asciiTheme="majorBidi" w:hAnsiTheme="majorBidi" w:cstheme="majorBidi"/>
          <w:b/>
          <w:bCs/>
          <w:color w:val="000000"/>
          <w:kern w:val="36"/>
        </w:rPr>
        <w:t xml:space="preserve">Table 2. </w:t>
      </w:r>
    </w:p>
    <w:p w14:paraId="3135A711" w14:textId="42F9C878" w:rsidR="00D86190" w:rsidRPr="00FC4B05" w:rsidRDefault="00D86190" w:rsidP="00D86190">
      <w:pPr>
        <w:spacing w:before="100" w:beforeAutospacing="1" w:after="100" w:afterAutospacing="1" w:line="300" w:lineRule="atLeast"/>
        <w:outlineLvl w:val="0"/>
        <w:rPr>
          <w:rFonts w:asciiTheme="majorBidi" w:hAnsiTheme="majorBidi" w:cstheme="majorBidi"/>
          <w:b/>
          <w:bCs/>
          <w:color w:val="000000"/>
          <w:kern w:val="36"/>
        </w:rPr>
      </w:pPr>
      <w:r w:rsidRPr="00FC4B05">
        <w:rPr>
          <w:rFonts w:asciiTheme="majorBidi" w:hAnsiTheme="majorBidi" w:cstheme="majorBidi"/>
          <w:b/>
          <w:bCs/>
          <w:color w:val="000000"/>
          <w:kern w:val="36"/>
        </w:rPr>
        <w:t>Structural Equation Model Fit Indices</w:t>
      </w:r>
      <w:r w:rsidR="00686850">
        <w:rPr>
          <w:rFonts w:asciiTheme="majorBidi" w:hAnsiTheme="majorBidi" w:cstheme="majorBidi"/>
          <w:b/>
          <w:bCs/>
          <w:color w:val="000000"/>
          <w:kern w:val="36"/>
        </w:rPr>
        <w:t xml:space="preserve"> (authors’ own work)</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046"/>
        <w:gridCol w:w="2724"/>
        <w:gridCol w:w="1419"/>
      </w:tblGrid>
      <w:tr w:rsidR="00D86190" w:rsidRPr="00FC4B05" w14:paraId="4A84B1AC" w14:textId="77777777" w:rsidTr="005C76E3">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256F3DD"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Fit Index</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CD66A70"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Recommended Threshold</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8BDF5A0" w14:textId="77777777" w:rsidR="00D86190" w:rsidRPr="00FC4B05" w:rsidRDefault="00D86190" w:rsidP="00D86190">
            <w:pPr>
              <w:jc w:val="center"/>
              <w:rPr>
                <w:rFonts w:asciiTheme="majorBidi" w:hAnsiTheme="majorBidi" w:cstheme="majorBidi"/>
                <w:b/>
                <w:bCs/>
              </w:rPr>
            </w:pPr>
            <w:r w:rsidRPr="00FC4B05">
              <w:rPr>
                <w:rFonts w:asciiTheme="majorBidi" w:hAnsiTheme="majorBidi" w:cstheme="majorBidi"/>
                <w:b/>
                <w:bCs/>
              </w:rPr>
              <w:t>Model Value</w:t>
            </w:r>
          </w:p>
        </w:tc>
      </w:tr>
      <w:tr w:rsidR="00D86190" w:rsidRPr="00FC4B05" w14:paraId="78E94E8D" w14:textId="77777777" w:rsidTr="005C76E3">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FA0F650" w14:textId="77777777" w:rsidR="00D86190" w:rsidRPr="00FC4B05" w:rsidRDefault="00D86190" w:rsidP="00D86190">
            <w:pPr>
              <w:rPr>
                <w:rFonts w:asciiTheme="majorBidi" w:hAnsiTheme="majorBidi" w:cstheme="majorBidi"/>
              </w:rPr>
            </w:pPr>
            <w:r w:rsidRPr="00FC4B05">
              <w:rPr>
                <w:rFonts w:asciiTheme="majorBidi" w:hAnsiTheme="majorBidi" w:cstheme="majorBidi"/>
              </w:rPr>
              <w:t xml:space="preserve">χ² / </w:t>
            </w:r>
            <w:proofErr w:type="spellStart"/>
            <w:r w:rsidRPr="00FC4B05">
              <w:rPr>
                <w:rFonts w:asciiTheme="majorBidi" w:hAnsiTheme="majorBidi" w:cstheme="majorBidi"/>
              </w:rPr>
              <w:t>df</w:t>
            </w:r>
            <w:proofErr w:type="spellEnd"/>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D164B4E" w14:textId="77777777" w:rsidR="00D86190" w:rsidRPr="00FC4B05" w:rsidRDefault="00D86190" w:rsidP="00D86190">
            <w:pPr>
              <w:rPr>
                <w:rFonts w:asciiTheme="majorBidi" w:hAnsiTheme="majorBidi" w:cstheme="majorBidi"/>
              </w:rPr>
            </w:pPr>
            <w:r w:rsidRPr="00FC4B05">
              <w:rPr>
                <w:rFonts w:asciiTheme="majorBidi" w:hAnsiTheme="majorBidi" w:cstheme="majorBidi"/>
              </w:rPr>
              <w:t>&lt; 3.00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B53CCED" w14:textId="77777777" w:rsidR="00D86190" w:rsidRPr="00FC4B05" w:rsidRDefault="00D86190" w:rsidP="00D86190">
            <w:pPr>
              <w:rPr>
                <w:rFonts w:asciiTheme="majorBidi" w:hAnsiTheme="majorBidi" w:cstheme="majorBidi"/>
              </w:rPr>
            </w:pPr>
            <w:r w:rsidRPr="00FC4B05">
              <w:rPr>
                <w:rFonts w:asciiTheme="majorBidi" w:hAnsiTheme="majorBidi" w:cstheme="majorBidi"/>
              </w:rPr>
              <w:t>2.11</w:t>
            </w:r>
          </w:p>
        </w:tc>
      </w:tr>
      <w:tr w:rsidR="00D86190" w:rsidRPr="00FC4B05" w14:paraId="6D7FBAE0" w14:textId="77777777" w:rsidTr="005C76E3">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97768BE" w14:textId="77777777" w:rsidR="00D86190" w:rsidRPr="00FC4B05" w:rsidRDefault="00D86190" w:rsidP="00D86190">
            <w:pPr>
              <w:rPr>
                <w:rFonts w:asciiTheme="majorBidi" w:hAnsiTheme="majorBidi" w:cstheme="majorBidi"/>
              </w:rPr>
            </w:pPr>
            <w:r w:rsidRPr="00FC4B05">
              <w:rPr>
                <w:rFonts w:asciiTheme="majorBidi" w:hAnsiTheme="majorBidi" w:cstheme="majorBidi"/>
              </w:rPr>
              <w:t>CFI</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4F9FBB1" w14:textId="77777777" w:rsidR="00D86190" w:rsidRPr="00FC4B05" w:rsidRDefault="00D86190" w:rsidP="00D86190">
            <w:pPr>
              <w:rPr>
                <w:rFonts w:asciiTheme="majorBidi" w:hAnsiTheme="majorBidi" w:cstheme="majorBidi"/>
              </w:rPr>
            </w:pPr>
            <w:r w:rsidRPr="00FC4B05">
              <w:rPr>
                <w:rFonts w:asciiTheme="majorBidi" w:hAnsiTheme="majorBidi" w:cstheme="majorBidi"/>
              </w:rPr>
              <w:t>≥ 0.90 (good ≥ 0.95)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53997C1" w14:textId="77777777" w:rsidR="00D86190" w:rsidRPr="00FC4B05" w:rsidRDefault="00D86190" w:rsidP="00D86190">
            <w:pPr>
              <w:rPr>
                <w:rFonts w:asciiTheme="majorBidi" w:hAnsiTheme="majorBidi" w:cstheme="majorBidi"/>
              </w:rPr>
            </w:pPr>
            <w:r w:rsidRPr="00FC4B05">
              <w:rPr>
                <w:rFonts w:asciiTheme="majorBidi" w:hAnsiTheme="majorBidi" w:cstheme="majorBidi"/>
              </w:rPr>
              <w:t>0.94</w:t>
            </w:r>
          </w:p>
        </w:tc>
      </w:tr>
      <w:tr w:rsidR="00D86190" w:rsidRPr="00FC4B05" w14:paraId="4D2BF793" w14:textId="77777777" w:rsidTr="005C76E3">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8311591" w14:textId="77777777" w:rsidR="00D86190" w:rsidRPr="00FC4B05" w:rsidRDefault="00D86190" w:rsidP="00D86190">
            <w:pPr>
              <w:rPr>
                <w:rFonts w:asciiTheme="majorBidi" w:hAnsiTheme="majorBidi" w:cstheme="majorBidi"/>
              </w:rPr>
            </w:pPr>
            <w:r w:rsidRPr="00FC4B05">
              <w:rPr>
                <w:rFonts w:asciiTheme="majorBidi" w:hAnsiTheme="majorBidi" w:cstheme="majorBidi"/>
              </w:rPr>
              <w:t>TLI</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E152E9E" w14:textId="77777777" w:rsidR="00D86190" w:rsidRPr="00FC4B05" w:rsidRDefault="00D86190" w:rsidP="00D86190">
            <w:pPr>
              <w:rPr>
                <w:rFonts w:asciiTheme="majorBidi" w:hAnsiTheme="majorBidi" w:cstheme="majorBidi"/>
              </w:rPr>
            </w:pPr>
            <w:r w:rsidRPr="00FC4B05">
              <w:rPr>
                <w:rFonts w:asciiTheme="majorBidi" w:hAnsiTheme="majorBidi" w:cstheme="majorBidi"/>
              </w:rPr>
              <w:t>≥ 0.90</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DAA6686" w14:textId="77777777" w:rsidR="00D86190" w:rsidRPr="00FC4B05" w:rsidRDefault="00D86190" w:rsidP="00D86190">
            <w:pPr>
              <w:rPr>
                <w:rFonts w:asciiTheme="majorBidi" w:hAnsiTheme="majorBidi" w:cstheme="majorBidi"/>
              </w:rPr>
            </w:pPr>
            <w:r w:rsidRPr="00FC4B05">
              <w:rPr>
                <w:rFonts w:asciiTheme="majorBidi" w:hAnsiTheme="majorBidi" w:cstheme="majorBidi"/>
              </w:rPr>
              <w:t>0.93</w:t>
            </w:r>
          </w:p>
        </w:tc>
      </w:tr>
      <w:tr w:rsidR="00D86190" w:rsidRPr="00FC4B05" w14:paraId="697F73ED" w14:textId="77777777" w:rsidTr="005C76E3">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AC59486" w14:textId="77777777" w:rsidR="00D86190" w:rsidRPr="00FC4B05" w:rsidRDefault="00D86190" w:rsidP="00D86190">
            <w:pPr>
              <w:rPr>
                <w:rFonts w:asciiTheme="majorBidi" w:hAnsiTheme="majorBidi" w:cstheme="majorBidi"/>
              </w:rPr>
            </w:pPr>
            <w:r w:rsidRPr="00FC4B05">
              <w:rPr>
                <w:rFonts w:asciiTheme="majorBidi" w:hAnsiTheme="majorBidi" w:cstheme="majorBidi"/>
              </w:rPr>
              <w:t>RMSEA</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8DFB583" w14:textId="77777777" w:rsidR="00D86190" w:rsidRPr="00FC4B05" w:rsidRDefault="00D86190" w:rsidP="00D86190">
            <w:pPr>
              <w:rPr>
                <w:rFonts w:asciiTheme="majorBidi" w:hAnsiTheme="majorBidi" w:cstheme="majorBidi"/>
              </w:rPr>
            </w:pPr>
            <w:r w:rsidRPr="00FC4B05">
              <w:rPr>
                <w:rFonts w:asciiTheme="majorBidi" w:hAnsiTheme="majorBidi" w:cstheme="majorBidi"/>
              </w:rPr>
              <w:t>≤ 0.08 (ideal ≤ 0.06)</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4364D1" w14:textId="77777777" w:rsidR="00D86190" w:rsidRPr="00FC4B05" w:rsidRDefault="00D86190" w:rsidP="00D86190">
            <w:pPr>
              <w:rPr>
                <w:rFonts w:asciiTheme="majorBidi" w:hAnsiTheme="majorBidi" w:cstheme="majorBidi"/>
              </w:rPr>
            </w:pPr>
            <w:r w:rsidRPr="00FC4B05">
              <w:rPr>
                <w:rFonts w:asciiTheme="majorBidi" w:hAnsiTheme="majorBidi" w:cstheme="majorBidi"/>
              </w:rPr>
              <w:t>0.056</w:t>
            </w:r>
          </w:p>
        </w:tc>
      </w:tr>
      <w:tr w:rsidR="00D86190" w:rsidRPr="00FC4B05" w14:paraId="310E8D6A" w14:textId="77777777" w:rsidTr="005C76E3">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98F284F" w14:textId="77777777" w:rsidR="00D86190" w:rsidRPr="00FC4B05" w:rsidRDefault="00D86190" w:rsidP="00D86190">
            <w:pPr>
              <w:rPr>
                <w:rFonts w:asciiTheme="majorBidi" w:hAnsiTheme="majorBidi" w:cstheme="majorBidi"/>
              </w:rPr>
            </w:pPr>
            <w:r w:rsidRPr="00FC4B05">
              <w:rPr>
                <w:rFonts w:asciiTheme="majorBidi" w:hAnsiTheme="majorBidi" w:cstheme="majorBidi"/>
              </w:rPr>
              <w:t>SRMR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40A370A" w14:textId="77777777" w:rsidR="00D86190" w:rsidRPr="00FC4B05" w:rsidRDefault="00D86190" w:rsidP="00D86190">
            <w:pPr>
              <w:rPr>
                <w:rFonts w:asciiTheme="majorBidi" w:hAnsiTheme="majorBidi" w:cstheme="majorBidi"/>
              </w:rPr>
            </w:pPr>
            <w:r w:rsidRPr="00FC4B05">
              <w:rPr>
                <w:rFonts w:asciiTheme="majorBidi" w:hAnsiTheme="majorBidi" w:cstheme="majorBidi"/>
              </w:rPr>
              <w:t>≤ 0.08</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6EE5A63" w14:textId="77777777" w:rsidR="00D86190" w:rsidRPr="00FC4B05" w:rsidRDefault="00D86190" w:rsidP="00D86190">
            <w:pPr>
              <w:rPr>
                <w:rFonts w:asciiTheme="majorBidi" w:hAnsiTheme="majorBidi" w:cstheme="majorBidi"/>
              </w:rPr>
            </w:pPr>
            <w:r w:rsidRPr="00FC4B05">
              <w:rPr>
                <w:rFonts w:asciiTheme="majorBidi" w:hAnsiTheme="majorBidi" w:cstheme="majorBidi"/>
              </w:rPr>
              <w:t>0.048</w:t>
            </w:r>
          </w:p>
        </w:tc>
      </w:tr>
    </w:tbl>
    <w:p w14:paraId="2B1E09DB" w14:textId="475B1AA8" w:rsidR="00D86190" w:rsidRPr="00FC4B05" w:rsidRDefault="00D86190" w:rsidP="00E1328D">
      <w:pPr>
        <w:spacing w:before="100" w:beforeAutospacing="1" w:after="100" w:afterAutospacing="1" w:line="300" w:lineRule="atLeast"/>
        <w:rPr>
          <w:rFonts w:asciiTheme="majorBidi" w:hAnsiTheme="majorBidi" w:cstheme="majorBidi"/>
          <w:color w:val="000000"/>
          <w:sz w:val="21"/>
          <w:szCs w:val="21"/>
        </w:rPr>
      </w:pPr>
      <w:r w:rsidRPr="00FC4B05">
        <w:rPr>
          <w:rFonts w:asciiTheme="majorBidi" w:hAnsiTheme="majorBidi" w:cstheme="majorBidi"/>
          <w:b/>
          <w:bCs/>
          <w:color w:val="000000"/>
          <w:sz w:val="21"/>
          <w:szCs w:val="21"/>
        </w:rPr>
        <w:t>Notes:</w:t>
      </w:r>
      <w:r w:rsidRPr="00FC4B05">
        <w:rPr>
          <w:rFonts w:asciiTheme="majorBidi" w:hAnsiTheme="majorBidi" w:cstheme="majorBidi"/>
          <w:color w:val="000000"/>
          <w:sz w:val="21"/>
          <w:szCs w:val="21"/>
        </w:rPr>
        <w:br/>
        <w:t>• Fit criteria follow Hu &amp; Bentler (1999) and Kline (2016).</w:t>
      </w:r>
      <w:r w:rsidRPr="00FC4B05">
        <w:rPr>
          <w:rFonts w:asciiTheme="majorBidi" w:hAnsiTheme="majorBidi" w:cstheme="majorBidi"/>
          <w:color w:val="000000"/>
          <w:sz w:val="21"/>
          <w:szCs w:val="21"/>
        </w:rPr>
        <w:br/>
        <w:t>• Model meets all thresholds, indicating good overall fit.</w:t>
      </w:r>
    </w:p>
    <w:p w14:paraId="366A37CD" w14:textId="77777777" w:rsidR="00FC4B05" w:rsidRDefault="00FC4B05" w:rsidP="00D86190">
      <w:pPr>
        <w:spacing w:before="100" w:beforeAutospacing="1" w:after="100" w:afterAutospacing="1" w:line="300" w:lineRule="atLeast"/>
        <w:outlineLvl w:val="0"/>
        <w:rPr>
          <w:rFonts w:asciiTheme="majorBidi" w:hAnsiTheme="majorBidi" w:cstheme="majorBidi"/>
          <w:b/>
          <w:bCs/>
          <w:color w:val="000000"/>
          <w:kern w:val="36"/>
          <w:sz w:val="48"/>
          <w:szCs w:val="48"/>
        </w:rPr>
      </w:pPr>
    </w:p>
    <w:p w14:paraId="57F8226B" w14:textId="10209342" w:rsidR="00E1328D" w:rsidRPr="00FC4B05" w:rsidRDefault="00FC4B05" w:rsidP="00D86190">
      <w:pPr>
        <w:spacing w:before="100" w:beforeAutospacing="1" w:after="100" w:afterAutospacing="1" w:line="300" w:lineRule="atLeast"/>
        <w:outlineLvl w:val="0"/>
        <w:rPr>
          <w:rFonts w:asciiTheme="majorBidi" w:hAnsiTheme="majorBidi" w:cstheme="majorBidi"/>
          <w:b/>
          <w:bCs/>
          <w:color w:val="000000"/>
          <w:kern w:val="36"/>
        </w:rPr>
      </w:pPr>
      <w:r w:rsidRPr="00FC4B05">
        <w:rPr>
          <w:rFonts w:asciiTheme="majorBidi" w:hAnsiTheme="majorBidi" w:cstheme="majorBidi"/>
          <w:b/>
          <w:bCs/>
          <w:color w:val="000000"/>
          <w:kern w:val="36"/>
        </w:rPr>
        <w:lastRenderedPageBreak/>
        <w:t xml:space="preserve">Appendix 3: </w:t>
      </w:r>
      <w:r w:rsidR="00D86190" w:rsidRPr="00FC4B05">
        <w:rPr>
          <w:rFonts w:asciiTheme="majorBidi" w:hAnsiTheme="majorBidi" w:cstheme="majorBidi"/>
          <w:b/>
          <w:bCs/>
          <w:color w:val="000000"/>
          <w:kern w:val="36"/>
        </w:rPr>
        <w:t xml:space="preserve">Table 3. </w:t>
      </w:r>
    </w:p>
    <w:p w14:paraId="3A6CD486" w14:textId="560416C9" w:rsidR="00D86190" w:rsidRPr="00FC4B05" w:rsidRDefault="00D86190" w:rsidP="00D86190">
      <w:pPr>
        <w:spacing w:before="100" w:beforeAutospacing="1" w:after="100" w:afterAutospacing="1" w:line="300" w:lineRule="atLeast"/>
        <w:outlineLvl w:val="0"/>
        <w:rPr>
          <w:rFonts w:asciiTheme="majorBidi" w:hAnsiTheme="majorBidi" w:cstheme="majorBidi"/>
          <w:b/>
          <w:bCs/>
          <w:color w:val="000000"/>
          <w:kern w:val="36"/>
        </w:rPr>
      </w:pPr>
      <w:r w:rsidRPr="00FC4B05">
        <w:rPr>
          <w:rFonts w:asciiTheme="majorBidi" w:hAnsiTheme="majorBidi" w:cstheme="majorBidi"/>
          <w:b/>
          <w:bCs/>
          <w:color w:val="000000"/>
          <w:kern w:val="36"/>
        </w:rPr>
        <w:t>Structural Path Coefficients (Hypothesis Testing</w:t>
      </w:r>
      <w:r w:rsidR="00686850">
        <w:rPr>
          <w:rFonts w:asciiTheme="majorBidi" w:hAnsiTheme="majorBidi" w:cstheme="majorBidi"/>
          <w:b/>
          <w:bCs/>
          <w:color w:val="000000"/>
          <w:kern w:val="36"/>
        </w:rPr>
        <w:t>, authors’ own 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8"/>
        <w:gridCol w:w="2719"/>
        <w:gridCol w:w="1524"/>
        <w:gridCol w:w="851"/>
        <w:gridCol w:w="2442"/>
      </w:tblGrid>
      <w:tr w:rsidR="00E1328D" w:rsidRPr="00FC4B05" w14:paraId="3512226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F01F161" w14:textId="77777777" w:rsidR="00E1328D" w:rsidRPr="00FC4B05" w:rsidRDefault="00E1328D">
            <w:pPr>
              <w:jc w:val="center"/>
              <w:rPr>
                <w:rFonts w:asciiTheme="majorBidi" w:hAnsiTheme="majorBidi" w:cstheme="majorBidi"/>
                <w:b/>
                <w:bCs/>
              </w:rPr>
            </w:pPr>
            <w:r w:rsidRPr="00FC4B05">
              <w:rPr>
                <w:rFonts w:asciiTheme="majorBidi" w:hAnsiTheme="majorBidi" w:cstheme="majorBidi"/>
                <w:b/>
                <w:bCs/>
              </w:rPr>
              <w:t>Hypothesis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8961698" w14:textId="77777777" w:rsidR="00E1328D" w:rsidRPr="00FC4B05" w:rsidRDefault="00E1328D">
            <w:pPr>
              <w:jc w:val="center"/>
              <w:rPr>
                <w:rFonts w:asciiTheme="majorBidi" w:hAnsiTheme="majorBidi" w:cstheme="majorBidi"/>
                <w:b/>
                <w:bCs/>
              </w:rPr>
            </w:pPr>
            <w:r w:rsidRPr="00FC4B05">
              <w:rPr>
                <w:rFonts w:asciiTheme="majorBidi" w:hAnsiTheme="majorBidi" w:cstheme="majorBidi"/>
                <w:b/>
                <w:bCs/>
              </w:rPr>
              <w:t>Path</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0ED7E8B" w14:textId="77777777" w:rsidR="00E1328D" w:rsidRPr="00FC4B05" w:rsidRDefault="00E1328D">
            <w:pPr>
              <w:jc w:val="center"/>
              <w:rPr>
                <w:rFonts w:asciiTheme="majorBidi" w:hAnsiTheme="majorBidi" w:cstheme="majorBidi"/>
                <w:b/>
                <w:bCs/>
              </w:rPr>
            </w:pPr>
            <w:r w:rsidRPr="00FC4B05">
              <w:rPr>
                <w:rFonts w:asciiTheme="majorBidi" w:hAnsiTheme="majorBidi" w:cstheme="majorBidi"/>
                <w:b/>
                <w:bCs/>
              </w:rPr>
              <w:t>Standardised β</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21C4C40" w14:textId="77777777" w:rsidR="00E1328D" w:rsidRPr="00FC4B05" w:rsidRDefault="00E1328D">
            <w:pPr>
              <w:jc w:val="center"/>
              <w:rPr>
                <w:rFonts w:asciiTheme="majorBidi" w:hAnsiTheme="majorBidi" w:cstheme="majorBidi"/>
                <w:b/>
                <w:bCs/>
              </w:rPr>
            </w:pPr>
            <w:r w:rsidRPr="00FC4B05">
              <w:rPr>
                <w:rFonts w:asciiTheme="majorBidi" w:hAnsiTheme="majorBidi" w:cstheme="majorBidi"/>
                <w:b/>
                <w:bCs/>
              </w:rPr>
              <w:t>p</w:t>
            </w:r>
            <w:r w:rsidRPr="00FC4B05">
              <w:rPr>
                <w:rFonts w:asciiTheme="majorBidi" w:hAnsiTheme="majorBidi" w:cstheme="majorBidi"/>
                <w:b/>
                <w:bCs/>
              </w:rPr>
              <w:noBreakHyphen/>
              <w:t>value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2A5FE1C" w14:textId="77777777" w:rsidR="00E1328D" w:rsidRPr="00FC4B05" w:rsidRDefault="00E1328D">
            <w:pPr>
              <w:jc w:val="center"/>
              <w:rPr>
                <w:rFonts w:asciiTheme="majorBidi" w:hAnsiTheme="majorBidi" w:cstheme="majorBidi"/>
                <w:b/>
                <w:bCs/>
              </w:rPr>
            </w:pPr>
            <w:r w:rsidRPr="00FC4B05">
              <w:rPr>
                <w:rFonts w:asciiTheme="majorBidi" w:hAnsiTheme="majorBidi" w:cstheme="majorBidi"/>
                <w:b/>
                <w:bCs/>
              </w:rPr>
              <w:t>Supported?</w:t>
            </w:r>
          </w:p>
        </w:tc>
      </w:tr>
      <w:tr w:rsidR="00E1328D" w:rsidRPr="00FC4B05" w14:paraId="25AC4EB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3BE50F4" w14:textId="77777777" w:rsidR="00E1328D" w:rsidRPr="00FC4B05" w:rsidRDefault="00E1328D">
            <w:pPr>
              <w:jc w:val="center"/>
              <w:rPr>
                <w:rFonts w:asciiTheme="majorBidi" w:hAnsiTheme="majorBidi" w:cstheme="majorBidi"/>
                <w:b/>
                <w:bCs/>
              </w:rPr>
            </w:pPr>
            <w:r w:rsidRPr="00FC4B05">
              <w:rPr>
                <w:rStyle w:val="Strong"/>
                <w:rFonts w:asciiTheme="majorBidi" w:hAnsiTheme="majorBidi" w:cstheme="majorBidi"/>
              </w:rPr>
              <w:t>H1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73461B8" w14:textId="77777777" w:rsidR="00E1328D" w:rsidRPr="00FC4B05" w:rsidRDefault="00E1328D">
            <w:pPr>
              <w:rPr>
                <w:rFonts w:asciiTheme="majorBidi" w:hAnsiTheme="majorBidi" w:cstheme="majorBidi"/>
              </w:rPr>
            </w:pPr>
            <w:r w:rsidRPr="00FC4B05">
              <w:rPr>
                <w:rFonts w:asciiTheme="majorBidi" w:hAnsiTheme="majorBidi" w:cstheme="majorBidi"/>
              </w:rPr>
              <w:t>Green Product Awareness → Purchase Intention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F958D18" w14:textId="77777777" w:rsidR="00E1328D" w:rsidRPr="00FC4B05" w:rsidRDefault="00E1328D">
            <w:pPr>
              <w:rPr>
                <w:rFonts w:asciiTheme="majorBidi" w:hAnsiTheme="majorBidi" w:cstheme="majorBidi"/>
              </w:rPr>
            </w:pPr>
            <w:r w:rsidRPr="00FC4B05">
              <w:rPr>
                <w:rStyle w:val="Strong"/>
                <w:rFonts w:asciiTheme="majorBidi" w:hAnsiTheme="majorBidi" w:cstheme="majorBidi"/>
              </w:rPr>
              <w:t>0.61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752D196" w14:textId="77777777" w:rsidR="00E1328D" w:rsidRPr="00FC4B05" w:rsidRDefault="00E1328D">
            <w:pPr>
              <w:rPr>
                <w:rFonts w:asciiTheme="majorBidi" w:hAnsiTheme="majorBidi" w:cstheme="majorBidi"/>
              </w:rPr>
            </w:pPr>
            <w:r w:rsidRPr="00FC4B05">
              <w:rPr>
                <w:rStyle w:val="Strong"/>
                <w:rFonts w:asciiTheme="majorBidi" w:hAnsiTheme="majorBidi" w:cstheme="majorBidi"/>
              </w:rPr>
              <w:t>&lt; 0.01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F3F2CF4" w14:textId="77777777" w:rsidR="00E1328D" w:rsidRPr="00FC4B05" w:rsidRDefault="00E1328D">
            <w:pPr>
              <w:rPr>
                <w:rFonts w:asciiTheme="majorBidi" w:hAnsiTheme="majorBidi" w:cstheme="majorBidi"/>
              </w:rPr>
            </w:pPr>
            <w:r w:rsidRPr="00FC4B05">
              <w:rPr>
                <w:rStyle w:val="Strong"/>
                <w:rFonts w:asciiTheme="majorBidi" w:hAnsiTheme="majorBidi" w:cstheme="majorBidi"/>
              </w:rPr>
              <w:t>Yes</w:t>
            </w:r>
          </w:p>
        </w:tc>
      </w:tr>
      <w:tr w:rsidR="00E1328D" w:rsidRPr="00FC4B05" w14:paraId="47D9D58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E55175A" w14:textId="77777777" w:rsidR="00E1328D" w:rsidRPr="00FC4B05" w:rsidRDefault="00E1328D">
            <w:pPr>
              <w:jc w:val="center"/>
              <w:rPr>
                <w:rFonts w:asciiTheme="majorBidi" w:hAnsiTheme="majorBidi" w:cstheme="majorBidi"/>
                <w:b/>
                <w:bCs/>
              </w:rPr>
            </w:pPr>
            <w:r w:rsidRPr="00FC4B05">
              <w:rPr>
                <w:rStyle w:val="Strong"/>
                <w:rFonts w:asciiTheme="majorBidi" w:hAnsiTheme="majorBidi" w:cstheme="majorBidi"/>
              </w:rPr>
              <w:t>H2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6DB31D" w14:textId="77777777" w:rsidR="00E1328D" w:rsidRPr="00FC4B05" w:rsidRDefault="00E1328D">
            <w:pPr>
              <w:rPr>
                <w:rFonts w:asciiTheme="majorBidi" w:hAnsiTheme="majorBidi" w:cstheme="majorBidi"/>
              </w:rPr>
            </w:pPr>
            <w:r w:rsidRPr="00FC4B05">
              <w:rPr>
                <w:rFonts w:asciiTheme="majorBidi" w:hAnsiTheme="majorBidi" w:cstheme="majorBidi"/>
              </w:rPr>
              <w:t>Green Pricing Fairness → Purchase Intention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87D03B9" w14:textId="77777777" w:rsidR="00E1328D" w:rsidRPr="00FC4B05" w:rsidRDefault="00E1328D">
            <w:pPr>
              <w:rPr>
                <w:rFonts w:asciiTheme="majorBidi" w:hAnsiTheme="majorBidi" w:cstheme="majorBidi"/>
              </w:rPr>
            </w:pPr>
            <w:r w:rsidRPr="00FC4B05">
              <w:rPr>
                <w:rFonts w:asciiTheme="majorBidi" w:hAnsiTheme="majorBidi" w:cstheme="majorBidi"/>
              </w:rPr>
              <w:t>0.44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F04C626" w14:textId="77777777" w:rsidR="00E1328D" w:rsidRPr="00FC4B05" w:rsidRDefault="00E1328D">
            <w:pPr>
              <w:rPr>
                <w:rFonts w:asciiTheme="majorBidi" w:hAnsiTheme="majorBidi" w:cstheme="majorBidi"/>
              </w:rPr>
            </w:pPr>
            <w:r w:rsidRPr="00FC4B05">
              <w:rPr>
                <w:rFonts w:asciiTheme="majorBidi" w:hAnsiTheme="majorBidi" w:cstheme="majorBidi"/>
              </w:rPr>
              <w:t>&lt; 0.05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5325B00" w14:textId="77777777" w:rsidR="00E1328D" w:rsidRPr="00FC4B05" w:rsidRDefault="00E1328D">
            <w:pPr>
              <w:rPr>
                <w:rFonts w:asciiTheme="majorBidi" w:hAnsiTheme="majorBidi" w:cstheme="majorBidi"/>
              </w:rPr>
            </w:pPr>
            <w:r w:rsidRPr="00FC4B05">
              <w:rPr>
                <w:rFonts w:asciiTheme="majorBidi" w:hAnsiTheme="majorBidi" w:cstheme="majorBidi"/>
              </w:rPr>
              <w:t>Yes</w:t>
            </w:r>
          </w:p>
        </w:tc>
      </w:tr>
      <w:tr w:rsidR="00E1328D" w:rsidRPr="00FC4B05" w14:paraId="7E12CD6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AE0B326" w14:textId="4E7D46BC" w:rsidR="00E1328D" w:rsidRPr="00FC4B05" w:rsidRDefault="00E1328D">
            <w:pPr>
              <w:jc w:val="center"/>
              <w:rPr>
                <w:rFonts w:asciiTheme="majorBidi" w:hAnsiTheme="majorBidi" w:cstheme="majorBidi"/>
                <w:b/>
                <w:bCs/>
              </w:rPr>
            </w:pPr>
            <w:r w:rsidRPr="00FC4B05">
              <w:rPr>
                <w:rStyle w:val="Strong"/>
                <w:rFonts w:asciiTheme="majorBidi" w:hAnsiTheme="majorBidi" w:cstheme="majorBidi"/>
              </w:rPr>
              <w:t>H3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94560E4" w14:textId="77777777" w:rsidR="00E1328D" w:rsidRPr="00FC4B05" w:rsidRDefault="00E1328D">
            <w:pPr>
              <w:rPr>
                <w:rFonts w:asciiTheme="majorBidi" w:hAnsiTheme="majorBidi" w:cstheme="majorBidi"/>
              </w:rPr>
            </w:pPr>
            <w:r w:rsidRPr="00FC4B05">
              <w:rPr>
                <w:rFonts w:asciiTheme="majorBidi" w:hAnsiTheme="majorBidi" w:cstheme="majorBidi"/>
              </w:rPr>
              <w:t>Sustainability Orientation → Purchase Intention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5A2EB7D" w14:textId="77777777" w:rsidR="00E1328D" w:rsidRPr="00FC4B05" w:rsidRDefault="00E1328D">
            <w:pPr>
              <w:rPr>
                <w:rFonts w:asciiTheme="majorBidi" w:hAnsiTheme="majorBidi" w:cstheme="majorBidi"/>
              </w:rPr>
            </w:pPr>
            <w:r w:rsidRPr="00FC4B05">
              <w:rPr>
                <w:rFonts w:asciiTheme="majorBidi" w:hAnsiTheme="majorBidi" w:cstheme="majorBidi"/>
              </w:rPr>
              <w:t>0.53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630DA05" w14:textId="77777777" w:rsidR="00E1328D" w:rsidRPr="00FC4B05" w:rsidRDefault="00E1328D">
            <w:pPr>
              <w:rPr>
                <w:rFonts w:asciiTheme="majorBidi" w:hAnsiTheme="majorBidi" w:cstheme="majorBidi"/>
              </w:rPr>
            </w:pPr>
            <w:r w:rsidRPr="00FC4B05">
              <w:rPr>
                <w:rFonts w:asciiTheme="majorBidi" w:hAnsiTheme="majorBidi" w:cstheme="majorBidi"/>
              </w:rPr>
              <w:t>&lt; 0.01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B28FA2F" w14:textId="77777777" w:rsidR="00E1328D" w:rsidRPr="00FC4B05" w:rsidRDefault="00E1328D">
            <w:pPr>
              <w:rPr>
                <w:rFonts w:asciiTheme="majorBidi" w:hAnsiTheme="majorBidi" w:cstheme="majorBidi"/>
              </w:rPr>
            </w:pPr>
            <w:r w:rsidRPr="00FC4B05">
              <w:rPr>
                <w:rFonts w:asciiTheme="majorBidi" w:hAnsiTheme="majorBidi" w:cstheme="majorBidi"/>
              </w:rPr>
              <w:t>Yes</w:t>
            </w:r>
          </w:p>
        </w:tc>
      </w:tr>
      <w:tr w:rsidR="00E1328D" w:rsidRPr="00FC4B05" w14:paraId="6C28336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25E59E2" w14:textId="77777777" w:rsidR="00E1328D" w:rsidRPr="00FC4B05" w:rsidRDefault="00E1328D">
            <w:pPr>
              <w:rPr>
                <w:rFonts w:asciiTheme="majorBidi" w:hAnsiTheme="majorBidi" w:cstheme="majorBidi"/>
              </w:rPr>
            </w:pPr>
            <w:r w:rsidRPr="00FC4B05">
              <w:rPr>
                <w:rFonts w:asciiTheme="majorBidi" w:hAnsiTheme="majorBidi" w:cstheme="majorBidi"/>
              </w:rPr>
              <w:t>(Optional interaction term)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8AB03CC" w14:textId="77777777" w:rsidR="00E1328D" w:rsidRPr="00FC4B05" w:rsidRDefault="00E1328D">
            <w:pPr>
              <w:rPr>
                <w:rFonts w:asciiTheme="majorBidi" w:hAnsiTheme="majorBidi" w:cstheme="majorBidi"/>
              </w:rPr>
            </w:pPr>
            <w:r w:rsidRPr="00FC4B05">
              <w:rPr>
                <w:rFonts w:asciiTheme="majorBidi" w:hAnsiTheme="majorBidi" w:cstheme="majorBidi"/>
              </w:rPr>
              <w:t>GPA × GP → Purchase Intention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3BD9B01" w14:textId="77777777" w:rsidR="00E1328D" w:rsidRPr="00FC4B05" w:rsidRDefault="00E1328D">
            <w:pPr>
              <w:rPr>
                <w:rFonts w:asciiTheme="majorBidi" w:hAnsiTheme="majorBidi" w:cstheme="majorBidi"/>
              </w:rPr>
            </w:pPr>
            <w:r w:rsidRPr="00FC4B05">
              <w:rPr>
                <w:rFonts w:asciiTheme="majorBidi" w:hAnsiTheme="majorBidi" w:cstheme="majorBidi"/>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BF02C70" w14:textId="77777777" w:rsidR="00E1328D" w:rsidRPr="00FC4B05" w:rsidRDefault="00E1328D">
            <w:pPr>
              <w:rPr>
                <w:rFonts w:asciiTheme="majorBidi" w:hAnsiTheme="majorBidi" w:cstheme="majorBidi"/>
              </w:rPr>
            </w:pPr>
            <w:r w:rsidRPr="00FC4B05">
              <w:rPr>
                <w:rFonts w:asciiTheme="majorBidi" w:hAnsiTheme="majorBidi" w:cstheme="majorBidi"/>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7E58B91" w14:textId="77777777" w:rsidR="00E1328D" w:rsidRPr="00FC4B05" w:rsidRDefault="00E1328D">
            <w:pPr>
              <w:rPr>
                <w:rFonts w:asciiTheme="majorBidi" w:hAnsiTheme="majorBidi" w:cstheme="majorBidi"/>
              </w:rPr>
            </w:pPr>
            <w:r w:rsidRPr="00FC4B05">
              <w:rPr>
                <w:rFonts w:asciiTheme="majorBidi" w:hAnsiTheme="majorBidi" w:cstheme="majorBidi"/>
              </w:rPr>
              <w:t>Not tested (SEM interaction not modelled)</w:t>
            </w:r>
          </w:p>
        </w:tc>
      </w:tr>
    </w:tbl>
    <w:p w14:paraId="6FF70E82" w14:textId="77777777" w:rsidR="005C3BCD" w:rsidRDefault="005C3BCD" w:rsidP="005C3BCD">
      <w:pPr>
        <w:pStyle w:val="NormalWeb"/>
        <w:spacing w:line="360" w:lineRule="auto"/>
        <w:jc w:val="both"/>
        <w:rPr>
          <w:rFonts w:asciiTheme="majorBidi" w:hAnsiTheme="majorBidi" w:cstheme="majorBidi"/>
          <w:b/>
          <w:bCs/>
        </w:rPr>
      </w:pPr>
    </w:p>
    <w:p w14:paraId="43A80C84" w14:textId="77777777" w:rsidR="005C3BCD" w:rsidRPr="005C3BCD" w:rsidRDefault="005C3BCD" w:rsidP="005C3BCD">
      <w:pPr>
        <w:pStyle w:val="NormalWeb"/>
        <w:spacing w:line="360" w:lineRule="auto"/>
        <w:jc w:val="both"/>
        <w:rPr>
          <w:rFonts w:asciiTheme="majorBidi" w:hAnsiTheme="majorBidi" w:cstheme="majorBidi"/>
          <w:b/>
          <w:bCs/>
          <w:lang w:val="en-GB"/>
        </w:rPr>
      </w:pPr>
    </w:p>
    <w:sectPr w:rsidR="005C3BCD" w:rsidRPr="005C3B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FE908" w14:textId="77777777" w:rsidR="009548C2" w:rsidRDefault="009548C2" w:rsidP="00DB125E">
      <w:r>
        <w:separator/>
      </w:r>
    </w:p>
  </w:endnote>
  <w:endnote w:type="continuationSeparator" w:id="0">
    <w:p w14:paraId="3FA5FF3D" w14:textId="77777777" w:rsidR="009548C2" w:rsidRDefault="009548C2" w:rsidP="00DB1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A5C85" w14:textId="77777777" w:rsidR="009548C2" w:rsidRDefault="009548C2" w:rsidP="00DB125E">
      <w:r>
        <w:separator/>
      </w:r>
    </w:p>
  </w:footnote>
  <w:footnote w:type="continuationSeparator" w:id="0">
    <w:p w14:paraId="3CB80741" w14:textId="77777777" w:rsidR="009548C2" w:rsidRDefault="009548C2" w:rsidP="00DB12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916BB"/>
    <w:multiLevelType w:val="multilevel"/>
    <w:tmpl w:val="79A07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F6E5B"/>
    <w:multiLevelType w:val="multilevel"/>
    <w:tmpl w:val="B4B4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496592"/>
    <w:multiLevelType w:val="multilevel"/>
    <w:tmpl w:val="C552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AF4BBF"/>
    <w:multiLevelType w:val="multilevel"/>
    <w:tmpl w:val="3ACC0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B71A1"/>
    <w:multiLevelType w:val="multilevel"/>
    <w:tmpl w:val="E626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9D4ECE"/>
    <w:multiLevelType w:val="multilevel"/>
    <w:tmpl w:val="D5B86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931B58"/>
    <w:multiLevelType w:val="multilevel"/>
    <w:tmpl w:val="553E9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CC49DA"/>
    <w:multiLevelType w:val="multilevel"/>
    <w:tmpl w:val="F104B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6B67C3"/>
    <w:multiLevelType w:val="multilevel"/>
    <w:tmpl w:val="031E0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E4152E"/>
    <w:multiLevelType w:val="multilevel"/>
    <w:tmpl w:val="8FE0F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F823F6"/>
    <w:multiLevelType w:val="multilevel"/>
    <w:tmpl w:val="907E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EE7A88"/>
    <w:multiLevelType w:val="multilevel"/>
    <w:tmpl w:val="F1F03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1A1F72"/>
    <w:multiLevelType w:val="multilevel"/>
    <w:tmpl w:val="2FBE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357722"/>
    <w:multiLevelType w:val="multilevel"/>
    <w:tmpl w:val="65085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E36812"/>
    <w:multiLevelType w:val="multilevel"/>
    <w:tmpl w:val="8256A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B187124"/>
    <w:multiLevelType w:val="multilevel"/>
    <w:tmpl w:val="9DF6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456D87"/>
    <w:multiLevelType w:val="multilevel"/>
    <w:tmpl w:val="41945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357BF4"/>
    <w:multiLevelType w:val="multilevel"/>
    <w:tmpl w:val="2D0E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403257"/>
    <w:multiLevelType w:val="multilevel"/>
    <w:tmpl w:val="C3F87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BE3A7D"/>
    <w:multiLevelType w:val="multilevel"/>
    <w:tmpl w:val="0540E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0160CE"/>
    <w:multiLevelType w:val="multilevel"/>
    <w:tmpl w:val="2C3C8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6365A7"/>
    <w:multiLevelType w:val="multilevel"/>
    <w:tmpl w:val="2DB4C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407D01"/>
    <w:multiLevelType w:val="multilevel"/>
    <w:tmpl w:val="B5F0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7F634C"/>
    <w:multiLevelType w:val="multilevel"/>
    <w:tmpl w:val="4ED6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23194C"/>
    <w:multiLevelType w:val="multilevel"/>
    <w:tmpl w:val="724E9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097A68"/>
    <w:multiLevelType w:val="multilevel"/>
    <w:tmpl w:val="51B87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D41110"/>
    <w:multiLevelType w:val="multilevel"/>
    <w:tmpl w:val="B1FA4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6701A4"/>
    <w:multiLevelType w:val="multilevel"/>
    <w:tmpl w:val="2D4A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B268C1"/>
    <w:multiLevelType w:val="multilevel"/>
    <w:tmpl w:val="083C3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850681">
    <w:abstractNumId w:val="16"/>
  </w:num>
  <w:num w:numId="2" w16cid:durableId="652948714">
    <w:abstractNumId w:val="20"/>
  </w:num>
  <w:num w:numId="3" w16cid:durableId="481655286">
    <w:abstractNumId w:val="15"/>
  </w:num>
  <w:num w:numId="4" w16cid:durableId="916523761">
    <w:abstractNumId w:val="1"/>
  </w:num>
  <w:num w:numId="5" w16cid:durableId="1945309629">
    <w:abstractNumId w:val="28"/>
  </w:num>
  <w:num w:numId="6" w16cid:durableId="1176191715">
    <w:abstractNumId w:val="8"/>
  </w:num>
  <w:num w:numId="7" w16cid:durableId="885024198">
    <w:abstractNumId w:val="27"/>
  </w:num>
  <w:num w:numId="8" w16cid:durableId="824317214">
    <w:abstractNumId w:val="26"/>
  </w:num>
  <w:num w:numId="9" w16cid:durableId="1242106452">
    <w:abstractNumId w:val="25"/>
  </w:num>
  <w:num w:numId="10" w16cid:durableId="2032024303">
    <w:abstractNumId w:val="12"/>
  </w:num>
  <w:num w:numId="11" w16cid:durableId="537671448">
    <w:abstractNumId w:val="13"/>
  </w:num>
  <w:num w:numId="12" w16cid:durableId="1080952255">
    <w:abstractNumId w:val="24"/>
  </w:num>
  <w:num w:numId="13" w16cid:durableId="858130764">
    <w:abstractNumId w:val="2"/>
  </w:num>
  <w:num w:numId="14" w16cid:durableId="40985426">
    <w:abstractNumId w:val="4"/>
  </w:num>
  <w:num w:numId="15" w16cid:durableId="816846138">
    <w:abstractNumId w:val="9"/>
  </w:num>
  <w:num w:numId="16" w16cid:durableId="742530247">
    <w:abstractNumId w:val="6"/>
  </w:num>
  <w:num w:numId="17" w16cid:durableId="334769085">
    <w:abstractNumId w:val="19"/>
  </w:num>
  <w:num w:numId="18" w16cid:durableId="462426923">
    <w:abstractNumId w:val="18"/>
  </w:num>
  <w:num w:numId="19" w16cid:durableId="1676881422">
    <w:abstractNumId w:val="21"/>
  </w:num>
  <w:num w:numId="20" w16cid:durableId="2068458159">
    <w:abstractNumId w:val="7"/>
  </w:num>
  <w:num w:numId="21" w16cid:durableId="1842161537">
    <w:abstractNumId w:val="5"/>
  </w:num>
  <w:num w:numId="22" w16cid:durableId="1315839111">
    <w:abstractNumId w:val="17"/>
  </w:num>
  <w:num w:numId="23" w16cid:durableId="1197081414">
    <w:abstractNumId w:val="14"/>
  </w:num>
  <w:num w:numId="24" w16cid:durableId="1329560366">
    <w:abstractNumId w:val="3"/>
  </w:num>
  <w:num w:numId="25" w16cid:durableId="1379889030">
    <w:abstractNumId w:val="11"/>
  </w:num>
  <w:num w:numId="26" w16cid:durableId="1096442086">
    <w:abstractNumId w:val="0"/>
  </w:num>
  <w:num w:numId="27" w16cid:durableId="383910624">
    <w:abstractNumId w:val="22"/>
  </w:num>
  <w:num w:numId="28" w16cid:durableId="2131437781">
    <w:abstractNumId w:val="23"/>
  </w:num>
  <w:num w:numId="29" w16cid:durableId="83453548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B96"/>
    <w:rsid w:val="00002BFC"/>
    <w:rsid w:val="00006F4E"/>
    <w:rsid w:val="000116E1"/>
    <w:rsid w:val="00012CD2"/>
    <w:rsid w:val="00017B12"/>
    <w:rsid w:val="000328F7"/>
    <w:rsid w:val="00037E05"/>
    <w:rsid w:val="00044C5F"/>
    <w:rsid w:val="00051712"/>
    <w:rsid w:val="00053D52"/>
    <w:rsid w:val="00065053"/>
    <w:rsid w:val="0007054D"/>
    <w:rsid w:val="000713DF"/>
    <w:rsid w:val="0007427E"/>
    <w:rsid w:val="0007485E"/>
    <w:rsid w:val="000754B9"/>
    <w:rsid w:val="000828A3"/>
    <w:rsid w:val="000900EB"/>
    <w:rsid w:val="00095F48"/>
    <w:rsid w:val="000A4E7D"/>
    <w:rsid w:val="000C486C"/>
    <w:rsid w:val="000E0238"/>
    <w:rsid w:val="000E1300"/>
    <w:rsid w:val="00120C7C"/>
    <w:rsid w:val="00122393"/>
    <w:rsid w:val="001266FE"/>
    <w:rsid w:val="001269E1"/>
    <w:rsid w:val="00137CA8"/>
    <w:rsid w:val="00141319"/>
    <w:rsid w:val="0014409F"/>
    <w:rsid w:val="00145741"/>
    <w:rsid w:val="00145D25"/>
    <w:rsid w:val="001551D0"/>
    <w:rsid w:val="0016082C"/>
    <w:rsid w:val="00172C5D"/>
    <w:rsid w:val="001759FC"/>
    <w:rsid w:val="00197567"/>
    <w:rsid w:val="00197D40"/>
    <w:rsid w:val="001A1628"/>
    <w:rsid w:val="001B5357"/>
    <w:rsid w:val="001B557C"/>
    <w:rsid w:val="001B7DF7"/>
    <w:rsid w:val="001C2382"/>
    <w:rsid w:val="001C72C9"/>
    <w:rsid w:val="001D0261"/>
    <w:rsid w:val="001D1F26"/>
    <w:rsid w:val="001E2AC5"/>
    <w:rsid w:val="001F42EB"/>
    <w:rsid w:val="00202C88"/>
    <w:rsid w:val="00204DDA"/>
    <w:rsid w:val="002077B8"/>
    <w:rsid w:val="00220237"/>
    <w:rsid w:val="002205F6"/>
    <w:rsid w:val="0022194B"/>
    <w:rsid w:val="00221C2D"/>
    <w:rsid w:val="00226F78"/>
    <w:rsid w:val="00255434"/>
    <w:rsid w:val="0025654C"/>
    <w:rsid w:val="00262C46"/>
    <w:rsid w:val="00264D78"/>
    <w:rsid w:val="00273961"/>
    <w:rsid w:val="00274117"/>
    <w:rsid w:val="002810CD"/>
    <w:rsid w:val="0028160F"/>
    <w:rsid w:val="0028280B"/>
    <w:rsid w:val="00283BBB"/>
    <w:rsid w:val="00292381"/>
    <w:rsid w:val="002A2E34"/>
    <w:rsid w:val="002A44C5"/>
    <w:rsid w:val="002A45CA"/>
    <w:rsid w:val="002A613F"/>
    <w:rsid w:val="002C581C"/>
    <w:rsid w:val="002C7A12"/>
    <w:rsid w:val="002E2009"/>
    <w:rsid w:val="002F0085"/>
    <w:rsid w:val="002F1389"/>
    <w:rsid w:val="002F4D9C"/>
    <w:rsid w:val="002F7401"/>
    <w:rsid w:val="003002A8"/>
    <w:rsid w:val="00300E97"/>
    <w:rsid w:val="0030601B"/>
    <w:rsid w:val="00306D08"/>
    <w:rsid w:val="0032182C"/>
    <w:rsid w:val="00337FD5"/>
    <w:rsid w:val="003404C6"/>
    <w:rsid w:val="00341958"/>
    <w:rsid w:val="00344EBD"/>
    <w:rsid w:val="00346A21"/>
    <w:rsid w:val="00347038"/>
    <w:rsid w:val="00362F55"/>
    <w:rsid w:val="003656F1"/>
    <w:rsid w:val="003849E6"/>
    <w:rsid w:val="00387320"/>
    <w:rsid w:val="0038745E"/>
    <w:rsid w:val="003C04E4"/>
    <w:rsid w:val="003C43C5"/>
    <w:rsid w:val="003C528F"/>
    <w:rsid w:val="003E2987"/>
    <w:rsid w:val="003F6BF8"/>
    <w:rsid w:val="00401F23"/>
    <w:rsid w:val="00403EA7"/>
    <w:rsid w:val="00406C17"/>
    <w:rsid w:val="00410486"/>
    <w:rsid w:val="004150FF"/>
    <w:rsid w:val="004171AB"/>
    <w:rsid w:val="00431EFA"/>
    <w:rsid w:val="00450B61"/>
    <w:rsid w:val="00451F90"/>
    <w:rsid w:val="004610B4"/>
    <w:rsid w:val="004625E5"/>
    <w:rsid w:val="00463B7C"/>
    <w:rsid w:val="00466492"/>
    <w:rsid w:val="00482B1D"/>
    <w:rsid w:val="004877C0"/>
    <w:rsid w:val="00495886"/>
    <w:rsid w:val="004A1754"/>
    <w:rsid w:val="004B490B"/>
    <w:rsid w:val="004B6748"/>
    <w:rsid w:val="004C4075"/>
    <w:rsid w:val="004D103F"/>
    <w:rsid w:val="004D4A13"/>
    <w:rsid w:val="004D6137"/>
    <w:rsid w:val="004F5B82"/>
    <w:rsid w:val="004F7DFC"/>
    <w:rsid w:val="00504869"/>
    <w:rsid w:val="00507923"/>
    <w:rsid w:val="00513894"/>
    <w:rsid w:val="005311EF"/>
    <w:rsid w:val="00550B57"/>
    <w:rsid w:val="005648BD"/>
    <w:rsid w:val="00567F88"/>
    <w:rsid w:val="00573CCB"/>
    <w:rsid w:val="0057704C"/>
    <w:rsid w:val="0057706D"/>
    <w:rsid w:val="00582903"/>
    <w:rsid w:val="005A1C86"/>
    <w:rsid w:val="005A2E8A"/>
    <w:rsid w:val="005B22B8"/>
    <w:rsid w:val="005C3BCD"/>
    <w:rsid w:val="005C76E3"/>
    <w:rsid w:val="005D2716"/>
    <w:rsid w:val="005D34CA"/>
    <w:rsid w:val="005E48E6"/>
    <w:rsid w:val="005F3896"/>
    <w:rsid w:val="005F3D57"/>
    <w:rsid w:val="00606D55"/>
    <w:rsid w:val="00612438"/>
    <w:rsid w:val="00613864"/>
    <w:rsid w:val="0061536D"/>
    <w:rsid w:val="0061642D"/>
    <w:rsid w:val="006222BF"/>
    <w:rsid w:val="00632881"/>
    <w:rsid w:val="00656CFD"/>
    <w:rsid w:val="00666DC5"/>
    <w:rsid w:val="006675F3"/>
    <w:rsid w:val="0067144B"/>
    <w:rsid w:val="00677DD1"/>
    <w:rsid w:val="00682149"/>
    <w:rsid w:val="00682988"/>
    <w:rsid w:val="00686850"/>
    <w:rsid w:val="0069031E"/>
    <w:rsid w:val="006A35C1"/>
    <w:rsid w:val="006A493A"/>
    <w:rsid w:val="006C353C"/>
    <w:rsid w:val="006C3A7A"/>
    <w:rsid w:val="006D4CE5"/>
    <w:rsid w:val="006E2D1C"/>
    <w:rsid w:val="006E3379"/>
    <w:rsid w:val="006F1283"/>
    <w:rsid w:val="006F2BB8"/>
    <w:rsid w:val="006F51EF"/>
    <w:rsid w:val="00700AA4"/>
    <w:rsid w:val="00721D26"/>
    <w:rsid w:val="00721ED6"/>
    <w:rsid w:val="00731059"/>
    <w:rsid w:val="00731915"/>
    <w:rsid w:val="00734F74"/>
    <w:rsid w:val="00740B16"/>
    <w:rsid w:val="007660AA"/>
    <w:rsid w:val="00774C4B"/>
    <w:rsid w:val="007827ED"/>
    <w:rsid w:val="0078519C"/>
    <w:rsid w:val="007A1EA8"/>
    <w:rsid w:val="007A562F"/>
    <w:rsid w:val="007B0E5C"/>
    <w:rsid w:val="007B4424"/>
    <w:rsid w:val="007C4955"/>
    <w:rsid w:val="007C58E0"/>
    <w:rsid w:val="007C5CE5"/>
    <w:rsid w:val="007D131B"/>
    <w:rsid w:val="007E1D8A"/>
    <w:rsid w:val="007E2C92"/>
    <w:rsid w:val="007E5EA3"/>
    <w:rsid w:val="007F31BE"/>
    <w:rsid w:val="007F4FE7"/>
    <w:rsid w:val="007F5386"/>
    <w:rsid w:val="007F5EE3"/>
    <w:rsid w:val="007F6EC3"/>
    <w:rsid w:val="0083179F"/>
    <w:rsid w:val="00831A2B"/>
    <w:rsid w:val="008506C4"/>
    <w:rsid w:val="00850AF5"/>
    <w:rsid w:val="00850B6A"/>
    <w:rsid w:val="008566B7"/>
    <w:rsid w:val="00867668"/>
    <w:rsid w:val="00871058"/>
    <w:rsid w:val="008726C0"/>
    <w:rsid w:val="00883A15"/>
    <w:rsid w:val="00887073"/>
    <w:rsid w:val="008A0F20"/>
    <w:rsid w:val="008A11D7"/>
    <w:rsid w:val="008A12AF"/>
    <w:rsid w:val="008A1C93"/>
    <w:rsid w:val="008A222E"/>
    <w:rsid w:val="008A3EB5"/>
    <w:rsid w:val="008A48BF"/>
    <w:rsid w:val="008B0031"/>
    <w:rsid w:val="008B0A5A"/>
    <w:rsid w:val="008B5B6E"/>
    <w:rsid w:val="008B7269"/>
    <w:rsid w:val="008C2FA4"/>
    <w:rsid w:val="008C4990"/>
    <w:rsid w:val="008D06AF"/>
    <w:rsid w:val="008D436F"/>
    <w:rsid w:val="008D5022"/>
    <w:rsid w:val="008D5FB9"/>
    <w:rsid w:val="008E06B3"/>
    <w:rsid w:val="008E3B96"/>
    <w:rsid w:val="008E7DF5"/>
    <w:rsid w:val="008F0A5C"/>
    <w:rsid w:val="008F73C4"/>
    <w:rsid w:val="00905616"/>
    <w:rsid w:val="00910B28"/>
    <w:rsid w:val="00914AD5"/>
    <w:rsid w:val="00926D76"/>
    <w:rsid w:val="00940802"/>
    <w:rsid w:val="0094269A"/>
    <w:rsid w:val="009548C2"/>
    <w:rsid w:val="009565BD"/>
    <w:rsid w:val="009566E3"/>
    <w:rsid w:val="00964CCD"/>
    <w:rsid w:val="009717FD"/>
    <w:rsid w:val="009771ED"/>
    <w:rsid w:val="009A6700"/>
    <w:rsid w:val="009B0853"/>
    <w:rsid w:val="009C04FF"/>
    <w:rsid w:val="009C0F3F"/>
    <w:rsid w:val="009D05D1"/>
    <w:rsid w:val="009D571D"/>
    <w:rsid w:val="009D7BF0"/>
    <w:rsid w:val="009F5B12"/>
    <w:rsid w:val="009F6E5A"/>
    <w:rsid w:val="009F7369"/>
    <w:rsid w:val="009F7A8D"/>
    <w:rsid w:val="00A009A9"/>
    <w:rsid w:val="00A07196"/>
    <w:rsid w:val="00A104BC"/>
    <w:rsid w:val="00A109D7"/>
    <w:rsid w:val="00A15B05"/>
    <w:rsid w:val="00A1654E"/>
    <w:rsid w:val="00A36120"/>
    <w:rsid w:val="00A526DB"/>
    <w:rsid w:val="00A702FD"/>
    <w:rsid w:val="00A70FEE"/>
    <w:rsid w:val="00A71FE1"/>
    <w:rsid w:val="00A81A9C"/>
    <w:rsid w:val="00AA28AB"/>
    <w:rsid w:val="00AC0EF9"/>
    <w:rsid w:val="00AD3066"/>
    <w:rsid w:val="00AD61D4"/>
    <w:rsid w:val="00AD77EA"/>
    <w:rsid w:val="00AE0387"/>
    <w:rsid w:val="00AE1BAF"/>
    <w:rsid w:val="00AE36D4"/>
    <w:rsid w:val="00AE788A"/>
    <w:rsid w:val="00AF2C95"/>
    <w:rsid w:val="00AF4A39"/>
    <w:rsid w:val="00B002EA"/>
    <w:rsid w:val="00B043FF"/>
    <w:rsid w:val="00B04D2A"/>
    <w:rsid w:val="00B04F49"/>
    <w:rsid w:val="00B0621B"/>
    <w:rsid w:val="00B0679D"/>
    <w:rsid w:val="00B07585"/>
    <w:rsid w:val="00B13197"/>
    <w:rsid w:val="00B1724E"/>
    <w:rsid w:val="00B20AA7"/>
    <w:rsid w:val="00B272CE"/>
    <w:rsid w:val="00B27950"/>
    <w:rsid w:val="00B44B81"/>
    <w:rsid w:val="00B46754"/>
    <w:rsid w:val="00B56314"/>
    <w:rsid w:val="00B613AD"/>
    <w:rsid w:val="00B61A55"/>
    <w:rsid w:val="00B61C37"/>
    <w:rsid w:val="00B65ED9"/>
    <w:rsid w:val="00B9246A"/>
    <w:rsid w:val="00B93F09"/>
    <w:rsid w:val="00B97C59"/>
    <w:rsid w:val="00BA3E7D"/>
    <w:rsid w:val="00BA6359"/>
    <w:rsid w:val="00BB05C2"/>
    <w:rsid w:val="00BC26D7"/>
    <w:rsid w:val="00BC3577"/>
    <w:rsid w:val="00BF1E62"/>
    <w:rsid w:val="00C04D78"/>
    <w:rsid w:val="00C05A5A"/>
    <w:rsid w:val="00C06E59"/>
    <w:rsid w:val="00C11C66"/>
    <w:rsid w:val="00C222B2"/>
    <w:rsid w:val="00C3248F"/>
    <w:rsid w:val="00C3653F"/>
    <w:rsid w:val="00C37F52"/>
    <w:rsid w:val="00C40A56"/>
    <w:rsid w:val="00C4190B"/>
    <w:rsid w:val="00C41A52"/>
    <w:rsid w:val="00C558AF"/>
    <w:rsid w:val="00C57EE4"/>
    <w:rsid w:val="00C62746"/>
    <w:rsid w:val="00C62B2D"/>
    <w:rsid w:val="00C812A1"/>
    <w:rsid w:val="00C82A75"/>
    <w:rsid w:val="00C84911"/>
    <w:rsid w:val="00C91291"/>
    <w:rsid w:val="00C95D19"/>
    <w:rsid w:val="00CA01A7"/>
    <w:rsid w:val="00CB04DD"/>
    <w:rsid w:val="00CB2B85"/>
    <w:rsid w:val="00CC6052"/>
    <w:rsid w:val="00CD25E9"/>
    <w:rsid w:val="00CD2CDF"/>
    <w:rsid w:val="00CE30F9"/>
    <w:rsid w:val="00D15228"/>
    <w:rsid w:val="00D16078"/>
    <w:rsid w:val="00D248F6"/>
    <w:rsid w:val="00D329A2"/>
    <w:rsid w:val="00D3449E"/>
    <w:rsid w:val="00D40C74"/>
    <w:rsid w:val="00D56A1C"/>
    <w:rsid w:val="00D56A96"/>
    <w:rsid w:val="00D5767A"/>
    <w:rsid w:val="00D7330F"/>
    <w:rsid w:val="00D7500E"/>
    <w:rsid w:val="00D80BC5"/>
    <w:rsid w:val="00D85842"/>
    <w:rsid w:val="00D859D2"/>
    <w:rsid w:val="00D86190"/>
    <w:rsid w:val="00D86328"/>
    <w:rsid w:val="00D944C5"/>
    <w:rsid w:val="00D94C06"/>
    <w:rsid w:val="00D95612"/>
    <w:rsid w:val="00DA66A2"/>
    <w:rsid w:val="00DB0B5F"/>
    <w:rsid w:val="00DB125E"/>
    <w:rsid w:val="00DB136D"/>
    <w:rsid w:val="00DB1F1A"/>
    <w:rsid w:val="00DB47AA"/>
    <w:rsid w:val="00DB78CB"/>
    <w:rsid w:val="00DC210E"/>
    <w:rsid w:val="00DD3A32"/>
    <w:rsid w:val="00DD48B0"/>
    <w:rsid w:val="00DE2A4D"/>
    <w:rsid w:val="00DE3F47"/>
    <w:rsid w:val="00DE7FF4"/>
    <w:rsid w:val="00E0701D"/>
    <w:rsid w:val="00E07388"/>
    <w:rsid w:val="00E0782A"/>
    <w:rsid w:val="00E1328D"/>
    <w:rsid w:val="00E17271"/>
    <w:rsid w:val="00E23551"/>
    <w:rsid w:val="00E271CB"/>
    <w:rsid w:val="00E417A1"/>
    <w:rsid w:val="00E435B7"/>
    <w:rsid w:val="00E51F50"/>
    <w:rsid w:val="00E524FC"/>
    <w:rsid w:val="00E547EA"/>
    <w:rsid w:val="00E56E6C"/>
    <w:rsid w:val="00E57DBE"/>
    <w:rsid w:val="00E61158"/>
    <w:rsid w:val="00E65A77"/>
    <w:rsid w:val="00E75827"/>
    <w:rsid w:val="00E91DDD"/>
    <w:rsid w:val="00E94D89"/>
    <w:rsid w:val="00E96423"/>
    <w:rsid w:val="00EA24C6"/>
    <w:rsid w:val="00EB1017"/>
    <w:rsid w:val="00EB7BFA"/>
    <w:rsid w:val="00EC4F90"/>
    <w:rsid w:val="00EF4877"/>
    <w:rsid w:val="00F00CAD"/>
    <w:rsid w:val="00F26780"/>
    <w:rsid w:val="00F319BA"/>
    <w:rsid w:val="00F321C4"/>
    <w:rsid w:val="00F3241C"/>
    <w:rsid w:val="00F3699D"/>
    <w:rsid w:val="00F43F36"/>
    <w:rsid w:val="00F46675"/>
    <w:rsid w:val="00F50B02"/>
    <w:rsid w:val="00F612DA"/>
    <w:rsid w:val="00F65D41"/>
    <w:rsid w:val="00F81B88"/>
    <w:rsid w:val="00F838AE"/>
    <w:rsid w:val="00F840BB"/>
    <w:rsid w:val="00F869E0"/>
    <w:rsid w:val="00F9169C"/>
    <w:rsid w:val="00F953AE"/>
    <w:rsid w:val="00FA0A8E"/>
    <w:rsid w:val="00FA2CC4"/>
    <w:rsid w:val="00FA59DF"/>
    <w:rsid w:val="00FB2D85"/>
    <w:rsid w:val="00FC24D8"/>
    <w:rsid w:val="00FC3625"/>
    <w:rsid w:val="00FC4709"/>
    <w:rsid w:val="00FC4B05"/>
    <w:rsid w:val="00FD24EE"/>
    <w:rsid w:val="00FD2D14"/>
    <w:rsid w:val="00FD7FFD"/>
    <w:rsid w:val="00FF23F8"/>
    <w:rsid w:val="00FF3F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E3470F"/>
  <w15:chartTrackingRefBased/>
  <w15:docId w15:val="{EADD3F52-33F6-42DC-BDF6-0136F5BAA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190"/>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7F31B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E417A1"/>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US" w:eastAsia="en-US"/>
    </w:rPr>
  </w:style>
  <w:style w:type="paragraph" w:styleId="Heading3">
    <w:name w:val="heading 3"/>
    <w:basedOn w:val="Normal"/>
    <w:link w:val="Heading3Char"/>
    <w:uiPriority w:val="9"/>
    <w:qFormat/>
    <w:rsid w:val="00145741"/>
    <w:pPr>
      <w:spacing w:before="100" w:beforeAutospacing="1" w:after="100" w:afterAutospacing="1"/>
      <w:outlineLvl w:val="2"/>
    </w:pPr>
    <w:rPr>
      <w:b/>
      <w:bCs/>
      <w:sz w:val="27"/>
      <w:szCs w:val="27"/>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1C37"/>
    <w:pPr>
      <w:spacing w:before="100" w:beforeAutospacing="1" w:after="100" w:afterAutospacing="1"/>
    </w:pPr>
    <w:rPr>
      <w:lang w:val="en-US" w:eastAsia="en-US"/>
    </w:rPr>
  </w:style>
  <w:style w:type="character" w:styleId="Strong">
    <w:name w:val="Strong"/>
    <w:basedOn w:val="DefaultParagraphFont"/>
    <w:uiPriority w:val="22"/>
    <w:qFormat/>
    <w:rsid w:val="00B61C37"/>
    <w:rPr>
      <w:b/>
      <w:bCs/>
    </w:rPr>
  </w:style>
  <w:style w:type="character" w:customStyle="1" w:styleId="overflow-hidden">
    <w:name w:val="overflow-hidden"/>
    <w:basedOn w:val="DefaultParagraphFont"/>
    <w:rsid w:val="00466492"/>
  </w:style>
  <w:style w:type="character" w:styleId="Emphasis">
    <w:name w:val="Emphasis"/>
    <w:basedOn w:val="DefaultParagraphFont"/>
    <w:uiPriority w:val="20"/>
    <w:qFormat/>
    <w:rsid w:val="008A3EB5"/>
    <w:rPr>
      <w:i/>
      <w:iCs/>
    </w:rPr>
  </w:style>
  <w:style w:type="character" w:customStyle="1" w:styleId="Heading3Char">
    <w:name w:val="Heading 3 Char"/>
    <w:basedOn w:val="DefaultParagraphFont"/>
    <w:link w:val="Heading3"/>
    <w:uiPriority w:val="9"/>
    <w:rsid w:val="00145741"/>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7F31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8F7"/>
    <w:pPr>
      <w:outlineLvl w:val="9"/>
    </w:pPr>
  </w:style>
  <w:style w:type="paragraph" w:styleId="TOC1">
    <w:name w:val="toc 1"/>
    <w:basedOn w:val="Normal"/>
    <w:next w:val="Normal"/>
    <w:autoRedefine/>
    <w:uiPriority w:val="39"/>
    <w:unhideWhenUsed/>
    <w:rsid w:val="000328F7"/>
    <w:pPr>
      <w:spacing w:after="100" w:line="259" w:lineRule="auto"/>
    </w:pPr>
    <w:rPr>
      <w:rFonts w:asciiTheme="minorHAnsi" w:eastAsiaTheme="minorHAnsi" w:hAnsiTheme="minorHAnsi" w:cstheme="minorBidi"/>
      <w:sz w:val="22"/>
      <w:szCs w:val="22"/>
      <w:lang w:val="en-US" w:eastAsia="en-US"/>
    </w:rPr>
  </w:style>
  <w:style w:type="character" w:styleId="Hyperlink">
    <w:name w:val="Hyperlink"/>
    <w:basedOn w:val="DefaultParagraphFont"/>
    <w:uiPriority w:val="99"/>
    <w:unhideWhenUsed/>
    <w:rsid w:val="000328F7"/>
    <w:rPr>
      <w:color w:val="0563C1" w:themeColor="hyperlink"/>
      <w:u w:val="single"/>
    </w:rPr>
  </w:style>
  <w:style w:type="character" w:customStyle="1" w:styleId="Heading2Char">
    <w:name w:val="Heading 2 Char"/>
    <w:basedOn w:val="DefaultParagraphFont"/>
    <w:link w:val="Heading2"/>
    <w:uiPriority w:val="9"/>
    <w:rsid w:val="00E417A1"/>
    <w:rPr>
      <w:rFonts w:asciiTheme="majorHAnsi" w:eastAsiaTheme="majorEastAsia" w:hAnsiTheme="majorHAnsi" w:cstheme="majorBidi"/>
      <w:color w:val="2F5496" w:themeColor="accent1" w:themeShade="BF"/>
      <w:sz w:val="26"/>
      <w:szCs w:val="26"/>
    </w:rPr>
  </w:style>
  <w:style w:type="character" w:customStyle="1" w:styleId="truncate">
    <w:name w:val="truncate"/>
    <w:basedOn w:val="DefaultParagraphFont"/>
    <w:rsid w:val="00E417A1"/>
  </w:style>
  <w:style w:type="character" w:customStyle="1" w:styleId="text-start">
    <w:name w:val="text-start"/>
    <w:basedOn w:val="DefaultParagraphFont"/>
    <w:rsid w:val="00E417A1"/>
  </w:style>
  <w:style w:type="character" w:customStyle="1" w:styleId="text-xs">
    <w:name w:val="text-xs"/>
    <w:basedOn w:val="DefaultParagraphFont"/>
    <w:rsid w:val="00E417A1"/>
  </w:style>
  <w:style w:type="paragraph" w:customStyle="1" w:styleId="text-10px">
    <w:name w:val="text-[10px]"/>
    <w:basedOn w:val="Normal"/>
    <w:rsid w:val="00E417A1"/>
    <w:pPr>
      <w:spacing w:before="100" w:beforeAutospacing="1" w:after="100" w:afterAutospacing="1"/>
    </w:pPr>
    <w:rPr>
      <w:lang w:val="en-US" w:eastAsia="en-US"/>
    </w:rPr>
  </w:style>
  <w:style w:type="paragraph" w:customStyle="1" w:styleId="uppercase">
    <w:name w:val="uppercase"/>
    <w:basedOn w:val="Normal"/>
    <w:rsid w:val="00E417A1"/>
    <w:pPr>
      <w:spacing w:before="100" w:beforeAutospacing="1" w:after="100" w:afterAutospacing="1"/>
    </w:pPr>
    <w:rPr>
      <w:lang w:val="en-US" w:eastAsia="en-US"/>
    </w:rPr>
  </w:style>
  <w:style w:type="paragraph" w:customStyle="1" w:styleId="whitespace-pre-wrap">
    <w:name w:val="whitespace-pre-wrap"/>
    <w:basedOn w:val="Normal"/>
    <w:rsid w:val="00E417A1"/>
    <w:pPr>
      <w:spacing w:before="100" w:beforeAutospacing="1" w:after="100" w:afterAutospacing="1"/>
    </w:pPr>
    <w:rPr>
      <w:lang w:val="en-US" w:eastAsia="en-US"/>
    </w:rPr>
  </w:style>
  <w:style w:type="paragraph" w:customStyle="1" w:styleId="whitespace-normal">
    <w:name w:val="whitespace-normal"/>
    <w:basedOn w:val="Normal"/>
    <w:rsid w:val="00E417A1"/>
    <w:pPr>
      <w:spacing w:before="100" w:beforeAutospacing="1" w:after="100" w:afterAutospacing="1"/>
    </w:pPr>
    <w:rPr>
      <w:lang w:val="en-US" w:eastAsia="en-US"/>
    </w:rPr>
  </w:style>
  <w:style w:type="paragraph" w:customStyle="1" w:styleId="text-8px">
    <w:name w:val="text-[8px]"/>
    <w:basedOn w:val="Normal"/>
    <w:rsid w:val="00E417A1"/>
    <w:pPr>
      <w:spacing w:before="100" w:beforeAutospacing="1" w:after="100" w:afterAutospacing="1"/>
    </w:pPr>
    <w:rPr>
      <w:lang w:val="en-US" w:eastAsia="en-US"/>
    </w:rPr>
  </w:style>
  <w:style w:type="character" w:styleId="UnresolvedMention">
    <w:name w:val="Unresolved Mention"/>
    <w:basedOn w:val="DefaultParagraphFont"/>
    <w:uiPriority w:val="99"/>
    <w:semiHidden/>
    <w:unhideWhenUsed/>
    <w:rsid w:val="00B1724E"/>
    <w:rPr>
      <w:color w:val="605E5C"/>
      <w:shd w:val="clear" w:color="auto" w:fill="E1DFDD"/>
    </w:rPr>
  </w:style>
  <w:style w:type="character" w:customStyle="1" w:styleId="apple-converted-space">
    <w:name w:val="apple-converted-space"/>
    <w:basedOn w:val="DefaultParagraphFont"/>
    <w:rsid w:val="0083179F"/>
  </w:style>
  <w:style w:type="character" w:styleId="CommentReference">
    <w:name w:val="annotation reference"/>
    <w:basedOn w:val="DefaultParagraphFont"/>
    <w:uiPriority w:val="99"/>
    <w:semiHidden/>
    <w:unhideWhenUsed/>
    <w:rsid w:val="00FC24D8"/>
    <w:rPr>
      <w:sz w:val="16"/>
      <w:szCs w:val="16"/>
    </w:rPr>
  </w:style>
  <w:style w:type="paragraph" w:styleId="CommentText">
    <w:name w:val="annotation text"/>
    <w:basedOn w:val="Normal"/>
    <w:link w:val="CommentTextChar"/>
    <w:uiPriority w:val="99"/>
    <w:unhideWhenUsed/>
    <w:rsid w:val="00FC24D8"/>
    <w:pPr>
      <w:spacing w:after="160"/>
    </w:pPr>
    <w:rPr>
      <w:rFonts w:asciiTheme="minorHAnsi" w:eastAsiaTheme="minorHAnsi" w:hAnsiTheme="minorHAnsi" w:cstheme="minorBidi"/>
      <w:sz w:val="20"/>
      <w:szCs w:val="20"/>
      <w:lang w:val="en-US" w:eastAsia="en-US"/>
    </w:rPr>
  </w:style>
  <w:style w:type="character" w:customStyle="1" w:styleId="CommentTextChar">
    <w:name w:val="Comment Text Char"/>
    <w:basedOn w:val="DefaultParagraphFont"/>
    <w:link w:val="CommentText"/>
    <w:uiPriority w:val="99"/>
    <w:rsid w:val="00FC24D8"/>
    <w:rPr>
      <w:sz w:val="20"/>
      <w:szCs w:val="20"/>
    </w:rPr>
  </w:style>
  <w:style w:type="paragraph" w:styleId="CommentSubject">
    <w:name w:val="annotation subject"/>
    <w:basedOn w:val="CommentText"/>
    <w:next w:val="CommentText"/>
    <w:link w:val="CommentSubjectChar"/>
    <w:uiPriority w:val="99"/>
    <w:semiHidden/>
    <w:unhideWhenUsed/>
    <w:rsid w:val="00FC24D8"/>
    <w:rPr>
      <w:b/>
      <w:bCs/>
    </w:rPr>
  </w:style>
  <w:style w:type="character" w:customStyle="1" w:styleId="CommentSubjectChar">
    <w:name w:val="Comment Subject Char"/>
    <w:basedOn w:val="CommentTextChar"/>
    <w:link w:val="CommentSubject"/>
    <w:uiPriority w:val="99"/>
    <w:semiHidden/>
    <w:rsid w:val="00FC24D8"/>
    <w:rPr>
      <w:b/>
      <w:bCs/>
      <w:sz w:val="20"/>
      <w:szCs w:val="20"/>
    </w:rPr>
  </w:style>
  <w:style w:type="paragraph" w:styleId="Revision">
    <w:name w:val="Revision"/>
    <w:hidden/>
    <w:uiPriority w:val="99"/>
    <w:semiHidden/>
    <w:rsid w:val="00DB125E"/>
    <w:pPr>
      <w:spacing w:after="0" w:line="240" w:lineRule="auto"/>
    </w:pPr>
  </w:style>
  <w:style w:type="paragraph" w:styleId="FootnoteText">
    <w:name w:val="footnote text"/>
    <w:basedOn w:val="Normal"/>
    <w:link w:val="FootnoteTextChar"/>
    <w:uiPriority w:val="99"/>
    <w:semiHidden/>
    <w:unhideWhenUsed/>
    <w:rsid w:val="00DB125E"/>
    <w:rPr>
      <w:rFonts w:asciiTheme="minorHAnsi" w:eastAsiaTheme="minorHAnsi" w:hAnsiTheme="minorHAnsi" w:cstheme="minorBidi"/>
      <w:sz w:val="20"/>
      <w:szCs w:val="20"/>
      <w:lang w:val="en-US" w:eastAsia="en-US"/>
    </w:rPr>
  </w:style>
  <w:style w:type="character" w:customStyle="1" w:styleId="FootnoteTextChar">
    <w:name w:val="Footnote Text Char"/>
    <w:basedOn w:val="DefaultParagraphFont"/>
    <w:link w:val="FootnoteText"/>
    <w:uiPriority w:val="99"/>
    <w:semiHidden/>
    <w:rsid w:val="00DB125E"/>
    <w:rPr>
      <w:sz w:val="20"/>
      <w:szCs w:val="20"/>
    </w:rPr>
  </w:style>
  <w:style w:type="character" w:styleId="FootnoteReference">
    <w:name w:val="footnote reference"/>
    <w:basedOn w:val="DefaultParagraphFont"/>
    <w:uiPriority w:val="99"/>
    <w:semiHidden/>
    <w:unhideWhenUsed/>
    <w:rsid w:val="00DB125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5201749">
      <w:bodyDiv w:val="1"/>
      <w:marLeft w:val="0"/>
      <w:marRight w:val="0"/>
      <w:marTop w:val="0"/>
      <w:marBottom w:val="0"/>
      <w:divBdr>
        <w:top w:val="none" w:sz="0" w:space="0" w:color="auto"/>
        <w:left w:val="none" w:sz="0" w:space="0" w:color="auto"/>
        <w:bottom w:val="none" w:sz="0" w:space="0" w:color="auto"/>
        <w:right w:val="none" w:sz="0" w:space="0" w:color="auto"/>
      </w:divBdr>
      <w:divsChild>
        <w:div w:id="1952126855">
          <w:marLeft w:val="0"/>
          <w:marRight w:val="0"/>
          <w:marTop w:val="0"/>
          <w:marBottom w:val="0"/>
          <w:divBdr>
            <w:top w:val="none" w:sz="0" w:space="0" w:color="auto"/>
            <w:left w:val="none" w:sz="0" w:space="0" w:color="auto"/>
            <w:bottom w:val="none" w:sz="0" w:space="0" w:color="auto"/>
            <w:right w:val="none" w:sz="0" w:space="0" w:color="auto"/>
          </w:divBdr>
        </w:div>
      </w:divsChild>
    </w:div>
    <w:div w:id="1401367970">
      <w:bodyDiv w:val="1"/>
      <w:marLeft w:val="0"/>
      <w:marRight w:val="0"/>
      <w:marTop w:val="0"/>
      <w:marBottom w:val="0"/>
      <w:divBdr>
        <w:top w:val="none" w:sz="0" w:space="0" w:color="auto"/>
        <w:left w:val="none" w:sz="0" w:space="0" w:color="auto"/>
        <w:bottom w:val="none" w:sz="0" w:space="0" w:color="auto"/>
        <w:right w:val="none" w:sz="0" w:space="0" w:color="auto"/>
      </w:divBdr>
      <w:divsChild>
        <w:div w:id="424881577">
          <w:marLeft w:val="0"/>
          <w:marRight w:val="0"/>
          <w:marTop w:val="0"/>
          <w:marBottom w:val="0"/>
          <w:divBdr>
            <w:top w:val="none" w:sz="0" w:space="0" w:color="auto"/>
            <w:left w:val="none" w:sz="0" w:space="0" w:color="auto"/>
            <w:bottom w:val="none" w:sz="0" w:space="0" w:color="auto"/>
            <w:right w:val="none" w:sz="0" w:space="0" w:color="auto"/>
          </w:divBdr>
        </w:div>
      </w:divsChild>
    </w:div>
    <w:div w:id="1480922899">
      <w:bodyDiv w:val="1"/>
      <w:marLeft w:val="0"/>
      <w:marRight w:val="0"/>
      <w:marTop w:val="0"/>
      <w:marBottom w:val="0"/>
      <w:divBdr>
        <w:top w:val="none" w:sz="0" w:space="0" w:color="auto"/>
        <w:left w:val="none" w:sz="0" w:space="0" w:color="auto"/>
        <w:bottom w:val="none" w:sz="0" w:space="0" w:color="auto"/>
        <w:right w:val="none" w:sz="0" w:space="0" w:color="auto"/>
      </w:divBdr>
      <w:divsChild>
        <w:div w:id="963198519">
          <w:marLeft w:val="0"/>
          <w:marRight w:val="0"/>
          <w:marTop w:val="0"/>
          <w:marBottom w:val="0"/>
          <w:divBdr>
            <w:top w:val="none" w:sz="0" w:space="0" w:color="auto"/>
            <w:left w:val="none" w:sz="0" w:space="0" w:color="auto"/>
            <w:bottom w:val="none" w:sz="0" w:space="0" w:color="auto"/>
            <w:right w:val="none" w:sz="0" w:space="0" w:color="auto"/>
          </w:divBdr>
        </w:div>
      </w:divsChild>
    </w:div>
    <w:div w:id="1836796667">
      <w:bodyDiv w:val="1"/>
      <w:marLeft w:val="0"/>
      <w:marRight w:val="0"/>
      <w:marTop w:val="0"/>
      <w:marBottom w:val="0"/>
      <w:divBdr>
        <w:top w:val="none" w:sz="0" w:space="0" w:color="auto"/>
        <w:left w:val="none" w:sz="0" w:space="0" w:color="auto"/>
        <w:bottom w:val="none" w:sz="0" w:space="0" w:color="auto"/>
        <w:right w:val="none" w:sz="0" w:space="0" w:color="auto"/>
      </w:divBdr>
      <w:divsChild>
        <w:div w:id="1690836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MUNNA@HULL.AC.UK" TargetMode="External"/><Relationship Id="rId13" Type="http://schemas.openxmlformats.org/officeDocument/2006/relationships/hyperlink" Target="https://protect.checkpoint.com/v2/r02/___https://doi.org/65.88c5dxz6867*~*c89___.YzJlOmFtZXJpY2FudW5pdmVyc2l0eW9mYmFocmFpbjpjOm86ZjQyNDY3OTVmZGNiZTBkYTQzNDllYTExYjYyMWI4YzQ6NzpjMGQ4OmFmNTE3NTE4MjA3NDBmOTk1ZTAzNjk1NWQzODc1MzI1YmI5Njc0ZjYwM2FlYjFiOWU5MjBkMTJlNzgzMGE1MzY6cDpUOlQ" TargetMode="External"/><Relationship Id="rId18" Type="http://schemas.openxmlformats.org/officeDocument/2006/relationships/hyperlink" Target="https://protect.checkpoint.com/v2/r02/___https://doi.org/65.656*~*do.nxr.756~/.~59.556___.YzJlOmFtZXJpY2FudW5pdmVyc2l0eW9mYmFocmFpbjpjOm86ZjQyNDY3OTVmZGNiZTBkYTQzNDllYTExYjYyMWI4YzQ6NzoyMDUwOjBmOTU4Y2JhZmQ3YTM2MzQyOGE0NzNmYzQ4YWZmYmFlYTUyNTRmYjUxOGY1OWVlZDRmOTE2NGFkYTIyNDE5Y2Y6cDpUOlQ" TargetMode="External"/><Relationship Id="rId3" Type="http://schemas.openxmlformats.org/officeDocument/2006/relationships/styles" Target="styles.xml"/><Relationship Id="rId21" Type="http://schemas.openxmlformats.org/officeDocument/2006/relationships/hyperlink" Target="https://protect.checkpoint.com/v2/r02/___https://doi.org/65.656*~*do.ojsArfs.7577.66/7a9___.YzJlOmFtZXJpY2FudW5pdmVyc2l0eW9mYmFocmFpbjpjOm86ZjQyNDY3OTVmZGNiZTBkYTQzNDllYTExYjYyMWI4YzQ6NzpjYjc0OjJiMDIwMDI5YWFmOTM5MjFhYTcwNDFmMjEyMDg3YzdiMmQwMzgzMmY0YTI3MmJjYjgxYTc5NzQ4OWI1YzEyNTQ6cDpUOlQ" TargetMode="External"/><Relationship Id="rId7" Type="http://schemas.openxmlformats.org/officeDocument/2006/relationships/endnotes" Target="endnotes.xml"/><Relationship Id="rId12" Type="http://schemas.openxmlformats.org/officeDocument/2006/relationships/hyperlink" Target="https://protect.checkpoint.com/v2/r02/___https://doi.org/65.66b*~*dx985c8-576-555c9-/___.YzJlOmFtZXJpY2FudW5pdmVyc2l0eW9mYmFocmFpbjpjOm86ZjQyNDY3OTVmZGNiZTBkYTQzNDllYTExYjYyMWI4YzQ6Nzo5YzM3OjhiOTY4NDE1YmJhNjRjODJhYTA0ZmM1MGIzY2FhYTI2NzMyZmExNjIzYjhmZjlmNWVkMGJkMmYxZWYzZGUzYzg6cDpUOlQ" TargetMode="External"/><Relationship Id="rId17" Type="http://schemas.openxmlformats.org/officeDocument/2006/relationships/hyperlink" Target="https://protect.checkpoint.com/v2/r02/___https://doi.org/65.665bdNOXMJ-5a-7575-57/c___.YzJlOmFtZXJpY2FudW5pdmVyc2l0eW9mYmFocmFpbjpjOm86ZjQyNDY3OTVmZGNiZTBkYTQzNDllYTExYjYyMWI4YzQ6Nzo1MzY1OmQ0ODZlZDJhMjQ5Y2FjYjYxMGQ2NjlhYmQ3MzQ0NjRlZmY5NGVhYzlkYjQzMDQxNGY2ZjdkYjQxMDU0MjNiNzI6cDpUOlQ"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rotect.checkpoint.com/v2/r02/___https://doi.org/65.6557dxi.79/*~*___.YzJlOmFtZXJpY2FudW5pdmVyc2l0eW9mYmFocmFpbjpjOm86ZjQyNDY3OTVmZGNiZTBkYTQzNDllYTExYjYyMWI4YzQ6Nzo4MDM0OjcwYjM1M2JhNmEzNTFhOGYxNjk0MmU0OGM1ZjA1MzE3OWJiZDQ5M2IzODAxMzJlYTM5YjE5MjI3NGM5YTY0NmQ6cDpUOlQ" TargetMode="External"/><Relationship Id="rId20" Type="http://schemas.openxmlformats.org/officeDocument/2006/relationships/hyperlink" Target="https://protect.checkpoint.com/v2/r02/___https://doi.org/65.88c5dxz69776/6b*~*___.YzJlOmFtZXJpY2FudW5pdmVyc2l0eW9mYmFocmFpbjpjOm86ZjQyNDY3OTVmZGNiZTBkYTQzNDllYTExYjYyMWI4YzQ6NzphYzA4OmZkYWM4NDUxODZkOTEyNDE2Mzc4YTRlMzZhOGNkNTYzOWQxZDE0NmNkNmZmZmI2MWQzYTc4NWI1ODJmMjBhZmM6cDpUOl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tect.checkpoint.com/v2/r02/___https://doi.org/65.6557dmgj7.6c/___.YzJlOmFtZXJpY2FudW5pdmVyc2l0eW9mYmFocmFpbjpjOm86ZjQyNDY3OTVmZGNiZTBkYTQzNDllYTExYjYyMWI4YzQ6NzpjOTQxOmQ5M2ZiM2U5Yjk5OTRiZmIxNWIzZTBkMmFiMDVhOWE1NTExYTU0Y2YxZTVkM2VkNTdkMzg2MjlkZWI0NzVlZTc6cDpUOlQ"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rotect.checkpoint.com/v2/r02/___https://doi.org/65.656*~*do.ohqjuwt.756a.5a.6b9___.YzJlOmFtZXJpY2FudW5pdmVyc2l0eW9mYmFocmFpbjpjOm86ZjQyNDY3OTVmZGNiZTBkYTQzNDllYTExYjYyMWI4YzQ6Nzo1YjE5OjdhYTA4ZGQ4YjA0YTEwODlmMmU0Y2E3ZjQ5Y2IxY2QxMzQ5MmU1MWYxMjUwMzMxNDM3NDRjZWFjZDI5MzJjNzI6cDpUOlQ" TargetMode="External"/><Relationship Id="rId23" Type="http://schemas.openxmlformats.org/officeDocument/2006/relationships/hyperlink" Target="https://protect.checkpoint.com/v2/r02/___https://doi.org/65.655adx65*~2*b-576-56*~*7/-6___.YzJlOmFtZXJpY2FudW5pdmVyc2l0eW9mYmFocmFpbjpjOm86ZjQyNDY3OTVmZGNiZTBkYTQzNDllYTExYjYyMWI4YzQ6NzowMDRlOjQxMzc3NWU4OTZjOWIzY2JmODVjNTMyYTlmYTY0YzlhZmJhNDI1NDk5MjU2YzZhOGY4MDY0OWY5NDY0YzYzMGM6cDpUOlQ" TargetMode="External"/><Relationship Id="rId10" Type="http://schemas.openxmlformats.org/officeDocument/2006/relationships/hyperlink" Target="https://protect.checkpoint.com/v2/r02/___https://doi.org/65.656*~*d5a9c-/cab(c6)c5575-Y___.YzJlOmFtZXJpY2FudW5pdmVyc2l0eW9mYmFocmFpbjpjOm86ZjQyNDY3OTVmZGNiZTBkYTQzNDllYTExYjYyMWI4YzQ6Nzo5NDU0OmJhNzVmZDRmYmI1Njk4MmJjMmUwNTJlNzA2YmEwNDEyMTQxY2Q0MDgxNWVmZWQ2ZGZkNTM2YWJkOGEyNDAwYTc6cDpUOlQ" TargetMode="External"/><Relationship Id="rId19" Type="http://schemas.openxmlformats.org/officeDocument/2006/relationships/hyperlink" Target="https://protect.checkpoint.com/v2/r02/___https://doi.org/65.665bdNOGR-58-7577-55c*~*___.YzJlOmFtZXJpY2FudW5pdmVyc2l0eW9mYmFocmFpbjpjOm86ZjQyNDY3OTVmZGNiZTBkYTQzNDllYTExYjYyMWI4YzQ6NzphNjU4OmUyM2I1N2ExOWViNDc0NzQyOWI0MzNlNGJiMTljMDRiNThkMGM5MzhiOWI4MTliZWZmZmQ0NDAxOWJkZDY2YWQ6cDpUOlQ" TargetMode="External"/><Relationship Id="rId4" Type="http://schemas.openxmlformats.org/officeDocument/2006/relationships/settings" Target="settings.xml"/><Relationship Id="rId9" Type="http://schemas.openxmlformats.org/officeDocument/2006/relationships/hyperlink" Target="https://protect.checkpoint.com/v2/r02/___https://doi.org/65.88c5dxz6/565567___.YzJlOmFtZXJpY2FudW5pdmVyc2l0eW9mYmFocmFpbjpjOm86ZjQyNDY3OTVmZGNiZTBkYTQzNDllYTExYjYyMWI4YzQ6Nzo3ZDcwOmE5YTg1YmI4MDhkMDFkMzAzYWVjODQwNDU1Y2EzOTQ1ZGZhY2ViNmJlYzI1MmQ5OWFhOWE5NTYyYThlYzI0MjY6cDpUOlQ" TargetMode="External"/><Relationship Id="rId14" Type="http://schemas.openxmlformats.org/officeDocument/2006/relationships/hyperlink" Target="https://protect.checkpoint.com/v2/r02/___https://doi.org/65.655adx65*/2*6-577-5/6*~*b-7___.YzJlOmFtZXJpY2FudW5pdmVyc2l0eW9mYmFocmFpbjpjOm86ZjQyNDY3OTVmZGNiZTBkYTQzNDllYTExYjYyMWI4YzQ6NzplZGJkOmFkNjI5NWNkZWVjNzVlNmM3YjFmYTNlNTk0ZmVkMmQ3MmIzYWIyNzBhN2EwMzA2ZTJmNjc0ZmU2OGRkNTJlZTM6cDpUOlQ" TargetMode="External"/><Relationship Id="rId22" Type="http://schemas.openxmlformats.org/officeDocument/2006/relationships/hyperlink" Target="https://protect.checkpoint.com/v2/r02/___https://doi.org/65.6557dgxj.7b68___.YzJlOmFtZXJpY2FudW5pdmVyc2l0eW9mYmFocmFpbjpjOm86ZjQyNDY3OTVmZGNiZTBkYTQzNDllYTExYjYyMWI4YzQ6Nzo3ZGZkOjQyNzNmMTFjOWVmNTA0OWRjYjU4OWQ3M2VjMzQ5YzcwZjg2NDQ3ZjA5NTQxYzg2MDEwZjQwNjVmNDc4NjJlMjU6cDpUOl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941EB-746F-4DF8-99CC-CEC6634E4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18</Pages>
  <Words>6838</Words>
  <Characters>46368</Characters>
  <Application>Microsoft Office Word</Application>
  <DocSecurity>0</DocSecurity>
  <Lines>828</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Afzal Munna</cp:lastModifiedBy>
  <cp:revision>101</cp:revision>
  <dcterms:created xsi:type="dcterms:W3CDTF">2025-05-08T14:02:00Z</dcterms:created>
  <dcterms:modified xsi:type="dcterms:W3CDTF">2026-04-15T11:08:00Z</dcterms:modified>
</cp:coreProperties>
</file>