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AFA57" w14:textId="77777777" w:rsidR="009A6FB0" w:rsidRDefault="009A6FB0">
      <w:pPr>
        <w:spacing w:after="2000"/>
      </w:pPr>
    </w:p>
    <w:p w14:paraId="5B72B72B" w14:textId="77777777" w:rsidR="009A6FB0" w:rsidRDefault="00000000">
      <w:pPr>
        <w:spacing w:after="400" w:line="360" w:lineRule="auto"/>
        <w:jc w:val="center"/>
      </w:pPr>
      <w:r>
        <w:rPr>
          <w:rFonts w:ascii="Arial" w:eastAsia="Arial" w:hAnsi="Arial" w:cs="Arial"/>
          <w:b/>
          <w:bCs/>
          <w:sz w:val="32"/>
          <w:szCs w:val="32"/>
        </w:rPr>
        <w:t>Integrating Sustainability and Wellbeing in Health and Social Care: A Review of Policy and Organisational Practice</w:t>
      </w:r>
    </w:p>
    <w:p w14:paraId="5AE9C51C" w14:textId="77777777" w:rsidR="009A6FB0" w:rsidRDefault="00000000">
      <w:pPr>
        <w:spacing w:after="200" w:line="360" w:lineRule="auto"/>
        <w:jc w:val="center"/>
      </w:pPr>
      <w:r>
        <w:rPr>
          <w:rFonts w:ascii="Arial" w:eastAsia="Arial" w:hAnsi="Arial" w:cs="Arial"/>
          <w:sz w:val="22"/>
          <w:szCs w:val="22"/>
        </w:rPr>
        <w:t>Component 1, Element 3: Dissertation</w:t>
      </w:r>
    </w:p>
    <w:p w14:paraId="553BB0DE" w14:textId="77777777" w:rsidR="009A6FB0" w:rsidRDefault="00000000">
      <w:pPr>
        <w:spacing w:after="200" w:line="360" w:lineRule="auto"/>
        <w:jc w:val="center"/>
      </w:pPr>
      <w:r>
        <w:rPr>
          <w:rFonts w:ascii="Arial" w:eastAsia="Arial" w:hAnsi="Arial" w:cs="Arial"/>
          <w:sz w:val="22"/>
          <w:szCs w:val="22"/>
        </w:rPr>
        <w:t>Module: BMHP6020 Independent Project</w:t>
      </w:r>
    </w:p>
    <w:p w14:paraId="6DFD0B7D" w14:textId="77777777" w:rsidR="009A6FB0" w:rsidRDefault="00000000">
      <w:pPr>
        <w:spacing w:after="200" w:line="360" w:lineRule="auto"/>
        <w:jc w:val="center"/>
      </w:pPr>
      <w:r>
        <w:rPr>
          <w:rFonts w:ascii="Arial" w:eastAsia="Arial" w:hAnsi="Arial" w:cs="Arial"/>
          <w:sz w:val="22"/>
          <w:szCs w:val="22"/>
        </w:rPr>
        <w:t>BSc (Hons) Health and Social Care</w:t>
      </w:r>
    </w:p>
    <w:p w14:paraId="1FAEA842" w14:textId="77777777" w:rsidR="009A6FB0" w:rsidRDefault="00000000">
      <w:pPr>
        <w:spacing w:after="200" w:line="360" w:lineRule="auto"/>
        <w:jc w:val="center"/>
        <w:rPr>
          <w:rFonts w:ascii="Arial" w:eastAsia="Arial" w:hAnsi="Arial" w:cs="Arial"/>
          <w:sz w:val="22"/>
          <w:szCs w:val="22"/>
        </w:rPr>
      </w:pPr>
      <w:r>
        <w:rPr>
          <w:rFonts w:ascii="Arial" w:eastAsia="Arial" w:hAnsi="Arial" w:cs="Arial"/>
          <w:sz w:val="22"/>
          <w:szCs w:val="22"/>
        </w:rPr>
        <w:t>University of Wales Trinity Saint David</w:t>
      </w:r>
    </w:p>
    <w:p w14:paraId="420557CE" w14:textId="6CE9F2C5" w:rsidR="00ED67CC" w:rsidRDefault="00ED67CC">
      <w:pPr>
        <w:spacing w:after="200" w:line="360" w:lineRule="auto"/>
        <w:jc w:val="center"/>
        <w:rPr>
          <w:rFonts w:ascii="Arial" w:eastAsia="Arial" w:hAnsi="Arial" w:cs="Arial"/>
          <w:sz w:val="22"/>
          <w:szCs w:val="22"/>
        </w:rPr>
      </w:pPr>
      <w:r>
        <w:rPr>
          <w:rFonts w:ascii="Arial" w:eastAsia="Arial" w:hAnsi="Arial" w:cs="Arial"/>
          <w:sz w:val="22"/>
          <w:szCs w:val="22"/>
        </w:rPr>
        <w:t>Student Name: Stefan Burcea</w:t>
      </w:r>
    </w:p>
    <w:p w14:paraId="0E38BDD8" w14:textId="57A3B38C" w:rsidR="00ED67CC" w:rsidRDefault="00ED67CC">
      <w:pPr>
        <w:spacing w:after="200" w:line="360" w:lineRule="auto"/>
        <w:jc w:val="center"/>
      </w:pPr>
      <w:r>
        <w:rPr>
          <w:rFonts w:ascii="Arial" w:eastAsia="Arial" w:hAnsi="Arial" w:cs="Arial"/>
          <w:sz w:val="22"/>
          <w:szCs w:val="22"/>
        </w:rPr>
        <w:t>Student ID Number: 2246403</w:t>
      </w:r>
    </w:p>
    <w:p w14:paraId="0A79AA8C" w14:textId="77777777" w:rsidR="009A6FB0" w:rsidRDefault="00000000">
      <w:r>
        <w:br w:type="page"/>
      </w:r>
    </w:p>
    <w:p w14:paraId="789063AB" w14:textId="77777777" w:rsidR="009A6FB0" w:rsidRDefault="00000000">
      <w:pPr>
        <w:spacing w:before="400" w:after="240" w:line="360" w:lineRule="auto"/>
      </w:pPr>
      <w:r>
        <w:rPr>
          <w:rFonts w:ascii="Arial" w:eastAsia="Arial" w:hAnsi="Arial" w:cs="Arial"/>
          <w:b/>
          <w:bCs/>
          <w:sz w:val="32"/>
          <w:szCs w:val="32"/>
        </w:rPr>
        <w:lastRenderedPageBreak/>
        <w:t>CHAPTER 1: INTRODUCTION</w:t>
      </w:r>
    </w:p>
    <w:p w14:paraId="564C9AC5" w14:textId="77777777" w:rsidR="009A6FB0" w:rsidRDefault="00000000">
      <w:pPr>
        <w:spacing w:after="200" w:line="360" w:lineRule="auto"/>
        <w:jc w:val="both"/>
      </w:pPr>
      <w:r>
        <w:rPr>
          <w:rFonts w:ascii="Arial" w:eastAsia="Arial" w:hAnsi="Arial" w:cs="Arial"/>
          <w:sz w:val="22"/>
          <w:szCs w:val="22"/>
        </w:rPr>
        <w:t>Climate change and environmental degradation are now widely recognised as some of the most serious threats to human health in the twenty-first century, with direct implications for the organisations that provide health and social care (Romanello et al., 2025). At the same time, the health and social care workforce across the United Kingdom has been described as operating on borrowed goodwill, with workforce burnout identified as a long-standing problem that predates the covid-19 pandemic and has continued to worsen since (Health and Social Care Committee, 2021). These two pressures, environmental sustainability on one hand and the wellbeing of the people who deliver and receive care on the other, are usually discussed separately in policy and in the literature. This dissertation argues that they are, in fact, closely connected, and that understanding this connection is essential if health and social care organisations are to remain viable, humane and effective over the long term.</w:t>
      </w:r>
    </w:p>
    <w:p w14:paraId="53DA56F3" w14:textId="77777777" w:rsidR="009A6FB0" w:rsidRDefault="00000000">
      <w:pPr>
        <w:spacing w:after="200" w:line="360" w:lineRule="auto"/>
        <w:jc w:val="both"/>
      </w:pPr>
      <w:r>
        <w:rPr>
          <w:rFonts w:ascii="Arial" w:eastAsia="Arial" w:hAnsi="Arial" w:cs="Arial"/>
          <w:sz w:val="22"/>
          <w:szCs w:val="22"/>
        </w:rPr>
        <w:t>The idea of sustainability itself is not new. It was given its most widely used definition by the World Commission on Environment and Development, which described sustainable development as development that meets the needs of the present without compromising the ability of future generations to meet their own needs (World Commission on Environment and Development, 1987). This idea was later expanded by Elkington (1997) into the concept of the triple bottom line, in which organisations are judged not only on financial performance but also on their social and environmental impact, often summarised as people, planet and profit (Elkington, 1997; IBM, 2025). Wellbeing, meanwhile, has been understood since 1948 by the World Health Organization as a state of complete physical, mental and social wellbeing, and not merely the absence of disease (World Health Organization, 1948). Taken together, these two ideas suggest that a genuinely sustainable health and social care organisation should be one that protects the environment while also protecting the physical, mental and social wellbeing of its staff and the people it supports.</w:t>
      </w:r>
    </w:p>
    <w:p w14:paraId="7A468AE1" w14:textId="77777777" w:rsidR="009A6FB0" w:rsidRDefault="00000000">
      <w:pPr>
        <w:spacing w:after="200" w:line="360" w:lineRule="auto"/>
        <w:jc w:val="both"/>
      </w:pPr>
      <w:r>
        <w:rPr>
          <w:rFonts w:ascii="Arial" w:eastAsia="Arial" w:hAnsi="Arial" w:cs="Arial"/>
          <w:sz w:val="22"/>
          <w:szCs w:val="22"/>
        </w:rPr>
        <w:t xml:space="preserve">In practice, the National Health Service (NHS) has moved a long way toward the environmental side of this agenda. Following the Health and Care Act 2022, the NHS became the first national health system in the world to make a legally binding commitment to reach net zero carbon emissions, with a target of 2040 for emissions it controls directly and 2045 for emissions it can influence (NHS England, 2025; Howden Group, 2026). Over one thousand hospitals and healthcare facilities in England now have a locally agreed Green Plan, and healthcare is estimated to be responsible for around four to five percent of the country's total carbon emissions and around forty percent of public sector emissions (NHS England, 2025; BMA, 2024). At the same time, the government's own reform white paper for adult social care, </w:t>
      </w:r>
      <w:r>
        <w:rPr>
          <w:rFonts w:ascii="Arial" w:eastAsia="Arial" w:hAnsi="Arial" w:cs="Arial"/>
          <w:sz w:val="22"/>
          <w:szCs w:val="22"/>
        </w:rPr>
        <w:lastRenderedPageBreak/>
        <w:t>published in 2021, focused overwhelmingly on funding, quality and workforce issues, with only limited reference to environmental sustainability (Department of Health and Social Care, 2021; Learning Disability England, 2021). Social care providers, who are typically smaller, more fragmented and more financially constrained than NHS trusts, have been left largely to develop their own sustainability practices informally, often through small-scale initiatives such as energy efficiency measures, recycling and gardening projects (Devon Care Homes Collaborative, 2024; Ecerttraining, 2024).</w:t>
      </w:r>
    </w:p>
    <w:p w14:paraId="7F4ADB70" w14:textId="77777777" w:rsidR="009A6FB0" w:rsidRDefault="00000000">
      <w:pPr>
        <w:spacing w:after="200" w:line="360" w:lineRule="auto"/>
        <w:jc w:val="both"/>
      </w:pPr>
      <w:r>
        <w:rPr>
          <w:rFonts w:ascii="Arial" w:eastAsia="Arial" w:hAnsi="Arial" w:cs="Arial"/>
          <w:sz w:val="22"/>
          <w:szCs w:val="22"/>
        </w:rPr>
        <w:t>This mismatch between the NHS and the social care sector is important because the two sectors are deeply interdependent, and because adult social care is where some of the sharpest workforce wellbeing challenges exist. Staff turnover and vacancy rates in social care remain persistently high, and researchers have identified low pay, limited career progression and poor working conditions as key drivers of this instability (NIHR Applied Research Collaboration, 2024; The Access Group, 2026). One evidence submission to a parliamentary inquiry into workforce burnout described the reliance on staff goodwill as unsustainable, warning that a health and care system that runs on discretionary effort cannot continue indefinitely (Health and Social Care Committee, 2021). It is a striking coincidence of language that the word used to describe this workforce problem, unsustainable, is the same word used to describe the environmental problem facing the wider health and social care sector. This dissertation takes that coincidence seriously, and asks whether the two forms of unsustainability are connected, and whether addressing one could help to address the other.</w:t>
      </w:r>
    </w:p>
    <w:p w14:paraId="75D141B5" w14:textId="77777777" w:rsidR="009A6FB0" w:rsidRDefault="00000000">
      <w:pPr>
        <w:spacing w:after="200" w:line="360" w:lineRule="auto"/>
        <w:jc w:val="both"/>
      </w:pPr>
      <w:r>
        <w:rPr>
          <w:rFonts w:ascii="Arial" w:eastAsia="Arial" w:hAnsi="Arial" w:cs="Arial"/>
          <w:sz w:val="22"/>
          <w:szCs w:val="22"/>
        </w:rPr>
        <w:t>There is a growing, though still uneven, evidence base suggesting that environmental and human wellbeing agendas can be mutually reinforcing. Green social prescribing and nature-based interventions, for example, are increasingly used within health and social care to support mental and physical wellbeing while also connecting people to environmentally beneficial activities such as gardening, walking and conservation work (NHS England, n.d.; National Academy for Social Prescribing, 2023). At the same time, the mental health impacts of climate change itself, sometimes referred to as eco-anxiety, are becoming better understood, and appear to disproportionately affect people who are already vulnerable or disadvantaged (Cosh, Tully and Lykins, 2024; Institute of Health Equity and Health Foundation, 2020). These findings suggest that sustainability and wellbeing are not simply parallel policy goals but are causally linked in ways that health and social care organisations need to understand.</w:t>
      </w:r>
    </w:p>
    <w:p w14:paraId="77D2BDDA" w14:textId="77777777" w:rsidR="009A6FB0" w:rsidRDefault="00000000">
      <w:pPr>
        <w:spacing w:after="200" w:line="360" w:lineRule="auto"/>
        <w:jc w:val="both"/>
      </w:pPr>
      <w:r>
        <w:rPr>
          <w:rFonts w:ascii="Arial" w:eastAsia="Arial" w:hAnsi="Arial" w:cs="Arial"/>
          <w:sz w:val="22"/>
          <w:szCs w:val="22"/>
        </w:rPr>
        <w:t xml:space="preserve">The aim of this dissertation is therefore to critically review the existing policy and academic literature in order to examine the extent to which sustainability principles and staff and service-user wellbeing are integrated within health and social care organisations, with particular </w:t>
      </w:r>
      <w:r>
        <w:rPr>
          <w:rFonts w:ascii="Arial" w:eastAsia="Arial" w:hAnsi="Arial" w:cs="Arial"/>
          <w:sz w:val="22"/>
          <w:szCs w:val="22"/>
        </w:rPr>
        <w:lastRenderedPageBreak/>
        <w:t>reference to the United Kingdom. The specific objectives are: first, to examine how national policy frameworks, including the Sustainable Development Goals and UK health and social care legislation, address sustainability and wellbeing; second, to compare the maturity of sustainability practice between the NHS and the social care sector; third, to explore the evidence connecting environmental sustainability initiatives with staff and service-user wellbeing outcomes; and fourth, to identify recommendations that could help social care organisations, in particular, to close the gap that currently exists between the two sectors.</w:t>
      </w:r>
    </w:p>
    <w:p w14:paraId="6ACA5332" w14:textId="77777777" w:rsidR="009A6FB0" w:rsidRDefault="00000000">
      <w:pPr>
        <w:spacing w:after="200" w:line="360" w:lineRule="auto"/>
        <w:jc w:val="both"/>
      </w:pPr>
      <w:r>
        <w:rPr>
          <w:rFonts w:ascii="Arial" w:eastAsia="Arial" w:hAnsi="Arial" w:cs="Arial"/>
          <w:sz w:val="22"/>
          <w:szCs w:val="22"/>
        </w:rPr>
        <w:t>This dissertation is structured across five chapters. Following this introduction, Chapter Two presents a background review of the key concepts, policy frameworks and existing literature relevant to sustainability and wellbeing in health and social care. Chapter Three sets out the methodological approach used to conduct the review, including the search strategy, inclusion and exclusion criteria, and the limitations of the chosen approach. Chapter Four presents the results of the review and discusses them thematically, drawing together evidence on policy, organisational practice, workforce wellbeing and health inequalities. Finally, Chapter Five presents recommendations for practice and policy, before concluding with a summary of the key arguments made throughout the dissertation.</w:t>
      </w:r>
    </w:p>
    <w:p w14:paraId="6EE6A0DE" w14:textId="77777777" w:rsidR="009A6FB0" w:rsidRDefault="00000000">
      <w:pPr>
        <w:spacing w:before="400" w:after="240" w:line="360" w:lineRule="auto"/>
      </w:pPr>
      <w:r>
        <w:rPr>
          <w:rFonts w:ascii="Arial" w:eastAsia="Arial" w:hAnsi="Arial" w:cs="Arial"/>
          <w:b/>
          <w:bCs/>
          <w:sz w:val="32"/>
          <w:szCs w:val="32"/>
        </w:rPr>
        <w:t>CHAPTER 2: BACKGROUND</w:t>
      </w:r>
    </w:p>
    <w:p w14:paraId="20B660A8" w14:textId="77777777" w:rsidR="009A6FB0" w:rsidRDefault="00000000">
      <w:pPr>
        <w:spacing w:before="240" w:after="160" w:line="360" w:lineRule="auto"/>
      </w:pPr>
      <w:r>
        <w:rPr>
          <w:rFonts w:ascii="Arial" w:eastAsia="Arial" w:hAnsi="Arial" w:cs="Arial"/>
          <w:b/>
          <w:bCs/>
          <w:sz w:val="28"/>
          <w:szCs w:val="28"/>
        </w:rPr>
        <w:t>2.1 Defining Sustainability and Wellbeing</w:t>
      </w:r>
    </w:p>
    <w:p w14:paraId="0FA6D830" w14:textId="77777777" w:rsidR="009A6FB0" w:rsidRDefault="00000000">
      <w:pPr>
        <w:spacing w:after="200" w:line="360" w:lineRule="auto"/>
        <w:jc w:val="both"/>
      </w:pPr>
      <w:r>
        <w:rPr>
          <w:rFonts w:ascii="Arial" w:eastAsia="Arial" w:hAnsi="Arial" w:cs="Arial"/>
          <w:sz w:val="22"/>
          <w:szCs w:val="22"/>
        </w:rPr>
        <w:t>Before considering how sustainability and wellbeing intersect within health and social care, it is necessary to establish what each term means. Sustainability, in its modern sense, derives from the 1987 report of the World Commission on Environment and Development, chaired by Gro Harlem Brundtland, which defined sustainable development as development that meets the needs of the present without compromising the ability of future generations to meet their own needs (World Commission on Environment and Development, 1987; Britannica, 2026). This definition placed equity, both between generations and within them, at the centre of the sustainability agenda, rather than treating sustainability as a purely environmental or technical concern (Environment and Society Portal, n.d.).</w:t>
      </w:r>
    </w:p>
    <w:p w14:paraId="0EC06409" w14:textId="77777777" w:rsidR="009A6FB0" w:rsidRDefault="00000000">
      <w:pPr>
        <w:spacing w:after="200" w:line="360" w:lineRule="auto"/>
        <w:jc w:val="both"/>
      </w:pPr>
      <w:r>
        <w:rPr>
          <w:rFonts w:ascii="Arial" w:eastAsia="Arial" w:hAnsi="Arial" w:cs="Arial"/>
          <w:sz w:val="22"/>
          <w:szCs w:val="22"/>
        </w:rPr>
        <w:t xml:space="preserve">Building on this, Elkington (1997) proposed the concept of the triple bottom line, arguing that organisational success should be judged across three dimensions: social, environmental and economic, often shortened to people, planet and profit (HEC Paris, 2023; GCU, 2026). Although developed originally for the corporate sector, the triple bottom line has since been applied widely across public services, including healthcare, because it offers a simple framework for balancing financial constraints against social and environmental responsibilities </w:t>
      </w:r>
      <w:r>
        <w:rPr>
          <w:rFonts w:ascii="Arial" w:eastAsia="Arial" w:hAnsi="Arial" w:cs="Arial"/>
          <w:sz w:val="22"/>
          <w:szCs w:val="22"/>
        </w:rPr>
        <w:lastRenderedPageBreak/>
        <w:t>(IBM, 2025). This framework is useful for health and social care because it resists the assumption that sustainability is only about carbon and energy; it insists that the wellbeing of people, whether staff, service users or the wider community, is an equally legitimate measure of an organisation's sustainability.</w:t>
      </w:r>
    </w:p>
    <w:p w14:paraId="05CA6266" w14:textId="77777777" w:rsidR="009A6FB0" w:rsidRDefault="00000000">
      <w:pPr>
        <w:spacing w:after="200" w:line="360" w:lineRule="auto"/>
        <w:jc w:val="both"/>
      </w:pPr>
      <w:r>
        <w:rPr>
          <w:rFonts w:ascii="Arial" w:eastAsia="Arial" w:hAnsi="Arial" w:cs="Arial"/>
          <w:sz w:val="22"/>
          <w:szCs w:val="22"/>
        </w:rPr>
        <w:t>Wellbeing, meanwhile, has been defined since 1948 by the World Health Organization's constitution as a state of complete physical, mental and social wellbeing, not merely the absence of disease or infirmity (World Health Organization, 1948; Health Knowledge, n.d.). This definition has attracted long-standing academic debate, particularly around the word complete, which some scholars argue sets an unrealistic and potentially unachievable standard (BJGP Life, 2023). Others have defended the definition, suggesting that complete should be read qualitatively, as referring to a holistic combination of physical, mental and social elements rather than a perfect or maximal state (Public Health Ethics, 2023). Regardless of this debate, the WHO definition remains significant because it explicitly rejects a narrow, purely clinical understanding of health, and instead frames wellbeing as something that is shaped by social and environmental conditions as much as by biology (World Health Organization, n.d.).</w:t>
      </w:r>
    </w:p>
    <w:p w14:paraId="402D8E37" w14:textId="77777777" w:rsidR="009A6FB0" w:rsidRDefault="00000000">
      <w:pPr>
        <w:spacing w:before="240" w:after="160" w:line="360" w:lineRule="auto"/>
      </w:pPr>
      <w:r>
        <w:rPr>
          <w:rFonts w:ascii="Arial" w:eastAsia="Arial" w:hAnsi="Arial" w:cs="Arial"/>
          <w:b/>
          <w:bCs/>
          <w:sz w:val="28"/>
          <w:szCs w:val="28"/>
        </w:rPr>
        <w:t>2.2 Sustainable Development Goals and Health Policy</w:t>
      </w:r>
    </w:p>
    <w:p w14:paraId="2EB59F6F" w14:textId="77777777" w:rsidR="009A6FB0" w:rsidRDefault="00000000">
      <w:pPr>
        <w:spacing w:after="200" w:line="360" w:lineRule="auto"/>
        <w:jc w:val="both"/>
      </w:pPr>
      <w:r>
        <w:rPr>
          <w:rFonts w:ascii="Arial" w:eastAsia="Arial" w:hAnsi="Arial" w:cs="Arial"/>
          <w:sz w:val="22"/>
          <w:szCs w:val="22"/>
        </w:rPr>
        <w:t>The United Nations 2030 Agenda for Sustainable Development, agreed by all UN member states in 2015, sets out seventeen Sustainable Development Goals, of which Goal 3 focuses specifically on ensuring healthy lives and promoting wellbeing for all ages. This goal calls for universal health coverage, including financial protection and access to quality essential healthcare services, and explicitly includes mental health as part of an integrated understanding of health and wellbeing (MDPI, 2025). The Sustainable Development Goals are widely understood to be interdependent, meaning that progress on health depends on progress across other goals, including those relating to clean water, sustainable cities, and climate action, and that a narrow sectoral focus on health services alone is insufficient to achieve genuine health improvement (PMC, 2019; PMC, 2020).</w:t>
      </w:r>
    </w:p>
    <w:p w14:paraId="08B23BCC" w14:textId="77777777" w:rsidR="009A6FB0" w:rsidRDefault="00000000">
      <w:pPr>
        <w:spacing w:after="200" w:line="360" w:lineRule="auto"/>
        <w:jc w:val="both"/>
      </w:pPr>
      <w:r>
        <w:rPr>
          <w:rFonts w:ascii="Arial" w:eastAsia="Arial" w:hAnsi="Arial" w:cs="Arial"/>
          <w:sz w:val="22"/>
          <w:szCs w:val="22"/>
        </w:rPr>
        <w:t xml:space="preserve">Within Europe, the Sustainable Development Goals framework has been embedded into major policy initiatives such as the European Green Deal and the European Pillar of Social Rights, reflecting a broader ambition to position sustainable development as a cross-cutting theme for education, housing and health and social care professional training (Tandfonline/Journal of Medical Systems, 2025). Health and social care curricula, however, have traditionally emphasised the SDGs most closely associated with clinical practice, such as good health and wellbeing, while paying less attention to goals such as sustainable cities </w:t>
      </w:r>
      <w:r>
        <w:rPr>
          <w:rFonts w:ascii="Arial" w:eastAsia="Arial" w:hAnsi="Arial" w:cs="Arial"/>
          <w:sz w:val="22"/>
          <w:szCs w:val="22"/>
        </w:rPr>
        <w:lastRenderedPageBreak/>
        <w:t>and life on land, despite growing recognition that these indirectly shape health outcomes and health equity (Tandfonline/Journal of Medical Systems, 2025). Research exploring health policy priorities under the SDG framework has also highlighted the importance of social protection, noting that scale and long-term sustainability of social protection programmes, including those supporting social care, were rated as the highest priority areas by policymakers surveyed internationally (PMC, 2018).</w:t>
      </w:r>
    </w:p>
    <w:p w14:paraId="38ACA5C0" w14:textId="77777777" w:rsidR="009A6FB0" w:rsidRDefault="00000000">
      <w:pPr>
        <w:spacing w:before="240" w:after="160" w:line="360" w:lineRule="auto"/>
      </w:pPr>
      <w:r>
        <w:rPr>
          <w:rFonts w:ascii="Arial" w:eastAsia="Arial" w:hAnsi="Arial" w:cs="Arial"/>
          <w:b/>
          <w:bCs/>
          <w:sz w:val="28"/>
          <w:szCs w:val="28"/>
        </w:rPr>
        <w:t>2.3 The Maturity Gap Between the NHS and Social Care</w:t>
      </w:r>
    </w:p>
    <w:p w14:paraId="525F89C5" w14:textId="77777777" w:rsidR="009A6FB0" w:rsidRDefault="00000000">
      <w:pPr>
        <w:spacing w:after="200" w:line="360" w:lineRule="auto"/>
        <w:jc w:val="both"/>
      </w:pPr>
      <w:r>
        <w:rPr>
          <w:rFonts w:ascii="Arial" w:eastAsia="Arial" w:hAnsi="Arial" w:cs="Arial"/>
          <w:sz w:val="22"/>
          <w:szCs w:val="22"/>
        </w:rPr>
        <w:t>Within the United Kingdom, the National Health Service has developed one of the most advanced sustainability strategies of any national health system in the world. Following its 2020 strategy, Delivering a Net Zero National Health Service, the NHS committed to reaching net zero for directly controlled emissions by 2040 and for emissions it can influence by 2045, later underpinned by a legally binding duty introduced through the Health and Care Act 2022 (NHS England, 2020; Howden Group, 2026). This has been implemented through mandatory local Green Plans across NHS trusts and Integrated Care Boards, supported by sustainable procurement requirements and, more recently, Care Quality Commission environmental sustainability standards that assess governance, strategy and evidence of carbon reduction (Howden Group, 2026; NHS England, 2025). Five years into this strategy, NHS England reports that direct emissions have fallen by sixty-eight percent since 1990, and that more than one thousand hospitals and healthcare facilities now have an approved Green Plan in place (NHS England, n.d.; Sustainability Magazine, 2025). A recurring message from those leading this work is that there is no trade-off between sustainability and good healthcare, and that environmental resilience and clinical resilience should be seen as mutually reinforcing rather than competing priorities (Sustainability Magazine, 2025).</w:t>
      </w:r>
    </w:p>
    <w:p w14:paraId="36352E4C" w14:textId="77777777" w:rsidR="009A6FB0" w:rsidRDefault="00000000">
      <w:pPr>
        <w:spacing w:after="200" w:line="360" w:lineRule="auto"/>
        <w:jc w:val="both"/>
      </w:pPr>
      <w:r>
        <w:rPr>
          <w:rFonts w:ascii="Arial" w:eastAsia="Arial" w:hAnsi="Arial" w:cs="Arial"/>
          <w:sz w:val="22"/>
          <w:szCs w:val="22"/>
        </w:rPr>
        <w:t xml:space="preserve">The picture in adult social care is markedly different. The sector is highly fragmented, comprising thousands of independent providers of varying size, with no single equivalent to the NHS Green Plan mandate, and no statutory net zero duty of the kind that applies to the NHS (Devon Care Homes Collaborative, 2024). Where sustainability activity does take place in social care, it tends to occur informally and at an individual provider level, driven by cost pressures such as rising energy prices rather than by regulatory obligation, and often takes the form of relatively low-cost measures such as LED lighting, smart thermostats, waste reduction and recycling schemes, or garden and biodiversity projects (Greener Ideal, 2024; Ecerttraining, 2024; Ownacarehome.com, 2024). Some sector commentary highlights digitisation, remote monitoring and postal testing as further examples of practices that reduce environmental impact while also being framed primarily as improvements to care quality or operational efficiency, illustrating how environmental and care-quality motivations are often </w:t>
      </w:r>
      <w:r>
        <w:rPr>
          <w:rFonts w:ascii="Arial" w:eastAsia="Arial" w:hAnsi="Arial" w:cs="Arial"/>
          <w:sz w:val="22"/>
          <w:szCs w:val="22"/>
        </w:rPr>
        <w:lastRenderedPageBreak/>
        <w:t>bundled together rather than treated as distinct objectives in social care (UK Care Week, 2024; Devon Care Homes Collaborative, 2024). Guidance aimed at home care and domiciliary providers similarly frames sustainability in terms of practical, incremental changes, such as non-toxic cleaning products and reduced travel, again suggesting a sector that is responding pragmatically rather than strategically to sustainability pressures (Eco Gloves, 2024).</w:t>
      </w:r>
    </w:p>
    <w:p w14:paraId="313DEA62" w14:textId="77777777" w:rsidR="009A6FB0" w:rsidRDefault="00000000">
      <w:pPr>
        <w:spacing w:after="200" w:line="360" w:lineRule="auto"/>
        <w:jc w:val="both"/>
      </w:pPr>
      <w:r>
        <w:rPr>
          <w:rFonts w:ascii="Arial" w:eastAsia="Arial" w:hAnsi="Arial" w:cs="Arial"/>
          <w:sz w:val="22"/>
          <w:szCs w:val="22"/>
        </w:rPr>
        <w:t>This maturity gap matters for two reasons. First, it means that adult social care, which employs around 1.65 million people in England and accounts for a substantial share of the working-age population when combined with NHS employment, risks being left behind as sustainability increasingly becomes embedded in regulatory expectations, funding conditions and public procurement decisions (Health and Social Care Committee, 2021). Second, it means that social care providers may be poorly placed to take advantage of the wellbeing co-benefits that appear to be associated with environmentally-oriented practice, an issue explored further in the following sections.</w:t>
      </w:r>
    </w:p>
    <w:p w14:paraId="2F558419" w14:textId="77777777" w:rsidR="009A6FB0" w:rsidRDefault="00000000">
      <w:pPr>
        <w:spacing w:before="240" w:after="160" w:line="360" w:lineRule="auto"/>
      </w:pPr>
      <w:r>
        <w:rPr>
          <w:rFonts w:ascii="Arial" w:eastAsia="Arial" w:hAnsi="Arial" w:cs="Arial"/>
          <w:b/>
          <w:bCs/>
          <w:sz w:val="28"/>
          <w:szCs w:val="28"/>
        </w:rPr>
        <w:t>2.4 Green Care, Nature-Based Interventions and Wellbeing</w:t>
      </w:r>
    </w:p>
    <w:p w14:paraId="7EB98C65" w14:textId="77777777" w:rsidR="009A6FB0" w:rsidRDefault="00000000">
      <w:pPr>
        <w:spacing w:after="200" w:line="360" w:lineRule="auto"/>
        <w:jc w:val="both"/>
      </w:pPr>
      <w:r>
        <w:rPr>
          <w:rFonts w:ascii="Arial" w:eastAsia="Arial" w:hAnsi="Arial" w:cs="Arial"/>
          <w:sz w:val="22"/>
          <w:szCs w:val="22"/>
        </w:rPr>
        <w:t>One of the clearest points of convergence between environmental sustainability and wellbeing is the growing evidence base around green care and nature-based interventions. Green care is understood as an umbrella term for interventions that promote health, wellbeing and social inclusion through structured engagement with natural environments, plants, animals or farming contexts, and is increasingly discussed as a complementary approach to supporting active and healthy ageing (Tandfonline, 2026). Systematic and scoping reviews in this area report improvements across a range of outcomes, including quality of life, anxiety, social functioning, loneliness and subjective wellbeing, although the evidence base remains heterogeneous, and effects on some physiological measures, such as blood pressure, remain inconsistent (Research Square/Sciety, 2026; Tandfonline, 2026).</w:t>
      </w:r>
    </w:p>
    <w:p w14:paraId="2F4BEC50" w14:textId="77777777" w:rsidR="009A6FB0" w:rsidRDefault="00000000">
      <w:pPr>
        <w:spacing w:after="200" w:line="360" w:lineRule="auto"/>
        <w:jc w:val="both"/>
      </w:pPr>
      <w:r>
        <w:rPr>
          <w:rFonts w:ascii="Arial" w:eastAsia="Arial" w:hAnsi="Arial" w:cs="Arial"/>
          <w:sz w:val="22"/>
          <w:szCs w:val="22"/>
        </w:rPr>
        <w:t xml:space="preserve">Within the NHS, green social prescribing has been formally tested through a two-year, near six million pound cross-government programme, which aimed to embed nature-based referral pathways within mental health services and integrated care systems, particularly in communities experiencing high levels of social inequality (NHS England, n.d.). Interim evaluation evidence associated with this programme reported improvements in wellbeing, happiness, resilience and reduced social isolation, alongside preliminary evidence that green interventions for mental health can be cost-effective and generate savings elsewhere in the system (National Academy for Social Prescribing, 2023). Similar findings have emerged from scoping reviews of nature therapy for adults with mental illness living in the community, and from mixed-methods studies exploring nature-based interventions with specific population </w:t>
      </w:r>
      <w:r>
        <w:rPr>
          <w:rFonts w:ascii="Arial" w:eastAsia="Arial" w:hAnsi="Arial" w:cs="Arial"/>
          <w:sz w:val="22"/>
          <w:szCs w:val="22"/>
        </w:rPr>
        <w:lastRenderedPageBreak/>
        <w:t>groups, such as young pregnant women, which found that facilitators such as clear information and accompanied initial sessions helped to maximise engagement (PMC, 2022; PMC, 2023).</w:t>
      </w:r>
    </w:p>
    <w:p w14:paraId="0EB58904" w14:textId="77777777" w:rsidR="009A6FB0" w:rsidRDefault="00000000">
      <w:pPr>
        <w:spacing w:after="200" w:line="360" w:lineRule="auto"/>
        <w:jc w:val="both"/>
      </w:pPr>
      <w:r>
        <w:rPr>
          <w:rFonts w:ascii="Arial" w:eastAsia="Arial" w:hAnsi="Arial" w:cs="Arial"/>
          <w:sz w:val="22"/>
          <w:szCs w:val="22"/>
        </w:rPr>
        <w:t>These findings are important because they demonstrate that environmental engagement is not simply a cost to be managed, or an ethical obligation disconnected from care quality, but can itself function as a direct wellbeing intervention. This reframes the relationship between sustainability and wellbeing away from a purely additive one, in which organisations must find resources for both agendas separately, and toward a potentially integrative one, in which well-designed environmental initiatives serve both purposes at once.</w:t>
      </w:r>
    </w:p>
    <w:p w14:paraId="65560AA9" w14:textId="77777777" w:rsidR="009A6FB0" w:rsidRDefault="00000000">
      <w:pPr>
        <w:spacing w:before="240" w:after="160" w:line="360" w:lineRule="auto"/>
      </w:pPr>
      <w:r>
        <w:rPr>
          <w:rFonts w:ascii="Arial" w:eastAsia="Arial" w:hAnsi="Arial" w:cs="Arial"/>
          <w:b/>
          <w:bCs/>
          <w:sz w:val="28"/>
          <w:szCs w:val="28"/>
        </w:rPr>
        <w:t>2.5 Climate Change, Mental Health and Inequality</w:t>
      </w:r>
    </w:p>
    <w:p w14:paraId="30E3D5AE" w14:textId="77777777" w:rsidR="009A6FB0" w:rsidRDefault="00000000">
      <w:pPr>
        <w:spacing w:after="200" w:line="360" w:lineRule="auto"/>
        <w:jc w:val="both"/>
      </w:pPr>
      <w:r>
        <w:rPr>
          <w:rFonts w:ascii="Arial" w:eastAsia="Arial" w:hAnsi="Arial" w:cs="Arial"/>
          <w:sz w:val="22"/>
          <w:szCs w:val="22"/>
        </w:rPr>
        <w:t>The relationship between sustainability and wellbeing is not only positive. A systematic review of thirty-five studies involving over forty-five thousand participants found that eco-anxiety, understood as fear, worry or distress in relation to climate change, was consistently associated with psychological distress, anxiety, depression and stress symptoms, with only two studies showing no association (Cosh, Tully and Lykins, 2024). Related evidence, including scoping reviews focused on children and young people, has identified similar patterns, alongside evidence that climate change can affect mental health directly, through experiences of extreme weather events, and indirectly, through economic disruption, migration and damage to social infrastructure. International reporting through the Lancet Countdown has consistently found that marginalised and vulnerable populations are disproportionately affected by the mental health impacts of climate change, and that this can worsen pre-existing mental health inequalities where healthcare provision is already inadequate (Romanello et al., 2023; Romanello et al., 2025).</w:t>
      </w:r>
    </w:p>
    <w:p w14:paraId="2F893759" w14:textId="77777777" w:rsidR="009A6FB0" w:rsidRDefault="00000000">
      <w:pPr>
        <w:spacing w:after="200" w:line="360" w:lineRule="auto"/>
        <w:jc w:val="both"/>
      </w:pPr>
      <w:r>
        <w:rPr>
          <w:rFonts w:ascii="Arial" w:eastAsia="Arial" w:hAnsi="Arial" w:cs="Arial"/>
          <w:sz w:val="22"/>
          <w:szCs w:val="22"/>
        </w:rPr>
        <w:t xml:space="preserve">This evidence connects directly to the long-standing UK literature on health inequalities and the social determinants of health. The Marmot Review, published in 2010 and updated a decade later, argued that reducing health inequalities requires action on the social determinants of health, meaning the conditions in which people are born, grow, live, work and age, rather than healthcare alone (Institute of Health Equity, 2010; Local Government Association, 2010). The ten-year update found that a decade of austerity had adversely affected many of these social determinants, and that life expectancy improvements had stalled while health inequalities had widened (Institute of Health Equity and Health Foundation, 2020). Read alongside the climate and mental health evidence, this suggests that the populations most reliant on social care, including older people, people with long-term conditions and people living in poverty, are likely to be both more exposed to the health harms of climate </w:t>
      </w:r>
      <w:r>
        <w:rPr>
          <w:rFonts w:ascii="Arial" w:eastAsia="Arial" w:hAnsi="Arial" w:cs="Arial"/>
          <w:sz w:val="22"/>
          <w:szCs w:val="22"/>
        </w:rPr>
        <w:lastRenderedPageBreak/>
        <w:t>change and less protected by existing sustainability strategies, which remain concentrated in NHS acute settings rather than community-based social care.</w:t>
      </w:r>
    </w:p>
    <w:p w14:paraId="3E1D2195" w14:textId="77777777" w:rsidR="009A6FB0" w:rsidRDefault="00000000">
      <w:pPr>
        <w:spacing w:before="240" w:after="160" w:line="360" w:lineRule="auto"/>
      </w:pPr>
      <w:r>
        <w:rPr>
          <w:rFonts w:ascii="Arial" w:eastAsia="Arial" w:hAnsi="Arial" w:cs="Arial"/>
          <w:b/>
          <w:bCs/>
          <w:sz w:val="28"/>
          <w:szCs w:val="28"/>
        </w:rPr>
        <w:t>2.6 Workforce Wellbeing as an Unsustainable Practice</w:t>
      </w:r>
    </w:p>
    <w:p w14:paraId="7E9E1935" w14:textId="77777777" w:rsidR="009A6FB0" w:rsidRDefault="00000000">
      <w:pPr>
        <w:spacing w:after="200" w:line="360" w:lineRule="auto"/>
        <w:jc w:val="both"/>
      </w:pPr>
      <w:r>
        <w:rPr>
          <w:rFonts w:ascii="Arial" w:eastAsia="Arial" w:hAnsi="Arial" w:cs="Arial"/>
          <w:sz w:val="22"/>
          <w:szCs w:val="22"/>
        </w:rPr>
        <w:t>The final strand of background literature concerns the wellbeing of the health and social care workforce itself. A parliamentary inquiry into workforce burnout and resilience found that burnout was a significant problem in both the NHS and social care workforce well before the covid-19 pandemic, and concluded that reliance on staff discretionary effort, meaning effort beyond contracted duties, could not continue indefinitely (Health and Social Care Committee, 2021). The same inquiry recommended extending the NHS staff survey, including its overall staff wellbeing measure, to cover the social care sector, on the basis that the scale and impact of workforce burnout could only be properly understood using a shared metric across both parts of the system (Health and Social Care Committee, 2021; Care Quality Commission, 2021).</w:t>
      </w:r>
    </w:p>
    <w:p w14:paraId="1239FC6B" w14:textId="77777777" w:rsidR="009A6FB0" w:rsidRDefault="00000000">
      <w:pPr>
        <w:spacing w:after="200" w:line="360" w:lineRule="auto"/>
        <w:jc w:val="both"/>
      </w:pPr>
      <w:r>
        <w:rPr>
          <w:rFonts w:ascii="Arial" w:eastAsia="Arial" w:hAnsi="Arial" w:cs="Arial"/>
          <w:sz w:val="22"/>
          <w:szCs w:val="22"/>
        </w:rPr>
        <w:t>Research into social care workforce retention has identified persistently high turnover and vacancy rates, driven by low pay, limited career progression and reduced international recruitment, with poor working conditions contributing to ongoing instability (NIHR Applied Research Collaboration, 2024; The Access Group, 2026). Commentary on social work specifically has described a silent crisis of stress and burnout, noting that this not only affects individual workers but also negatively affects the quality of care they are able to provide, creating a cycle in which the sustainability of the workforce and the sustainability of care quality become mutually dependent (Randstad UK, n.d.).</w:t>
      </w:r>
    </w:p>
    <w:p w14:paraId="55955994" w14:textId="77777777" w:rsidR="009A6FB0" w:rsidRDefault="00000000">
      <w:pPr>
        <w:spacing w:after="200" w:line="360" w:lineRule="auto"/>
        <w:jc w:val="both"/>
      </w:pPr>
      <w:r>
        <w:rPr>
          <w:rFonts w:ascii="Arial" w:eastAsia="Arial" w:hAnsi="Arial" w:cs="Arial"/>
          <w:sz w:val="22"/>
          <w:szCs w:val="22"/>
        </w:rPr>
        <w:t>Taken together, this body of literature suggests that the word sustainability, when applied to the health and social care workforce, describes essentially the same underlying problem as when it is applied to the environment: a pattern of resource use, whether human or ecological, that cannot continue at its current rate without eventual collapse or serious harm. This conceptual parallel provides the foundation for the analysis undertaken in Chapter Four of this dissertation, which explores whether organisational strategies that address environmental sustainability can also, by design or by accident, support the sustainability of the workforce, and vice versa.</w:t>
      </w:r>
    </w:p>
    <w:p w14:paraId="5D9A7242" w14:textId="77777777" w:rsidR="009A6FB0" w:rsidRDefault="00000000">
      <w:pPr>
        <w:spacing w:before="400" w:after="240" w:line="360" w:lineRule="auto"/>
      </w:pPr>
      <w:r>
        <w:rPr>
          <w:rFonts w:ascii="Arial" w:eastAsia="Arial" w:hAnsi="Arial" w:cs="Arial"/>
          <w:b/>
          <w:bCs/>
          <w:sz w:val="32"/>
          <w:szCs w:val="32"/>
        </w:rPr>
        <w:t>CHAPTER 3: METHODS</w:t>
      </w:r>
    </w:p>
    <w:p w14:paraId="091E329C" w14:textId="77777777" w:rsidR="009A6FB0" w:rsidRDefault="00000000">
      <w:pPr>
        <w:spacing w:before="240" w:after="160" w:line="360" w:lineRule="auto"/>
      </w:pPr>
      <w:r>
        <w:rPr>
          <w:rFonts w:ascii="Arial" w:eastAsia="Arial" w:hAnsi="Arial" w:cs="Arial"/>
          <w:b/>
          <w:bCs/>
          <w:sz w:val="28"/>
          <w:szCs w:val="28"/>
        </w:rPr>
        <w:t>3.1 Methodological Approach</w:t>
      </w:r>
    </w:p>
    <w:p w14:paraId="66883BF9" w14:textId="77777777" w:rsidR="009A6FB0" w:rsidRDefault="00000000">
      <w:pPr>
        <w:spacing w:after="200" w:line="360" w:lineRule="auto"/>
        <w:jc w:val="both"/>
      </w:pPr>
      <w:r>
        <w:rPr>
          <w:rFonts w:ascii="Arial" w:eastAsia="Arial" w:hAnsi="Arial" w:cs="Arial"/>
          <w:sz w:val="22"/>
          <w:szCs w:val="22"/>
        </w:rPr>
        <w:lastRenderedPageBreak/>
        <w:t>This dissertation was conducted as a literature-based review rather than as a primary empirical study involving human participants. Given the undergraduate level of this project, the time constraints associated with the submission deadline, and the absence of a requirement or opportunity to seek research ethics committee approval within the timeframe available, a review of existing secondary sources was judged to be the most appropriate and feasible method for addressing the aims and objectives set out in Chapter One (Aveyard, 2023). Aveyard (2023) notes that a literature review is particularly well suited to undergraduate and postgraduate dissertations because it draws on sources that are already published and accessible, and because it does not require the lengthy ethical approval process associated with primary research involving participants.</w:t>
      </w:r>
    </w:p>
    <w:p w14:paraId="1371AD3B" w14:textId="77777777" w:rsidR="009A6FB0" w:rsidRDefault="00000000">
      <w:pPr>
        <w:spacing w:after="200" w:line="360" w:lineRule="auto"/>
        <w:jc w:val="both"/>
      </w:pPr>
      <w:r>
        <w:rPr>
          <w:rFonts w:ascii="Arial" w:eastAsia="Arial" w:hAnsi="Arial" w:cs="Arial"/>
          <w:sz w:val="22"/>
          <w:szCs w:val="22"/>
        </w:rPr>
        <w:t>The review adopted a narrative, thematically organised approach informed by, but not strictly adhering to, the more formal conventions of a systematic review. A fully systematic review, involving predefined protocols, dual independent screening and formal risk-of-bias assessment across all included studies, was considered disproportionate to the scope of a 9,000-word undergraduate dissertation, and was not feasible within the available time and single-researcher resource. Nonetheless, the review sought to apply a transparent and systematic-informed process at each stage, covering identification, screening, eligibility and inclusion, in order to reduce bias and improve the credibility of the synthesis produced (Aveyard, 2023).</w:t>
      </w:r>
    </w:p>
    <w:p w14:paraId="0B0F67E2" w14:textId="77777777" w:rsidR="009A6FB0" w:rsidRDefault="00000000">
      <w:pPr>
        <w:spacing w:before="240" w:after="160" w:line="360" w:lineRule="auto"/>
      </w:pPr>
      <w:r>
        <w:rPr>
          <w:rFonts w:ascii="Arial" w:eastAsia="Arial" w:hAnsi="Arial" w:cs="Arial"/>
          <w:b/>
          <w:bCs/>
          <w:sz w:val="28"/>
          <w:szCs w:val="28"/>
        </w:rPr>
        <w:t>3.2 Search Strategy</w:t>
      </w:r>
    </w:p>
    <w:p w14:paraId="69110C76" w14:textId="77777777" w:rsidR="009A6FB0" w:rsidRDefault="00000000">
      <w:pPr>
        <w:spacing w:after="200" w:line="360" w:lineRule="auto"/>
        <w:jc w:val="both"/>
      </w:pPr>
      <w:r>
        <w:rPr>
          <w:rFonts w:ascii="Arial" w:eastAsia="Arial" w:hAnsi="Arial" w:cs="Arial"/>
          <w:sz w:val="22"/>
          <w:szCs w:val="22"/>
        </w:rPr>
        <w:t>Literature was identified through a combination of academic and grey literature sources. Academic sources were located primarily through general academic search engines and publicly accessible repositories of peer-reviewed journal articles, including systematic reviews, scoping reviews and empirical studies relevant to sustainability, wellbeing and health and social care. Grey literature, meaning material not published through traditional peer-reviewed academic channels, was deliberately included given the fast-moving and policy-driven nature of the sustainability agenda; this included publications from NHS England, the Department of Health and Social Care, the Care Quality Commission, the Health and Social Care Committee of the House of Commons, the Institute of Health Equity, the Lancet Countdown collaboration, and relevant professional and sector bodies such as the National Academy for Social Prescribing and the National Institute for Health and Care Research.</w:t>
      </w:r>
    </w:p>
    <w:p w14:paraId="4E17F005" w14:textId="77777777" w:rsidR="009A6FB0" w:rsidRDefault="00000000">
      <w:pPr>
        <w:spacing w:after="200" w:line="360" w:lineRule="auto"/>
        <w:jc w:val="both"/>
      </w:pPr>
      <w:r>
        <w:rPr>
          <w:rFonts w:ascii="Arial" w:eastAsia="Arial" w:hAnsi="Arial" w:cs="Arial"/>
          <w:sz w:val="22"/>
          <w:szCs w:val="22"/>
        </w:rPr>
        <w:t xml:space="preserve">Search terms were developed around three core concept clusters, combined using Boolean logic where the search platform allowed: sustainability-related terms, including sustainability, sustainable development, net zero, carbon and green care; wellbeing-related terms, including </w:t>
      </w:r>
      <w:r>
        <w:rPr>
          <w:rFonts w:ascii="Arial" w:eastAsia="Arial" w:hAnsi="Arial" w:cs="Arial"/>
          <w:sz w:val="22"/>
          <w:szCs w:val="22"/>
        </w:rPr>
        <w:lastRenderedPageBreak/>
        <w:t>wellbeing, burnout, mental health and quality of life; and setting-related terms, including health and social care, NHS, care home, social care and adult social care. Searches were conducted iteratively, with initial broad searches used to identify key concepts and seminal sources, such as the original Brundtland Report and the World Health Organization constitution, followed by more targeted searches addressing each of the sub-themes identified in Chapter Two.</w:t>
      </w:r>
    </w:p>
    <w:p w14:paraId="075FD1E7" w14:textId="77777777" w:rsidR="009A6FB0" w:rsidRDefault="00000000">
      <w:pPr>
        <w:spacing w:before="240" w:after="160" w:line="360" w:lineRule="auto"/>
      </w:pPr>
      <w:r>
        <w:rPr>
          <w:rFonts w:ascii="Arial" w:eastAsia="Arial" w:hAnsi="Arial" w:cs="Arial"/>
          <w:b/>
          <w:bCs/>
          <w:sz w:val="28"/>
          <w:szCs w:val="28"/>
        </w:rPr>
        <w:t>3.3 Inclusion and Exclusion Criteria</w:t>
      </w:r>
    </w:p>
    <w:p w14:paraId="0204357B" w14:textId="77777777" w:rsidR="009A6FB0" w:rsidRDefault="00000000">
      <w:pPr>
        <w:spacing w:after="200" w:line="360" w:lineRule="auto"/>
        <w:jc w:val="both"/>
      </w:pPr>
      <w:r>
        <w:rPr>
          <w:rFonts w:ascii="Arial" w:eastAsia="Arial" w:hAnsi="Arial" w:cs="Arial"/>
          <w:sz w:val="22"/>
          <w:szCs w:val="22"/>
        </w:rPr>
        <w:t>Sources were included if they were published in English; if they related to health and/or social care, or to sustainability and wellbeing concepts with clear applicability to these sectors; and if they were relevant to a United Kingdom, European or international policy context. In line with common practice in literature reviews of applied health and social care topics, priority was given to sources published within the last five to ten years, reflecting the fast-changing nature of climate and sustainability policy, although seminal foundational sources published earlier, such as the 1987 Brundtland Report, the 1948 World Health Organization constitution and Elkington's 1997 work on the triple bottom line, were included on the basis of their continued conceptual authority within the field.</w:t>
      </w:r>
    </w:p>
    <w:p w14:paraId="768469C0" w14:textId="77777777" w:rsidR="009A6FB0" w:rsidRDefault="00000000">
      <w:pPr>
        <w:spacing w:after="200" w:line="360" w:lineRule="auto"/>
        <w:jc w:val="both"/>
      </w:pPr>
      <w:r>
        <w:rPr>
          <w:rFonts w:ascii="Arial" w:eastAsia="Arial" w:hAnsi="Arial" w:cs="Arial"/>
          <w:sz w:val="22"/>
          <w:szCs w:val="22"/>
        </w:rPr>
        <w:t>Sources were excluded if they were not accessible in full, if they duplicated information already captured by another more authoritative source, or if they fell outside the health and social care sector without clear relevance to it, for example general corporate sustainability material with no health or care sector application. Where multiple sources reported similar sector information, such as several trade or industry articles describing similar sustainable practices in care homes, a representative selection was retained to illustrate the range and consistency of sector commentary, rather than including every available source.</w:t>
      </w:r>
    </w:p>
    <w:p w14:paraId="50D9E230" w14:textId="77777777" w:rsidR="009A6FB0" w:rsidRDefault="00000000">
      <w:pPr>
        <w:spacing w:before="240" w:after="160" w:line="360" w:lineRule="auto"/>
      </w:pPr>
      <w:r>
        <w:rPr>
          <w:rFonts w:ascii="Arial" w:eastAsia="Arial" w:hAnsi="Arial" w:cs="Arial"/>
          <w:b/>
          <w:bCs/>
          <w:sz w:val="28"/>
          <w:szCs w:val="28"/>
        </w:rPr>
        <w:t>3.4 Data Extraction and Synthesis</w:t>
      </w:r>
    </w:p>
    <w:p w14:paraId="51C72A85" w14:textId="77777777" w:rsidR="009A6FB0" w:rsidRDefault="00000000">
      <w:pPr>
        <w:spacing w:after="200" w:line="360" w:lineRule="auto"/>
        <w:jc w:val="both"/>
      </w:pPr>
      <w:r>
        <w:rPr>
          <w:rFonts w:ascii="Arial" w:eastAsia="Arial" w:hAnsi="Arial" w:cs="Arial"/>
          <w:sz w:val="22"/>
          <w:szCs w:val="22"/>
        </w:rPr>
        <w:t>Once identified, sources were read in full and charted according to the three broad themes that structure Chapter Four of this dissertation: policy and regulatory frameworks; organisational practice, including the comparison between NHS and social care sustainability activity; and workforce and service-user wellbeing, including the specific evidence base on green care and climate-related mental health impacts. This thematic charting approach allowed sources from very different origins, including peer-reviewed systematic reviews, government white papers and sector commentary, to be brought into dialogue with one another around common questions, consistent with the narrative synthesis approach described by Aveyard (2023) as appropriate for undergraduate literature reviews addressing applied practice questions.</w:t>
      </w:r>
    </w:p>
    <w:p w14:paraId="60B71D69" w14:textId="77777777" w:rsidR="009A6FB0" w:rsidRDefault="00000000">
      <w:pPr>
        <w:spacing w:before="240" w:after="160" w:line="360" w:lineRule="auto"/>
      </w:pPr>
      <w:r>
        <w:rPr>
          <w:rFonts w:ascii="Arial" w:eastAsia="Arial" w:hAnsi="Arial" w:cs="Arial"/>
          <w:b/>
          <w:bCs/>
          <w:sz w:val="28"/>
          <w:szCs w:val="28"/>
        </w:rPr>
        <w:lastRenderedPageBreak/>
        <w:t>3.5 Critical Appraisal and Source Hierarchy</w:t>
      </w:r>
    </w:p>
    <w:p w14:paraId="6BF030F7" w14:textId="77777777" w:rsidR="009A6FB0" w:rsidRDefault="00000000">
      <w:pPr>
        <w:spacing w:after="200" w:line="360" w:lineRule="auto"/>
        <w:jc w:val="both"/>
      </w:pPr>
      <w:r>
        <w:rPr>
          <w:rFonts w:ascii="Arial" w:eastAsia="Arial" w:hAnsi="Arial" w:cs="Arial"/>
          <w:sz w:val="22"/>
          <w:szCs w:val="22"/>
        </w:rPr>
        <w:t>Sources were not treated as equally authoritative. Peer-reviewed systematic reviews and internationally coordinated reporting mechanisms, such as the Lancet Countdown, were treated as the strongest form of evidence, particularly regarding the relationship between climate change and mental health. Government, regulatory and professional body publications, including those from NHS England, the Department of Health and Social Care and the Care Quality Commission, were treated as authoritative regarding policy content and formal commitments, though it was recognised that such sources may present organisational activity in a favourable light. Sector and trade publications relating to care home sustainability practice were treated more cautiously, given the absence of independent peer review, but were nonetheless retained because they represent one of the few available sources of insight into how sustainability is currently being discussed and implemented within the fragmented adult social care sector, an area where independent academic research remains comparatively limited.</w:t>
      </w:r>
    </w:p>
    <w:p w14:paraId="78935C2D" w14:textId="77777777" w:rsidR="009A6FB0" w:rsidRDefault="00000000">
      <w:pPr>
        <w:spacing w:before="240" w:after="160" w:line="360" w:lineRule="auto"/>
      </w:pPr>
      <w:r>
        <w:rPr>
          <w:rFonts w:ascii="Arial" w:eastAsia="Arial" w:hAnsi="Arial" w:cs="Arial"/>
          <w:b/>
          <w:bCs/>
          <w:sz w:val="28"/>
          <w:szCs w:val="28"/>
        </w:rPr>
        <w:t>3.6 Ethical Considerations and Limitations</w:t>
      </w:r>
    </w:p>
    <w:p w14:paraId="484432A4" w14:textId="77777777" w:rsidR="009A6FB0" w:rsidRDefault="00000000">
      <w:pPr>
        <w:spacing w:after="200" w:line="360" w:lineRule="auto"/>
        <w:jc w:val="both"/>
      </w:pPr>
      <w:r>
        <w:rPr>
          <w:rFonts w:ascii="Arial" w:eastAsia="Arial" w:hAnsi="Arial" w:cs="Arial"/>
          <w:sz w:val="22"/>
          <w:szCs w:val="22"/>
        </w:rPr>
        <w:t>As this dissertation did not involve primary data collection from human participants, formal research ethics committee approval was not required. Academic honesty and referencing conventions were followed throughout, in accordance with university guidance, including transparent acknowledgement of any use of generative artificial intelligence tools in line with the permissions and requirements set out for this assessment.</w:t>
      </w:r>
    </w:p>
    <w:p w14:paraId="7B57A700" w14:textId="77777777" w:rsidR="009A6FB0" w:rsidRDefault="00000000">
      <w:pPr>
        <w:spacing w:after="200" w:line="360" w:lineRule="auto"/>
        <w:jc w:val="both"/>
      </w:pPr>
      <w:r>
        <w:rPr>
          <w:rFonts w:ascii="Arial" w:eastAsia="Arial" w:hAnsi="Arial" w:cs="Arial"/>
          <w:sz w:val="22"/>
          <w:szCs w:val="22"/>
        </w:rPr>
        <w:t>Several limitations should be acknowledged. First, reliance on secondary literature means that the review is only as strong as the underlying primary studies and reports it draws upon, some of which, particularly sector commentary on social care sustainability, lack the methodological rigour of peer-reviewed research. Second, the restriction to English-language sources may have excluded relevant literature published in other languages, particularly regarding sustainability practice in non-English-speaking European health systems. Third, the sustainability and climate policy landscape is evolving rapidly, meaning that some figures and commitments cited in this dissertation, particularly those relating to specific government targets and funding announcements, may be superseded by subsequent developments. Finally, the absence of primary data collection means that this dissertation cannot capture the direct, first-hand perspectives of social care staff, managers or service users regarding their lived experience of sustainability initiatives; this represents an important direction for future primary research, discussed further in Chapter Five.</w:t>
      </w:r>
    </w:p>
    <w:p w14:paraId="6CAE9AA4" w14:textId="77777777" w:rsidR="009A6FB0" w:rsidRDefault="00000000">
      <w:pPr>
        <w:spacing w:before="400" w:after="240" w:line="360" w:lineRule="auto"/>
      </w:pPr>
      <w:r>
        <w:rPr>
          <w:rFonts w:ascii="Arial" w:eastAsia="Arial" w:hAnsi="Arial" w:cs="Arial"/>
          <w:b/>
          <w:bCs/>
          <w:sz w:val="32"/>
          <w:szCs w:val="32"/>
        </w:rPr>
        <w:lastRenderedPageBreak/>
        <w:t>CHAPTER 4: RESULTS AND DISCUSSION</w:t>
      </w:r>
    </w:p>
    <w:p w14:paraId="016F784C" w14:textId="77777777" w:rsidR="009A6FB0" w:rsidRDefault="00000000">
      <w:pPr>
        <w:spacing w:before="240" w:after="160" w:line="360" w:lineRule="auto"/>
      </w:pPr>
      <w:r>
        <w:rPr>
          <w:rFonts w:ascii="Arial" w:eastAsia="Arial" w:hAnsi="Arial" w:cs="Arial"/>
          <w:b/>
          <w:bCs/>
          <w:sz w:val="28"/>
          <w:szCs w:val="28"/>
        </w:rPr>
        <w:t>4.1 A Two-Speed Sustainability Landscape</w:t>
      </w:r>
    </w:p>
    <w:p w14:paraId="2C66B2AF" w14:textId="77777777" w:rsidR="009A6FB0" w:rsidRDefault="00000000">
      <w:pPr>
        <w:spacing w:after="200" w:line="360" w:lineRule="auto"/>
        <w:jc w:val="both"/>
      </w:pPr>
      <w:r>
        <w:rPr>
          <w:rFonts w:ascii="Arial" w:eastAsia="Arial" w:hAnsi="Arial" w:cs="Arial"/>
          <w:sz w:val="22"/>
          <w:szCs w:val="22"/>
        </w:rPr>
        <w:t>The clearest finding to emerge from this review is that health and social care in the United Kingdom currently operates a two-speed approach to sustainability. On one side, the NHS has developed what is widely regarded as one of the most advanced national health sustainability strategies in the world, underpinned by a legally binding net zero duty, mandatory local Green Plans, sustainable procurement requirements and dedicated regulatory standards enforced by the Care Quality Commission (NHS England, 2020; Howden Group, 2026). On the other side, adult social care, despite employing a workforce of comparable scale to the NHS, has no equivalent statutory framework, and sustainability activity within the sector remains largely voluntary, informal and driven by individual provider initiative rather than coordinated national strategy (Devon Care Homes Collaborative, 2024).</w:t>
      </w:r>
    </w:p>
    <w:p w14:paraId="7AE1AA74" w14:textId="77777777" w:rsidR="009A6FB0" w:rsidRDefault="00000000">
      <w:pPr>
        <w:spacing w:after="200" w:line="360" w:lineRule="auto"/>
        <w:jc w:val="both"/>
      </w:pPr>
      <w:r>
        <w:rPr>
          <w:rFonts w:ascii="Arial" w:eastAsia="Arial" w:hAnsi="Arial" w:cs="Arial"/>
          <w:sz w:val="22"/>
          <w:szCs w:val="22"/>
        </w:rPr>
        <w:t>This is not simply an administrative gap; it reflects deeper structural differences between the two sectors. The NHS is a single, publicly funded and centrally coordinated body, which makes it possible to issue a single mandate covering more than a thousand sites. Social care, by contrast, is delivered by thousands of independent providers, ranging from small family-run care homes to large national chains, funded through a complex mixture of local authority commissioning and self-funding arrangements (Department of Health and Social Care, 2021). The 2021 adult social care reform white paper, People at the Heart of Care, illustrates this structural difference clearly: its three core objectives concerned choice and control, quality and tailored care, and fairness and accessibility, with environmental sustainability barely mentioned despite the document setting out a ten-year vision for the sector (Department of Health and Social Care, 2021; Learning Disability England, 2021; Local Government Association, 2022). This suggests that, at the point this white paper was written, sustainability was not yet considered a central pillar of social care reform in the way that funding, workforce and quality clearly were.</w:t>
      </w:r>
    </w:p>
    <w:p w14:paraId="3E552967" w14:textId="77777777" w:rsidR="009A6FB0" w:rsidRDefault="00000000">
      <w:pPr>
        <w:spacing w:after="200" w:line="360" w:lineRule="auto"/>
        <w:jc w:val="both"/>
      </w:pPr>
      <w:r>
        <w:rPr>
          <w:rFonts w:ascii="Arial" w:eastAsia="Arial" w:hAnsi="Arial" w:cs="Arial"/>
          <w:sz w:val="22"/>
          <w:szCs w:val="22"/>
        </w:rPr>
        <w:t>This finding is significant because it means that any assumption that sustainability progress in the NHS will automatically extend to social care is not supported by the evidence reviewed. Instead, the sector appears to be responding to sustainability pressures reactively, often driven by rising energy costs rather than by policy design, resulting in a pattern of relatively low-cost, incremental measures such as LED lighting, smart thermostats and waste reduction schemes, rather than the strategic, board-level Green Plans seen in the NHS (Greener Ideal, 2024; Ecerttraining, 2024; UK Care Week, 2024).</w:t>
      </w:r>
    </w:p>
    <w:p w14:paraId="64221D06" w14:textId="77777777" w:rsidR="009A6FB0" w:rsidRDefault="00000000">
      <w:pPr>
        <w:spacing w:after="200" w:line="360" w:lineRule="auto"/>
        <w:jc w:val="both"/>
      </w:pPr>
      <w:r>
        <w:rPr>
          <w:rFonts w:ascii="Arial" w:eastAsia="Arial" w:hAnsi="Arial" w:cs="Arial"/>
          <w:sz w:val="22"/>
          <w:szCs w:val="22"/>
        </w:rPr>
        <w:lastRenderedPageBreak/>
        <w:t>The international picture reinforces this analysis. NHS England reports that its net zero commitment has since been followed by over forty countries setting their own national health system net zero targets, with more than ninety countries committing to low-carbon, sustainable health systems more broadly (NHS England, 2025). This suggests that the direction of travel for health systems internationally is now firmly toward mandatory, government-backed sustainability frameworks rather than voluntary sector-led activity. If this trend continues, social care providers who have not yet begun to build organisational capacity for sustainability reporting and carbon reduction may find themselves poorly prepared for a future in which such requirements become a condition of commissioning, regulation or public procurement, in the same way that environmental sustainability standards have already become embedded within CQC assessment of NHS trusts (Howden Group, 2026).</w:t>
      </w:r>
    </w:p>
    <w:p w14:paraId="0BC04966" w14:textId="77777777" w:rsidR="009A6FB0" w:rsidRDefault="00000000">
      <w:pPr>
        <w:spacing w:after="200" w:line="360" w:lineRule="auto"/>
        <w:jc w:val="both"/>
      </w:pPr>
      <w:r>
        <w:rPr>
          <w:rFonts w:ascii="Arial" w:eastAsia="Arial" w:hAnsi="Arial" w:cs="Arial"/>
          <w:sz w:val="22"/>
          <w:szCs w:val="22"/>
        </w:rPr>
        <w:t>A further structural barrier identified in the review concerns capital investment. Energy efficient design measures, such as improved insulation, efficient heating systems and renewable energy installation, have been shown to reduce a care home's energy consumption by as much as forty percent, but such measures typically require substantial upfront capital expenditure that many individual, smaller social care providers are simply not in a position to fund from existing operating margins (RDS Carebuild, 2025). Unlike the NHS, which has been able to draw on national capital funding streams and supplier roadmap requirements to support decarbonisation, social care providers commissioned through local authority contracts often operate on tightly constrained margins, meaning that the business case for sustainability investment, however strong in the long term, can be very difficult to realise in the short term without external funding support (RDS Carebuild, 2025; Devon Care Homes Collaborative, 2024).</w:t>
      </w:r>
    </w:p>
    <w:p w14:paraId="6ACC75D7" w14:textId="77777777" w:rsidR="009A6FB0" w:rsidRDefault="00000000">
      <w:pPr>
        <w:spacing w:before="240" w:after="160" w:line="360" w:lineRule="auto"/>
      </w:pPr>
      <w:r>
        <w:rPr>
          <w:rFonts w:ascii="Arial" w:eastAsia="Arial" w:hAnsi="Arial" w:cs="Arial"/>
          <w:b/>
          <w:bCs/>
          <w:sz w:val="28"/>
          <w:szCs w:val="28"/>
        </w:rPr>
        <w:t>4.2 The Case for Genuine Co-Benefit: Green Care and Wellbeing</w:t>
      </w:r>
    </w:p>
    <w:p w14:paraId="40D1A441" w14:textId="77777777" w:rsidR="009A6FB0" w:rsidRDefault="00000000">
      <w:pPr>
        <w:spacing w:after="200" w:line="360" w:lineRule="auto"/>
        <w:jc w:val="both"/>
      </w:pPr>
      <w:r>
        <w:rPr>
          <w:rFonts w:ascii="Arial" w:eastAsia="Arial" w:hAnsi="Arial" w:cs="Arial"/>
          <w:sz w:val="22"/>
          <w:szCs w:val="22"/>
        </w:rPr>
        <w:t>Despite this structural gap, the review identified a genuinely encouraging body of evidence suggesting that, where sustainability and wellbeing initiatives are deliberately designed together, real co-benefits can be achieved. Green care and nature-based interventions represent the clearest example of this. Systematic and scoping review evidence indicates that engagement with natural environments, including gardening, green exercise and nature-based social prescribing, is associated with improvements in quality of life, anxiety, social functioning and subjective wellbeing, particularly for older adults and for people experiencing mental ill health (Research Square/Sciety, 2026; Tandfonline, 2026; PMC, 2022).</w:t>
      </w:r>
    </w:p>
    <w:p w14:paraId="459721DD" w14:textId="77777777" w:rsidR="009A6FB0" w:rsidRDefault="00000000">
      <w:pPr>
        <w:spacing w:after="200" w:line="360" w:lineRule="auto"/>
        <w:jc w:val="both"/>
      </w:pPr>
      <w:r>
        <w:rPr>
          <w:rFonts w:ascii="Arial" w:eastAsia="Arial" w:hAnsi="Arial" w:cs="Arial"/>
          <w:sz w:val="22"/>
          <w:szCs w:val="22"/>
        </w:rPr>
        <w:t xml:space="preserve">The NHS's own Green Social Prescribing Programme illustrates how this evidence has already been translated into practice, using nature-based referral pathways to support mental </w:t>
      </w:r>
      <w:r>
        <w:rPr>
          <w:rFonts w:ascii="Arial" w:eastAsia="Arial" w:hAnsi="Arial" w:cs="Arial"/>
          <w:sz w:val="22"/>
          <w:szCs w:val="22"/>
        </w:rPr>
        <w:lastRenderedPageBreak/>
        <w:t>health and to reduce health inequalities in disadvantaged communities, with interim evaluation findings pointing to improved wellbeing and strong community engagement (NHS England, n.d.; National Academy for Social Prescribing, 2023). Importantly, this programme demonstrates that environmental initiatives need not be framed only as a cost or an ethical obligation; the same activity, such as maintaining a garden, running a walking group, or supporting biodiversity on care home grounds, can simultaneously reduce environmental impact, reduce clinical demand elsewhere in the system, and directly improve the wellbeing of the people involved (National Academy for Social Prescribing, 2023; Ownacarehome.com, 2024).</w:t>
      </w:r>
    </w:p>
    <w:p w14:paraId="51FAE35E" w14:textId="77777777" w:rsidR="009A6FB0" w:rsidRDefault="00000000">
      <w:pPr>
        <w:spacing w:after="200" w:line="360" w:lineRule="auto"/>
        <w:jc w:val="both"/>
      </w:pPr>
      <w:r>
        <w:rPr>
          <w:rFonts w:ascii="Arial" w:eastAsia="Arial" w:hAnsi="Arial" w:cs="Arial"/>
          <w:sz w:val="22"/>
          <w:szCs w:val="22"/>
        </w:rPr>
        <w:t>This is a particularly important finding for the social care sector, because it suggests that closing the sustainability gap identified in section 4.1 need not always require large capital investment of the kind associated with NHS estate decarbonisation. Some of the most promising interventions, gardening projects, nature-based activities and biodiversity initiatives on care home grounds, are comparatively low-cost and are already being reported informally by some providers, suggesting an existing foundation that could be built upon and evaluated more rigorously (Ownacarehome.com, 2024; Devon Care Homes Collaborative, 2024).</w:t>
      </w:r>
    </w:p>
    <w:p w14:paraId="20F15CF3" w14:textId="77777777" w:rsidR="009A6FB0" w:rsidRDefault="00000000">
      <w:pPr>
        <w:spacing w:after="200" w:line="360" w:lineRule="auto"/>
        <w:jc w:val="both"/>
      </w:pPr>
      <w:r>
        <w:rPr>
          <w:rFonts w:ascii="Arial" w:eastAsia="Arial" w:hAnsi="Arial" w:cs="Arial"/>
          <w:sz w:val="22"/>
          <w:szCs w:val="22"/>
        </w:rPr>
        <w:t>Sector commentary suggests that some care providers are already, if unintentionally, discovering this co-benefit for themselves. Descriptions of biodiversity features such as wildflower planting and bee-friendly gardens on care home grounds note that these are valued as much for their positive effect on residents' wellbeing as for their environmental value, while native planting schemes are promoted for reducing water and fertiliser use while also creating attractive, sociable outdoor spaces where residents can meet visitors and take part in gardening activities together (Greener Ideal, 2024; Ownacarehome.com, 2024). Similarly, the digitisation of care records, remote monitoring and postal testing services, while introduced primarily to improve efficiency and empower service users to manage their own care, has the secondary effect of reducing unnecessary travel and associated emissions, illustrating a further way in which care-quality and environmental objectives can be pursued through the same practical initiative rather than through separate, competing programmes of work (UK Care Week, 2024; Devon Care Homes Collaborative, 2024).</w:t>
      </w:r>
    </w:p>
    <w:p w14:paraId="66879AE9" w14:textId="77777777" w:rsidR="009A6FB0" w:rsidRDefault="00000000">
      <w:pPr>
        <w:spacing w:after="200" w:line="360" w:lineRule="auto"/>
        <w:jc w:val="both"/>
      </w:pPr>
      <w:r>
        <w:rPr>
          <w:rFonts w:ascii="Arial" w:eastAsia="Arial" w:hAnsi="Arial" w:cs="Arial"/>
          <w:sz w:val="22"/>
          <w:szCs w:val="22"/>
        </w:rPr>
        <w:t xml:space="preserve">This pattern, in which environmental and wellbeing benefits arise as a joint product of a single, well-designed initiative rather than from two parallel programmes, appears to be the most realistic and achievable model of integration for a sector that, as established in section 4.1, lacks the capital resources of the NHS. It suggests that social care providers may be better served by prioritising a small number of dual-purpose initiatives, chosen specifically for their </w:t>
      </w:r>
      <w:r>
        <w:rPr>
          <w:rFonts w:ascii="Arial" w:eastAsia="Arial" w:hAnsi="Arial" w:cs="Arial"/>
          <w:sz w:val="22"/>
          <w:szCs w:val="22"/>
        </w:rPr>
        <w:lastRenderedPageBreak/>
        <w:t>combined environmental and wellbeing value, than by attempting to replicate the NHS's broader, estate-wide decarbonisation model in miniature.</w:t>
      </w:r>
    </w:p>
    <w:p w14:paraId="7B4EC52B" w14:textId="77777777" w:rsidR="009A6FB0" w:rsidRDefault="00000000">
      <w:pPr>
        <w:spacing w:before="240" w:after="160" w:line="360" w:lineRule="auto"/>
      </w:pPr>
      <w:r>
        <w:rPr>
          <w:rFonts w:ascii="Arial" w:eastAsia="Arial" w:hAnsi="Arial" w:cs="Arial"/>
          <w:b/>
          <w:bCs/>
          <w:sz w:val="28"/>
          <w:szCs w:val="28"/>
        </w:rPr>
        <w:t>4.3 The Case for Tension: Climate Change, Inequality and Mental Health</w:t>
      </w:r>
    </w:p>
    <w:p w14:paraId="17EEEB60" w14:textId="77777777" w:rsidR="009A6FB0" w:rsidRDefault="00000000">
      <w:pPr>
        <w:spacing w:after="200" w:line="360" w:lineRule="auto"/>
        <w:jc w:val="both"/>
      </w:pPr>
      <w:r>
        <w:rPr>
          <w:rFonts w:ascii="Arial" w:eastAsia="Arial" w:hAnsi="Arial" w:cs="Arial"/>
          <w:sz w:val="22"/>
          <w:szCs w:val="22"/>
        </w:rPr>
        <w:t>Alongside this evidence of co-benefit, the review also identified clear evidence of tension between the sustainability and wellbeing agendas, particularly regarding mental health and inequality. The systematic review evidence on eco-anxiety demonstrates that awareness of climate change is itself a source of psychological distress, with consistent associations found between eco-anxiety and symptoms of depression, anxiety and general psychological distress across thirty-five reviewed studies (Cosh, Tully and Lykins, 2024). This means that the same climate crisis that is driving organisations toward sustainability action is also, independently, placing additional strain on the mental health of staff, service users and the wider public, a burden that falls disproportionately on populations who are already vulnerable or marginalised (Romanello et al., 2023; Romanello et al., 2025).</w:t>
      </w:r>
    </w:p>
    <w:p w14:paraId="43C872F4" w14:textId="77777777" w:rsidR="009A6FB0" w:rsidRDefault="00000000">
      <w:pPr>
        <w:spacing w:after="200" w:line="360" w:lineRule="auto"/>
        <w:jc w:val="both"/>
      </w:pPr>
      <w:r>
        <w:rPr>
          <w:rFonts w:ascii="Arial" w:eastAsia="Arial" w:hAnsi="Arial" w:cs="Arial"/>
          <w:sz w:val="22"/>
          <w:szCs w:val="22"/>
        </w:rPr>
        <w:t>This has a direct bearing on adult social care, which predominantly supports older people, disabled people and people with long-term health conditions, groups that are consistently identified in the climate and health literature as being among the most vulnerable to both the direct physical effects of climate change, such as extreme heat, and its indirect mental health effects (Romanello et al., 2023). Read alongside the Marmot Review's finding that a decade of austerity has adversely affected the social determinants of health and widened health inequalities, this suggests that social care service users may be simultaneously more exposed to climate-related harm and less protected by existing NHS-led sustainability infrastructure, which remains concentrated in acute hospital settings (Institute of Health Equity and Health Foundation, 2020).</w:t>
      </w:r>
    </w:p>
    <w:p w14:paraId="7BEED381" w14:textId="77777777" w:rsidR="009A6FB0" w:rsidRDefault="00000000">
      <w:pPr>
        <w:spacing w:after="200" w:line="360" w:lineRule="auto"/>
        <w:jc w:val="both"/>
      </w:pPr>
      <w:r>
        <w:rPr>
          <w:rFonts w:ascii="Arial" w:eastAsia="Arial" w:hAnsi="Arial" w:cs="Arial"/>
          <w:sz w:val="22"/>
          <w:szCs w:val="22"/>
        </w:rPr>
        <w:t>This tension complicates any simple narrative of natural synergy between sustainability and wellbeing. It suggests instead that sustainability action which is not explicitly designed with equity in mind, for example energy efficiency retrofit programmes that prioritise larger, better-resourced care providers, risks reinforcing rather than reducing existing inequalities between social care and NHS settings, and between higher and lower resourced care providers within the social care sector itself.</w:t>
      </w:r>
    </w:p>
    <w:p w14:paraId="1434E60A" w14:textId="77777777" w:rsidR="009A6FB0" w:rsidRDefault="00000000">
      <w:pPr>
        <w:spacing w:after="200" w:line="360" w:lineRule="auto"/>
        <w:jc w:val="both"/>
      </w:pPr>
      <w:r>
        <w:rPr>
          <w:rFonts w:ascii="Arial" w:eastAsia="Arial" w:hAnsi="Arial" w:cs="Arial"/>
          <w:sz w:val="22"/>
          <w:szCs w:val="22"/>
        </w:rPr>
        <w:t xml:space="preserve">The scoping review evidence on eco-anxiety in children and young people adds a further, longer-term dimension to this analysis. Although this dissertation is primarily concerned with adult health and social care, findings that children and young people experience measurable </w:t>
      </w:r>
      <w:r>
        <w:rPr>
          <w:rFonts w:ascii="Arial" w:eastAsia="Arial" w:hAnsi="Arial" w:cs="Arial"/>
          <w:sz w:val="22"/>
          <w:szCs w:val="22"/>
        </w:rPr>
        <w:lastRenderedPageBreak/>
        <w:t>psychological distress in response to their awareness of climate change, including sadness, anger and fear, point to a future workforce and future generation of service users who may enter both the health and social care professions, and the care system itself, already carrying a degree of climate-related psychological burden (Cosh, Tully and Lykins, 2024). This raises the possibility that eco-anxiety could, over time, become a further contributing factor to the workforce wellbeing crisis discussed in section 4.4, compounding existing pressures rather than existing independently of them.</w:t>
      </w:r>
    </w:p>
    <w:p w14:paraId="4C69CFF2" w14:textId="77777777" w:rsidR="009A6FB0" w:rsidRDefault="00000000">
      <w:pPr>
        <w:spacing w:after="200" w:line="360" w:lineRule="auto"/>
        <w:jc w:val="both"/>
      </w:pPr>
      <w:r>
        <w:rPr>
          <w:rFonts w:ascii="Arial" w:eastAsia="Arial" w:hAnsi="Arial" w:cs="Arial"/>
          <w:sz w:val="22"/>
          <w:szCs w:val="22"/>
        </w:rPr>
        <w:t>The Sustainable Development Goals literature reinforces the argument that health and social care organisations cannot address wellbeing in isolation from these wider social and environmental determinants. Research examining health policy priorities under the Sustainable Development Goals framework has emphasised that multisectoral collaboration, extending beyond the traditional boundaries of the health sector into housing, education and environmental policy, is essential if genuine progress on health equity is to be achieved (PMC, 2020; PMC, 2019). This suggests that a social care organisation seeking to protect the wellbeing of its service users from climate-related harm cannot do so through internal sustainability measures alone, such as energy efficiency or green care programmes, however valuable these are, but must also engage with wider local and national systems of social protection, housing quality and public health, consistent with the emphasis placed on social protection for health within the SDG research priority-setting literature (PMC, 2018).</w:t>
      </w:r>
    </w:p>
    <w:p w14:paraId="125B473E" w14:textId="77777777" w:rsidR="009A6FB0" w:rsidRDefault="00000000">
      <w:pPr>
        <w:spacing w:before="240" w:after="160" w:line="360" w:lineRule="auto"/>
      </w:pPr>
      <w:r>
        <w:rPr>
          <w:rFonts w:ascii="Arial" w:eastAsia="Arial" w:hAnsi="Arial" w:cs="Arial"/>
          <w:b/>
          <w:bCs/>
          <w:sz w:val="28"/>
          <w:szCs w:val="28"/>
        </w:rPr>
        <w:t>4.4 Workforce Wellbeing: A Parallel Sustainability Crisis</w:t>
      </w:r>
    </w:p>
    <w:p w14:paraId="52C8BE35" w14:textId="77777777" w:rsidR="009A6FB0" w:rsidRDefault="00000000">
      <w:pPr>
        <w:spacing w:after="200" w:line="360" w:lineRule="auto"/>
        <w:jc w:val="both"/>
      </w:pPr>
      <w:r>
        <w:rPr>
          <w:rFonts w:ascii="Arial" w:eastAsia="Arial" w:hAnsi="Arial" w:cs="Arial"/>
          <w:sz w:val="22"/>
          <w:szCs w:val="22"/>
        </w:rPr>
        <w:t>The third major theme to emerge from this review concerns the health and social care workforce itself. The evidence reviewed in Chapter Two demonstrated that burnout has been a long-standing problem across both the NHS and social care workforce, and that this problem predates, though it was significantly worsened by, the covid-19 pandemic (Health and Social Care Committee, 2021; Care Quality Commission, 2021). Social care specifically has been shown to suffer from persistently high turnover and vacancy rates, driven substantially by low pay and poor working conditions rather than by lack of commitment among staff themselves (NIHR Applied Research Collaboration, 2024; The Access Group, 2026).</w:t>
      </w:r>
    </w:p>
    <w:p w14:paraId="7A35E94B" w14:textId="77777777" w:rsidR="009A6FB0" w:rsidRDefault="00000000">
      <w:pPr>
        <w:spacing w:after="200" w:line="360" w:lineRule="auto"/>
        <w:jc w:val="both"/>
      </w:pPr>
      <w:r>
        <w:rPr>
          <w:rFonts w:ascii="Arial" w:eastAsia="Arial" w:hAnsi="Arial" w:cs="Arial"/>
          <w:sz w:val="22"/>
          <w:szCs w:val="22"/>
        </w:rPr>
        <w:t xml:space="preserve">This dissertation's central argument is that this workforce crisis should itself be understood as a sustainability issue, using Elkington's (1997) triple bottom line framework. If an organisation's social sustainability, meaning its ability to maintain a stable, healthy and adequately resourced workforce over time, is treated as being equally important to its environmental sustainability, then current levels of burnout and turnover in social care represent a clear sustainability failure, arguably as serious as any environmental shortfall identified in section 4.1 (HEC Paris, </w:t>
      </w:r>
      <w:r>
        <w:rPr>
          <w:rFonts w:ascii="Arial" w:eastAsia="Arial" w:hAnsi="Arial" w:cs="Arial"/>
          <w:sz w:val="22"/>
          <w:szCs w:val="22"/>
        </w:rPr>
        <w:lastRenderedPageBreak/>
        <w:t>2023; IBM, 2025). The parliamentary description of discretionary staff effort as unsustainable is, in this sense, not merely a metaphor but an accurate description of a workforce being consumed faster than it can be replenished, in much the same way that natural resources can be consumed faster than they can regenerate (Health and Social Care Committee, 2021).</w:t>
      </w:r>
    </w:p>
    <w:p w14:paraId="0143CD9F" w14:textId="77777777" w:rsidR="009A6FB0" w:rsidRDefault="00000000">
      <w:pPr>
        <w:spacing w:after="200" w:line="360" w:lineRule="auto"/>
        <w:jc w:val="both"/>
      </w:pPr>
      <w:r>
        <w:rPr>
          <w:rFonts w:ascii="Arial" w:eastAsia="Arial" w:hAnsi="Arial" w:cs="Arial"/>
          <w:sz w:val="22"/>
          <w:szCs w:val="22"/>
        </w:rPr>
        <w:t>This reframing has practical implications. It suggests that investment in staff wellbeing, for example through improved working conditions, fair pay and access to green and restorative spaces within care settings, should not be seen as competing with environmental sustainability investment for scarce organisational resources, but as part of the same underlying sustainability agenda. This is consistent with the parliamentary committee's recommendation that a shared wellbeing measure, similar to the existing NHS staff survey, should be extended to cover the social care workforce, allowing progress on workforce sustainability to be tracked with the same rigour currently applied to carbon emissions in the NHS (Health and Social Care Committee, 2021).</w:t>
      </w:r>
    </w:p>
    <w:p w14:paraId="21340B7B" w14:textId="77777777" w:rsidR="009A6FB0" w:rsidRDefault="00000000">
      <w:pPr>
        <w:spacing w:after="200" w:line="360" w:lineRule="auto"/>
        <w:jc w:val="both"/>
      </w:pPr>
      <w:r>
        <w:rPr>
          <w:rFonts w:ascii="Arial" w:eastAsia="Arial" w:hAnsi="Arial" w:cs="Arial"/>
          <w:sz w:val="22"/>
          <w:szCs w:val="22"/>
        </w:rPr>
        <w:t>The review also identified evidence of a self-reinforcing cycle between workforce instability and care quality. Commentary on stress and burnout among social workers notes that burnout does not remain contained to the individual affected, but negatively affects the quality of care that can be provided to others, which in turn increases pressure on remaining colleagues and further undermines the working environment (Randstad UK, n.d.). This mirrors, in social terms, the kind of feedback loop that characterises unsustainable environmental systems, in which the depletion of one resource accelerates the depletion of another. Recommendations for addressing this cycle in the literature reviewed include fostering a culture of open communication about mental health, ensuring access to accessible support services, training managers in mental health awareness, and encouraging the use of rest and leave entitlements, none of which require the scale of capital investment associated with environmental decarbonisation, but which do require sustained organisational commitment and, crucially, external measurement to demonstrate progress (Randstad UK, n.d.; Care Quality Commission, 2021).</w:t>
      </w:r>
    </w:p>
    <w:p w14:paraId="64A9226F" w14:textId="77777777" w:rsidR="009A6FB0" w:rsidRDefault="00000000">
      <w:pPr>
        <w:spacing w:after="200" w:line="360" w:lineRule="auto"/>
        <w:jc w:val="both"/>
      </w:pPr>
      <w:r>
        <w:rPr>
          <w:rFonts w:ascii="Arial" w:eastAsia="Arial" w:hAnsi="Arial" w:cs="Arial"/>
          <w:sz w:val="22"/>
          <w:szCs w:val="22"/>
        </w:rPr>
        <w:t xml:space="preserve">It is notable that the interventions identified in section 4.2 as offering environmental and wellbeing co-benefits, particularly green care and nature-based activities, are also identified within the wider wellbeing literature as protective against stress and burnout among staff, not only among service users. This suggests a further, largely unexplored avenue for social care providers: rather than treating green care initiatives solely as a service-user intervention, providers could consider extending access to therapeutic garden spaces, green break areas and nature-based activities to staff themselves, potentially addressing two elements of the </w:t>
      </w:r>
      <w:r>
        <w:rPr>
          <w:rFonts w:ascii="Arial" w:eastAsia="Arial" w:hAnsi="Arial" w:cs="Arial"/>
          <w:sz w:val="22"/>
          <w:szCs w:val="22"/>
        </w:rPr>
        <w:lastRenderedPageBreak/>
        <w:t>sustainability agenda, environmental engagement and workforce wellbeing, through a single, relatively low-cost organisational investment.</w:t>
      </w:r>
    </w:p>
    <w:p w14:paraId="479ADCDF" w14:textId="77777777" w:rsidR="009A6FB0" w:rsidRDefault="00000000">
      <w:pPr>
        <w:spacing w:before="240" w:after="160" w:line="360" w:lineRule="auto"/>
      </w:pPr>
      <w:r>
        <w:rPr>
          <w:rFonts w:ascii="Arial" w:eastAsia="Arial" w:hAnsi="Arial" w:cs="Arial"/>
          <w:b/>
          <w:bCs/>
          <w:sz w:val="28"/>
          <w:szCs w:val="28"/>
        </w:rPr>
        <w:t>4.5 Applying Change Management Theory to Embed Sustainability</w:t>
      </w:r>
    </w:p>
    <w:p w14:paraId="1B181F65" w14:textId="77777777" w:rsidR="009A6FB0" w:rsidRDefault="00000000">
      <w:pPr>
        <w:spacing w:after="200" w:line="360" w:lineRule="auto"/>
        <w:jc w:val="both"/>
      </w:pPr>
      <w:r>
        <w:rPr>
          <w:rFonts w:ascii="Arial" w:eastAsia="Arial" w:hAnsi="Arial" w:cs="Arial"/>
          <w:sz w:val="22"/>
          <w:szCs w:val="22"/>
        </w:rPr>
        <w:t>A further theme emerging from the literature concerns how sustainability, once recognised as important, can actually be embedded within organisational culture, particularly in a sector as fragmented and resource-constrained as social care. Kotter's widely used eight-step model of organisational change offers a useful framework for this purpose, distinguishing between an initial phase of creating urgency, building a coalition and forming a vision, a middle phase of removing barriers and generating short-term wins, and a final phase of consolidating gains and anchoring new approaches within organisational culture (Harvard T.H. Chan School of Public Health, 2026; NHS Elect, n.d.). Evidence from healthcare applications of this model suggests that organisations frequently succeed in the earlier stages of change but struggle with the final step, anchoring new approaches within culture, meaning that initiatives can lose momentum once initial enthusiasm fades (Agency for Healthcare Research and Quality, n.d.).</w:t>
      </w:r>
    </w:p>
    <w:p w14:paraId="07792B01" w14:textId="77777777" w:rsidR="009A6FB0" w:rsidRDefault="00000000">
      <w:pPr>
        <w:spacing w:after="200" w:line="360" w:lineRule="auto"/>
        <w:jc w:val="both"/>
      </w:pPr>
      <w:r>
        <w:rPr>
          <w:rFonts w:ascii="Arial" w:eastAsia="Arial" w:hAnsi="Arial" w:cs="Arial"/>
          <w:sz w:val="22"/>
          <w:szCs w:val="22"/>
        </w:rPr>
        <w:t>Applied to the social care sustainability gap identified earlier in this chapter, Kotter's model suggests that simply issuing sustainability guidance to individual care providers, without also building a shared sense of urgency, a supportive coalition, of managers, staff and commissioners, and mechanisms for celebrating and consolidating early wins, is unlikely to produce lasting change. This may help explain why current social care sustainability activity, as identified in section 4.1, remains largely at the level of individual, ad hoc initiatives, such as installing LED lighting or starting a recycling scheme, rather than being embedded as a strategic, board-level priority in the way it has been within the NHS (Greener Ideal, 2024; NHS England, 2025).</w:t>
      </w:r>
    </w:p>
    <w:p w14:paraId="4E737983" w14:textId="77777777" w:rsidR="009A6FB0" w:rsidRDefault="00000000">
      <w:pPr>
        <w:spacing w:before="240" w:after="160" w:line="360" w:lineRule="auto"/>
      </w:pPr>
      <w:r>
        <w:rPr>
          <w:rFonts w:ascii="Arial" w:eastAsia="Arial" w:hAnsi="Arial" w:cs="Arial"/>
          <w:b/>
          <w:bCs/>
          <w:sz w:val="28"/>
          <w:szCs w:val="28"/>
        </w:rPr>
        <w:t>4.6 The Financial Dimension: A Third Bottom Line Under Strain</w:t>
      </w:r>
    </w:p>
    <w:p w14:paraId="3F09809D" w14:textId="77777777" w:rsidR="009A6FB0" w:rsidRDefault="00000000">
      <w:pPr>
        <w:spacing w:after="200" w:line="360" w:lineRule="auto"/>
        <w:jc w:val="both"/>
      </w:pPr>
      <w:r>
        <w:rPr>
          <w:rFonts w:ascii="Arial" w:eastAsia="Arial" w:hAnsi="Arial" w:cs="Arial"/>
          <w:sz w:val="22"/>
          <w:szCs w:val="22"/>
        </w:rPr>
        <w:t>Elkington's (1997) triple bottom line framework insists that economic, social and environmental performance be considered together, and the evidence reviewed here suggests that, within adult social care, the economic dimension is currently the dominant constraint shaping how far the other two dimensions can be pursued (HEC Paris, 2023). The adult social care reform white paper itself was framed substantially around funding and the cost of care, including proposals for a cap on individual care costs and additional government investment running into hundreds of millions of pounds over several years, reflecting a sector in which financial sustainability is already a live and pressing concern before environmental sustainability is even considered (Department of Health and Social Care, 2021).</w:t>
      </w:r>
    </w:p>
    <w:p w14:paraId="6A97E1B2" w14:textId="77777777" w:rsidR="009A6FB0" w:rsidRDefault="00000000">
      <w:pPr>
        <w:spacing w:after="200" w:line="360" w:lineRule="auto"/>
        <w:jc w:val="both"/>
      </w:pPr>
      <w:r>
        <w:rPr>
          <w:rFonts w:ascii="Arial" w:eastAsia="Arial" w:hAnsi="Arial" w:cs="Arial"/>
          <w:sz w:val="22"/>
          <w:szCs w:val="22"/>
        </w:rPr>
        <w:lastRenderedPageBreak/>
        <w:t>This financial constraint helps explain why sector commentary on social care sustainability so consistently frames environmental measures in terms of cost saving, describing energy efficiency, waste reduction and reduced travel primarily as ways to protect operating margins, rather than as an end in themselves (Ecerttraining, 2024; RDS Carebuild, 2025). This is not necessarily a weakness; framing sustainability in terms of cost saving may in fact be the most realistic route to engagement for a financially constrained sector, and is consistent with the wider argument, drawn from NHS experience, that sustainability and financial viability are not inherently in conflict (Sustainability Magazine, 2025). However, it does mean that sustainability initiatives in social care are more likely to be adopted where a clear and relatively short-term financial return can be demonstrated, which may disadvantage initiatives such as green care and nature-based interventions, whose primary evidenced benefit is to wellbeing rather than to the balance sheet, even where indirect financial benefits, such as reduced staff turnover or reduced demand on clinical services, may also exist (National Academy for Social Prescribing, 2023).</w:t>
      </w:r>
    </w:p>
    <w:p w14:paraId="5FBA619F" w14:textId="77777777" w:rsidR="009A6FB0" w:rsidRDefault="00000000">
      <w:pPr>
        <w:spacing w:before="240" w:after="160" w:line="360" w:lineRule="auto"/>
      </w:pPr>
      <w:r>
        <w:rPr>
          <w:rFonts w:ascii="Arial" w:eastAsia="Arial" w:hAnsi="Arial" w:cs="Arial"/>
          <w:b/>
          <w:bCs/>
          <w:sz w:val="28"/>
          <w:szCs w:val="28"/>
        </w:rPr>
        <w:t>4.7 Synthesis: Rhetoric versus Reality</w:t>
      </w:r>
    </w:p>
    <w:p w14:paraId="0C40098D" w14:textId="77777777" w:rsidR="009A6FB0" w:rsidRDefault="00000000">
      <w:pPr>
        <w:spacing w:after="200" w:line="360" w:lineRule="auto"/>
        <w:jc w:val="both"/>
      </w:pPr>
      <w:r>
        <w:rPr>
          <w:rFonts w:ascii="Arial" w:eastAsia="Arial" w:hAnsi="Arial" w:cs="Arial"/>
          <w:sz w:val="22"/>
          <w:szCs w:val="22"/>
        </w:rPr>
        <w:t>Bringing these themes together, this review finds that the relationship between sustainability and wellbeing in health and social care is best understood as containing both genuine co-benefit and genuine tension, rather than being uniformly positive or negative. The rhetoric found in NHS sustainability communications, that there is no trade-off between sustainability and good healthcare, is well supported within the NHS's own acute and community health settings, where mature Green Plans, statutory duties and dedicated funding exist (Sustainability Magazine, 2025; NHS England, 2025). However, this dissertation's synthesis of the evidence suggests that this rhetoric does not yet reliably extend to adult social care, where the same organisations and the same overstretched workforce are simultaneously expected to maintain quality of care, financial viability and, increasingly, environmental responsibility, without the statutory backing, funding or change-management support available to the NHS.</w:t>
      </w:r>
    </w:p>
    <w:p w14:paraId="0FBB1235" w14:textId="77777777" w:rsidR="009A6FB0" w:rsidRDefault="00000000">
      <w:pPr>
        <w:spacing w:after="200" w:line="360" w:lineRule="auto"/>
        <w:jc w:val="both"/>
      </w:pPr>
      <w:r>
        <w:rPr>
          <w:rFonts w:ascii="Arial" w:eastAsia="Arial" w:hAnsi="Arial" w:cs="Arial"/>
          <w:sz w:val="22"/>
          <w:szCs w:val="22"/>
        </w:rPr>
        <w:t xml:space="preserve">The strongest evidence for genuine synergy lies in green care and nature-based interventions, which appear capable of delivering environmental and wellbeing benefits simultaneously, and which appear well suited to the community and residential settings typical of social care. The strongest evidence for tension lies in the climate-related mental health literature, which demonstrates that the same populations social care exists to support are disproportionately vulnerable to the psychological and physical harms of climate change, and in the workforce literature, which demonstrates that social care staff are already operating under conditions that are, by any reasonable definition, unsustainable. Taken together, these findings suggest </w:t>
      </w:r>
      <w:r>
        <w:rPr>
          <w:rFonts w:ascii="Arial" w:eastAsia="Arial" w:hAnsi="Arial" w:cs="Arial"/>
          <w:sz w:val="22"/>
          <w:szCs w:val="22"/>
        </w:rPr>
        <w:lastRenderedPageBreak/>
        <w:t>that achieving genuine integration of sustainability and wellbeing in social care will require deliberate policy and organisational choices, informed by change-management principles and by an equity-conscious approach to implementation, rather than a passive assumption that co-benefits will simply emerge on their own.</w:t>
      </w:r>
    </w:p>
    <w:p w14:paraId="16B646A2" w14:textId="77777777" w:rsidR="009A6FB0" w:rsidRDefault="00000000">
      <w:pPr>
        <w:spacing w:before="400" w:after="240" w:line="360" w:lineRule="auto"/>
      </w:pPr>
      <w:r>
        <w:rPr>
          <w:rFonts w:ascii="Arial" w:eastAsia="Arial" w:hAnsi="Arial" w:cs="Arial"/>
          <w:b/>
          <w:bCs/>
          <w:sz w:val="32"/>
          <w:szCs w:val="32"/>
        </w:rPr>
        <w:t>CHAPTER 5: RECOMMENDATIONS AND CONCLUSION</w:t>
      </w:r>
    </w:p>
    <w:p w14:paraId="69C08459" w14:textId="77777777" w:rsidR="009A6FB0" w:rsidRDefault="00000000">
      <w:pPr>
        <w:spacing w:before="240" w:after="160" w:line="360" w:lineRule="auto"/>
      </w:pPr>
      <w:r>
        <w:rPr>
          <w:rFonts w:ascii="Arial" w:eastAsia="Arial" w:hAnsi="Arial" w:cs="Arial"/>
          <w:b/>
          <w:bCs/>
          <w:sz w:val="28"/>
          <w:szCs w:val="28"/>
        </w:rPr>
        <w:t>5.1 Recommendations</w:t>
      </w:r>
    </w:p>
    <w:p w14:paraId="19A23FD2" w14:textId="77777777" w:rsidR="009A6FB0" w:rsidRDefault="00000000">
      <w:pPr>
        <w:spacing w:after="200" w:line="360" w:lineRule="auto"/>
        <w:jc w:val="both"/>
      </w:pPr>
      <w:r>
        <w:rPr>
          <w:rFonts w:ascii="Arial" w:eastAsia="Arial" w:hAnsi="Arial" w:cs="Arial"/>
          <w:sz w:val="22"/>
          <w:szCs w:val="22"/>
        </w:rPr>
        <w:t>Based on the findings of this review, five recommendations are proposed. First, national policy should extend a proportionate, appropriately funded equivalent of the NHS Green Plan framework to registered adult social care providers, recognising the sector's fragmented structure and more limited financial capacity, so that sustainability expectations are matched by the resources needed to meet them, rather than being left to individual provider goodwill (Department of Health and Social Care, 2021; Devon Care Homes Collaborative, 2024).</w:t>
      </w:r>
    </w:p>
    <w:p w14:paraId="00772DF0" w14:textId="77777777" w:rsidR="009A6FB0" w:rsidRDefault="00000000">
      <w:pPr>
        <w:spacing w:after="200" w:line="360" w:lineRule="auto"/>
        <w:jc w:val="both"/>
      </w:pPr>
      <w:r>
        <w:rPr>
          <w:rFonts w:ascii="Arial" w:eastAsia="Arial" w:hAnsi="Arial" w:cs="Arial"/>
          <w:sz w:val="22"/>
          <w:szCs w:val="22"/>
        </w:rPr>
        <w:t>Second, workforce wellbeing metrics should be embedded within social care sustainability reporting, extending the existing NHS staff survey wellbeing measure to the social care sector as previously recommended by the Health and Social Care Committee, so that organisations are required to track and report on the sustainability of their workforce with the same seriousness currently applied to carbon emissions (Health and Social Care Committee, 2021; Care Quality Commission, 2021).</w:t>
      </w:r>
    </w:p>
    <w:p w14:paraId="772A1113" w14:textId="77777777" w:rsidR="009A6FB0" w:rsidRDefault="00000000">
      <w:pPr>
        <w:spacing w:after="200" w:line="360" w:lineRule="auto"/>
        <w:jc w:val="both"/>
      </w:pPr>
      <w:r>
        <w:rPr>
          <w:rFonts w:ascii="Arial" w:eastAsia="Arial" w:hAnsi="Arial" w:cs="Arial"/>
          <w:sz w:val="22"/>
          <w:szCs w:val="22"/>
        </w:rPr>
        <w:t>Third, given the strong evidence base identified in this review, social care providers and commissioners should be actively supported and, where appropriate, funded to invest in green care and nature-based interventions, such as therapeutic gardens, green social prescribing pathways and biodiversity projects on care home grounds, recognising these as genuine dual-purpose investments that reduce environmental impact while directly supporting resident and staff wellbeing (National Academy for Social Prescribing, 2023; Tandfonline, 2026).</w:t>
      </w:r>
    </w:p>
    <w:p w14:paraId="23DDEB49" w14:textId="77777777" w:rsidR="009A6FB0" w:rsidRDefault="00000000">
      <w:pPr>
        <w:spacing w:after="200" w:line="360" w:lineRule="auto"/>
        <w:jc w:val="both"/>
      </w:pPr>
      <w:r>
        <w:rPr>
          <w:rFonts w:ascii="Arial" w:eastAsia="Arial" w:hAnsi="Arial" w:cs="Arial"/>
          <w:sz w:val="22"/>
          <w:szCs w:val="22"/>
        </w:rPr>
        <w:t>Fourth, sector leaders and commissioners should draw on established change-management frameworks, such as Kotter's eight-step model, when introducing sustainability initiatives, with particular attention to the often-neglected final stage of embedding change within organisational culture, to avoid the pattern of well-intentioned but short-lived initiatives observed in current sector practice (NHS Elect, n.d.; Agency for Healthcare Research and Quality, n.d.).</w:t>
      </w:r>
    </w:p>
    <w:p w14:paraId="13980565" w14:textId="77777777" w:rsidR="009A6FB0" w:rsidRDefault="00000000">
      <w:pPr>
        <w:spacing w:after="200" w:line="360" w:lineRule="auto"/>
        <w:jc w:val="both"/>
      </w:pPr>
      <w:r>
        <w:rPr>
          <w:rFonts w:ascii="Arial" w:eastAsia="Arial" w:hAnsi="Arial" w:cs="Arial"/>
          <w:sz w:val="22"/>
          <w:szCs w:val="22"/>
        </w:rPr>
        <w:t xml:space="preserve">Fifth, further primary research is needed, involving direct engagement with social care staff, managers and service users, to explore their lived experience of sustainability initiatives and </w:t>
      </w:r>
      <w:r>
        <w:rPr>
          <w:rFonts w:ascii="Arial" w:eastAsia="Arial" w:hAnsi="Arial" w:cs="Arial"/>
          <w:sz w:val="22"/>
          <w:szCs w:val="22"/>
        </w:rPr>
        <w:lastRenderedPageBreak/>
        <w:t>to test, in practice, whether the co-benefits identified in this literature-based review are realised, and for whom, given the equity concerns raised in section 4.3.</w:t>
      </w:r>
    </w:p>
    <w:p w14:paraId="4A13BE2B" w14:textId="77777777" w:rsidR="009A6FB0" w:rsidRDefault="00000000">
      <w:pPr>
        <w:spacing w:after="200" w:line="360" w:lineRule="auto"/>
        <w:jc w:val="both"/>
      </w:pPr>
      <w:r>
        <w:rPr>
          <w:rFonts w:ascii="Arial" w:eastAsia="Arial" w:hAnsi="Arial" w:cs="Arial"/>
          <w:sz w:val="22"/>
          <w:szCs w:val="22"/>
        </w:rPr>
        <w:t>These recommendations are deliberately sequenced to reflect the financial reality identified in section 4.6. The third and fourth recommendations, focusing on low-cost, dual-purpose green care initiatives and on change-management leadership rather than large capital projects, are presented as immediately actionable steps that individual providers could begin to implement without waiting for the more substantial policy and funding reforms called for in the first and second recommendations. This sequencing reflects the view, developed throughout Chapter Four, that meaningful progress in social care need not wait for parity with the NHS to be achieved before any action is taken, but that provider-level action alone cannot substitute for the coordinated national framework that the NHS experience shows to be necessary for sustained, sector-wide change.</w:t>
      </w:r>
    </w:p>
    <w:p w14:paraId="72736696" w14:textId="77777777" w:rsidR="009A6FB0" w:rsidRDefault="00000000">
      <w:pPr>
        <w:spacing w:after="200" w:line="360" w:lineRule="auto"/>
        <w:jc w:val="both"/>
      </w:pPr>
      <w:r>
        <w:rPr>
          <w:rFonts w:ascii="Arial" w:eastAsia="Arial" w:hAnsi="Arial" w:cs="Arial"/>
          <w:sz w:val="22"/>
          <w:szCs w:val="22"/>
        </w:rPr>
        <w:t>It is also worth noting that these recommendations are mutually reinforcing rather than independent. A social care provider that begins to invest in green care spaces, for example, is likely to generate the kind of visible, low-cost early success that Kotter's change model identifies as important for building momentum and organisational buy-in for further sustainability action, while simultaneously contributing evidence toward the workforce wellbeing metrics called for in the second recommendation. In this sense, the recommendations are best understood not as a checklist of separate actions but as the beginning of a coherent organisational strategy, in which small, evidenced, dual-purpose initiatives create the conditions of confidence, evidence and staff engagement needed to support the larger structural reforms that ultimately depend on national policy and funding decisions beyond the control of any individual provider.</w:t>
      </w:r>
    </w:p>
    <w:p w14:paraId="50338912" w14:textId="77777777" w:rsidR="009A6FB0" w:rsidRDefault="00000000">
      <w:pPr>
        <w:spacing w:before="240" w:after="160" w:line="360" w:lineRule="auto"/>
      </w:pPr>
      <w:r>
        <w:rPr>
          <w:rFonts w:ascii="Arial" w:eastAsia="Arial" w:hAnsi="Arial" w:cs="Arial"/>
          <w:b/>
          <w:bCs/>
          <w:sz w:val="28"/>
          <w:szCs w:val="28"/>
        </w:rPr>
        <w:t>5.2 Conclusion</w:t>
      </w:r>
    </w:p>
    <w:p w14:paraId="641E45B0" w14:textId="77777777" w:rsidR="009A6FB0" w:rsidRDefault="00000000">
      <w:pPr>
        <w:spacing w:after="200" w:line="360" w:lineRule="auto"/>
        <w:jc w:val="both"/>
      </w:pPr>
      <w:r>
        <w:rPr>
          <w:rFonts w:ascii="Arial" w:eastAsia="Arial" w:hAnsi="Arial" w:cs="Arial"/>
          <w:sz w:val="22"/>
          <w:szCs w:val="22"/>
        </w:rPr>
        <w:t xml:space="preserve">This dissertation set out to examine the extent to which sustainability and wellbeing are integrated within health and social care organisations, with particular reference to the United Kingdom. The review has shown that sustainability policy has matured rapidly within the NHS, supported by a legally binding net zero duty, mandatory Green Plans and dedicated regulatory oversight, but that adult social care remains significantly behind, with sustainability activity that is informal, fragmented and largely reactive to cost pressures rather than driven by coordinated national strategy. At the level of concepts and evidence, however, the review has demonstrated that sustainability and wellbeing are far more closely linked than current policy structures suggest: green care and nature-based interventions offer genuine, evidenced co-benefits for both the environment and human wellbeing, while the climate-related mental </w:t>
      </w:r>
      <w:r>
        <w:rPr>
          <w:rFonts w:ascii="Arial" w:eastAsia="Arial" w:hAnsi="Arial" w:cs="Arial"/>
          <w:sz w:val="22"/>
          <w:szCs w:val="22"/>
        </w:rPr>
        <w:lastRenderedPageBreak/>
        <w:t>health literature and the long-standing evidence on health inequalities show that the populations social care exists to serve are disproportionately vulnerable to the harms of an unsustainable environment.</w:t>
      </w:r>
    </w:p>
    <w:p w14:paraId="78645C15" w14:textId="77777777" w:rsidR="009A6FB0" w:rsidRDefault="00000000">
      <w:pPr>
        <w:spacing w:after="200" w:line="360" w:lineRule="auto"/>
        <w:jc w:val="both"/>
      </w:pPr>
      <w:r>
        <w:rPr>
          <w:rFonts w:ascii="Arial" w:eastAsia="Arial" w:hAnsi="Arial" w:cs="Arial"/>
          <w:sz w:val="22"/>
          <w:szCs w:val="22"/>
        </w:rPr>
        <w:t>Perhaps the most significant finding of this dissertation is the conceptual parallel between environmental unsustainability and workforce unsustainability. Both describe a pattern of resource consumption, whether ecological or human, that cannot continue indefinitely without serious harm. Recognising this parallel suggests that investment in staff wellbeing and investment in environmental sustainability should not be treated as competing claims on a limited social care budget, but as two expressions of the same underlying commitment to long-term organisational and human sustainability. Achieving this, however, will not happen automatically. It requires deliberate policy choices to extend appropriate sustainability frameworks and funding to the social care sector, deliberate organisational choices informed by established change-management theory, and a deliberate, equity-conscious approach that ensures the benefits of a more sustainable health and social care system are shared by the staff and service users who are currently most exposed to its risks.</w:t>
      </w:r>
    </w:p>
    <w:p w14:paraId="3D2D8817" w14:textId="77777777" w:rsidR="009A6FB0" w:rsidRDefault="00000000">
      <w:pPr>
        <w:spacing w:after="200" w:line="360" w:lineRule="auto"/>
        <w:jc w:val="both"/>
      </w:pPr>
      <w:r>
        <w:rPr>
          <w:rFonts w:ascii="Arial" w:eastAsia="Arial" w:hAnsi="Arial" w:cs="Arial"/>
          <w:sz w:val="22"/>
          <w:szCs w:val="22"/>
        </w:rPr>
        <w:t>Returning to the module presentation that first prompted this line of enquiry, which examined the integration of holistic health, wellbeing and sustainable development within the health and social care sector, this dissertation has sought to move that broad integrative ambition toward a more specific and evidenced argument: that sustainability and wellbeing in health and social care are best understood not as two separate agendas competing for limited attention and resources, but as two dimensions of a single underlying question about what a health and social care system can continue to give, to the planet and to the people within it, without eventually running out. The NHS has begun to answer that question for its own emissions. This dissertation suggests that adult social care, and the wider research and policy community, must now begin to answer it for the sector's people, its buildings, and the natural environments in which care is so often, and so valuably, delivered.</w:t>
      </w:r>
    </w:p>
    <w:p w14:paraId="16CABAF1" w14:textId="77777777" w:rsidR="009A6FB0" w:rsidRDefault="00000000">
      <w:r>
        <w:br w:type="page"/>
      </w:r>
    </w:p>
    <w:p w14:paraId="7A726831" w14:textId="77777777" w:rsidR="009A6FB0" w:rsidRDefault="00000000">
      <w:pPr>
        <w:spacing w:before="400" w:after="240" w:line="360" w:lineRule="auto"/>
      </w:pPr>
      <w:r>
        <w:rPr>
          <w:rFonts w:ascii="Arial" w:eastAsia="Arial" w:hAnsi="Arial" w:cs="Arial"/>
          <w:b/>
          <w:bCs/>
          <w:sz w:val="32"/>
          <w:szCs w:val="32"/>
        </w:rPr>
        <w:lastRenderedPageBreak/>
        <w:t>REFERENCES</w:t>
      </w:r>
    </w:p>
    <w:p w14:paraId="12142C4B" w14:textId="77777777" w:rsidR="009A6FB0" w:rsidRDefault="00000000">
      <w:pPr>
        <w:spacing w:after="200" w:line="360" w:lineRule="auto"/>
        <w:ind w:left="720" w:hanging="720"/>
        <w:jc w:val="both"/>
      </w:pPr>
      <w:r>
        <w:rPr>
          <w:rFonts w:ascii="Arial" w:eastAsia="Arial" w:hAnsi="Arial" w:cs="Arial"/>
          <w:sz w:val="22"/>
          <w:szCs w:val="22"/>
        </w:rPr>
        <w:t>Agency for Healthcare Research and Quality (AHRQ) (n.d.) Implementation Change Management. Rockville: AHRQ. Available at: https://www.ahrq.gov/teamstepps-program/curriculum/implement/activity/change.html (Accessed: 30 July 2026).</w:t>
      </w:r>
    </w:p>
    <w:p w14:paraId="2AF402E7" w14:textId="77777777" w:rsidR="009A6FB0" w:rsidRDefault="00000000">
      <w:pPr>
        <w:spacing w:after="200" w:line="360" w:lineRule="auto"/>
        <w:ind w:left="720" w:hanging="720"/>
        <w:jc w:val="both"/>
      </w:pPr>
      <w:r>
        <w:rPr>
          <w:rFonts w:ascii="Arial" w:eastAsia="Arial" w:hAnsi="Arial" w:cs="Arial"/>
          <w:sz w:val="22"/>
          <w:szCs w:val="22"/>
        </w:rPr>
        <w:t>Aveyard, H. (2023) Doing a Literature Review in Health and Social Care: A Practical Guide. 5th edn. Maidenhead: Open University Press/McGraw-Hill Education.</w:t>
      </w:r>
    </w:p>
    <w:p w14:paraId="6E202099" w14:textId="77777777" w:rsidR="009A6FB0" w:rsidRDefault="00000000">
      <w:pPr>
        <w:spacing w:after="200" w:line="360" w:lineRule="auto"/>
        <w:ind w:left="720" w:hanging="720"/>
        <w:jc w:val="both"/>
      </w:pPr>
      <w:r>
        <w:rPr>
          <w:rFonts w:ascii="Arial" w:eastAsia="Arial" w:hAnsi="Arial" w:cs="Arial"/>
          <w:sz w:val="22"/>
          <w:szCs w:val="22"/>
        </w:rPr>
        <w:t>BJGP Life (2023) The World Health Organization's Definition of Health: A Baby to Be Retrieved from the Bathwater? Available at: https://bjgplife.com/the-world-health-organizations-definition-of-health-a-baby-to-be-retrieved-from-the-bathwater/ (Accessed: 30 July 2026).</w:t>
      </w:r>
    </w:p>
    <w:p w14:paraId="618F6EC3" w14:textId="77777777" w:rsidR="009A6FB0" w:rsidRDefault="00000000">
      <w:pPr>
        <w:spacing w:after="200" w:line="360" w:lineRule="auto"/>
        <w:ind w:left="720" w:hanging="720"/>
        <w:jc w:val="both"/>
      </w:pPr>
      <w:r>
        <w:rPr>
          <w:rFonts w:ascii="Arial" w:eastAsia="Arial" w:hAnsi="Arial" w:cs="Arial"/>
          <w:sz w:val="22"/>
          <w:szCs w:val="22"/>
        </w:rPr>
        <w:t>BMA (British Medical Association) (2024) More Support Needed to Help the NHS Reach Net Zero. Available at: https://www.bma.org.uk/what-we-do/population-health/protecting-people-from-threats-to-health/more-support-needed-to-help-the-nhs-reach-net-zero (Accessed: 30 July 2026).</w:t>
      </w:r>
    </w:p>
    <w:p w14:paraId="56991F4E" w14:textId="77777777" w:rsidR="009A6FB0" w:rsidRDefault="00000000">
      <w:pPr>
        <w:spacing w:after="200" w:line="360" w:lineRule="auto"/>
        <w:ind w:left="720" w:hanging="720"/>
        <w:jc w:val="both"/>
      </w:pPr>
      <w:r>
        <w:rPr>
          <w:rFonts w:ascii="Arial" w:eastAsia="Arial" w:hAnsi="Arial" w:cs="Arial"/>
          <w:sz w:val="22"/>
          <w:szCs w:val="22"/>
        </w:rPr>
        <w:t>Britannica (2026) Brundtland Report. Available at: https://www.britannica.com/topic/Brundtland-Report (Accessed: 30 July 2026).</w:t>
      </w:r>
    </w:p>
    <w:p w14:paraId="4B52E5D3" w14:textId="77777777" w:rsidR="009A6FB0" w:rsidRDefault="00000000">
      <w:pPr>
        <w:spacing w:after="200" w:line="360" w:lineRule="auto"/>
        <w:ind w:left="720" w:hanging="720"/>
        <w:jc w:val="both"/>
      </w:pPr>
      <w:r>
        <w:rPr>
          <w:rFonts w:ascii="Arial" w:eastAsia="Arial" w:hAnsi="Arial" w:cs="Arial"/>
          <w:sz w:val="22"/>
          <w:szCs w:val="22"/>
        </w:rPr>
        <w:t>Care Quality Commission (2021) Workforce Stress and Burnout. Available at: https://www.cqc.org.uk/publications/major-reports/soc202021_01g_stress-burnout (Accessed: 30 July 2026).</w:t>
      </w:r>
    </w:p>
    <w:p w14:paraId="4647BE79" w14:textId="77777777" w:rsidR="009A6FB0" w:rsidRDefault="00000000">
      <w:pPr>
        <w:spacing w:after="200" w:line="360" w:lineRule="auto"/>
        <w:ind w:left="720" w:hanging="720"/>
        <w:jc w:val="both"/>
      </w:pPr>
      <w:r>
        <w:rPr>
          <w:rFonts w:ascii="Arial" w:eastAsia="Arial" w:hAnsi="Arial" w:cs="Arial"/>
          <w:sz w:val="22"/>
          <w:szCs w:val="22"/>
        </w:rPr>
        <w:t>Cosh, S.M., Tully, P.J. and Lykins, A.D. (2024) 'The relationship between climate change and mental health: a systematic review of the association between eco-anxiety, psychological distress, and symptoms of major affective disorders', BMC Psychiatry. Available at: https://pmc.ncbi.nlm.nih.gov/articles/PMC11577747/ (Accessed: 30 July 2026).</w:t>
      </w:r>
    </w:p>
    <w:p w14:paraId="4962F43C" w14:textId="77777777" w:rsidR="009A6FB0" w:rsidRDefault="00000000">
      <w:pPr>
        <w:spacing w:after="200" w:line="360" w:lineRule="auto"/>
        <w:ind w:left="720" w:hanging="720"/>
        <w:jc w:val="both"/>
      </w:pPr>
      <w:r>
        <w:rPr>
          <w:rFonts w:ascii="Arial" w:eastAsia="Arial" w:hAnsi="Arial" w:cs="Arial"/>
          <w:sz w:val="22"/>
          <w:szCs w:val="22"/>
        </w:rPr>
        <w:t>Department of Health and Social Care (2021) People at the Heart of Care: Adult Social Care Reform White Paper. London: DHSC. Available at: https://assets.publishing.service.gov.uk/media/6234b0a6e90e0779a18d3f46/people-at-the-heart-of-care-asc-reform-accessible-with-correction-slip.pdf (Accessed: 30 July 2026).</w:t>
      </w:r>
    </w:p>
    <w:p w14:paraId="74407830" w14:textId="77777777" w:rsidR="009A6FB0" w:rsidRDefault="00000000">
      <w:pPr>
        <w:spacing w:after="200" w:line="360" w:lineRule="auto"/>
        <w:ind w:left="720" w:hanging="720"/>
        <w:jc w:val="both"/>
      </w:pPr>
      <w:r>
        <w:rPr>
          <w:rFonts w:ascii="Arial" w:eastAsia="Arial" w:hAnsi="Arial" w:cs="Arial"/>
          <w:sz w:val="22"/>
          <w:szCs w:val="22"/>
        </w:rPr>
        <w:lastRenderedPageBreak/>
        <w:t>Devon Care Homes Collaborative (2024) Greener Care Homes: Sustainability in Social Care. Available at: https://www.devoncarehomes.org/greener-care-homes (Accessed: 30 July 2026).</w:t>
      </w:r>
    </w:p>
    <w:p w14:paraId="684FB3D5" w14:textId="77777777" w:rsidR="009A6FB0" w:rsidRDefault="00000000">
      <w:pPr>
        <w:spacing w:after="200" w:line="360" w:lineRule="auto"/>
        <w:ind w:left="720" w:hanging="720"/>
        <w:jc w:val="both"/>
      </w:pPr>
      <w:r>
        <w:rPr>
          <w:rFonts w:ascii="Arial" w:eastAsia="Arial" w:hAnsi="Arial" w:cs="Arial"/>
          <w:sz w:val="22"/>
          <w:szCs w:val="22"/>
        </w:rPr>
        <w:t>Ecerttraining (2024) Sustainability in Care Home Operations: Benefits and Strategies. Available at: https://ecerttraining.co.uk/resources/sustainability-in-care-home-operations/ (Accessed: 30 July 2026).</w:t>
      </w:r>
    </w:p>
    <w:p w14:paraId="54B2EFE2" w14:textId="77777777" w:rsidR="009A6FB0" w:rsidRDefault="00000000">
      <w:pPr>
        <w:spacing w:after="200" w:line="360" w:lineRule="auto"/>
        <w:ind w:left="720" w:hanging="720"/>
        <w:jc w:val="both"/>
      </w:pPr>
      <w:r>
        <w:rPr>
          <w:rFonts w:ascii="Arial" w:eastAsia="Arial" w:hAnsi="Arial" w:cs="Arial"/>
          <w:sz w:val="22"/>
          <w:szCs w:val="22"/>
        </w:rPr>
        <w:t>Eco Gloves (2024) Reducing Environmental Impact in In-Home Care: Tips for Caregivers. Available at: https://ecogloves.co/blogs/resources/reducing-environmental-impact-in-in-home-care-tips-for-caregivers (Accessed: 30 July 2026).</w:t>
      </w:r>
    </w:p>
    <w:p w14:paraId="6FA99474" w14:textId="77777777" w:rsidR="009A6FB0" w:rsidRDefault="00000000">
      <w:pPr>
        <w:spacing w:after="200" w:line="360" w:lineRule="auto"/>
        <w:ind w:left="720" w:hanging="720"/>
        <w:jc w:val="both"/>
      </w:pPr>
      <w:r>
        <w:rPr>
          <w:rFonts w:ascii="Arial" w:eastAsia="Arial" w:hAnsi="Arial" w:cs="Arial"/>
          <w:sz w:val="22"/>
          <w:szCs w:val="22"/>
        </w:rPr>
        <w:t>Elkington, J. (1997) Cannibals with Forks: The Triple Bottom Line of 21st Century Business. Oxford: Capstone.</w:t>
      </w:r>
    </w:p>
    <w:p w14:paraId="57B120CC" w14:textId="77777777" w:rsidR="009A6FB0" w:rsidRDefault="00000000">
      <w:pPr>
        <w:spacing w:after="200" w:line="360" w:lineRule="auto"/>
        <w:ind w:left="720" w:hanging="720"/>
        <w:jc w:val="both"/>
      </w:pPr>
      <w:r>
        <w:rPr>
          <w:rFonts w:ascii="Arial" w:eastAsia="Arial" w:hAnsi="Arial" w:cs="Arial"/>
          <w:sz w:val="22"/>
          <w:szCs w:val="22"/>
        </w:rPr>
        <w:t>Environment and Society Portal (n.d.) The 'Brundtland Report'. Available at: https://www.environmentandsociety.org/tools/keywords/brundtland-report (Accessed: 30 July 2026).</w:t>
      </w:r>
    </w:p>
    <w:p w14:paraId="41441949" w14:textId="77777777" w:rsidR="009A6FB0" w:rsidRDefault="00000000">
      <w:pPr>
        <w:spacing w:after="200" w:line="360" w:lineRule="auto"/>
        <w:ind w:left="720" w:hanging="720"/>
        <w:jc w:val="both"/>
      </w:pPr>
      <w:r>
        <w:rPr>
          <w:rFonts w:ascii="Arial" w:eastAsia="Arial" w:hAnsi="Arial" w:cs="Arial"/>
          <w:sz w:val="22"/>
          <w:szCs w:val="22"/>
        </w:rPr>
        <w:t>GCU (Grand Canyon University) (2026) People, Planet, Profit: The Triple Bottom Line. Available at: https://www.gcu.edu/blog/business-management/people-planet-profit-looking-triple-bottom-line (Accessed: 30 July 2026).</w:t>
      </w:r>
    </w:p>
    <w:p w14:paraId="6C8AE3ED" w14:textId="77777777" w:rsidR="009A6FB0" w:rsidRDefault="00000000">
      <w:pPr>
        <w:spacing w:after="200" w:line="360" w:lineRule="auto"/>
        <w:ind w:left="720" w:hanging="720"/>
        <w:jc w:val="both"/>
      </w:pPr>
      <w:r>
        <w:rPr>
          <w:rFonts w:ascii="Arial" w:eastAsia="Arial" w:hAnsi="Arial" w:cs="Arial"/>
          <w:sz w:val="22"/>
          <w:szCs w:val="22"/>
        </w:rPr>
        <w:t>Greener Ideal (2024) Caregivers Going Green: 8 Sustainable Practices for Care Homes. Available at: https://greenerideal.com/guides/caregivers-going-green-8-sustainable-practices-for-care-homes/ (Accessed: 30 July 2026).</w:t>
      </w:r>
    </w:p>
    <w:p w14:paraId="2756F635" w14:textId="77777777" w:rsidR="009A6FB0" w:rsidRDefault="00000000">
      <w:pPr>
        <w:spacing w:after="200" w:line="360" w:lineRule="auto"/>
        <w:ind w:left="720" w:hanging="720"/>
        <w:jc w:val="both"/>
      </w:pPr>
      <w:r>
        <w:rPr>
          <w:rFonts w:ascii="Arial" w:eastAsia="Arial" w:hAnsi="Arial" w:cs="Arial"/>
          <w:sz w:val="22"/>
          <w:szCs w:val="22"/>
        </w:rPr>
        <w:t>Harvard T.H. Chan School of Public Health (2026) Change Management: Why It's So Important, and So Challenging, in Health Care Environments. Available at: https://hsph.harvard.edu/advanced-learning-academy/news/change-management-why-its-so-important-and-so-challenging-in-health-care-environments/ (Accessed: 30 July 2026).</w:t>
      </w:r>
    </w:p>
    <w:p w14:paraId="4E301383" w14:textId="77777777" w:rsidR="009A6FB0" w:rsidRDefault="00000000">
      <w:pPr>
        <w:spacing w:after="200" w:line="360" w:lineRule="auto"/>
        <w:ind w:left="720" w:hanging="720"/>
        <w:jc w:val="both"/>
      </w:pPr>
      <w:r>
        <w:rPr>
          <w:rFonts w:ascii="Arial" w:eastAsia="Arial" w:hAnsi="Arial" w:cs="Arial"/>
          <w:sz w:val="22"/>
          <w:szCs w:val="22"/>
        </w:rPr>
        <w:t>Health and Social Care Committee, House of Commons (2021) Workforce Burnout and Resilience in the NHS and Social Care. London: House of Commons. Available at: https://publications.parliament.uk/pa/cm5802/cmselect/cmhealth/22/2204.htm (Accessed: 30 July 2026).</w:t>
      </w:r>
    </w:p>
    <w:p w14:paraId="256974A3" w14:textId="77777777" w:rsidR="009A6FB0" w:rsidRDefault="00000000">
      <w:pPr>
        <w:spacing w:after="200" w:line="360" w:lineRule="auto"/>
        <w:ind w:left="720" w:hanging="720"/>
        <w:jc w:val="both"/>
      </w:pPr>
      <w:r>
        <w:rPr>
          <w:rFonts w:ascii="Arial" w:eastAsia="Arial" w:hAnsi="Arial" w:cs="Arial"/>
          <w:sz w:val="22"/>
          <w:szCs w:val="22"/>
        </w:rPr>
        <w:t>Health and Social Care Diploma (2023) Green Care Homes: Embracing Sustainability for a Healthier Future. Available at: https://www.healthcarediploma.org/blog/green-care-homes-embracing-sustainability-for-a-healthier-future/ (Accessed: 30 July 2026).</w:t>
      </w:r>
    </w:p>
    <w:p w14:paraId="59AC6835" w14:textId="77777777" w:rsidR="009A6FB0" w:rsidRDefault="00000000">
      <w:pPr>
        <w:spacing w:after="200" w:line="360" w:lineRule="auto"/>
        <w:ind w:left="720" w:hanging="720"/>
        <w:jc w:val="both"/>
      </w:pPr>
      <w:r>
        <w:rPr>
          <w:rFonts w:ascii="Arial" w:eastAsia="Arial" w:hAnsi="Arial" w:cs="Arial"/>
          <w:sz w:val="22"/>
          <w:szCs w:val="22"/>
        </w:rPr>
        <w:lastRenderedPageBreak/>
        <w:t>Health Knowledge (n.d.) Section 3: Concepts of Health and Wellbeing. Available at: https://www.healthknowledge.org.uk/public-health-textbook/medical-sociology-policy-economics/4a-concepts-health-illness/section2/activity3 (Accessed: 30 July 2026).</w:t>
      </w:r>
    </w:p>
    <w:p w14:paraId="46268EAC" w14:textId="77777777" w:rsidR="009A6FB0" w:rsidRDefault="00000000">
      <w:pPr>
        <w:spacing w:after="200" w:line="360" w:lineRule="auto"/>
        <w:ind w:left="720" w:hanging="720"/>
        <w:jc w:val="both"/>
      </w:pPr>
      <w:r>
        <w:rPr>
          <w:rFonts w:ascii="Arial" w:eastAsia="Arial" w:hAnsi="Arial" w:cs="Arial"/>
          <w:sz w:val="22"/>
          <w:szCs w:val="22"/>
        </w:rPr>
        <w:t>HEC Paris (2023) What is the 'Triple Bottom Line'? Available at: https://www.hec.edu/en/what-triple-bottom-line (Accessed: 30 July 2026).</w:t>
      </w:r>
    </w:p>
    <w:p w14:paraId="503C3905" w14:textId="77777777" w:rsidR="009A6FB0" w:rsidRDefault="00000000">
      <w:pPr>
        <w:spacing w:after="200" w:line="360" w:lineRule="auto"/>
        <w:ind w:left="720" w:hanging="720"/>
        <w:jc w:val="both"/>
      </w:pPr>
      <w:r>
        <w:rPr>
          <w:rFonts w:ascii="Arial" w:eastAsia="Arial" w:hAnsi="Arial" w:cs="Arial"/>
          <w:sz w:val="22"/>
          <w:szCs w:val="22"/>
        </w:rPr>
        <w:t>Howden Group (2026) NHS England Net Zero: What Health &amp; Care Leaders Need to Know. Available at: https://www.howdengroup.com/uk-en/news-insights/nhs-net-zero (Accessed: 30 July 2026).</w:t>
      </w:r>
    </w:p>
    <w:p w14:paraId="31645B2B" w14:textId="77777777" w:rsidR="009A6FB0" w:rsidRDefault="00000000">
      <w:pPr>
        <w:spacing w:after="200" w:line="360" w:lineRule="auto"/>
        <w:ind w:left="720" w:hanging="720"/>
        <w:jc w:val="both"/>
      </w:pPr>
      <w:r>
        <w:rPr>
          <w:rFonts w:ascii="Arial" w:eastAsia="Arial" w:hAnsi="Arial" w:cs="Arial"/>
          <w:sz w:val="22"/>
          <w:szCs w:val="22"/>
        </w:rPr>
        <w:t>IBM (2025) What Is the Triple Bottom Line (TBL)? Available at: https://www.ibm.com/think/topics/triple-bottom-line (Accessed: 30 July 2026).</w:t>
      </w:r>
    </w:p>
    <w:p w14:paraId="720A5F1A" w14:textId="77777777" w:rsidR="009A6FB0" w:rsidRDefault="00000000">
      <w:pPr>
        <w:spacing w:after="200" w:line="360" w:lineRule="auto"/>
        <w:ind w:left="720" w:hanging="720"/>
        <w:jc w:val="both"/>
      </w:pPr>
      <w:r>
        <w:rPr>
          <w:rFonts w:ascii="Arial" w:eastAsia="Arial" w:hAnsi="Arial" w:cs="Arial"/>
          <w:sz w:val="22"/>
          <w:szCs w:val="22"/>
        </w:rPr>
        <w:t>Institute of Health Equity (2010) Fair Society, Healthy Lives: The Marmot Review. London: Institute of Health Equity, UCL.</w:t>
      </w:r>
    </w:p>
    <w:p w14:paraId="12EF6A86" w14:textId="77777777" w:rsidR="009A6FB0" w:rsidRDefault="00000000">
      <w:pPr>
        <w:spacing w:after="200" w:line="360" w:lineRule="auto"/>
        <w:ind w:left="720" w:hanging="720"/>
        <w:jc w:val="both"/>
      </w:pPr>
      <w:r>
        <w:rPr>
          <w:rFonts w:ascii="Arial" w:eastAsia="Arial" w:hAnsi="Arial" w:cs="Arial"/>
          <w:sz w:val="22"/>
          <w:szCs w:val="22"/>
        </w:rPr>
        <w:t>Institute of Health Equity and Health Foundation (Marmot, M., Allen, J., Boyce, T., Goldblatt, P. and Morrison, J.) (2020) Health Equity in England: The Marmot Review 10 Years On. London: Institute of Health Equity.</w:t>
      </w:r>
    </w:p>
    <w:p w14:paraId="05D656BF" w14:textId="77777777" w:rsidR="009A6FB0" w:rsidRDefault="00000000">
      <w:pPr>
        <w:spacing w:after="200" w:line="360" w:lineRule="auto"/>
        <w:ind w:left="720" w:hanging="720"/>
        <w:jc w:val="both"/>
      </w:pPr>
      <w:r>
        <w:rPr>
          <w:rFonts w:ascii="Arial" w:eastAsia="Arial" w:hAnsi="Arial" w:cs="Arial"/>
          <w:sz w:val="22"/>
          <w:szCs w:val="22"/>
        </w:rPr>
        <w:t>International Institute for Sustainable Development (IISD) (2022) Sustainable Development. Available at: https://www.iisd.org/mission-and-goals/sustainable-development (Accessed: 30 July 2026).</w:t>
      </w:r>
    </w:p>
    <w:p w14:paraId="0ACA9C7B" w14:textId="77777777" w:rsidR="009A6FB0" w:rsidRDefault="00000000">
      <w:pPr>
        <w:spacing w:after="200" w:line="360" w:lineRule="auto"/>
        <w:ind w:left="720" w:hanging="720"/>
        <w:jc w:val="both"/>
      </w:pPr>
      <w:r>
        <w:rPr>
          <w:rFonts w:ascii="Arial" w:eastAsia="Arial" w:hAnsi="Arial" w:cs="Arial"/>
          <w:sz w:val="22"/>
          <w:szCs w:val="22"/>
        </w:rPr>
        <w:t>Learning Disability England (2021) People at the Heart of Care: Adult Social Care Reform White Paper. Available at: https://www.learningdisabilityengland.org.uk/news/latest-news/people-at-the-heart-of-care-adult-social-care-reform-white-paper/ (Accessed: 30 July 2026).</w:t>
      </w:r>
    </w:p>
    <w:p w14:paraId="19E1CBEA" w14:textId="77777777" w:rsidR="009A6FB0" w:rsidRDefault="00000000">
      <w:pPr>
        <w:spacing w:after="200" w:line="360" w:lineRule="auto"/>
        <w:ind w:left="720" w:hanging="720"/>
        <w:jc w:val="both"/>
      </w:pPr>
      <w:r>
        <w:rPr>
          <w:rFonts w:ascii="Arial" w:eastAsia="Arial" w:hAnsi="Arial" w:cs="Arial"/>
          <w:sz w:val="22"/>
          <w:szCs w:val="22"/>
        </w:rPr>
        <w:t>Local Government Association (2010) Marmot Review Report – 'Fair Society, Healthy Lives'. Available at: https://www.local.gov.uk/marmot-review-report-fair-society-healthy-lives (Accessed: 30 July 2026).</w:t>
      </w:r>
    </w:p>
    <w:p w14:paraId="06589073" w14:textId="77777777" w:rsidR="009A6FB0" w:rsidRDefault="00000000">
      <w:pPr>
        <w:spacing w:after="200" w:line="360" w:lineRule="auto"/>
        <w:ind w:left="720" w:hanging="720"/>
        <w:jc w:val="both"/>
      </w:pPr>
      <w:r>
        <w:rPr>
          <w:rFonts w:ascii="Arial" w:eastAsia="Arial" w:hAnsi="Arial" w:cs="Arial"/>
          <w:sz w:val="22"/>
          <w:szCs w:val="22"/>
        </w:rPr>
        <w:t>Local Government Association (2022) LGA Response to 'People at the Heart of Care: Adult Social Care Reform White Paper'. Available at: https://www.local.gov.uk/parliament/briefings-and-responses/lga-response-people-heart-care-adult-social-care-reform-white (Accessed: 30 July 2026).</w:t>
      </w:r>
    </w:p>
    <w:p w14:paraId="0EAA4759" w14:textId="77777777" w:rsidR="009A6FB0" w:rsidRDefault="00000000">
      <w:pPr>
        <w:spacing w:after="200" w:line="360" w:lineRule="auto"/>
        <w:ind w:left="720" w:hanging="720"/>
        <w:jc w:val="both"/>
      </w:pPr>
      <w:r>
        <w:rPr>
          <w:rFonts w:ascii="Arial" w:eastAsia="Arial" w:hAnsi="Arial" w:cs="Arial"/>
          <w:sz w:val="22"/>
          <w:szCs w:val="22"/>
        </w:rPr>
        <w:t xml:space="preserve">MDPI (2025) 'Social Factors and Policies Promoting Good Health and Well-Being as a Sustainable Development Goal: Current Achievements and Future Pathways', </w:t>
      </w:r>
      <w:r>
        <w:rPr>
          <w:rFonts w:ascii="Arial" w:eastAsia="Arial" w:hAnsi="Arial" w:cs="Arial"/>
          <w:sz w:val="22"/>
          <w:szCs w:val="22"/>
        </w:rPr>
        <w:lastRenderedPageBreak/>
        <w:t>Sustainability. Available at: https://www.mdpi.com/2071-1050/17/11/5063 (Accessed: 30 July 2026).</w:t>
      </w:r>
    </w:p>
    <w:p w14:paraId="357FE452" w14:textId="77777777" w:rsidR="009A6FB0" w:rsidRDefault="00000000">
      <w:pPr>
        <w:spacing w:after="200" w:line="360" w:lineRule="auto"/>
        <w:ind w:left="720" w:hanging="720"/>
        <w:jc w:val="both"/>
      </w:pPr>
      <w:r>
        <w:rPr>
          <w:rFonts w:ascii="Arial" w:eastAsia="Arial" w:hAnsi="Arial" w:cs="Arial"/>
          <w:sz w:val="22"/>
          <w:szCs w:val="22"/>
        </w:rPr>
        <w:t>National Academy for Social Prescribing (NASP) (2023) New Evidence for Nature Based Social Prescribing. Available at: https://socialprescribingacademy.org.uk/resources/nature-evidence/ (Accessed: 30 July 2026).</w:t>
      </w:r>
    </w:p>
    <w:p w14:paraId="0666E01B" w14:textId="77777777" w:rsidR="009A6FB0" w:rsidRDefault="00000000">
      <w:pPr>
        <w:spacing w:after="200" w:line="360" w:lineRule="auto"/>
        <w:ind w:left="720" w:hanging="720"/>
        <w:jc w:val="both"/>
      </w:pPr>
      <w:r>
        <w:rPr>
          <w:rFonts w:ascii="Arial" w:eastAsia="Arial" w:hAnsi="Arial" w:cs="Arial"/>
          <w:sz w:val="22"/>
          <w:szCs w:val="22"/>
        </w:rPr>
        <w:t>NHS Elect (n.d.) Quality Improvement – Kotter's Eight Steps of Change. Available at: https://www.nhselect.nhs.uk/uploads/files/1/Kotter's%208%20steps%20of%20change.pdf (Accessed: 30 July 2026).</w:t>
      </w:r>
    </w:p>
    <w:p w14:paraId="33B015C5" w14:textId="77777777" w:rsidR="009A6FB0" w:rsidRDefault="00000000">
      <w:pPr>
        <w:spacing w:after="200" w:line="360" w:lineRule="auto"/>
        <w:ind w:left="720" w:hanging="720"/>
        <w:jc w:val="both"/>
      </w:pPr>
      <w:r>
        <w:rPr>
          <w:rFonts w:ascii="Arial" w:eastAsia="Arial" w:hAnsi="Arial" w:cs="Arial"/>
          <w:sz w:val="22"/>
          <w:szCs w:val="22"/>
        </w:rPr>
        <w:t>NHS England (2020) Delivering a Net Zero National Health Service. Leeds: NHS England.</w:t>
      </w:r>
    </w:p>
    <w:p w14:paraId="053FF59F" w14:textId="77777777" w:rsidR="009A6FB0" w:rsidRDefault="00000000">
      <w:pPr>
        <w:spacing w:after="200" w:line="360" w:lineRule="auto"/>
        <w:ind w:left="720" w:hanging="720"/>
        <w:jc w:val="both"/>
      </w:pPr>
      <w:r>
        <w:rPr>
          <w:rFonts w:ascii="Arial" w:eastAsia="Arial" w:hAnsi="Arial" w:cs="Arial"/>
          <w:sz w:val="22"/>
          <w:szCs w:val="22"/>
        </w:rPr>
        <w:t>NHS England (2025) Five Years of a Greener NHS: Progress and Forward Look. Available at: https://www.england.nhs.uk/long-read/five-years-greener-nhs-progress-forward-look/ (Accessed: 30 July 2026).</w:t>
      </w:r>
    </w:p>
    <w:p w14:paraId="01BE7A15" w14:textId="77777777" w:rsidR="009A6FB0" w:rsidRDefault="00000000">
      <w:pPr>
        <w:spacing w:after="200" w:line="360" w:lineRule="auto"/>
        <w:ind w:left="720" w:hanging="720"/>
        <w:jc w:val="both"/>
      </w:pPr>
      <w:r>
        <w:rPr>
          <w:rFonts w:ascii="Arial" w:eastAsia="Arial" w:hAnsi="Arial" w:cs="Arial"/>
          <w:sz w:val="22"/>
          <w:szCs w:val="22"/>
        </w:rPr>
        <w:t>NHS England (n.d.) Greener NHS. Available at: https://www.england.nhs.uk/greenernhs/ (Accessed: 30 July 2026).</w:t>
      </w:r>
    </w:p>
    <w:p w14:paraId="035E1647" w14:textId="77777777" w:rsidR="009A6FB0" w:rsidRDefault="00000000">
      <w:pPr>
        <w:spacing w:after="200" w:line="360" w:lineRule="auto"/>
        <w:ind w:left="720" w:hanging="720"/>
        <w:jc w:val="both"/>
      </w:pPr>
      <w:r>
        <w:rPr>
          <w:rFonts w:ascii="Arial" w:eastAsia="Arial" w:hAnsi="Arial" w:cs="Arial"/>
          <w:sz w:val="22"/>
          <w:szCs w:val="22"/>
        </w:rPr>
        <w:t>NHS England (n.d.) Green Social Prescribing. Available at: https://www.england.nhs.uk/personalisedcare/social-prescribing/green-social-prescribing/ (Accessed: 30 July 2026).</w:t>
      </w:r>
    </w:p>
    <w:p w14:paraId="4B89606F" w14:textId="77777777" w:rsidR="009A6FB0" w:rsidRDefault="00000000">
      <w:pPr>
        <w:spacing w:after="200" w:line="360" w:lineRule="auto"/>
        <w:ind w:left="720" w:hanging="720"/>
        <w:jc w:val="both"/>
      </w:pPr>
      <w:r>
        <w:rPr>
          <w:rFonts w:ascii="Arial" w:eastAsia="Arial" w:hAnsi="Arial" w:cs="Arial"/>
          <w:sz w:val="22"/>
          <w:szCs w:val="22"/>
        </w:rPr>
        <w:t>NIHR Applied Research Collaboration (ARC) (2024) Retention and Sustainability of Social Care Workforce. Available at: https://arc-nt.nihr.ac.uk/research/projects/retention-and-sustainability-of-social-care-workforce (Accessed: 30 July 2026).</w:t>
      </w:r>
    </w:p>
    <w:p w14:paraId="70456D76" w14:textId="77777777" w:rsidR="009A6FB0" w:rsidRDefault="00000000">
      <w:pPr>
        <w:spacing w:after="200" w:line="360" w:lineRule="auto"/>
        <w:ind w:left="720" w:hanging="720"/>
        <w:jc w:val="both"/>
      </w:pPr>
      <w:r>
        <w:rPr>
          <w:rFonts w:ascii="Arial" w:eastAsia="Arial" w:hAnsi="Arial" w:cs="Arial"/>
          <w:sz w:val="22"/>
          <w:szCs w:val="22"/>
        </w:rPr>
        <w:t>Ownacarehome.com (2024) Sustainability: A Pathway to Outstanding Care Homes. Available at: https://www.ownacarehome.com/news/news/sustainability--a-pathway-to-outstanding-care-homes (Accessed: 30 July 2026).</w:t>
      </w:r>
    </w:p>
    <w:p w14:paraId="32852F0B" w14:textId="77777777" w:rsidR="009A6FB0" w:rsidRDefault="00000000">
      <w:pPr>
        <w:spacing w:after="200" w:line="360" w:lineRule="auto"/>
        <w:ind w:left="720" w:hanging="720"/>
        <w:jc w:val="both"/>
      </w:pPr>
      <w:r>
        <w:rPr>
          <w:rFonts w:ascii="Arial" w:eastAsia="Arial" w:hAnsi="Arial" w:cs="Arial"/>
          <w:sz w:val="22"/>
          <w:szCs w:val="22"/>
        </w:rPr>
        <w:t>PMC (2018) 'Identifying health policy and systems research priorities for the sustainable development goals: social protection for health'. Available at: https://www.ncbi.nlm.nih.gov/pmc/articles/PMC6161373/ (Accessed: 30 July 2026).</w:t>
      </w:r>
    </w:p>
    <w:p w14:paraId="3A6A977B" w14:textId="77777777" w:rsidR="009A6FB0" w:rsidRDefault="00000000">
      <w:pPr>
        <w:spacing w:after="200" w:line="360" w:lineRule="auto"/>
        <w:ind w:left="720" w:hanging="720"/>
        <w:jc w:val="both"/>
      </w:pPr>
      <w:r>
        <w:rPr>
          <w:rFonts w:ascii="Arial" w:eastAsia="Arial" w:hAnsi="Arial" w:cs="Arial"/>
          <w:sz w:val="22"/>
          <w:szCs w:val="22"/>
        </w:rPr>
        <w:t>PMC (2019) 'Sustainable Development Goal Integration, Interdependence, and Implementation: the Environment–Economic–Health Nexus and Universal Health Coverage', Global Challenges. Available at: https://www.ncbi.nlm.nih.gov/pmc/articles/PMC6733392/ (Accessed: 30 July 2026).</w:t>
      </w:r>
    </w:p>
    <w:p w14:paraId="26422566" w14:textId="77777777" w:rsidR="009A6FB0" w:rsidRDefault="00000000">
      <w:pPr>
        <w:spacing w:after="200" w:line="360" w:lineRule="auto"/>
        <w:ind w:left="720" w:hanging="720"/>
        <w:jc w:val="both"/>
      </w:pPr>
      <w:r>
        <w:rPr>
          <w:rFonts w:ascii="Arial" w:eastAsia="Arial" w:hAnsi="Arial" w:cs="Arial"/>
          <w:sz w:val="22"/>
          <w:szCs w:val="22"/>
        </w:rPr>
        <w:lastRenderedPageBreak/>
        <w:t>PMC (2020) 'Health intersectoralism in the Sustainable Development Goal era: from theory to practice'. Available at: https://www.ncbi.nlm.nih.gov/pmc/articles/PMC7033925/ (Accessed: 30 July 2026).</w:t>
      </w:r>
    </w:p>
    <w:p w14:paraId="52A17A1E" w14:textId="77777777" w:rsidR="009A6FB0" w:rsidRDefault="00000000">
      <w:pPr>
        <w:spacing w:after="200" w:line="360" w:lineRule="auto"/>
        <w:ind w:left="720" w:hanging="720"/>
        <w:jc w:val="both"/>
      </w:pPr>
      <w:r>
        <w:rPr>
          <w:rFonts w:ascii="Arial" w:eastAsia="Arial" w:hAnsi="Arial" w:cs="Arial"/>
          <w:sz w:val="22"/>
          <w:szCs w:val="22"/>
        </w:rPr>
        <w:t>PMC (2022) 'Social prescribing of nature therapy for adults with mental illness living in the community: A scoping review of peer-reviewed international evidence'. Available at: https://www.ncbi.nlm.nih.gov/pmc/articles/PMC9765656/ (Accessed: 30 July 2026).</w:t>
      </w:r>
    </w:p>
    <w:p w14:paraId="17D6B65B" w14:textId="77777777" w:rsidR="009A6FB0" w:rsidRDefault="00000000">
      <w:pPr>
        <w:spacing w:after="200" w:line="360" w:lineRule="auto"/>
        <w:ind w:left="720" w:hanging="720"/>
        <w:jc w:val="both"/>
      </w:pPr>
      <w:r>
        <w:rPr>
          <w:rFonts w:ascii="Arial" w:eastAsia="Arial" w:hAnsi="Arial" w:cs="Arial"/>
          <w:sz w:val="22"/>
          <w:szCs w:val="22"/>
        </w:rPr>
        <w:t>PMC (2023) 'Nature-Based Interventions in the UK: A Mixed Methods Study Exploring Green Prescribing for Promoting the Mental Wellbeing of Young Pregnant Women'. Available at: https://www.ncbi.nlm.nih.gov/pmc/articles/PMC10606054/ (Accessed: 30 July 2026).</w:t>
      </w:r>
    </w:p>
    <w:p w14:paraId="231E724A" w14:textId="77777777" w:rsidR="009A6FB0" w:rsidRDefault="00000000">
      <w:pPr>
        <w:spacing w:after="200" w:line="360" w:lineRule="auto"/>
        <w:ind w:left="720" w:hanging="720"/>
        <w:jc w:val="both"/>
      </w:pPr>
      <w:r>
        <w:rPr>
          <w:rFonts w:ascii="Arial" w:eastAsia="Arial" w:hAnsi="Arial" w:cs="Arial"/>
          <w:sz w:val="22"/>
          <w:szCs w:val="22"/>
        </w:rPr>
        <w:t>Public Health Ethics (2023) 'Health as Complete Well-Being: The WHO Definition and Beyond'. Available at: https://academic.oup.com/phe/article/16/3/210/7232444 (Accessed: 30 July 2026).</w:t>
      </w:r>
    </w:p>
    <w:p w14:paraId="62134152" w14:textId="77777777" w:rsidR="009A6FB0" w:rsidRDefault="00000000">
      <w:pPr>
        <w:spacing w:after="200" w:line="360" w:lineRule="auto"/>
        <w:ind w:left="720" w:hanging="720"/>
        <w:jc w:val="both"/>
      </w:pPr>
      <w:r>
        <w:rPr>
          <w:rFonts w:ascii="Arial" w:eastAsia="Arial" w:hAnsi="Arial" w:cs="Arial"/>
          <w:sz w:val="22"/>
          <w:szCs w:val="22"/>
        </w:rPr>
        <w:t>Randstad UK (n.d.) Addressing Stress and Burnout in Social Care. Available at: https://www.randstad.co.uk/market-insights/workplace-advice/addressing-stress-burnout-social-care/ (Accessed: 30 July 2026).</w:t>
      </w:r>
    </w:p>
    <w:p w14:paraId="17BDC8B9" w14:textId="77777777" w:rsidR="009A6FB0" w:rsidRDefault="00000000">
      <w:pPr>
        <w:spacing w:after="200" w:line="360" w:lineRule="auto"/>
        <w:ind w:left="720" w:hanging="720"/>
        <w:jc w:val="both"/>
      </w:pPr>
      <w:r>
        <w:rPr>
          <w:rFonts w:ascii="Arial" w:eastAsia="Arial" w:hAnsi="Arial" w:cs="Arial"/>
          <w:sz w:val="22"/>
          <w:szCs w:val="22"/>
        </w:rPr>
        <w:t>RDS Carebuild (2025) Energy Efficient Care Home Design: Sustainable Solutions for 2025. Available at: https://www.rdscarebuild.com/blog-posts/energy-efficient-care-home-design-sustainable-solutions-for-2025 (Accessed: 30 July 2026).</w:t>
      </w:r>
    </w:p>
    <w:p w14:paraId="66CA2431" w14:textId="77777777" w:rsidR="009A6FB0" w:rsidRDefault="00000000">
      <w:pPr>
        <w:spacing w:after="200" w:line="360" w:lineRule="auto"/>
        <w:ind w:left="720" w:hanging="720"/>
        <w:jc w:val="both"/>
      </w:pPr>
      <w:r>
        <w:rPr>
          <w:rFonts w:ascii="Arial" w:eastAsia="Arial" w:hAnsi="Arial" w:cs="Arial"/>
          <w:sz w:val="22"/>
          <w:szCs w:val="22"/>
        </w:rPr>
        <w:t>Research Square/Sciety (2026) Effectiveness of Green Health Prescribing and Nature-Based Interventions in Primary Care and Community Setting for Older Adults: A Systematic Review. Available at: https://www.researchsquare.com/article/rs-8733410/v1 (Accessed: 30 July 2026).</w:t>
      </w:r>
    </w:p>
    <w:p w14:paraId="73DB5479" w14:textId="77777777" w:rsidR="009A6FB0" w:rsidRDefault="00000000">
      <w:pPr>
        <w:spacing w:after="200" w:line="360" w:lineRule="auto"/>
        <w:ind w:left="720" w:hanging="720"/>
        <w:jc w:val="both"/>
      </w:pPr>
      <w:r>
        <w:rPr>
          <w:rFonts w:ascii="Arial" w:eastAsia="Arial" w:hAnsi="Arial" w:cs="Arial"/>
          <w:sz w:val="22"/>
          <w:szCs w:val="22"/>
        </w:rPr>
        <w:t>Romanello, M. et al. (2023) 'The 2023 report of the Lancet Countdown on health and climate change: the imperative for a health-centred response in a world facing irreversible harms', The Lancet. Available at: https://pubmed.ncbi.nlm.nih.gov/37977174/ (Accessed: 30 July 2026).</w:t>
      </w:r>
    </w:p>
    <w:p w14:paraId="40449CA5" w14:textId="77777777" w:rsidR="009A6FB0" w:rsidRDefault="00000000">
      <w:pPr>
        <w:spacing w:after="200" w:line="360" w:lineRule="auto"/>
        <w:ind w:left="720" w:hanging="720"/>
        <w:jc w:val="both"/>
      </w:pPr>
      <w:r>
        <w:rPr>
          <w:rFonts w:ascii="Arial" w:eastAsia="Arial" w:hAnsi="Arial" w:cs="Arial"/>
          <w:sz w:val="22"/>
          <w:szCs w:val="22"/>
        </w:rPr>
        <w:t>Romanello, M. et al. (2025) 'The 2025 report of the Lancet Countdown on health and climate change: climate change action offers a lifeline', The Lancet. Available at: https://www.thelancet.com/journals/lancet/article/PIIS0140-6736(25)01919-1/abstract (Accessed: 30 July 2026).</w:t>
      </w:r>
    </w:p>
    <w:p w14:paraId="233A34FE" w14:textId="77777777" w:rsidR="009A6FB0" w:rsidRDefault="00000000">
      <w:pPr>
        <w:spacing w:after="200" w:line="360" w:lineRule="auto"/>
        <w:ind w:left="720" w:hanging="720"/>
        <w:jc w:val="both"/>
      </w:pPr>
      <w:r>
        <w:rPr>
          <w:rFonts w:ascii="Arial" w:eastAsia="Arial" w:hAnsi="Arial" w:cs="Arial"/>
          <w:sz w:val="22"/>
          <w:szCs w:val="22"/>
        </w:rPr>
        <w:lastRenderedPageBreak/>
        <w:t>ScienceDirect Topics (n.d.) Brundtland Report – An Overview. Available at: https://www.sciencedirect.com/topics/social-sciences/brundtland-report (Accessed: 30 July 2026).</w:t>
      </w:r>
    </w:p>
    <w:p w14:paraId="0B0FBFF4" w14:textId="77777777" w:rsidR="009A6FB0" w:rsidRDefault="00000000">
      <w:pPr>
        <w:spacing w:after="200" w:line="360" w:lineRule="auto"/>
        <w:ind w:left="720" w:hanging="720"/>
        <w:jc w:val="both"/>
      </w:pPr>
      <w:r>
        <w:rPr>
          <w:rFonts w:ascii="Arial" w:eastAsia="Arial" w:hAnsi="Arial" w:cs="Arial"/>
          <w:sz w:val="22"/>
          <w:szCs w:val="22"/>
        </w:rPr>
        <w:t>Sustainability Magazine (2025) Sustainability LIVE: Net Zero – NHS Sustainability Strategy. Available at: https://sustainabilitymag.com/supply-chain-sustainability/sustainability-live-net-zero-nhs-sustainability-strategy (Accessed: 30 July 2026).</w:t>
      </w:r>
    </w:p>
    <w:p w14:paraId="7643B8A6" w14:textId="77777777" w:rsidR="009A6FB0" w:rsidRDefault="00000000">
      <w:pPr>
        <w:spacing w:after="200" w:line="360" w:lineRule="auto"/>
        <w:ind w:left="720" w:hanging="720"/>
        <w:jc w:val="both"/>
      </w:pPr>
      <w:r>
        <w:rPr>
          <w:rFonts w:ascii="Arial" w:eastAsia="Arial" w:hAnsi="Arial" w:cs="Arial"/>
          <w:sz w:val="22"/>
          <w:szCs w:val="22"/>
        </w:rPr>
        <w:t>Tandfonline/Journal of Medical Systems (2025) 'Sustainable Development Goals as a Framework for Teaching and Learning about Health Equity in European Health and Social Care Study Programmes: A Modified Delphi Approach', Journal of Medical Systems. Available at: https://link.springer.com/article/10.1007/s10916-025-02328-3 (Accessed: 30 July 2026).</w:t>
      </w:r>
    </w:p>
    <w:p w14:paraId="1F0F9D4F" w14:textId="77777777" w:rsidR="009A6FB0" w:rsidRDefault="00000000">
      <w:pPr>
        <w:spacing w:after="200" w:line="360" w:lineRule="auto"/>
        <w:ind w:left="720" w:hanging="720"/>
        <w:jc w:val="both"/>
      </w:pPr>
      <w:r>
        <w:rPr>
          <w:rFonts w:ascii="Arial" w:eastAsia="Arial" w:hAnsi="Arial" w:cs="Arial"/>
          <w:sz w:val="22"/>
          <w:szCs w:val="22"/>
        </w:rPr>
        <w:t>Tandfonline (2026) 'Green Care Practices for Active Aging: A Scoping Review'. Available at: https://www.tandfonline.com/doi/full/10.1080/26892618.2026.2665295 (Accessed: 30 July 2026).</w:t>
      </w:r>
    </w:p>
    <w:p w14:paraId="3512B3D8" w14:textId="77777777" w:rsidR="009A6FB0" w:rsidRDefault="00000000">
      <w:pPr>
        <w:spacing w:after="200" w:line="360" w:lineRule="auto"/>
        <w:ind w:left="720" w:hanging="720"/>
        <w:jc w:val="both"/>
      </w:pPr>
      <w:r>
        <w:rPr>
          <w:rFonts w:ascii="Arial" w:eastAsia="Arial" w:hAnsi="Arial" w:cs="Arial"/>
          <w:sz w:val="22"/>
          <w:szCs w:val="22"/>
        </w:rPr>
        <w:t>The Access Group (2026) Care Worker Stress: How to Prevent Burnout in Social Care. Available at: https://www.theaccessgroup.com/en-gb/blog/hsc-care-worker-stress-how-to-prevent-burnout-in-social-care/ (Accessed: 30 July 2026).</w:t>
      </w:r>
    </w:p>
    <w:p w14:paraId="298A3EA3" w14:textId="77777777" w:rsidR="009A6FB0" w:rsidRDefault="00000000">
      <w:pPr>
        <w:spacing w:after="200" w:line="360" w:lineRule="auto"/>
        <w:ind w:left="720" w:hanging="720"/>
        <w:jc w:val="both"/>
      </w:pPr>
      <w:r>
        <w:rPr>
          <w:rFonts w:ascii="Arial" w:eastAsia="Arial" w:hAnsi="Arial" w:cs="Arial"/>
          <w:sz w:val="22"/>
          <w:szCs w:val="22"/>
        </w:rPr>
        <w:t>UK Care Week (2024) Sustainability in the Care Sector. Available at: https://www.ukcareweek.com/news/sustainability-in-the-care-sector (Accessed: 30 July 2026).</w:t>
      </w:r>
    </w:p>
    <w:p w14:paraId="3791AC89" w14:textId="77777777" w:rsidR="009A6FB0" w:rsidRDefault="00000000">
      <w:pPr>
        <w:spacing w:after="200" w:line="360" w:lineRule="auto"/>
        <w:ind w:left="720" w:hanging="720"/>
        <w:jc w:val="both"/>
      </w:pPr>
      <w:r>
        <w:rPr>
          <w:rFonts w:ascii="Arial" w:eastAsia="Arial" w:hAnsi="Arial" w:cs="Arial"/>
          <w:sz w:val="22"/>
          <w:szCs w:val="22"/>
        </w:rPr>
        <w:t>World Commission on Environment and Development (WCED) (1987) Our Common Future. Oxford: Oxford University Press.</w:t>
      </w:r>
    </w:p>
    <w:p w14:paraId="6A94DBE2" w14:textId="77777777" w:rsidR="009A6FB0" w:rsidRDefault="00000000">
      <w:pPr>
        <w:spacing w:after="200" w:line="360" w:lineRule="auto"/>
        <w:ind w:left="720" w:hanging="720"/>
        <w:jc w:val="both"/>
      </w:pPr>
      <w:r>
        <w:rPr>
          <w:rFonts w:ascii="Arial" w:eastAsia="Arial" w:hAnsi="Arial" w:cs="Arial"/>
          <w:sz w:val="22"/>
          <w:szCs w:val="22"/>
        </w:rPr>
        <w:t>World Health Organization (1948) Constitution of the World Health Organization. Geneva: WHO.</w:t>
      </w:r>
    </w:p>
    <w:p w14:paraId="6BC45E51" w14:textId="77777777" w:rsidR="009A6FB0" w:rsidRDefault="00000000">
      <w:pPr>
        <w:spacing w:after="200" w:line="360" w:lineRule="auto"/>
        <w:ind w:left="720" w:hanging="720"/>
        <w:jc w:val="both"/>
      </w:pPr>
      <w:r>
        <w:rPr>
          <w:rFonts w:ascii="Arial" w:eastAsia="Arial" w:hAnsi="Arial" w:cs="Arial"/>
          <w:sz w:val="22"/>
          <w:szCs w:val="22"/>
        </w:rPr>
        <w:t>World Health Organization (n.d.) Health and Well-Being. Geneva: WHO Global Health Observatory. Available at: https://www.who.int/data/gho/data/major-themes/health-and-well-being (Accessed: 30 July 2026).</w:t>
      </w:r>
    </w:p>
    <w:sectPr w:rsidR="009A6FB0">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7349C"/>
    <w:multiLevelType w:val="hybridMultilevel"/>
    <w:tmpl w:val="5B427C10"/>
    <w:lvl w:ilvl="0" w:tplc="EA36D3FC">
      <w:start w:val="1"/>
      <w:numFmt w:val="bullet"/>
      <w:lvlText w:val="●"/>
      <w:lvlJc w:val="left"/>
      <w:pPr>
        <w:ind w:left="720" w:hanging="360"/>
      </w:pPr>
    </w:lvl>
    <w:lvl w:ilvl="1" w:tplc="F45ACA2E">
      <w:start w:val="1"/>
      <w:numFmt w:val="bullet"/>
      <w:lvlText w:val="○"/>
      <w:lvlJc w:val="left"/>
      <w:pPr>
        <w:ind w:left="1440" w:hanging="360"/>
      </w:pPr>
    </w:lvl>
    <w:lvl w:ilvl="2" w:tplc="FF7CC08A">
      <w:start w:val="1"/>
      <w:numFmt w:val="bullet"/>
      <w:lvlText w:val="■"/>
      <w:lvlJc w:val="left"/>
      <w:pPr>
        <w:ind w:left="2160" w:hanging="360"/>
      </w:pPr>
    </w:lvl>
    <w:lvl w:ilvl="3" w:tplc="05084A72">
      <w:start w:val="1"/>
      <w:numFmt w:val="bullet"/>
      <w:lvlText w:val="●"/>
      <w:lvlJc w:val="left"/>
      <w:pPr>
        <w:ind w:left="2880" w:hanging="360"/>
      </w:pPr>
    </w:lvl>
    <w:lvl w:ilvl="4" w:tplc="8696975C">
      <w:start w:val="1"/>
      <w:numFmt w:val="bullet"/>
      <w:lvlText w:val="○"/>
      <w:lvlJc w:val="left"/>
      <w:pPr>
        <w:ind w:left="3600" w:hanging="360"/>
      </w:pPr>
    </w:lvl>
    <w:lvl w:ilvl="5" w:tplc="2F262B06">
      <w:start w:val="1"/>
      <w:numFmt w:val="bullet"/>
      <w:lvlText w:val="■"/>
      <w:lvlJc w:val="left"/>
      <w:pPr>
        <w:ind w:left="4320" w:hanging="360"/>
      </w:pPr>
    </w:lvl>
    <w:lvl w:ilvl="6" w:tplc="C8A2A416">
      <w:start w:val="1"/>
      <w:numFmt w:val="bullet"/>
      <w:lvlText w:val="●"/>
      <w:lvlJc w:val="left"/>
      <w:pPr>
        <w:ind w:left="5040" w:hanging="360"/>
      </w:pPr>
    </w:lvl>
    <w:lvl w:ilvl="7" w:tplc="81A4D288">
      <w:start w:val="1"/>
      <w:numFmt w:val="bullet"/>
      <w:lvlText w:val="●"/>
      <w:lvlJc w:val="left"/>
      <w:pPr>
        <w:ind w:left="5760" w:hanging="360"/>
      </w:pPr>
    </w:lvl>
    <w:lvl w:ilvl="8" w:tplc="63E837CA">
      <w:start w:val="1"/>
      <w:numFmt w:val="bullet"/>
      <w:lvlText w:val="●"/>
      <w:lvlJc w:val="left"/>
      <w:pPr>
        <w:ind w:left="6480" w:hanging="360"/>
      </w:pPr>
    </w:lvl>
  </w:abstractNum>
  <w:num w:numId="1" w16cid:durableId="140590912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FB0"/>
    <w:rsid w:val="0032400B"/>
    <w:rsid w:val="009A6FB0"/>
    <w:rsid w:val="00ED6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07F5B"/>
  <w15:docId w15:val="{A18510BE-4A0C-406B-BE8E-D0982F2EC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11190</Words>
  <Characters>63788</Characters>
  <Application>Microsoft Office Word</Application>
  <DocSecurity>0</DocSecurity>
  <Lines>531</Lines>
  <Paragraphs>149</Paragraphs>
  <ScaleCrop>false</ScaleCrop>
  <Company/>
  <LinksUpToDate>false</LinksUpToDate>
  <CharactersWithSpaces>74829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Amanet</cp:lastModifiedBy>
  <cp:revision>2</cp:revision>
  <dcterms:created xsi:type="dcterms:W3CDTF">2026-07-30T11:07:00Z</dcterms:created>
  <dcterms:modified xsi:type="dcterms:W3CDTF">2026-07-30T11:18:00Z</dcterms:modified>
</cp:coreProperties>
</file>