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7E8" w:rsidRPr="00716146" w:rsidRDefault="002437E8" w:rsidP="002437E8">
      <w:pPr>
        <w:spacing w:after="0" w:line="240" w:lineRule="auto"/>
        <w:jc w:val="center"/>
        <w:rPr>
          <w:b/>
        </w:rPr>
      </w:pPr>
      <w:r w:rsidRPr="00716146">
        <w:rPr>
          <w:b/>
        </w:rPr>
        <w:t>University of Wales Trinity Saint David</w:t>
      </w:r>
    </w:p>
    <w:p w:rsidR="002437E8" w:rsidRPr="00716146" w:rsidRDefault="002437E8" w:rsidP="002437E8">
      <w:pPr>
        <w:shd w:val="clear" w:color="auto" w:fill="FFFFFF"/>
        <w:spacing w:after="0" w:line="240" w:lineRule="auto"/>
        <w:jc w:val="center"/>
        <w:rPr>
          <w:rFonts w:ascii="Calibri" w:eastAsia="Times New Roman" w:hAnsi="Calibri" w:cs="Calibri"/>
          <w:b/>
          <w:color w:val="000000"/>
        </w:rPr>
      </w:pPr>
      <w:r w:rsidRPr="00716146">
        <w:rPr>
          <w:rFonts w:ascii="Calibri" w:eastAsia="Times New Roman" w:hAnsi="Calibri" w:cs="Calibri"/>
          <w:b/>
          <w:color w:val="000000"/>
        </w:rPr>
        <w:t>Faculty of Humanities and the Performing Arts</w:t>
      </w:r>
    </w:p>
    <w:p w:rsidR="002437E8" w:rsidRPr="00716146" w:rsidRDefault="002437E8" w:rsidP="002437E8">
      <w:pPr>
        <w:spacing w:after="0" w:line="240" w:lineRule="auto"/>
        <w:jc w:val="center"/>
        <w:rPr>
          <w:b/>
        </w:rPr>
      </w:pPr>
      <w:r w:rsidRPr="00716146">
        <w:rPr>
          <w:b/>
        </w:rPr>
        <w:t>MA Cultural Astronomy and Astrology</w:t>
      </w:r>
    </w:p>
    <w:p w:rsidR="002437E8" w:rsidRPr="00716146" w:rsidRDefault="002437E8" w:rsidP="002437E8">
      <w:pPr>
        <w:spacing w:after="0" w:line="240" w:lineRule="auto"/>
        <w:jc w:val="center"/>
        <w:rPr>
          <w:b/>
        </w:rPr>
      </w:pPr>
      <w:r w:rsidRPr="00716146">
        <w:rPr>
          <w:b/>
        </w:rPr>
        <w:t>Module: Researching Contemporary Cosmologies (compulsory)</w:t>
      </w:r>
    </w:p>
    <w:p w:rsidR="002437E8" w:rsidRPr="00716146" w:rsidRDefault="002437E8" w:rsidP="002437E8">
      <w:pPr>
        <w:spacing w:after="0" w:line="240" w:lineRule="auto"/>
        <w:jc w:val="center"/>
        <w:rPr>
          <w:b/>
        </w:rPr>
      </w:pPr>
      <w:r w:rsidRPr="00716146">
        <w:rPr>
          <w:b/>
        </w:rPr>
        <w:t>Module Code: HPCA7002</w:t>
      </w:r>
    </w:p>
    <w:p w:rsidR="002437E8" w:rsidRDefault="002437E8" w:rsidP="002437E8"/>
    <w:p w:rsidR="002437E8" w:rsidRDefault="002437E8" w:rsidP="002437E8">
      <w:pPr>
        <w:rPr>
          <w:b/>
          <w:sz w:val="28"/>
          <w:szCs w:val="28"/>
          <w:u w:val="single"/>
        </w:rPr>
      </w:pPr>
      <w:r>
        <w:rPr>
          <w:b/>
        </w:rPr>
        <w:t xml:space="preserve">  </w:t>
      </w:r>
      <w:r>
        <w:rPr>
          <w:b/>
          <w:sz w:val="28"/>
          <w:szCs w:val="28"/>
          <w:u w:val="single"/>
        </w:rPr>
        <w:t xml:space="preserve">Comparing and contrasting methodologies of two </w:t>
      </w:r>
      <w:r w:rsidRPr="00B07D50">
        <w:rPr>
          <w:b/>
          <w:sz w:val="28"/>
          <w:szCs w:val="28"/>
          <w:u w:val="single"/>
        </w:rPr>
        <w:t xml:space="preserve">JSTOR Papers </w:t>
      </w:r>
    </w:p>
    <w:p w:rsidR="002437E8" w:rsidRPr="00D66126" w:rsidRDefault="002437E8" w:rsidP="002437E8">
      <w:pPr>
        <w:rPr>
          <w:b/>
          <w:sz w:val="28"/>
          <w:szCs w:val="28"/>
          <w:u w:val="single"/>
        </w:rPr>
      </w:pPr>
      <w:r w:rsidRPr="00D66126">
        <w:rPr>
          <w:rFonts w:ascii="Times New Roman" w:hAnsi="Times New Roman" w:cs="Times New Roman"/>
          <w:i/>
          <w:sz w:val="18"/>
          <w:szCs w:val="18"/>
        </w:rPr>
        <w:t xml:space="preserve">  Essay Word Count</w:t>
      </w:r>
      <w:r>
        <w:rPr>
          <w:rFonts w:ascii="Times New Roman" w:hAnsi="Times New Roman" w:cs="Times New Roman"/>
          <w:i/>
          <w:sz w:val="18"/>
          <w:szCs w:val="18"/>
        </w:rPr>
        <w:t>: 1042</w:t>
      </w:r>
    </w:p>
    <w:p w:rsidR="002437E8" w:rsidRDefault="002437E8" w:rsidP="002437E8"/>
    <w:p w:rsidR="002437E8" w:rsidRDefault="002437E8" w:rsidP="002437E8">
      <w:pPr>
        <w:spacing w:after="0" w:line="240" w:lineRule="auto"/>
        <w:ind w:left="720"/>
      </w:pPr>
      <w:bookmarkStart w:id="0" w:name="_Hlk3746152"/>
      <w:bookmarkStart w:id="1" w:name="_Hlk3747420"/>
      <w:r>
        <w:t xml:space="preserve">This paper deals with </w:t>
      </w:r>
      <w:proofErr w:type="gramStart"/>
      <w:r>
        <w:t>comparing and contrasting</w:t>
      </w:r>
      <w:proofErr w:type="gramEnd"/>
      <w:r>
        <w:t xml:space="preserve"> the methodologies of two JSTOR research papers. The papers chosen are ‘</w:t>
      </w:r>
      <w:r w:rsidRPr="007945AE">
        <w:rPr>
          <w:i/>
        </w:rPr>
        <w:t>Inconsistency of Belief among Roman Catholic Girls</w:t>
      </w:r>
      <w:r>
        <w:t xml:space="preserve">: Concerning Religion, Astrology, Reincarnation.’ Review of Religious Research, vol. 20 no. 1, 11978, pp. 82-85 by </w:t>
      </w:r>
      <w:r w:rsidRPr="007945AE">
        <w:t>T. L. Brink</w:t>
      </w:r>
      <w:r>
        <w:t xml:space="preserve">.’ and </w:t>
      </w:r>
      <w:r w:rsidRPr="007945AE">
        <w:rPr>
          <w:i/>
        </w:rPr>
        <w:t>‘A Very Private Belief: Reincarnation in Contemporary England</w:t>
      </w:r>
      <w:r>
        <w:t>’. Sociology of Religion, vol.60, no.2,1999 pp. 187-197 by Walter, T. and Waterhouse, H. The two papers deal with investigating the philosophical or religious concepts of Reincarnation, but each is using a certain kind of method to unravel their research. A critical feature essential to take into consideration while doing a review is reflecting honesty and clarity to the readers. However, something that plays a role reflecting the credibility and professionality of the paper is to understand the position of the researcher, his background, and how he relates to the topic he is investigating. Starting with T.L Brink, he is a social scientist and author, his main topics of interest include religious phenomena and qualitative research methods. The second review held by two researchers, Tony Walter, with a background of religious studies, and Helen Waterfront, with a background of social studies. Both parties of both reviews have experience in the field they are investigating.</w:t>
      </w:r>
    </w:p>
    <w:p w:rsidR="002437E8" w:rsidRDefault="002437E8" w:rsidP="002437E8">
      <w:pPr>
        <w:spacing w:after="0" w:line="240" w:lineRule="auto"/>
        <w:ind w:left="720"/>
      </w:pPr>
    </w:p>
    <w:p w:rsidR="002437E8" w:rsidRDefault="002437E8" w:rsidP="002437E8">
      <w:pPr>
        <w:spacing w:after="0" w:line="240" w:lineRule="auto"/>
        <w:ind w:left="720"/>
      </w:pPr>
      <w:r>
        <w:t>Starting with the first review, Brink’s intention and structure of what the review is about is clearly stated in his literature review. However, he misses a lot of details that clarify the reasons for his choices as of why he chooses catholic girls for example.  He seeks to confirm and emphasize that it is only possible to have one belief among studying Catholic school girls in specific, and so he states in his review “It is hypothesized that a study of beliefs of adolescent girls will show an acceptance of only one of these three belief sets ( Roman Catholic, astrology , reincarnation ) accompanied by a rejection of others.”</w:t>
      </w:r>
      <w:r>
        <w:rPr>
          <w:rStyle w:val="FootnoteReference"/>
        </w:rPr>
        <w:footnoteReference w:id="1"/>
      </w:r>
      <w:r>
        <w:t xml:space="preserve"> Brink goes ahead and investigates these three sets of beliefs with 227 junior and senior students at a Catholic girls high school during religion class, using questioners of a qualitative method. A sample of the type of questions that were asked in the questioner were not provided in the review, but he did provide a table that states statistical results of the investigation. To brink’s surprise, the results did not come as he expected, for there were cases that showed a belief in more than one religious set, he states “ The most striking finding is the tendency of some subjects to report a belief in both.”</w:t>
      </w:r>
      <w:r>
        <w:rPr>
          <w:rStyle w:val="FootnoteReference"/>
        </w:rPr>
        <w:footnoteReference w:id="2"/>
      </w:r>
      <w:r>
        <w:t xml:space="preserve"> Even Though brink got a result of having some subjects in believing in more than one religion set, he still stated that “This survey raises more questions than it answers.”</w:t>
      </w:r>
      <w:r>
        <w:rPr>
          <w:rStyle w:val="FootnoteReference"/>
        </w:rPr>
        <w:footnoteReference w:id="3"/>
      </w:r>
      <w:r>
        <w:t xml:space="preserve"> Brink’s next step was </w:t>
      </w:r>
      <w:r>
        <w:lastRenderedPageBreak/>
        <w:t>wondering about the reasons of such unexpected results stating that “There are numerous and competing cultural influences on the development of religious belief in an individual.”</w:t>
      </w:r>
      <w:r>
        <w:rPr>
          <w:rStyle w:val="FootnoteReference"/>
        </w:rPr>
        <w:footnoteReference w:id="4"/>
      </w:r>
      <w:r>
        <w:t xml:space="preserve"> This issue forms a sense of paradox since he chose to do the questioner in religion class, without having in mind that this might form a kind of pressure on the students results. </w:t>
      </w:r>
    </w:p>
    <w:p w:rsidR="002437E8" w:rsidRDefault="002437E8" w:rsidP="002437E8">
      <w:pPr>
        <w:spacing w:after="0" w:line="240" w:lineRule="auto"/>
        <w:ind w:left="720"/>
      </w:pPr>
    </w:p>
    <w:p w:rsidR="002437E8" w:rsidRDefault="002437E8" w:rsidP="002437E8">
      <w:pPr>
        <w:spacing w:after="0" w:line="240" w:lineRule="auto"/>
        <w:ind w:left="720"/>
      </w:pPr>
      <w:r>
        <w:t>As for the second review, the aim of the research was to investigate the relationship of reincarnation with people who do not have a background with eastern or new age religion, it summarized “the findings of a small intensive interview study of a group of English people who take seriously the possibility of reincarnation”</w:t>
      </w:r>
      <w:r>
        <w:rPr>
          <w:rStyle w:val="FootnoteReference"/>
        </w:rPr>
        <w:footnoteReference w:id="5"/>
      </w:r>
      <w:r>
        <w:t xml:space="preserve"> .However, the literature review clearly states the audience and a background of their beliefs, which would make more sense to the results conducted. Moreover, in the year 1997, Helen did 30 interviews with adults in their own homes, afterwards the researchers arranged three groups of interviews with different age groups of 21 schoolchildren, who were interviewed in the southwest of England where interviews are usually held for them. Interestingly, an element that shows honesty is having interviewee from different public sources. Another thing that benefits this investigation, is having a wide range of different people interviewed, whether it was age, gender, or even positions. The type of interviews where open-ended questions and as Helen stated, “Care was taken to let interviewees speak in their own terms, and interviewers were carful not to ask leading questions.”</w:t>
      </w:r>
      <w:r>
        <w:rPr>
          <w:rStyle w:val="FootnoteReference"/>
        </w:rPr>
        <w:footnoteReference w:id="6"/>
      </w:r>
      <w:r>
        <w:t xml:space="preserve"> Also, the review shows some sample questions that give an idea about the interview. Afterwards the data was analysed by both researchers, where they found out that the results had no specific pattern, so they were listed in categories such as: Intellectual/non-experimental, second hand experiences, and first-hand experiences. This shows that the researchers targeted the quality of the experience they put their audience with to conduct the most honest results. The conclusion conducted was very open-minded which states that reincarnation can be accepted even to religious people, but will not necessarily demonstrate consequences for their behaviour, conversations or affiliations. “It is the ultimate detached, private belief.”</w:t>
      </w:r>
      <w:r>
        <w:rPr>
          <w:rStyle w:val="FootnoteReference"/>
        </w:rPr>
        <w:footnoteReference w:id="7"/>
      </w:r>
      <w:r>
        <w:t xml:space="preserve"> </w:t>
      </w:r>
    </w:p>
    <w:p w:rsidR="002437E8" w:rsidRDefault="002437E8" w:rsidP="002437E8">
      <w:pPr>
        <w:spacing w:after="0" w:line="240" w:lineRule="auto"/>
        <w:ind w:left="720"/>
      </w:pPr>
    </w:p>
    <w:p w:rsidR="002437E8" w:rsidRDefault="002437E8" w:rsidP="002437E8">
      <w:pPr>
        <w:spacing w:after="0" w:line="240" w:lineRule="auto"/>
        <w:ind w:left="720"/>
      </w:pPr>
      <w:r>
        <w:t xml:space="preserve">All in all, the type of care and detail invested in a review is what presents the readers with the sense of honesty and professionality. Even though the first review was neatly structured, and the aim was clear, but there was no level of detail while dealing with the methodology. An example to the lack of detail, is not justifying the reason for choosing a certain kind of audience, such kind of examples decrease the level of ethics of the overall review. And another thing is when brink tried to connect the conclusion with the main aim of the review, he deviated away from the issue and proposed other factors that might have affected the results. As for the second review the level of care was very much visible, starting with explaining every element investigated like the type of audience chosen or excluded, and closing with categorizing the results for a better conclusion. Even focusing on the location of where the interview was held was well thought, like since it is a private issue the interviewer decided to interview the audience in their homes. A very important feature is to be able to choose the type of method of questioning people due to the methodology, such sensitive cases like religion, produced better results when dealt with an open-end interview as the second review unlike the kind of questioner brink used in his research. </w:t>
      </w:r>
      <w:bookmarkEnd w:id="0"/>
    </w:p>
    <w:bookmarkEnd w:id="1"/>
    <w:p w:rsidR="002437E8" w:rsidRDefault="002437E8" w:rsidP="002437E8">
      <w:pPr>
        <w:spacing w:after="0" w:line="240" w:lineRule="auto"/>
        <w:ind w:left="720"/>
      </w:pPr>
    </w:p>
    <w:p w:rsidR="002437E8" w:rsidRDefault="002437E8" w:rsidP="002437E8">
      <w:pPr>
        <w:spacing w:after="0" w:line="240" w:lineRule="auto"/>
        <w:ind w:left="720"/>
      </w:pPr>
    </w:p>
    <w:p w:rsidR="002437E8" w:rsidRDefault="002437E8" w:rsidP="002437E8">
      <w:pPr>
        <w:spacing w:after="0" w:line="240" w:lineRule="auto"/>
        <w:ind w:left="720"/>
      </w:pPr>
    </w:p>
    <w:p w:rsidR="002437E8" w:rsidRDefault="002437E8" w:rsidP="002437E8">
      <w:pPr>
        <w:spacing w:after="0" w:line="240" w:lineRule="auto"/>
        <w:ind w:left="720"/>
      </w:pPr>
    </w:p>
    <w:p w:rsidR="002437E8" w:rsidRDefault="002437E8" w:rsidP="002437E8">
      <w:pPr>
        <w:spacing w:after="0" w:line="240" w:lineRule="auto"/>
        <w:ind w:left="720"/>
      </w:pPr>
    </w:p>
    <w:p w:rsidR="002437E8" w:rsidRDefault="002437E8" w:rsidP="002437E8">
      <w:pPr>
        <w:spacing w:after="0" w:line="240" w:lineRule="auto"/>
        <w:ind w:left="720"/>
      </w:pPr>
    </w:p>
    <w:p w:rsidR="002437E8" w:rsidRPr="005322CC" w:rsidRDefault="002437E8" w:rsidP="002437E8">
      <w:pPr>
        <w:spacing w:after="0" w:line="240" w:lineRule="auto"/>
        <w:ind w:left="720"/>
        <w:rPr>
          <w:sz w:val="32"/>
          <w:szCs w:val="32"/>
        </w:rPr>
      </w:pPr>
      <w:r w:rsidRPr="005322CC">
        <w:rPr>
          <w:sz w:val="32"/>
          <w:szCs w:val="32"/>
        </w:rPr>
        <w:t xml:space="preserve">Bibliography: </w:t>
      </w:r>
    </w:p>
    <w:p w:rsidR="002437E8" w:rsidRDefault="002437E8" w:rsidP="002437E8">
      <w:pPr>
        <w:spacing w:after="0" w:line="240" w:lineRule="auto"/>
        <w:ind w:left="720"/>
      </w:pPr>
    </w:p>
    <w:p w:rsidR="002437E8" w:rsidRDefault="002437E8" w:rsidP="002437E8">
      <w:pPr>
        <w:pStyle w:val="ListParagraph"/>
        <w:numPr>
          <w:ilvl w:val="0"/>
          <w:numId w:val="1"/>
        </w:numPr>
        <w:spacing w:after="0" w:line="240" w:lineRule="auto"/>
      </w:pPr>
      <w:r>
        <w:t xml:space="preserve">Primary Sources: </w:t>
      </w:r>
    </w:p>
    <w:p w:rsidR="002437E8" w:rsidRDefault="002437E8" w:rsidP="002437E8">
      <w:pPr>
        <w:pStyle w:val="ListParagraph"/>
        <w:spacing w:after="0" w:line="240" w:lineRule="auto"/>
        <w:ind w:left="1440"/>
      </w:pPr>
    </w:p>
    <w:p w:rsidR="002437E8" w:rsidRDefault="002437E8" w:rsidP="002437E8">
      <w:pPr>
        <w:pStyle w:val="ListParagraph"/>
        <w:spacing w:after="0" w:line="240" w:lineRule="auto"/>
        <w:ind w:left="1440"/>
        <w:rPr>
          <w:rStyle w:val="selectable"/>
          <w:rFonts w:ascii="Open Sans" w:hAnsi="Open Sans" w:cs="Open Sans"/>
          <w:color w:val="000000"/>
          <w:sz w:val="20"/>
          <w:szCs w:val="20"/>
          <w:shd w:val="clear" w:color="auto" w:fill="FFFFFF"/>
        </w:rPr>
      </w:pPr>
      <w:r>
        <w:rPr>
          <w:rStyle w:val="Strong"/>
          <w:rFonts w:ascii="Open Sans" w:hAnsi="Open Sans" w:cs="Open Sans"/>
          <w:color w:val="666666"/>
          <w:shd w:val="clear" w:color="auto" w:fill="FFFFFF"/>
        </w:rPr>
        <w:t> </w:t>
      </w:r>
      <w:r>
        <w:rPr>
          <w:rStyle w:val="selectable"/>
          <w:rFonts w:ascii="Open Sans" w:hAnsi="Open Sans" w:cs="Open Sans"/>
          <w:color w:val="000000"/>
          <w:sz w:val="20"/>
          <w:szCs w:val="20"/>
          <w:shd w:val="clear" w:color="auto" w:fill="FFFFFF"/>
        </w:rPr>
        <w:t>Brink, T. L., "Inconsistency of Belief Among Roman Catholic Girls: Concerning Religion, Astrology, Reincarnation", </w:t>
      </w:r>
      <w:r>
        <w:rPr>
          <w:rStyle w:val="selectable"/>
          <w:rFonts w:ascii="Open Sans" w:hAnsi="Open Sans" w:cs="Open Sans"/>
          <w:i/>
          <w:iCs/>
          <w:color w:val="000000"/>
          <w:sz w:val="20"/>
          <w:szCs w:val="20"/>
          <w:shd w:val="clear" w:color="auto" w:fill="FFFFFF"/>
        </w:rPr>
        <w:t xml:space="preserve">Review </w:t>
      </w:r>
      <w:proofErr w:type="gramStart"/>
      <w:r>
        <w:rPr>
          <w:rStyle w:val="selectable"/>
          <w:rFonts w:ascii="Open Sans" w:hAnsi="Open Sans" w:cs="Open Sans"/>
          <w:i/>
          <w:iCs/>
          <w:color w:val="000000"/>
          <w:sz w:val="20"/>
          <w:szCs w:val="20"/>
          <w:shd w:val="clear" w:color="auto" w:fill="FFFFFF"/>
        </w:rPr>
        <w:t>Of</w:t>
      </w:r>
      <w:proofErr w:type="gramEnd"/>
      <w:r>
        <w:rPr>
          <w:rStyle w:val="selectable"/>
          <w:rFonts w:ascii="Open Sans" w:hAnsi="Open Sans" w:cs="Open Sans"/>
          <w:i/>
          <w:iCs/>
          <w:color w:val="000000"/>
          <w:sz w:val="20"/>
          <w:szCs w:val="20"/>
          <w:shd w:val="clear" w:color="auto" w:fill="FFFFFF"/>
        </w:rPr>
        <w:t xml:space="preserve"> Religious Research</w:t>
      </w:r>
      <w:r>
        <w:rPr>
          <w:rStyle w:val="selectable"/>
          <w:rFonts w:ascii="Open Sans" w:hAnsi="Open Sans" w:cs="Open Sans"/>
          <w:color w:val="000000"/>
          <w:sz w:val="20"/>
          <w:szCs w:val="20"/>
          <w:shd w:val="clear" w:color="auto" w:fill="FFFFFF"/>
        </w:rPr>
        <w:t>, 20 (1978), 82 </w:t>
      </w:r>
    </w:p>
    <w:p w:rsidR="002437E8" w:rsidRDefault="002437E8" w:rsidP="002437E8">
      <w:pPr>
        <w:pStyle w:val="ListParagraph"/>
        <w:spacing w:after="0" w:line="240" w:lineRule="auto"/>
        <w:ind w:left="1440"/>
        <w:rPr>
          <w:rStyle w:val="selectable"/>
          <w:rFonts w:ascii="Open Sans" w:hAnsi="Open Sans" w:cs="Open Sans"/>
          <w:color w:val="000000"/>
          <w:sz w:val="20"/>
          <w:szCs w:val="20"/>
          <w:shd w:val="clear" w:color="auto" w:fill="FFFFFF"/>
        </w:rPr>
      </w:pPr>
    </w:p>
    <w:p w:rsidR="002437E8" w:rsidRDefault="002437E8" w:rsidP="002437E8">
      <w:pPr>
        <w:pStyle w:val="ListParagraph"/>
        <w:spacing w:after="0" w:line="240" w:lineRule="auto"/>
        <w:ind w:left="1440"/>
      </w:pPr>
      <w:r>
        <w:rPr>
          <w:rFonts w:ascii="Open Sans" w:hAnsi="Open Sans" w:cs="Open Sans"/>
          <w:color w:val="000000"/>
          <w:sz w:val="20"/>
          <w:szCs w:val="20"/>
          <w:shd w:val="clear" w:color="auto" w:fill="FFFFFF"/>
        </w:rPr>
        <w:t xml:space="preserve">Walter, Tony, and Helen Waterhouse, "A Very Private Belief: Reincarnation </w:t>
      </w:r>
      <w:proofErr w:type="gramStart"/>
      <w:r>
        <w:rPr>
          <w:rFonts w:ascii="Open Sans" w:hAnsi="Open Sans" w:cs="Open Sans"/>
          <w:color w:val="000000"/>
          <w:sz w:val="20"/>
          <w:szCs w:val="20"/>
          <w:shd w:val="clear" w:color="auto" w:fill="FFFFFF"/>
        </w:rPr>
        <w:t>In</w:t>
      </w:r>
      <w:proofErr w:type="gramEnd"/>
      <w:r>
        <w:rPr>
          <w:rFonts w:ascii="Open Sans" w:hAnsi="Open Sans" w:cs="Open Sans"/>
          <w:color w:val="000000"/>
          <w:sz w:val="20"/>
          <w:szCs w:val="20"/>
          <w:shd w:val="clear" w:color="auto" w:fill="FFFFFF"/>
        </w:rPr>
        <w:t xml:space="preserve"> Contemporary England", </w:t>
      </w:r>
      <w:r>
        <w:rPr>
          <w:rFonts w:ascii="Open Sans" w:hAnsi="Open Sans" w:cs="Open Sans"/>
          <w:i/>
          <w:iCs/>
          <w:color w:val="000000"/>
          <w:sz w:val="20"/>
          <w:szCs w:val="20"/>
          <w:shd w:val="clear" w:color="auto" w:fill="FFFFFF"/>
        </w:rPr>
        <w:t>Sociology Of Religion</w:t>
      </w:r>
      <w:r>
        <w:rPr>
          <w:rFonts w:ascii="Open Sans" w:hAnsi="Open Sans" w:cs="Open Sans"/>
          <w:color w:val="000000"/>
          <w:sz w:val="20"/>
          <w:szCs w:val="20"/>
          <w:shd w:val="clear" w:color="auto" w:fill="FFFFFF"/>
        </w:rPr>
        <w:t xml:space="preserve">, 60 (1999), 187 </w:t>
      </w:r>
    </w:p>
    <w:p w:rsidR="002437E8" w:rsidRDefault="002437E8" w:rsidP="002437E8">
      <w:pPr>
        <w:spacing w:after="0" w:line="240" w:lineRule="auto"/>
      </w:pPr>
    </w:p>
    <w:p w:rsidR="002437E8" w:rsidRDefault="002437E8" w:rsidP="002437E8">
      <w:pPr>
        <w:spacing w:after="0" w:line="240" w:lineRule="auto"/>
      </w:pPr>
    </w:p>
    <w:p w:rsidR="002437E8" w:rsidRPr="00226DC1" w:rsidRDefault="002437E8" w:rsidP="002437E8">
      <w:pPr>
        <w:spacing w:after="0" w:line="240" w:lineRule="auto"/>
      </w:pPr>
      <w:r>
        <w:t xml:space="preserve">                               </w:t>
      </w:r>
    </w:p>
    <w:p w:rsidR="00AD38BD" w:rsidRDefault="00AD38BD">
      <w:bookmarkStart w:id="3" w:name="_GoBack"/>
      <w:bookmarkEnd w:id="3"/>
    </w:p>
    <w:sectPr w:rsidR="00AD38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ECF" w:rsidRDefault="007A2ECF" w:rsidP="002437E8">
      <w:pPr>
        <w:spacing w:after="0" w:line="240" w:lineRule="auto"/>
      </w:pPr>
      <w:r>
        <w:separator/>
      </w:r>
    </w:p>
  </w:endnote>
  <w:endnote w:type="continuationSeparator" w:id="0">
    <w:p w:rsidR="007A2ECF" w:rsidRDefault="007A2ECF" w:rsidP="00243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ECF" w:rsidRDefault="007A2ECF" w:rsidP="002437E8">
      <w:pPr>
        <w:spacing w:after="0" w:line="240" w:lineRule="auto"/>
      </w:pPr>
      <w:r>
        <w:separator/>
      </w:r>
    </w:p>
  </w:footnote>
  <w:footnote w:type="continuationSeparator" w:id="0">
    <w:p w:rsidR="007A2ECF" w:rsidRDefault="007A2ECF" w:rsidP="002437E8">
      <w:pPr>
        <w:spacing w:after="0" w:line="240" w:lineRule="auto"/>
      </w:pPr>
      <w:r>
        <w:continuationSeparator/>
      </w:r>
    </w:p>
  </w:footnote>
  <w:footnote w:id="1">
    <w:p w:rsidR="002437E8" w:rsidRPr="00C04D74" w:rsidRDefault="002437E8" w:rsidP="002437E8">
      <w:pPr>
        <w:pStyle w:val="FootnoteText"/>
        <w:rPr>
          <w:lang w:val="en-US"/>
        </w:rPr>
      </w:pPr>
      <w:r>
        <w:rPr>
          <w:rStyle w:val="FootnoteReference"/>
        </w:rPr>
        <w:footnoteRef/>
      </w:r>
      <w:r>
        <w:t xml:space="preserve"> Brink, p. 82</w:t>
      </w:r>
    </w:p>
  </w:footnote>
  <w:footnote w:id="2">
    <w:p w:rsidR="002437E8" w:rsidRPr="00C04D74" w:rsidRDefault="002437E8" w:rsidP="002437E8">
      <w:pPr>
        <w:pStyle w:val="FootnoteText"/>
        <w:rPr>
          <w:lang w:val="en-US"/>
        </w:rPr>
      </w:pPr>
      <w:r>
        <w:rPr>
          <w:rStyle w:val="FootnoteReference"/>
        </w:rPr>
        <w:footnoteRef/>
      </w:r>
      <w:r>
        <w:t xml:space="preserve"> Brink, p. 83</w:t>
      </w:r>
    </w:p>
  </w:footnote>
  <w:footnote w:id="3">
    <w:p w:rsidR="002437E8" w:rsidRPr="00C04D74" w:rsidRDefault="002437E8" w:rsidP="002437E8">
      <w:pPr>
        <w:pStyle w:val="FootnoteText"/>
        <w:rPr>
          <w:lang w:val="en-US"/>
        </w:rPr>
      </w:pPr>
      <w:r>
        <w:rPr>
          <w:rStyle w:val="FootnoteReference"/>
        </w:rPr>
        <w:footnoteRef/>
      </w:r>
      <w:r>
        <w:t xml:space="preserve"> Brink, p. 84</w:t>
      </w:r>
    </w:p>
  </w:footnote>
  <w:footnote w:id="4">
    <w:p w:rsidR="002437E8" w:rsidRPr="00C04D74" w:rsidRDefault="002437E8" w:rsidP="002437E8">
      <w:pPr>
        <w:pStyle w:val="FootnoteText"/>
        <w:rPr>
          <w:lang w:val="en-US"/>
        </w:rPr>
      </w:pPr>
      <w:r>
        <w:rPr>
          <w:rStyle w:val="FootnoteReference"/>
        </w:rPr>
        <w:footnoteRef/>
      </w:r>
      <w:r>
        <w:t xml:space="preserve"> Ibid, p. 84</w:t>
      </w:r>
    </w:p>
  </w:footnote>
  <w:footnote w:id="5">
    <w:p w:rsidR="002437E8" w:rsidRPr="00CE76B8" w:rsidRDefault="002437E8" w:rsidP="002437E8">
      <w:pPr>
        <w:pStyle w:val="FootnoteText"/>
        <w:rPr>
          <w:lang w:val="en-US"/>
        </w:rPr>
      </w:pPr>
      <w:r>
        <w:rPr>
          <w:rStyle w:val="FootnoteReference"/>
        </w:rPr>
        <w:footnoteRef/>
      </w:r>
      <w:r>
        <w:t xml:space="preserve"> </w:t>
      </w:r>
      <w:r w:rsidRPr="00CE76B8">
        <w:t>Walter, Waterhouse, p.18</w:t>
      </w:r>
      <w:r>
        <w:t>7</w:t>
      </w:r>
    </w:p>
  </w:footnote>
  <w:footnote w:id="6">
    <w:p w:rsidR="002437E8" w:rsidRPr="00CE76B8" w:rsidRDefault="002437E8" w:rsidP="002437E8">
      <w:pPr>
        <w:pStyle w:val="FootnoteText"/>
        <w:rPr>
          <w:lang w:val="en-US"/>
        </w:rPr>
      </w:pPr>
      <w:r>
        <w:rPr>
          <w:rStyle w:val="FootnoteReference"/>
        </w:rPr>
        <w:footnoteRef/>
      </w:r>
      <w:r>
        <w:t xml:space="preserve"> </w:t>
      </w:r>
      <w:bookmarkStart w:id="2" w:name="_Hlk3748074"/>
      <w:r>
        <w:t xml:space="preserve">Ibid, </w:t>
      </w:r>
      <w:r>
        <w:rPr>
          <w:lang w:val="en-US"/>
        </w:rPr>
        <w:t>p.189</w:t>
      </w:r>
      <w:bookmarkEnd w:id="2"/>
    </w:p>
  </w:footnote>
  <w:footnote w:id="7">
    <w:p w:rsidR="002437E8" w:rsidRPr="00D617A2" w:rsidRDefault="002437E8" w:rsidP="002437E8">
      <w:pPr>
        <w:pStyle w:val="FootnoteText"/>
        <w:rPr>
          <w:lang w:val="en-US"/>
        </w:rPr>
      </w:pPr>
      <w:r>
        <w:rPr>
          <w:rStyle w:val="FootnoteReference"/>
        </w:rPr>
        <w:footnoteRef/>
      </w:r>
      <w:r>
        <w:t xml:space="preserve"> Ibid, p. 196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67700"/>
    <w:multiLevelType w:val="hybridMultilevel"/>
    <w:tmpl w:val="1E061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7E8"/>
    <w:rsid w:val="002437E8"/>
    <w:rsid w:val="007A2ECF"/>
    <w:rsid w:val="00AD3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FF92C0-EC45-4F55-A772-8DC87DE38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7E8"/>
    <w:pPr>
      <w:spacing w:after="200" w:line="276" w:lineRule="auto"/>
    </w:pPr>
    <w:rPr>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437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37E8"/>
    <w:rPr>
      <w:sz w:val="20"/>
      <w:szCs w:val="20"/>
      <w:lang w:val="en-GB" w:eastAsia="en-GB"/>
    </w:rPr>
  </w:style>
  <w:style w:type="character" w:styleId="FootnoteReference">
    <w:name w:val="footnote reference"/>
    <w:basedOn w:val="DefaultParagraphFont"/>
    <w:uiPriority w:val="99"/>
    <w:semiHidden/>
    <w:unhideWhenUsed/>
    <w:rsid w:val="002437E8"/>
    <w:rPr>
      <w:vertAlign w:val="superscript"/>
    </w:rPr>
  </w:style>
  <w:style w:type="paragraph" w:styleId="ListParagraph">
    <w:name w:val="List Paragraph"/>
    <w:basedOn w:val="Normal"/>
    <w:uiPriority w:val="34"/>
    <w:qFormat/>
    <w:rsid w:val="002437E8"/>
    <w:pPr>
      <w:ind w:left="720"/>
      <w:contextualSpacing/>
    </w:pPr>
  </w:style>
  <w:style w:type="character" w:styleId="Strong">
    <w:name w:val="Strong"/>
    <w:basedOn w:val="DefaultParagraphFont"/>
    <w:uiPriority w:val="22"/>
    <w:qFormat/>
    <w:rsid w:val="002437E8"/>
    <w:rPr>
      <w:b/>
      <w:bCs/>
    </w:rPr>
  </w:style>
  <w:style w:type="character" w:customStyle="1" w:styleId="selectable">
    <w:name w:val="selectable"/>
    <w:basedOn w:val="DefaultParagraphFont"/>
    <w:rsid w:val="00243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1063</Words>
  <Characters>6062</Characters>
  <Application>Microsoft Office Word</Application>
  <DocSecurity>0</DocSecurity>
  <Lines>50</Lines>
  <Paragraphs>14</Paragraphs>
  <ScaleCrop>false</ScaleCrop>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bizri</dc:creator>
  <cp:keywords/>
  <dc:description/>
  <cp:lastModifiedBy>sara bizri</cp:lastModifiedBy>
  <cp:revision>1</cp:revision>
  <dcterms:created xsi:type="dcterms:W3CDTF">2019-03-17T19:38:00Z</dcterms:created>
  <dcterms:modified xsi:type="dcterms:W3CDTF">2019-03-17T19:38:00Z</dcterms:modified>
</cp:coreProperties>
</file>