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60B18D00"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r w:rsidR="005E518F">
        <w:rPr>
          <w:rFonts w:ascii="Arial" w:hAnsi="Arial" w:cs="Arial"/>
          <w:b/>
          <w:bCs/>
        </w:rPr>
        <w:t xml:space="preserve"> </w:t>
      </w:r>
    </w:p>
    <w:p w14:paraId="66E8837A" w14:textId="20969372" w:rsidR="000F6387" w:rsidRPr="000F6387" w:rsidRDefault="000F6387" w:rsidP="00FB75C3">
      <w:pPr>
        <w:spacing w:line="360" w:lineRule="auto"/>
        <w:jc w:val="center"/>
        <w:rPr>
          <w:rFonts w:ascii="Arial" w:hAnsi="Arial" w:cs="Arial"/>
          <w:b/>
          <w:bCs/>
        </w:rPr>
      </w:pPr>
      <w:r w:rsidRPr="1870BA4D">
        <w:rPr>
          <w:rFonts w:ascii="Arial" w:hAnsi="Arial" w:cs="Arial"/>
          <w:b/>
          <w:bCs/>
        </w:rPr>
        <w:t>Name of the student:</w:t>
      </w:r>
      <w:r w:rsidR="2897FE65" w:rsidRPr="1870BA4D">
        <w:rPr>
          <w:rFonts w:ascii="Arial" w:hAnsi="Arial" w:cs="Arial"/>
          <w:b/>
          <w:bCs/>
        </w:rPr>
        <w:t xml:space="preserve"> </w:t>
      </w:r>
      <w:r w:rsidR="00494ECB">
        <w:rPr>
          <w:rFonts w:ascii="Arial" w:hAnsi="Arial" w:cs="Arial"/>
          <w:b/>
          <w:bCs/>
        </w:rPr>
        <w:t xml:space="preserve">Shasta </w:t>
      </w:r>
      <w:proofErr w:type="spellStart"/>
      <w:r w:rsidR="00494ECB">
        <w:rPr>
          <w:rFonts w:ascii="Arial" w:hAnsi="Arial" w:cs="Arial"/>
          <w:b/>
          <w:bCs/>
        </w:rPr>
        <w:t>Maji</w:t>
      </w:r>
      <w:r w:rsidR="00ED7F79">
        <w:rPr>
          <w:rFonts w:ascii="Arial" w:hAnsi="Arial" w:cs="Arial"/>
          <w:b/>
          <w:bCs/>
        </w:rPr>
        <w:t>d</w:t>
      </w:r>
      <w:proofErr w:type="spellEnd"/>
      <w:r w:rsidR="1BB6DA0B" w:rsidRPr="1870BA4D">
        <w:rPr>
          <w:rFonts w:ascii="Arial" w:hAnsi="Arial" w:cs="Arial"/>
          <w:b/>
          <w:bCs/>
        </w:rPr>
        <w:t>_________________</w:t>
      </w:r>
    </w:p>
    <w:p w14:paraId="6F60BD0E" w14:textId="1DA63F9A" w:rsidR="000F6387" w:rsidRPr="000F6387" w:rsidRDefault="000F6387" w:rsidP="1870BA4D">
      <w:pPr>
        <w:spacing w:line="360" w:lineRule="auto"/>
        <w:jc w:val="center"/>
        <w:rPr>
          <w:rFonts w:ascii="Arial" w:hAnsi="Arial" w:cs="Arial"/>
          <w:b/>
          <w:bCs/>
        </w:rPr>
      </w:pPr>
      <w:r w:rsidRPr="1870BA4D">
        <w:rPr>
          <w:rFonts w:ascii="Arial" w:hAnsi="Arial" w:cs="Arial"/>
          <w:b/>
          <w:bCs/>
        </w:rPr>
        <w:t>ID number:</w:t>
      </w:r>
      <w:r w:rsidR="1669AE4C" w:rsidRPr="1870BA4D">
        <w:rPr>
          <w:rFonts w:ascii="Arial" w:hAnsi="Arial" w:cs="Arial"/>
          <w:b/>
          <w:bCs/>
        </w:rPr>
        <w:t xml:space="preserve"> </w:t>
      </w:r>
      <w:r w:rsidR="00ED7F79">
        <w:rPr>
          <w:rFonts w:ascii="Arial" w:hAnsi="Arial" w:cs="Arial"/>
          <w:b/>
          <w:bCs/>
        </w:rPr>
        <w:t>253</w:t>
      </w:r>
      <w:r w:rsidR="00A61EF6">
        <w:rPr>
          <w:rFonts w:ascii="Arial" w:hAnsi="Arial" w:cs="Arial"/>
          <w:b/>
          <w:bCs/>
        </w:rPr>
        <w:t>5911</w:t>
      </w:r>
      <w:r w:rsidR="688CFD8C" w:rsidRPr="1870BA4D">
        <w:rPr>
          <w:rFonts w:ascii="Arial" w:hAnsi="Arial" w:cs="Arial"/>
          <w:b/>
          <w:bCs/>
        </w:rPr>
        <w:t>_________</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proofErr w:type="spellStart"/>
      <w:r w:rsidRPr="000F6387">
        <w:rPr>
          <w:rFonts w:ascii="Arial" w:hAnsi="Arial" w:cs="Arial"/>
          <w:b/>
          <w:bCs/>
        </w:rPr>
        <w:t>Masud</w:t>
      </w:r>
      <w:proofErr w:type="spellEnd"/>
      <w:r w:rsidRPr="000F6387">
        <w:rPr>
          <w:rFonts w:ascii="Arial" w:hAnsi="Arial" w:cs="Arial"/>
          <w:b/>
          <w:bCs/>
        </w:rPr>
        <w:t xml:space="preserve"> </w:t>
      </w:r>
      <w:proofErr w:type="spellStart"/>
      <w:r w:rsidRPr="000F6387">
        <w:rPr>
          <w:rFonts w:ascii="Arial" w:hAnsi="Arial" w:cs="Arial"/>
          <w:b/>
          <w:bCs/>
        </w:rPr>
        <w:t>Siddiqui</w:t>
      </w:r>
      <w:proofErr w:type="spellEnd"/>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8E2E012" w:rsidR="00551D4F"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_________________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1D30F457" w:rsidR="00551D4F" w:rsidRDefault="00551D4F" w:rsidP="00551D4F">
      <w:pPr>
        <w:pStyle w:val="Heading1"/>
      </w:pPr>
      <w:bookmarkStart w:id="0" w:name="_Toc233886916"/>
      <w:bookmarkStart w:id="1" w:name="_Toc233887330"/>
      <w:bookmarkStart w:id="2" w:name="_Toc586372795"/>
      <w:r>
        <w:t>Section 1</w:t>
      </w:r>
      <w:bookmarkEnd w:id="0"/>
      <w:bookmarkEnd w:id="1"/>
      <w:bookmarkEnd w:id="2"/>
    </w:p>
    <w:p w14:paraId="6FF3B621" w14:textId="5A3F1782" w:rsidR="1870BA4D" w:rsidRDefault="4FA5C0E6" w:rsidP="00906C37">
      <w:r>
        <w:t xml:space="preserve"> </w:t>
      </w:r>
    </w:p>
    <w:p w14:paraId="66DD1181" w14:textId="77777777" w:rsidR="009478A3" w:rsidRPr="009478A3" w:rsidRDefault="009478A3" w:rsidP="009478A3">
      <w:pPr>
        <w:spacing w:after="0" w:line="240" w:lineRule="auto"/>
        <w:rPr>
          <w:rFonts w:ascii="Calibri" w:eastAsia="Times New Roman" w:hAnsi="Calibri" w:cs="Calibri"/>
          <w:color w:val="242424"/>
          <w:kern w:val="0"/>
          <w:sz w:val="24"/>
          <w:szCs w:val="24"/>
          <w:lang w:eastAsia="en-GB"/>
          <w14:ligatures w14:val="none"/>
        </w:rPr>
      </w:pPr>
      <w:r w:rsidRPr="009478A3">
        <w:rPr>
          <w:rFonts w:ascii="Calibri" w:eastAsia="Times New Roman" w:hAnsi="Calibri" w:cs="Calibri"/>
          <w:color w:val="242424"/>
          <w:kern w:val="0"/>
          <w:sz w:val="24"/>
          <w:szCs w:val="24"/>
          <w:bdr w:val="none" w:sz="0" w:space="0" w:color="auto" w:frame="1"/>
          <w:lang w:eastAsia="en-GB"/>
          <w14:ligatures w14:val="none"/>
        </w:rPr>
        <w:t>Introducing the Research Paper and Topic Development</w:t>
      </w:r>
    </w:p>
    <w:p w14:paraId="49F574E1" w14:textId="77777777" w:rsidR="009478A3" w:rsidRPr="009478A3" w:rsidRDefault="009478A3" w:rsidP="009478A3">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6891AE9B" w14:textId="77777777" w:rsidR="009478A3" w:rsidRPr="009478A3" w:rsidRDefault="009478A3" w:rsidP="009478A3">
      <w:pPr>
        <w:spacing w:after="0" w:line="240" w:lineRule="auto"/>
        <w:rPr>
          <w:rFonts w:ascii="Calibri" w:eastAsia="Times New Roman" w:hAnsi="Calibri" w:cs="Calibri"/>
          <w:color w:val="242424"/>
          <w:kern w:val="0"/>
          <w:sz w:val="24"/>
          <w:szCs w:val="24"/>
          <w:lang w:eastAsia="en-GB"/>
          <w14:ligatures w14:val="none"/>
        </w:rPr>
      </w:pPr>
      <w:r w:rsidRPr="009478A3">
        <w:rPr>
          <w:rFonts w:ascii="Calibri" w:eastAsia="Times New Roman" w:hAnsi="Calibri" w:cs="Calibri"/>
          <w:color w:val="242424"/>
          <w:kern w:val="0"/>
          <w:sz w:val="24"/>
          <w:szCs w:val="24"/>
          <w:bdr w:val="none" w:sz="0" w:space="0" w:color="auto" w:frame="1"/>
          <w:lang w:eastAsia="en-GB"/>
          <w14:ligatures w14:val="none"/>
        </w:rPr>
        <w:t>This report focuses on the research paper ‘She didn’t know how to go back’: School attendance problems in the context of the COVID-19 pandemic – A multiple stakeholder qualitative study with parents and professionals, written by McDonald, B., Lester, K.J. and Michelson, D., and published in 2023 in the </w:t>
      </w:r>
      <w:r w:rsidRPr="009478A3">
        <w:rPr>
          <w:rFonts w:ascii="Calibri" w:eastAsia="Times New Roman" w:hAnsi="Calibri" w:cs="Calibri"/>
          <w:i/>
          <w:iCs/>
          <w:color w:val="242424"/>
          <w:kern w:val="0"/>
          <w:sz w:val="24"/>
          <w:szCs w:val="24"/>
          <w:bdr w:val="none" w:sz="0" w:space="0" w:color="auto" w:frame="1"/>
          <w:lang w:eastAsia="en-GB"/>
          <w14:ligatures w14:val="none"/>
        </w:rPr>
        <w:t>British Journal of Educational Psychology</w:t>
      </w:r>
      <w:r w:rsidRPr="009478A3">
        <w:rPr>
          <w:rFonts w:ascii="Calibri" w:eastAsia="Times New Roman" w:hAnsi="Calibri" w:cs="Calibri"/>
          <w:color w:val="242424"/>
          <w:kern w:val="0"/>
          <w:sz w:val="24"/>
          <w:szCs w:val="24"/>
          <w:bdr w:val="none" w:sz="0" w:space="0" w:color="auto" w:frame="1"/>
          <w:lang w:eastAsia="en-GB"/>
          <w14:ligatures w14:val="none"/>
        </w:rPr>
        <w:t>. The study explores how the COVID-19 pandemic contributed to increasing school attendance problems among primary-aged children in Southern England and examines the experiences of both parents and professionals to identify the causes of these attendance difficulties and possible ways to improve school re-engagement.</w:t>
      </w:r>
    </w:p>
    <w:p w14:paraId="37E46C77" w14:textId="77777777" w:rsidR="009478A3" w:rsidRPr="009478A3" w:rsidRDefault="009478A3" w:rsidP="009478A3">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121EA3F" w14:textId="77777777" w:rsidR="009478A3" w:rsidRPr="009478A3" w:rsidRDefault="009478A3" w:rsidP="009478A3">
      <w:pPr>
        <w:spacing w:after="0" w:line="240" w:lineRule="auto"/>
        <w:rPr>
          <w:rFonts w:ascii="Calibri" w:eastAsia="Times New Roman" w:hAnsi="Calibri" w:cs="Calibri"/>
          <w:color w:val="242424"/>
          <w:kern w:val="0"/>
          <w:sz w:val="24"/>
          <w:szCs w:val="24"/>
          <w:lang w:eastAsia="en-GB"/>
          <w14:ligatures w14:val="none"/>
        </w:rPr>
      </w:pPr>
      <w:r w:rsidRPr="009478A3">
        <w:rPr>
          <w:rFonts w:ascii="Calibri" w:eastAsia="Times New Roman" w:hAnsi="Calibri" w:cs="Calibri"/>
          <w:color w:val="242424"/>
          <w:kern w:val="0"/>
          <w:sz w:val="24"/>
          <w:szCs w:val="24"/>
          <w:bdr w:val="none" w:sz="0" w:space="0" w:color="auto" w:frame="1"/>
          <w:lang w:eastAsia="en-GB"/>
          <w14:ligatures w14:val="none"/>
        </w:rPr>
        <w:t>School attendance has long been recognised as an important issue within UK education, health and social care. Regular attendance is closely linked to children’s educational achievement, physical health, emotional wellbeing and long-term life opportunities. According to the Department for Education (2023), persistent absence, defined as missing 10% or more of school sessions, increased significantly following the COVID-19 pandemic. Children with Special Educational Needs and Disabilities (SEND), mental health conditions, or involvement with children’s social care were particularly affected.</w:t>
      </w:r>
    </w:p>
    <w:p w14:paraId="1D2444A3" w14:textId="77777777" w:rsidR="009478A3" w:rsidRPr="009478A3" w:rsidRDefault="009478A3" w:rsidP="009478A3">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369DB36" w14:textId="77777777" w:rsidR="009478A3" w:rsidRPr="009478A3" w:rsidRDefault="009478A3" w:rsidP="009478A3">
      <w:pPr>
        <w:spacing w:after="0" w:line="240" w:lineRule="auto"/>
        <w:rPr>
          <w:rFonts w:ascii="Calibri" w:eastAsia="Times New Roman" w:hAnsi="Calibri" w:cs="Calibri"/>
          <w:color w:val="242424"/>
          <w:kern w:val="0"/>
          <w:sz w:val="24"/>
          <w:szCs w:val="24"/>
          <w:lang w:eastAsia="en-GB"/>
          <w14:ligatures w14:val="none"/>
        </w:rPr>
      </w:pPr>
      <w:r w:rsidRPr="009478A3">
        <w:rPr>
          <w:rFonts w:ascii="Calibri" w:eastAsia="Times New Roman" w:hAnsi="Calibri" w:cs="Calibri"/>
          <w:color w:val="242424"/>
          <w:kern w:val="0"/>
          <w:sz w:val="24"/>
          <w:szCs w:val="24"/>
          <w:bdr w:val="none" w:sz="0" w:space="0" w:color="auto" w:frame="1"/>
          <w:lang w:eastAsia="en-GB"/>
          <w14:ligatures w14:val="none"/>
        </w:rPr>
        <w:t>During the COVID-19 pandemic, schools across England experienced repeated closures, remote learning, self-isolation requirements and major disruptions to normal routines. Although these measures protected public health, they also changed children’s daily lives, reduced social interaction and increased anxiety about returning to school. Many children found it difficult to readjust to classroom environments after long periods at home.</w:t>
      </w:r>
    </w:p>
    <w:p w14:paraId="5F0B70B8" w14:textId="77777777" w:rsidR="009478A3" w:rsidRPr="009478A3" w:rsidRDefault="009478A3" w:rsidP="009478A3">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4F03555" w14:textId="77777777" w:rsidR="009478A3" w:rsidRPr="009478A3" w:rsidRDefault="009478A3" w:rsidP="009478A3">
      <w:pPr>
        <w:spacing w:after="0" w:line="240" w:lineRule="auto"/>
        <w:rPr>
          <w:rFonts w:ascii="Calibri" w:eastAsia="Times New Roman" w:hAnsi="Calibri" w:cs="Calibri"/>
          <w:color w:val="242424"/>
          <w:kern w:val="0"/>
          <w:sz w:val="24"/>
          <w:szCs w:val="24"/>
          <w:lang w:eastAsia="en-GB"/>
          <w14:ligatures w14:val="none"/>
        </w:rPr>
      </w:pPr>
      <w:r w:rsidRPr="009478A3">
        <w:rPr>
          <w:rFonts w:ascii="Calibri" w:eastAsia="Times New Roman" w:hAnsi="Calibri" w:cs="Calibri"/>
          <w:color w:val="242424"/>
          <w:kern w:val="0"/>
          <w:sz w:val="24"/>
          <w:szCs w:val="24"/>
          <w:bdr w:val="none" w:sz="0" w:space="0" w:color="auto" w:frame="1"/>
          <w:lang w:eastAsia="en-GB"/>
          <w14:ligatures w14:val="none"/>
        </w:rPr>
        <w:t>The researchers chose this topic because previous studies mainly focused on secondary school pupils or examined attendance using statistical data. There was limited research exploring the experiences of younger primary-aged children or combining the perspectives of parents and professionals. Understanding these experiences is particularly important because schools play a central role in safeguarding children, promoting mental health, identifying additional support needs and providing access to wider health and social care services. Poor attendance can reduce children’s access to these services, increasing educational inequalities and negatively affecting their long-term development. Therefore, this research provides valuable evidence to help schools, healthcare professionals and policymakers develop more effective support for children experiencing attendance difficulties.</w:t>
      </w:r>
    </w:p>
    <w:p w14:paraId="5265C944" w14:textId="77777777" w:rsidR="00DE12A3" w:rsidRPr="00906C37" w:rsidRDefault="00DE12A3" w:rsidP="00906C37"/>
    <w:p w14:paraId="4EE0DC29" w14:textId="10B15E02" w:rsidR="1870BA4D" w:rsidRDefault="1870BA4D" w:rsidP="1870BA4D">
      <w:pPr>
        <w:spacing w:line="360" w:lineRule="auto"/>
        <w:jc w:val="both"/>
        <w:rPr>
          <w:rFonts w:ascii="Arial" w:hAnsi="Arial" w:cs="Arial"/>
        </w:rPr>
      </w:pPr>
    </w:p>
    <w:p w14:paraId="072C752B" w14:textId="3EEE605B" w:rsidR="1870BA4D" w:rsidRDefault="1870BA4D" w:rsidP="1870BA4D">
      <w:pPr>
        <w:spacing w:line="360" w:lineRule="auto"/>
        <w:jc w:val="both"/>
        <w:rPr>
          <w:rFonts w:ascii="Arial" w:hAnsi="Arial" w:cs="Arial"/>
        </w:rPr>
      </w:pPr>
    </w:p>
    <w:p w14:paraId="00ECDD90" w14:textId="5251262E"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450C7C44" w14:textId="501D13B1" w:rsidR="00551D4F" w:rsidRDefault="00551D4F" w:rsidP="00551D4F">
      <w:pPr>
        <w:pStyle w:val="Heading1"/>
      </w:pPr>
      <w:bookmarkStart w:id="3" w:name="_Toc233886917"/>
      <w:bookmarkStart w:id="4" w:name="_Toc233887333"/>
      <w:bookmarkStart w:id="5" w:name="_Toc808566681"/>
      <w:r>
        <w:t>Section 2</w:t>
      </w:r>
      <w:bookmarkEnd w:id="3"/>
      <w:bookmarkEnd w:id="4"/>
      <w:bookmarkEnd w:id="5"/>
    </w:p>
    <w:p w14:paraId="43E8EFF7" w14:textId="77777777" w:rsidR="003647E3" w:rsidRDefault="003647E3" w:rsidP="003647E3">
      <w:pPr>
        <w:spacing w:line="360" w:lineRule="auto"/>
        <w:jc w:val="both"/>
        <w:rPr>
          <w:rFonts w:ascii="Arial" w:hAnsi="Arial" w:cs="Arial"/>
        </w:rPr>
      </w:pPr>
    </w:p>
    <w:p w14:paraId="4E06A0B8" w14:textId="77777777" w:rsidR="009D58D8" w:rsidRPr="009D58D8" w:rsidRDefault="009D58D8" w:rsidP="009D58D8">
      <w:p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 xml:space="preserve">Understanding the Purpose and Research Question </w:t>
      </w:r>
    </w:p>
    <w:p w14:paraId="6F508F61" w14:textId="77777777" w:rsidR="009D58D8" w:rsidRPr="009D58D8" w:rsidRDefault="009D58D8" w:rsidP="009D58D8">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0996298" w14:textId="77777777" w:rsidR="009D58D8" w:rsidRPr="009D58D8" w:rsidRDefault="009D58D8" w:rsidP="009D58D8">
      <w:p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The main purpose of this study was to understand how school attendance problems developed among primary-aged children during and after the COVID-19 pandemic. The researchers also aimed to identify practical ways that schools, families and professionals could work together to improve attendance.</w:t>
      </w:r>
    </w:p>
    <w:p w14:paraId="17681958" w14:textId="77777777" w:rsidR="009D58D8" w:rsidRPr="009D58D8" w:rsidRDefault="009D58D8" w:rsidP="009D58D8">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FA0FA52" w14:textId="77777777" w:rsidR="009D58D8" w:rsidRPr="009D58D8" w:rsidRDefault="009D58D8" w:rsidP="009D58D8">
      <w:p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The main research objectives were to:</w:t>
      </w:r>
    </w:p>
    <w:p w14:paraId="2DAFE75B" w14:textId="77777777" w:rsidR="009D58D8" w:rsidRPr="009D58D8" w:rsidRDefault="009D58D8" w:rsidP="009D58D8">
      <w:pPr>
        <w:numPr>
          <w:ilvl w:val="0"/>
          <w:numId w:val="13"/>
        </w:num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explore the factors contributing to school attendance difficulties following the pandemic.</w:t>
      </w:r>
    </w:p>
    <w:p w14:paraId="504B5BCC" w14:textId="77777777" w:rsidR="009D58D8" w:rsidRPr="009D58D8" w:rsidRDefault="009D58D8" w:rsidP="009D58D8">
      <w:pPr>
        <w:numPr>
          <w:ilvl w:val="0"/>
          <w:numId w:val="13"/>
        </w:num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examine the experiences and views of both parents and professionals.</w:t>
      </w:r>
    </w:p>
    <w:p w14:paraId="760D791C" w14:textId="77777777" w:rsidR="009D58D8" w:rsidRPr="009D58D8" w:rsidRDefault="009D58D8" w:rsidP="009D58D8">
      <w:pPr>
        <w:numPr>
          <w:ilvl w:val="0"/>
          <w:numId w:val="13"/>
        </w:num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identify strategies that could support children in successfully returning to school; and</w:t>
      </w:r>
    </w:p>
    <w:p w14:paraId="7DEC2127" w14:textId="77777777" w:rsidR="009D58D8" w:rsidRPr="009D58D8" w:rsidRDefault="009D58D8" w:rsidP="009D58D8">
      <w:pPr>
        <w:numPr>
          <w:ilvl w:val="0"/>
          <w:numId w:val="13"/>
        </w:numPr>
        <w:spacing w:after="0" w:line="240" w:lineRule="auto"/>
        <w:rPr>
          <w:rFonts w:ascii="Calibri" w:eastAsia="Times New Roman" w:hAnsi="Calibri" w:cs="Calibri"/>
          <w:color w:val="242424"/>
          <w:kern w:val="0"/>
          <w:sz w:val="24"/>
          <w:szCs w:val="24"/>
          <w:lang w:eastAsia="en-GB"/>
          <w14:ligatures w14:val="none"/>
        </w:rPr>
      </w:pPr>
      <w:r w:rsidRPr="009D58D8">
        <w:rPr>
          <w:rFonts w:ascii="Calibri" w:eastAsia="Times New Roman" w:hAnsi="Calibri" w:cs="Calibri"/>
          <w:color w:val="242424"/>
          <w:kern w:val="0"/>
          <w:sz w:val="24"/>
          <w:szCs w:val="24"/>
          <w:bdr w:val="none" w:sz="0" w:space="0" w:color="auto" w:frame="1"/>
          <w:lang w:eastAsia="en-GB"/>
          <w14:ligatures w14:val="none"/>
        </w:rPr>
        <w:t>provide evidence that could inform future educational, health and social care practice.</w:t>
      </w:r>
    </w:p>
    <w:p w14:paraId="616A6413" w14:textId="133E09B2" w:rsidR="00551D4F" w:rsidRPr="00551D4F" w:rsidRDefault="00551D4F" w:rsidP="003647E3">
      <w:pPr>
        <w:spacing w:line="360" w:lineRule="auto"/>
        <w:jc w:val="both"/>
      </w:pP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5B30451C" w14:textId="34314E2C" w:rsidR="00551D4F" w:rsidRDefault="00551D4F" w:rsidP="00551D4F">
      <w:pPr>
        <w:pStyle w:val="Heading1"/>
      </w:pPr>
      <w:bookmarkStart w:id="6" w:name="_Toc233886918"/>
      <w:bookmarkStart w:id="7" w:name="_Toc233887335"/>
      <w:bookmarkStart w:id="8" w:name="_Toc835972570"/>
      <w:r>
        <w:t>Section 3</w:t>
      </w:r>
      <w:bookmarkEnd w:id="6"/>
      <w:bookmarkEnd w:id="7"/>
      <w:bookmarkEnd w:id="8"/>
    </w:p>
    <w:p w14:paraId="4C765B6C" w14:textId="77777777" w:rsidR="00B26F7E" w:rsidRDefault="00B26F7E" w:rsidP="00611D30">
      <w:pPr>
        <w:spacing w:after="0" w:line="240" w:lineRule="auto"/>
        <w:rPr>
          <w:rFonts w:ascii="Arial" w:hAnsi="Arial" w:cs="Arial"/>
        </w:rPr>
      </w:pPr>
    </w:p>
    <w:p w14:paraId="74935CB3" w14:textId="0667856D" w:rsidR="00611D30" w:rsidRPr="00611D30" w:rsidRDefault="00611D30" w:rsidP="00611D30">
      <w:pPr>
        <w:spacing w:after="0" w:line="240" w:lineRule="auto"/>
        <w:rPr>
          <w:rFonts w:ascii="Calibri" w:eastAsia="Times New Roman" w:hAnsi="Calibri" w:cs="Calibri"/>
          <w:color w:val="242424"/>
          <w:kern w:val="0"/>
          <w:sz w:val="24"/>
          <w:szCs w:val="24"/>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Understanding the Research Methods</w:t>
      </w:r>
    </w:p>
    <w:p w14:paraId="545843F3"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933A3F5" w14:textId="77777777" w:rsidR="00611D30" w:rsidRPr="00611D30" w:rsidRDefault="00611D30" w:rsidP="00611D30">
      <w:pPr>
        <w:spacing w:after="0" w:line="240" w:lineRule="auto"/>
        <w:rPr>
          <w:rFonts w:ascii="Calibri" w:eastAsia="Times New Roman" w:hAnsi="Calibri" w:cs="Calibri"/>
          <w:color w:val="242424"/>
          <w:kern w:val="0"/>
          <w:sz w:val="24"/>
          <w:szCs w:val="24"/>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Types of Research</w:t>
      </w:r>
    </w:p>
    <w:p w14:paraId="2D25D050"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EB54C87"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There are three main approaches to research commonly used in health and social care.</w:t>
      </w:r>
    </w:p>
    <w:p w14:paraId="2C45AB1D"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7C249BC" w14:textId="77777777" w:rsidR="00611D30" w:rsidRPr="00611D30" w:rsidRDefault="00611D30" w:rsidP="00611D30">
      <w:pPr>
        <w:spacing w:after="0" w:line="240" w:lineRule="auto"/>
        <w:rPr>
          <w:rFonts w:ascii="Calibri" w:eastAsia="Times New Roman" w:hAnsi="Calibri" w:cs="Calibri"/>
          <w:color w:val="242424"/>
          <w:kern w:val="0"/>
          <w:sz w:val="24"/>
          <w:szCs w:val="24"/>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Quantitative research collects numerical data and uses statistical analysis to identify patterns, relationships or differences between groups. It is useful when researchers want to measure how common a problem is or compare results across large populations.</w:t>
      </w:r>
    </w:p>
    <w:p w14:paraId="43936EBD"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A0C2068" w14:textId="77777777" w:rsidR="00611D30" w:rsidRPr="00611D30" w:rsidRDefault="00611D30" w:rsidP="00611D30">
      <w:pPr>
        <w:spacing w:after="0" w:line="240" w:lineRule="auto"/>
        <w:rPr>
          <w:rFonts w:ascii="Calibri" w:eastAsia="Times New Roman" w:hAnsi="Calibri" w:cs="Calibri"/>
          <w:color w:val="242424"/>
          <w:kern w:val="0"/>
          <w:sz w:val="24"/>
          <w:szCs w:val="24"/>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Qualitative research focuses on people’s experiences, feelings, opinions and behaviours. Instead of using numbers, researchers collect detailed descriptions through interviews, observations or open-ended questionnaires. This approach helps explain why people behave in certain ways and provides a deeper understanding of complex issues.</w:t>
      </w:r>
    </w:p>
    <w:p w14:paraId="0E43DDCC"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CA08E6F" w14:textId="77777777" w:rsidR="00611D30" w:rsidRPr="00611D30" w:rsidRDefault="00611D30" w:rsidP="00611D30">
      <w:pPr>
        <w:spacing w:after="0" w:line="240" w:lineRule="auto"/>
        <w:rPr>
          <w:rFonts w:ascii="Calibri" w:eastAsia="Times New Roman" w:hAnsi="Calibri" w:cs="Calibri"/>
          <w:color w:val="242424"/>
          <w:kern w:val="0"/>
          <w:sz w:val="24"/>
          <w:szCs w:val="24"/>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Mixed-methods research combines both quantitative and qualitative approaches. Researchers collect numerical information alongside personal experiences to produce a broader understanding of the research topic.</w:t>
      </w:r>
    </w:p>
    <w:p w14:paraId="1685226D"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C866ADF" w14:textId="77777777" w:rsid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r w:rsidRPr="00611D30">
        <w:rPr>
          <w:rFonts w:ascii="Calibri" w:eastAsia="Times New Roman" w:hAnsi="Calibri" w:cs="Calibri"/>
          <w:color w:val="242424"/>
          <w:kern w:val="0"/>
          <w:sz w:val="24"/>
          <w:szCs w:val="24"/>
          <w:bdr w:val="none" w:sz="0" w:space="0" w:color="auto" w:frame="1"/>
          <w:lang w:eastAsia="en-GB"/>
          <w14:ligatures w14:val="none"/>
        </w:rPr>
        <w:t>The study by McDonald, Lester and Michelson used a qualitative research design because the researchers wanted to understand the personal experiences of parents and professionals rather than measure attendance rates statistically. Attendance problems often involve emotional, psychological and social factors that cannot be fully explained using numbers alone.</w:t>
      </w:r>
    </w:p>
    <w:p w14:paraId="38BA12A0" w14:textId="77777777" w:rsidR="004C1365" w:rsidRPr="00611D30" w:rsidRDefault="004C1365" w:rsidP="00611D30">
      <w:pPr>
        <w:spacing w:after="0" w:line="240" w:lineRule="auto"/>
        <w:rPr>
          <w:rFonts w:ascii="Calibri" w:eastAsia="Times New Roman" w:hAnsi="Calibri" w:cs="Calibri"/>
          <w:color w:val="242424"/>
          <w:kern w:val="0"/>
          <w:sz w:val="24"/>
          <w:szCs w:val="24"/>
          <w:lang w:eastAsia="en-GB"/>
          <w14:ligatures w14:val="none"/>
        </w:rPr>
      </w:pPr>
    </w:p>
    <w:p w14:paraId="44EC1F5C"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Primary and Secondary Data</w:t>
      </w:r>
    </w:p>
    <w:p w14:paraId="317BF7A5"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7BD84C01"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Research data can be divided into primary and secondary data.</w:t>
      </w:r>
    </w:p>
    <w:p w14:paraId="33E8C51D" w14:textId="5355A2B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Primary data is information collected directly by the researchers specifically for the study. Examples include interviews, surveys, questionnaires, and observations.</w:t>
      </w:r>
    </w:p>
    <w:p w14:paraId="03DEC208"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3C64DE1"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Secondary data consists of information that has already been collected by other researchers or organisations, such as government statistics, published reports or previous studies.</w:t>
      </w:r>
    </w:p>
    <w:p w14:paraId="39A66138"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This research relied entirely on primary data, allowing the researchers to collect current and detailed information directly from participants who had experienced school attendance problems during the COVID-19 pandemic.</w:t>
      </w:r>
    </w:p>
    <w:p w14:paraId="3EEC68D3"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E7E4B6F"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E20A091"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Data Collection</w:t>
      </w:r>
    </w:p>
    <w:p w14:paraId="64BC99D7"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3266ABAB"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 research was completed in two stages.</w:t>
      </w:r>
    </w:p>
    <w:p w14:paraId="27D47B71"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D9059FF"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Phase One involved qualitative online surveys completed by 29 parents and 19 education and health professionals. These surveys gathered initial information about attendance problems, children’s experiences and the challenges faced by schools and families.</w:t>
      </w:r>
    </w:p>
    <w:p w14:paraId="45D94B1A"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3C22F884"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 findings from these surveys informed Phase Two, where the researchers conducted 10 individual interviews with parents and 12 interviews with professionals. These interviews explored participants’ experiences in greater depth and allowed researchers to ask follow-up questions to gain richer information.</w:t>
      </w:r>
    </w:p>
    <w:p w14:paraId="24A4B227"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D533F9C"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Parents were recruited through social media, while professionals were recruited through schools and children’s services across Southern England. Recruiting both groups allowed the researchers to compare different perspectives and identify common experiences.</w:t>
      </w:r>
    </w:p>
    <w:p w14:paraId="5DBC1B69"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4747FE3"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Data Analysis</w:t>
      </w:r>
    </w:p>
    <w:p w14:paraId="545ADACA"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3C88617B"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 researchers analysed all survey responses and interview transcripts using thematic analysis, a common qualitative research method.</w:t>
      </w:r>
    </w:p>
    <w:p w14:paraId="57108D50"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 xml:space="preserve">The first stage involved reading the interview transcripts several times to become familiar with the data. Researchers then identified important statements and assigned short labels, </w:t>
      </w:r>
      <w:r w:rsidRPr="004D5F5B">
        <w:rPr>
          <w:rFonts w:ascii="Calibri" w:eastAsia="Times New Roman" w:hAnsi="Calibri" w:cs="Calibri"/>
          <w:color w:val="242424"/>
          <w:kern w:val="0"/>
          <w:sz w:val="24"/>
          <w:szCs w:val="24"/>
          <w:bdr w:val="none" w:sz="0" w:space="0" w:color="auto" w:frame="1"/>
          <w:lang w:eastAsia="en-GB"/>
          <w14:ligatures w14:val="none"/>
        </w:rPr>
        <w:lastRenderedPageBreak/>
        <w:t>known as codes, to similar responses. These codes were grouped into broader themes representing common patterns across participants’ experiences. Finally, the researchers reviewed and refined these themes before interpreting their meaning in relation to school attendance during the pandemic.</w:t>
      </w:r>
    </w:p>
    <w:p w14:paraId="310A29E7"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6DF655B6"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Several important themes emerged from the analysis, including:</w:t>
      </w:r>
    </w:p>
    <w:p w14:paraId="1E431C4F"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increased anxiety about illness and infection.</w:t>
      </w:r>
    </w:p>
    <w:p w14:paraId="0FA1B97A"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difficulty re-establishing daily school routines.</w:t>
      </w:r>
    </w:p>
    <w:p w14:paraId="4A552854"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communication challenges between families and schools.</w:t>
      </w:r>
    </w:p>
    <w:p w14:paraId="3FF90265"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worsening attendance among children with SEND and existing mental health conditions.</w:t>
      </w:r>
    </w:p>
    <w:p w14:paraId="4EDDBB66"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parental concerns about academic progress; and</w:t>
      </w:r>
    </w:p>
    <w:p w14:paraId="2B6B28AC" w14:textId="77777777" w:rsidR="004D5F5B" w:rsidRPr="004D5F5B" w:rsidRDefault="004D5F5B" w:rsidP="004D5F5B">
      <w:pPr>
        <w:numPr>
          <w:ilvl w:val="0"/>
          <w:numId w:val="14"/>
        </w:num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 importance of strong collaboration between schools, parents and health professionals.</w:t>
      </w:r>
    </w:p>
    <w:p w14:paraId="4904288C"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3F946970"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These themes helped explain why attendance difficulties continued after schools reopened and highlighted practical ways to improve children’s return to education.</w:t>
      </w:r>
    </w:p>
    <w:p w14:paraId="3B9DBAB7"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2D10CDD5"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A qualitative approach was particularly suitable because the study explored complex emotional experiences rather than numerical outcomes. Parents described their worries about their children’s wellbeing, while professionals discussed the challenges of supporting families after the pandemic. These personal experiences provided valuable information that would have been difficult to capture using questionnaires containing only closed questions or statistical analysis.</w:t>
      </w:r>
    </w:p>
    <w:p w14:paraId="78B52590"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586F0690"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Strengths and Limitations</w:t>
      </w:r>
    </w:p>
    <w:p w14:paraId="365BA8E4"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756AFFDA"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The research has several strengths. It included both parents and professionals, allowing multiple perspectives to be compared. The two-stage design also enabled the researchers to explore issues identified in the surveys more deeply during interviews. In addition, the study focused on primary-aged children, a group that has received less attention in previous research.</w:t>
      </w:r>
    </w:p>
    <w:p w14:paraId="24E643E9"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30C802E9"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However, there are limitations. The sample size was relatively small and participants were recruited from Southern England, meaning the findings cannot automatically be generalised to all parts of the UK. As a qualitative study, the research provides detailed experiences rather than statistical evidence of how common attendance problems are.</w:t>
      </w:r>
    </w:p>
    <w:p w14:paraId="04246024"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0289011A"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Ethical Considerations</w:t>
      </w:r>
    </w:p>
    <w:p w14:paraId="5CFBE283" w14:textId="77777777" w:rsidR="004D5F5B" w:rsidRPr="004D5F5B" w:rsidRDefault="004D5F5B" w:rsidP="004D5F5B">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462DB1E7" w14:textId="77777777" w:rsidR="004D5F5B" w:rsidRPr="004D5F5B" w:rsidRDefault="004D5F5B" w:rsidP="004D5F5B">
      <w:pPr>
        <w:spacing w:after="0" w:line="240" w:lineRule="auto"/>
        <w:rPr>
          <w:rFonts w:ascii="Calibri" w:eastAsia="Times New Roman" w:hAnsi="Calibri" w:cs="Calibri"/>
          <w:color w:val="242424"/>
          <w:kern w:val="0"/>
          <w:sz w:val="24"/>
          <w:szCs w:val="24"/>
          <w:lang w:eastAsia="en-GB"/>
          <w14:ligatures w14:val="none"/>
        </w:rPr>
      </w:pPr>
      <w:r w:rsidRPr="004D5F5B">
        <w:rPr>
          <w:rFonts w:ascii="Calibri" w:eastAsia="Times New Roman" w:hAnsi="Calibri" w:cs="Calibri"/>
          <w:color w:val="242424"/>
          <w:kern w:val="0"/>
          <w:sz w:val="24"/>
          <w:szCs w:val="24"/>
          <w:bdr w:val="none" w:sz="0" w:space="0" w:color="auto" w:frame="1"/>
          <w:lang w:eastAsia="en-GB"/>
          <w14:ligatures w14:val="none"/>
        </w:rPr>
        <w:t>Ethical practice was an important part of the research. Participants gave informed consent before taking part and were informed that participation was voluntary. Personal information remained anonymous and confidential throughout the study. The researchers also obtained ethical approval before beginning the research and ensured that participants could withdraw from the study if they wished. These measures protected participants and helped ensure that the research met recognised ethical standards.</w:t>
      </w:r>
    </w:p>
    <w:p w14:paraId="620ED47D" w14:textId="77777777" w:rsidR="004D5F5B" w:rsidRPr="004D5F5B" w:rsidRDefault="004D5F5B" w:rsidP="004D5F5B">
      <w:pPr>
        <w:spacing w:after="0" w:line="240" w:lineRule="auto"/>
        <w:rPr>
          <w:rFonts w:ascii="Calibri" w:eastAsia="Times New Roman" w:hAnsi="Calibri" w:cs="Calibri"/>
          <w:color w:val="9F9F9F"/>
          <w:kern w:val="0"/>
          <w:sz w:val="24"/>
          <w:szCs w:val="24"/>
          <w:lang w:eastAsia="en-GB"/>
          <w14:ligatures w14:val="none"/>
        </w:rPr>
      </w:pPr>
    </w:p>
    <w:p w14:paraId="1BBE9420" w14:textId="77777777" w:rsidR="00611D30" w:rsidRPr="00611D30" w:rsidRDefault="00611D30" w:rsidP="00611D30">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67C5FE1A" w14:textId="52420CC2" w:rsidR="00551D4F" w:rsidRPr="00551D4F" w:rsidRDefault="00551D4F" w:rsidP="00551D4F">
      <w:pPr>
        <w:spacing w:line="360" w:lineRule="auto"/>
        <w:jc w:val="both"/>
        <w:rPr>
          <w:rFonts w:ascii="Arial" w:hAnsi="Arial" w:cs="Arial"/>
        </w:rPr>
      </w:pPr>
    </w:p>
    <w:p w14:paraId="63A8855A" w14:textId="6DCA8A62" w:rsidR="00551D4F" w:rsidRDefault="00551D4F" w:rsidP="00551D4F">
      <w:pPr>
        <w:pStyle w:val="Heading1"/>
      </w:pPr>
      <w:bookmarkStart w:id="9" w:name="_Toc233886919"/>
      <w:bookmarkStart w:id="10" w:name="_Toc233887336"/>
      <w:bookmarkStart w:id="11" w:name="_Toc1971380532"/>
      <w:r>
        <w:t>Section 4</w:t>
      </w:r>
      <w:bookmarkEnd w:id="9"/>
      <w:bookmarkEnd w:id="10"/>
      <w:bookmarkEnd w:id="11"/>
    </w:p>
    <w:p w14:paraId="33D589F6" w14:textId="40BDF08A" w:rsidR="1870BA4D" w:rsidRDefault="1870BA4D" w:rsidP="1870BA4D">
      <w:pPr>
        <w:spacing w:line="360" w:lineRule="auto"/>
        <w:jc w:val="both"/>
        <w:rPr>
          <w:rFonts w:ascii="Arial" w:hAnsi="Arial" w:cs="Arial"/>
        </w:rPr>
      </w:pPr>
      <w:bookmarkStart w:id="12" w:name="_Toc233886920"/>
      <w:bookmarkStart w:id="13" w:name="_Toc233887337"/>
    </w:p>
    <w:p w14:paraId="78B64836" w14:textId="75586FC4" w:rsidR="007F3231" w:rsidRDefault="004F4DF6" w:rsidP="1870BA4D">
      <w:pPr>
        <w:spacing w:line="360" w:lineRule="auto"/>
        <w:jc w:val="both"/>
        <w:rPr>
          <w:rFonts w:ascii="Arial" w:hAnsi="Arial" w:cs="Arial"/>
        </w:rPr>
      </w:pPr>
      <w:r>
        <w:rPr>
          <w:rFonts w:ascii="Arial" w:hAnsi="Arial" w:cs="Arial"/>
        </w:rPr>
        <w:t>Co</w:t>
      </w:r>
      <w:r w:rsidR="009F0175">
        <w:rPr>
          <w:rFonts w:ascii="Arial" w:hAnsi="Arial" w:cs="Arial"/>
        </w:rPr>
        <w:t>nclus</w:t>
      </w:r>
      <w:r w:rsidR="006D0E6E">
        <w:rPr>
          <w:rFonts w:ascii="Arial" w:hAnsi="Arial" w:cs="Arial"/>
        </w:rPr>
        <w:t>ion</w:t>
      </w:r>
    </w:p>
    <w:p w14:paraId="330CCAC8" w14:textId="77777777" w:rsidR="007F3231" w:rsidRPr="007F3231" w:rsidRDefault="007F3231" w:rsidP="007F3231">
      <w:pPr>
        <w:spacing w:after="0" w:line="240" w:lineRule="auto"/>
        <w:rPr>
          <w:rFonts w:ascii="Calibri" w:eastAsia="Times New Roman" w:hAnsi="Calibri" w:cs="Calibri"/>
          <w:color w:val="242424"/>
          <w:kern w:val="0"/>
          <w:sz w:val="24"/>
          <w:szCs w:val="24"/>
          <w:bdr w:val="none" w:sz="0" w:space="0" w:color="auto" w:frame="1"/>
          <w:lang w:eastAsia="en-GB"/>
          <w14:ligatures w14:val="none"/>
        </w:rPr>
      </w:pPr>
      <w:r w:rsidRPr="007F3231">
        <w:rPr>
          <w:rFonts w:ascii="Calibri" w:eastAsia="Times New Roman" w:hAnsi="Calibri" w:cs="Calibri"/>
          <w:color w:val="242424"/>
          <w:kern w:val="0"/>
          <w:sz w:val="24"/>
          <w:szCs w:val="24"/>
          <w:bdr w:val="none" w:sz="0" w:space="0" w:color="auto" w:frame="1"/>
          <w:lang w:eastAsia="en-GB"/>
          <w14:ligatures w14:val="none"/>
        </w:rPr>
        <w:t xml:space="preserve">This report has examined the qualitative research conducted by McDonald, Lester and Michelson (2023), which explored school attendance problems experienced by primary-aged children following the COVID-19 pandemic. The findings demonstrate that attendance difficulties were influenced by a combination of emotional, educational and social factors. </w:t>
      </w:r>
    </w:p>
    <w:p w14:paraId="0CCC37A5" w14:textId="77777777" w:rsidR="007F3231" w:rsidRPr="007F3231" w:rsidRDefault="007F3231" w:rsidP="007F3231">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117F7861" w14:textId="77777777" w:rsidR="007F3231" w:rsidRPr="007F3231" w:rsidRDefault="007F3231" w:rsidP="007F3231">
      <w:pPr>
        <w:spacing w:after="0" w:line="240" w:lineRule="auto"/>
        <w:rPr>
          <w:rFonts w:ascii="Calibri" w:eastAsia="Times New Roman" w:hAnsi="Calibri" w:cs="Calibri"/>
          <w:color w:val="242424"/>
          <w:kern w:val="0"/>
          <w:sz w:val="24"/>
          <w:szCs w:val="24"/>
          <w:lang w:eastAsia="en-GB"/>
          <w14:ligatures w14:val="none"/>
        </w:rPr>
      </w:pPr>
      <w:r w:rsidRPr="007F3231">
        <w:rPr>
          <w:rFonts w:ascii="Calibri" w:eastAsia="Times New Roman" w:hAnsi="Calibri" w:cs="Calibri"/>
          <w:color w:val="242424"/>
          <w:kern w:val="0"/>
          <w:sz w:val="24"/>
          <w:szCs w:val="24"/>
          <w:bdr w:val="none" w:sz="0" w:space="0" w:color="auto" w:frame="1"/>
          <w:lang w:eastAsia="en-GB"/>
          <w14:ligatures w14:val="none"/>
        </w:rPr>
        <w:t>Although some children experienced attendance problems before the pandemic, COVID-19 significantly increased anxiety, disrupted routines and made returning to school more challenging. Children with SEND, existing mental health difficulties and other additional needs were particularly affected.</w:t>
      </w:r>
    </w:p>
    <w:p w14:paraId="6239E6FF" w14:textId="77777777" w:rsidR="007F3231" w:rsidRPr="007F3231" w:rsidRDefault="007F3231" w:rsidP="007F3231">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625FA298" w14:textId="77777777" w:rsidR="007F3231" w:rsidRPr="007F3231" w:rsidRDefault="007F3231" w:rsidP="007F3231">
      <w:pPr>
        <w:spacing w:after="0" w:line="240" w:lineRule="auto"/>
        <w:rPr>
          <w:rFonts w:ascii="Calibri" w:eastAsia="Times New Roman" w:hAnsi="Calibri" w:cs="Calibri"/>
          <w:color w:val="242424"/>
          <w:kern w:val="0"/>
          <w:sz w:val="24"/>
          <w:szCs w:val="24"/>
          <w:lang w:eastAsia="en-GB"/>
          <w14:ligatures w14:val="none"/>
        </w:rPr>
      </w:pPr>
      <w:r w:rsidRPr="007F3231">
        <w:rPr>
          <w:rFonts w:ascii="Calibri" w:eastAsia="Times New Roman" w:hAnsi="Calibri" w:cs="Calibri"/>
          <w:color w:val="242424"/>
          <w:kern w:val="0"/>
          <w:sz w:val="24"/>
          <w:szCs w:val="24"/>
          <w:bdr w:val="none" w:sz="0" w:space="0" w:color="auto" w:frame="1"/>
          <w:lang w:eastAsia="en-GB"/>
          <w14:ligatures w14:val="none"/>
        </w:rPr>
        <w:t>The research also highlights the importance of effective communication and partnership working between schools, families and health and social care professionals. Strong collaboration can help identify barriers to attendance early and provide appropriate support for children and families before problems become more serious.</w:t>
      </w:r>
    </w:p>
    <w:p w14:paraId="09ED98E2" w14:textId="77777777" w:rsidR="007F3231" w:rsidRPr="007F3231" w:rsidRDefault="007F3231" w:rsidP="007F3231">
      <w:pPr>
        <w:spacing w:after="0" w:line="240" w:lineRule="auto"/>
        <w:rPr>
          <w:rFonts w:ascii="Calibri" w:eastAsia="Times New Roman" w:hAnsi="Calibri" w:cs="Calibri"/>
          <w:color w:val="242424"/>
          <w:kern w:val="0"/>
          <w:sz w:val="24"/>
          <w:szCs w:val="24"/>
          <w:bdr w:val="none" w:sz="0" w:space="0" w:color="auto" w:frame="1"/>
          <w:lang w:eastAsia="en-GB"/>
          <w14:ligatures w14:val="none"/>
        </w:rPr>
      </w:pPr>
    </w:p>
    <w:p w14:paraId="7B0ECCA5" w14:textId="77777777" w:rsidR="007F3231" w:rsidRPr="007F3231" w:rsidRDefault="007F3231" w:rsidP="007F3231">
      <w:pPr>
        <w:spacing w:after="0" w:line="240" w:lineRule="auto"/>
        <w:rPr>
          <w:rFonts w:ascii="Calibri" w:eastAsia="Times New Roman" w:hAnsi="Calibri" w:cs="Calibri"/>
          <w:color w:val="242424"/>
          <w:kern w:val="0"/>
          <w:sz w:val="24"/>
          <w:szCs w:val="24"/>
          <w:lang w:eastAsia="en-GB"/>
          <w14:ligatures w14:val="none"/>
        </w:rPr>
      </w:pPr>
      <w:r w:rsidRPr="007F3231">
        <w:rPr>
          <w:rFonts w:ascii="Calibri" w:eastAsia="Times New Roman" w:hAnsi="Calibri" w:cs="Calibri"/>
          <w:color w:val="242424"/>
          <w:kern w:val="0"/>
          <w:sz w:val="24"/>
          <w:szCs w:val="24"/>
          <w:bdr w:val="none" w:sz="0" w:space="0" w:color="auto" w:frame="1"/>
          <w:lang w:eastAsia="en-GB"/>
          <w14:ligatures w14:val="none"/>
        </w:rPr>
        <w:t>Completing this assignment has improved my understanding of how research informs evidence-based practice in health and social care. I have developed a greater understanding of qualitative research methods, thematic analysis, ethical research practice and the importance of critically evaluating research evidence. These skills will support my future studies and professional career by enabling me to assess research more confidently and apply reliable evidence when supporting children and families. Overall, this study demonstrates that improving school attendance requires a collaborative approach involving education, healthcare and social care professionals working together to promote children’s wellbeing and educational success.</w:t>
      </w:r>
    </w:p>
    <w:p w14:paraId="0F7FC09C" w14:textId="77777777" w:rsidR="007F3231" w:rsidRDefault="007F3231" w:rsidP="1870BA4D">
      <w:pPr>
        <w:spacing w:line="360" w:lineRule="auto"/>
        <w:jc w:val="both"/>
        <w:rPr>
          <w:rFonts w:ascii="Arial" w:hAnsi="Arial" w:cs="Arial"/>
        </w:rPr>
      </w:pPr>
    </w:p>
    <w:p w14:paraId="64F93313" w14:textId="77777777" w:rsidR="00AD4F2E" w:rsidRDefault="00AD4F2E" w:rsidP="00551D4F">
      <w:pPr>
        <w:pStyle w:val="Heading1"/>
      </w:pPr>
      <w:bookmarkStart w:id="14" w:name="_Toc1588053850"/>
    </w:p>
    <w:p w14:paraId="3D4E54EF" w14:textId="3FEC3D51" w:rsidR="00551D4F" w:rsidRDefault="00551D4F" w:rsidP="00551D4F">
      <w:pPr>
        <w:pStyle w:val="Heading1"/>
        <w:rPr>
          <w:sz w:val="42"/>
          <w:szCs w:val="42"/>
        </w:rPr>
      </w:pPr>
      <w:r>
        <w:t>References</w:t>
      </w:r>
      <w:bookmarkEnd w:id="12"/>
      <w:bookmarkEnd w:id="13"/>
      <w:bookmarkEnd w:id="14"/>
    </w:p>
    <w:p w14:paraId="4F19C56C" w14:textId="77777777" w:rsidR="00551D4F" w:rsidRDefault="00551D4F" w:rsidP="00551D4F">
      <w:pPr>
        <w:spacing w:line="360" w:lineRule="auto"/>
        <w:rPr>
          <w:rFonts w:ascii="Arial" w:hAnsi="Arial" w:cs="Arial"/>
          <w:b/>
          <w:bCs/>
        </w:rPr>
      </w:pPr>
    </w:p>
    <w:p w14:paraId="5C132D9E" w14:textId="77777777" w:rsidR="005C5B7C" w:rsidRPr="005C5B7C" w:rsidRDefault="005C5B7C" w:rsidP="005C5B7C">
      <w:pPr>
        <w:spacing w:after="0" w:line="240" w:lineRule="auto"/>
        <w:rPr>
          <w:rFonts w:ascii="Calibri" w:eastAsia="Times New Roman" w:hAnsi="Calibri" w:cs="Calibri"/>
          <w:color w:val="242424"/>
          <w:kern w:val="0"/>
          <w:sz w:val="24"/>
          <w:szCs w:val="24"/>
          <w:lang w:eastAsia="en-GB"/>
          <w14:ligatures w14:val="none"/>
        </w:rPr>
      </w:pPr>
      <w:r w:rsidRPr="005C5B7C">
        <w:rPr>
          <w:rFonts w:ascii="Calibri" w:eastAsia="Times New Roman" w:hAnsi="Calibri" w:cs="Calibri"/>
          <w:color w:val="242424"/>
          <w:kern w:val="0"/>
          <w:sz w:val="24"/>
          <w:szCs w:val="24"/>
          <w:bdr w:val="none" w:sz="0" w:space="0" w:color="auto" w:frame="1"/>
          <w:lang w:eastAsia="en-GB"/>
          <w14:ligatures w14:val="none"/>
        </w:rPr>
        <w:t>Department for Education (2023) </w:t>
      </w:r>
      <w:r w:rsidRPr="005C5B7C">
        <w:rPr>
          <w:rFonts w:ascii="Calibri" w:eastAsia="Times New Roman" w:hAnsi="Calibri" w:cs="Calibri"/>
          <w:i/>
          <w:iCs/>
          <w:color w:val="242424"/>
          <w:kern w:val="0"/>
          <w:sz w:val="24"/>
          <w:szCs w:val="24"/>
          <w:bdr w:val="none" w:sz="0" w:space="0" w:color="auto" w:frame="1"/>
          <w:lang w:eastAsia="en-GB"/>
          <w14:ligatures w14:val="none"/>
        </w:rPr>
        <w:t>Pupil attendance in schools</w:t>
      </w:r>
      <w:r w:rsidRPr="005C5B7C">
        <w:rPr>
          <w:rFonts w:ascii="Calibri" w:eastAsia="Times New Roman" w:hAnsi="Calibri" w:cs="Calibri"/>
          <w:color w:val="242424"/>
          <w:kern w:val="0"/>
          <w:sz w:val="24"/>
          <w:szCs w:val="24"/>
          <w:bdr w:val="none" w:sz="0" w:space="0" w:color="auto" w:frame="1"/>
          <w:lang w:eastAsia="en-GB"/>
          <w14:ligatures w14:val="none"/>
        </w:rPr>
        <w:t>. London: Department for Education.</w:t>
      </w:r>
    </w:p>
    <w:p w14:paraId="66C9EBED" w14:textId="77777777" w:rsidR="005C5B7C" w:rsidRPr="005C5B7C" w:rsidRDefault="005C5B7C" w:rsidP="005C5B7C">
      <w:pPr>
        <w:spacing w:after="0" w:line="240" w:lineRule="auto"/>
        <w:rPr>
          <w:rFonts w:ascii="Calibri" w:eastAsia="Times New Roman" w:hAnsi="Calibri" w:cs="Calibri"/>
          <w:color w:val="242424"/>
          <w:kern w:val="0"/>
          <w:sz w:val="24"/>
          <w:szCs w:val="24"/>
          <w:lang w:eastAsia="en-GB"/>
          <w14:ligatures w14:val="none"/>
        </w:rPr>
      </w:pPr>
      <w:r w:rsidRPr="005C5B7C">
        <w:rPr>
          <w:rFonts w:ascii="Calibri" w:eastAsia="Times New Roman" w:hAnsi="Calibri" w:cs="Calibri"/>
          <w:color w:val="242424"/>
          <w:kern w:val="0"/>
          <w:sz w:val="24"/>
          <w:szCs w:val="24"/>
          <w:bdr w:val="none" w:sz="0" w:space="0" w:color="auto" w:frame="1"/>
          <w:lang w:eastAsia="en-GB"/>
          <w14:ligatures w14:val="none"/>
        </w:rPr>
        <w:t>McDonald, B., Lester, K.J. and Michelson, D. (2023) </w:t>
      </w:r>
      <w:r w:rsidRPr="005C5B7C">
        <w:rPr>
          <w:rFonts w:ascii="Calibri" w:eastAsia="Times New Roman" w:hAnsi="Calibri" w:cs="Calibri"/>
          <w:i/>
          <w:iCs/>
          <w:color w:val="242424"/>
          <w:kern w:val="0"/>
          <w:sz w:val="24"/>
          <w:szCs w:val="24"/>
          <w:bdr w:val="none" w:sz="0" w:space="0" w:color="auto" w:frame="1"/>
          <w:lang w:eastAsia="en-GB"/>
          <w14:ligatures w14:val="none"/>
        </w:rPr>
        <w:t>‘She didn’t know how to go back’: School attendance problems in the context of the COVID-19 pandemic: A multiple stakeholder qualitative study with parents and professionals</w:t>
      </w:r>
      <w:r w:rsidRPr="005C5B7C">
        <w:rPr>
          <w:rFonts w:ascii="Calibri" w:eastAsia="Times New Roman" w:hAnsi="Calibri" w:cs="Calibri"/>
          <w:color w:val="242424"/>
          <w:kern w:val="0"/>
          <w:sz w:val="24"/>
          <w:szCs w:val="24"/>
          <w:bdr w:val="none" w:sz="0" w:space="0" w:color="auto" w:frame="1"/>
          <w:lang w:eastAsia="en-GB"/>
          <w14:ligatures w14:val="none"/>
        </w:rPr>
        <w:t>. </w:t>
      </w:r>
      <w:r w:rsidRPr="005C5B7C">
        <w:rPr>
          <w:rFonts w:ascii="Calibri" w:eastAsia="Times New Roman" w:hAnsi="Calibri" w:cs="Calibri"/>
          <w:i/>
          <w:iCs/>
          <w:color w:val="242424"/>
          <w:kern w:val="0"/>
          <w:sz w:val="24"/>
          <w:szCs w:val="24"/>
          <w:bdr w:val="none" w:sz="0" w:space="0" w:color="auto" w:frame="1"/>
          <w:lang w:eastAsia="en-GB"/>
          <w14:ligatures w14:val="none"/>
        </w:rPr>
        <w:t>British Journal of Educational Psychology</w:t>
      </w:r>
      <w:r w:rsidRPr="005C5B7C">
        <w:rPr>
          <w:rFonts w:ascii="Calibri" w:eastAsia="Times New Roman" w:hAnsi="Calibri" w:cs="Calibri"/>
          <w:color w:val="242424"/>
          <w:kern w:val="0"/>
          <w:sz w:val="24"/>
          <w:szCs w:val="24"/>
          <w:bdr w:val="none" w:sz="0" w:space="0" w:color="auto" w:frame="1"/>
          <w:lang w:eastAsia="en-GB"/>
          <w14:ligatures w14:val="none"/>
        </w:rPr>
        <w:t>, 93(1), pp. 386–401.</w:t>
      </w:r>
    </w:p>
    <w:p w14:paraId="6B6CC1A8" w14:textId="77777777" w:rsidR="005C5B7C" w:rsidRPr="005C5B7C" w:rsidRDefault="005C5B7C" w:rsidP="005C5B7C">
      <w:pPr>
        <w:spacing w:after="0" w:line="240" w:lineRule="auto"/>
        <w:rPr>
          <w:rFonts w:ascii="Calibri" w:eastAsia="Times New Roman" w:hAnsi="Calibri" w:cs="Calibri"/>
          <w:color w:val="242424"/>
          <w:kern w:val="0"/>
          <w:sz w:val="24"/>
          <w:szCs w:val="24"/>
          <w:lang w:eastAsia="en-GB"/>
          <w14:ligatures w14:val="none"/>
        </w:rPr>
      </w:pPr>
      <w:r w:rsidRPr="005C5B7C">
        <w:rPr>
          <w:rFonts w:ascii="Calibri" w:eastAsia="Times New Roman" w:hAnsi="Calibri" w:cs="Calibri"/>
          <w:color w:val="242424"/>
          <w:kern w:val="0"/>
          <w:sz w:val="24"/>
          <w:szCs w:val="24"/>
          <w:bdr w:val="none" w:sz="0" w:space="0" w:color="auto" w:frame="1"/>
          <w:lang w:eastAsia="en-GB"/>
          <w14:ligatures w14:val="none"/>
        </w:rPr>
        <w:lastRenderedPageBreak/>
        <w:t>Social Care Institute for Excellence (2024) </w:t>
      </w:r>
      <w:r w:rsidRPr="005C5B7C">
        <w:rPr>
          <w:rFonts w:ascii="Calibri" w:eastAsia="Times New Roman" w:hAnsi="Calibri" w:cs="Calibri"/>
          <w:i/>
          <w:iCs/>
          <w:color w:val="242424"/>
          <w:kern w:val="0"/>
          <w:sz w:val="24"/>
          <w:szCs w:val="24"/>
          <w:bdr w:val="none" w:sz="0" w:space="0" w:color="auto" w:frame="1"/>
          <w:lang w:eastAsia="en-GB"/>
          <w14:ligatures w14:val="none"/>
        </w:rPr>
        <w:t>Supporting children and young people with SEND</w:t>
      </w:r>
      <w:r w:rsidRPr="005C5B7C">
        <w:rPr>
          <w:rFonts w:ascii="Calibri" w:eastAsia="Times New Roman" w:hAnsi="Calibri" w:cs="Calibri"/>
          <w:color w:val="242424"/>
          <w:kern w:val="0"/>
          <w:sz w:val="24"/>
          <w:szCs w:val="24"/>
          <w:bdr w:val="none" w:sz="0" w:space="0" w:color="auto" w:frame="1"/>
          <w:lang w:eastAsia="en-GB"/>
          <w14:ligatures w14:val="none"/>
        </w:rPr>
        <w:t>. London: SCIE.</w:t>
      </w:r>
    </w:p>
    <w:p w14:paraId="464E2CB6" w14:textId="77777777" w:rsidR="005C5B7C" w:rsidRPr="005C5B7C" w:rsidRDefault="005C5B7C" w:rsidP="005C5B7C">
      <w:pPr>
        <w:spacing w:after="0" w:line="240" w:lineRule="auto"/>
        <w:rPr>
          <w:rFonts w:ascii="Calibri" w:eastAsia="Times New Roman" w:hAnsi="Calibri" w:cs="Calibri"/>
          <w:color w:val="242424"/>
          <w:kern w:val="0"/>
          <w:sz w:val="24"/>
          <w:szCs w:val="24"/>
          <w:lang w:eastAsia="en-GB"/>
          <w14:ligatures w14:val="none"/>
        </w:rPr>
      </w:pPr>
      <w:r w:rsidRPr="005C5B7C">
        <w:rPr>
          <w:rFonts w:ascii="Calibri" w:eastAsia="Times New Roman" w:hAnsi="Calibri" w:cs="Calibri"/>
          <w:color w:val="242424"/>
          <w:kern w:val="0"/>
          <w:sz w:val="24"/>
          <w:szCs w:val="24"/>
          <w:bdr w:val="none" w:sz="0" w:space="0" w:color="auto" w:frame="1"/>
          <w:lang w:eastAsia="en-GB"/>
          <w14:ligatures w14:val="none"/>
        </w:rPr>
        <w:t>The Children’s Society (2023) </w:t>
      </w:r>
      <w:r w:rsidRPr="005C5B7C">
        <w:rPr>
          <w:rFonts w:ascii="Calibri" w:eastAsia="Times New Roman" w:hAnsi="Calibri" w:cs="Calibri"/>
          <w:i/>
          <w:iCs/>
          <w:color w:val="242424"/>
          <w:kern w:val="0"/>
          <w:sz w:val="24"/>
          <w:szCs w:val="24"/>
          <w:bdr w:val="none" w:sz="0" w:space="0" w:color="auto" w:frame="1"/>
          <w:lang w:eastAsia="en-GB"/>
          <w14:ligatures w14:val="none"/>
        </w:rPr>
        <w:t>The Good Childhood Report 2023</w:t>
      </w:r>
      <w:r w:rsidRPr="005C5B7C">
        <w:rPr>
          <w:rFonts w:ascii="Calibri" w:eastAsia="Times New Roman" w:hAnsi="Calibri" w:cs="Calibri"/>
          <w:color w:val="242424"/>
          <w:kern w:val="0"/>
          <w:sz w:val="24"/>
          <w:szCs w:val="24"/>
          <w:bdr w:val="none" w:sz="0" w:space="0" w:color="auto" w:frame="1"/>
          <w:lang w:eastAsia="en-GB"/>
          <w14:ligatures w14:val="none"/>
        </w:rPr>
        <w:t>. London: The Children’s Society.</w:t>
      </w:r>
    </w:p>
    <w:p w14:paraId="40162480" w14:textId="755FDD2D" w:rsidR="005C5B7C" w:rsidRPr="005C5B7C" w:rsidRDefault="005C5B7C" w:rsidP="005C5B7C">
      <w:pPr>
        <w:spacing w:after="0" w:line="240" w:lineRule="auto"/>
        <w:rPr>
          <w:rFonts w:ascii="Calibri" w:eastAsia="Times New Roman" w:hAnsi="Calibri" w:cs="Calibri"/>
          <w:color w:val="242424"/>
          <w:kern w:val="0"/>
          <w:sz w:val="24"/>
          <w:szCs w:val="24"/>
          <w:lang w:eastAsia="en-GB"/>
          <w14:ligatures w14:val="none"/>
        </w:rPr>
      </w:pPr>
      <w:r w:rsidRPr="005C5B7C">
        <w:rPr>
          <w:rFonts w:ascii="Calibri" w:eastAsia="Times New Roman" w:hAnsi="Calibri" w:cs="Calibri"/>
          <w:color w:val="242424"/>
          <w:kern w:val="0"/>
          <w:sz w:val="24"/>
          <w:szCs w:val="24"/>
          <w:bdr w:val="none" w:sz="0" w:space="0" w:color="auto" w:frame="1"/>
          <w:lang w:eastAsia="en-GB"/>
          <w14:ligatures w14:val="none"/>
        </w:rPr>
        <w:t>UK Health Security Agency (2022) </w:t>
      </w:r>
      <w:r w:rsidRPr="005C5B7C">
        <w:rPr>
          <w:rFonts w:ascii="Calibri" w:eastAsia="Times New Roman" w:hAnsi="Calibri" w:cs="Calibri"/>
          <w:i/>
          <w:iCs/>
          <w:color w:val="242424"/>
          <w:kern w:val="0"/>
          <w:sz w:val="24"/>
          <w:szCs w:val="24"/>
          <w:bdr w:val="none" w:sz="0" w:space="0" w:color="auto" w:frame="1"/>
          <w:lang w:eastAsia="en-GB"/>
          <w14:ligatures w14:val="none"/>
        </w:rPr>
        <w:t>Health protection in children and young people</w:t>
      </w:r>
      <w:r w:rsidRPr="005C5B7C">
        <w:rPr>
          <w:rFonts w:ascii="Calibri" w:eastAsia="Times New Roman" w:hAnsi="Calibri" w:cs="Calibri"/>
          <w:color w:val="242424"/>
          <w:kern w:val="0"/>
          <w:sz w:val="24"/>
          <w:szCs w:val="24"/>
          <w:bdr w:val="none" w:sz="0" w:space="0" w:color="auto" w:frame="1"/>
          <w:lang w:eastAsia="en-GB"/>
          <w14:ligatures w14:val="none"/>
        </w:rPr>
        <w:t>. London: UKHSA.</w:t>
      </w:r>
      <w:r w:rsidR="00BD4269">
        <w:rPr>
          <w:rFonts w:ascii="Calibri" w:eastAsia="Times New Roman" w:hAnsi="Calibri" w:cs="Calibri"/>
          <w:color w:val="242424"/>
          <w:kern w:val="0"/>
          <w:sz w:val="24"/>
          <w:szCs w:val="24"/>
          <w:bdr w:val="none" w:sz="0" w:space="0" w:color="auto" w:frame="1"/>
          <w:lang w:eastAsia="en-GB"/>
          <w14:ligatures w14:val="none"/>
        </w:rPr>
        <w:tab/>
      </w: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8DB0C1" w14:textId="77777777" w:rsidR="00A5435F" w:rsidRDefault="00A5435F" w:rsidP="00C82FE1">
      <w:pPr>
        <w:spacing w:after="0" w:line="240" w:lineRule="auto"/>
      </w:pPr>
      <w:r>
        <w:separator/>
      </w:r>
    </w:p>
  </w:endnote>
  <w:endnote w:type="continuationSeparator" w:id="0">
    <w:p w14:paraId="30D8A931" w14:textId="77777777" w:rsidR="00A5435F" w:rsidRDefault="00A5435F"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EDCFE0" w14:textId="77777777" w:rsidR="00A5435F" w:rsidRDefault="00A5435F" w:rsidP="00C82FE1">
      <w:pPr>
        <w:spacing w:after="0" w:line="240" w:lineRule="auto"/>
      </w:pPr>
      <w:r>
        <w:separator/>
      </w:r>
    </w:p>
  </w:footnote>
  <w:footnote w:type="continuationSeparator" w:id="0">
    <w:p w14:paraId="22B4B1C6" w14:textId="77777777" w:rsidR="00A5435F" w:rsidRDefault="00A5435F"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50763D"/>
    <w:multiLevelType w:val="multilevel"/>
    <w:tmpl w:val="9FD8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261433"/>
    <w:multiLevelType w:val="hybridMultilevel"/>
    <w:tmpl w:val="FFFFFFFF"/>
    <w:lvl w:ilvl="0" w:tplc="9B42B9C8">
      <w:start w:val="1"/>
      <w:numFmt w:val="bullet"/>
      <w:lvlText w:val=""/>
      <w:lvlJc w:val="left"/>
      <w:pPr>
        <w:ind w:left="720" w:hanging="360"/>
      </w:pPr>
      <w:rPr>
        <w:rFonts w:ascii="Symbol" w:hAnsi="Symbol" w:hint="default"/>
      </w:rPr>
    </w:lvl>
    <w:lvl w:ilvl="1" w:tplc="E4FE6142">
      <w:start w:val="1"/>
      <w:numFmt w:val="bullet"/>
      <w:lvlText w:val="o"/>
      <w:lvlJc w:val="left"/>
      <w:pPr>
        <w:ind w:left="1440" w:hanging="360"/>
      </w:pPr>
      <w:rPr>
        <w:rFonts w:ascii="Courier New" w:hAnsi="Courier New" w:hint="default"/>
      </w:rPr>
    </w:lvl>
    <w:lvl w:ilvl="2" w:tplc="A2287F4C">
      <w:start w:val="1"/>
      <w:numFmt w:val="bullet"/>
      <w:lvlText w:val=""/>
      <w:lvlJc w:val="left"/>
      <w:pPr>
        <w:ind w:left="2160" w:hanging="360"/>
      </w:pPr>
      <w:rPr>
        <w:rFonts w:ascii="Wingdings" w:hAnsi="Wingdings" w:hint="default"/>
      </w:rPr>
    </w:lvl>
    <w:lvl w:ilvl="3" w:tplc="1DA22AB4">
      <w:start w:val="1"/>
      <w:numFmt w:val="bullet"/>
      <w:lvlText w:val=""/>
      <w:lvlJc w:val="left"/>
      <w:pPr>
        <w:ind w:left="2880" w:hanging="360"/>
      </w:pPr>
      <w:rPr>
        <w:rFonts w:ascii="Symbol" w:hAnsi="Symbol" w:hint="default"/>
      </w:rPr>
    </w:lvl>
    <w:lvl w:ilvl="4" w:tplc="B1CA3872">
      <w:start w:val="1"/>
      <w:numFmt w:val="bullet"/>
      <w:lvlText w:val="o"/>
      <w:lvlJc w:val="left"/>
      <w:pPr>
        <w:ind w:left="3600" w:hanging="360"/>
      </w:pPr>
      <w:rPr>
        <w:rFonts w:ascii="Courier New" w:hAnsi="Courier New" w:hint="default"/>
      </w:rPr>
    </w:lvl>
    <w:lvl w:ilvl="5" w:tplc="D5967AE4">
      <w:start w:val="1"/>
      <w:numFmt w:val="bullet"/>
      <w:lvlText w:val=""/>
      <w:lvlJc w:val="left"/>
      <w:pPr>
        <w:ind w:left="4320" w:hanging="360"/>
      </w:pPr>
      <w:rPr>
        <w:rFonts w:ascii="Wingdings" w:hAnsi="Wingdings" w:hint="default"/>
      </w:rPr>
    </w:lvl>
    <w:lvl w:ilvl="6" w:tplc="E03287B2">
      <w:start w:val="1"/>
      <w:numFmt w:val="bullet"/>
      <w:lvlText w:val=""/>
      <w:lvlJc w:val="left"/>
      <w:pPr>
        <w:ind w:left="5040" w:hanging="360"/>
      </w:pPr>
      <w:rPr>
        <w:rFonts w:ascii="Symbol" w:hAnsi="Symbol" w:hint="default"/>
      </w:rPr>
    </w:lvl>
    <w:lvl w:ilvl="7" w:tplc="1BBEADE6">
      <w:start w:val="1"/>
      <w:numFmt w:val="bullet"/>
      <w:lvlText w:val="o"/>
      <w:lvlJc w:val="left"/>
      <w:pPr>
        <w:ind w:left="5760" w:hanging="360"/>
      </w:pPr>
      <w:rPr>
        <w:rFonts w:ascii="Courier New" w:hAnsi="Courier New" w:hint="default"/>
      </w:rPr>
    </w:lvl>
    <w:lvl w:ilvl="8" w:tplc="C4767020">
      <w:start w:val="1"/>
      <w:numFmt w:val="bullet"/>
      <w:lvlText w:val=""/>
      <w:lvlJc w:val="left"/>
      <w:pPr>
        <w:ind w:left="6480" w:hanging="360"/>
      </w:pPr>
      <w:rPr>
        <w:rFonts w:ascii="Wingdings" w:hAnsi="Wingdings" w:hint="default"/>
      </w:rPr>
    </w:lvl>
  </w:abstractNum>
  <w:abstractNum w:abstractNumId="11"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BA1016"/>
    <w:multiLevelType w:val="multilevel"/>
    <w:tmpl w:val="A90A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183834">
    <w:abstractNumId w:val="10"/>
  </w:num>
  <w:num w:numId="2" w16cid:durableId="1967153871">
    <w:abstractNumId w:val="5"/>
  </w:num>
  <w:num w:numId="3" w16cid:durableId="142504706">
    <w:abstractNumId w:val="8"/>
  </w:num>
  <w:num w:numId="4" w16cid:durableId="1084103864">
    <w:abstractNumId w:val="11"/>
  </w:num>
  <w:num w:numId="5" w16cid:durableId="134375611">
    <w:abstractNumId w:val="13"/>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 w:numId="13" w16cid:durableId="800419388">
    <w:abstractNumId w:val="12"/>
  </w:num>
  <w:num w:numId="14" w16cid:durableId="147593439">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5112"/>
    <w:rsid w:val="000E3150"/>
    <w:rsid w:val="000F0246"/>
    <w:rsid w:val="000F064C"/>
    <w:rsid w:val="000F6387"/>
    <w:rsid w:val="000F6946"/>
    <w:rsid w:val="00106CE3"/>
    <w:rsid w:val="001106BE"/>
    <w:rsid w:val="001231CB"/>
    <w:rsid w:val="00134D28"/>
    <w:rsid w:val="0013641D"/>
    <w:rsid w:val="0016777B"/>
    <w:rsid w:val="0017067B"/>
    <w:rsid w:val="0017083F"/>
    <w:rsid w:val="00170C04"/>
    <w:rsid w:val="00181713"/>
    <w:rsid w:val="00183546"/>
    <w:rsid w:val="001845DA"/>
    <w:rsid w:val="001851F8"/>
    <w:rsid w:val="00196D8C"/>
    <w:rsid w:val="00197E40"/>
    <w:rsid w:val="001A3EF2"/>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D04AA"/>
    <w:rsid w:val="002D6C1E"/>
    <w:rsid w:val="002D755A"/>
    <w:rsid w:val="002E1784"/>
    <w:rsid w:val="002F15FE"/>
    <w:rsid w:val="002F2586"/>
    <w:rsid w:val="002F2B39"/>
    <w:rsid w:val="002F627E"/>
    <w:rsid w:val="00312D29"/>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20F5B"/>
    <w:rsid w:val="004313D2"/>
    <w:rsid w:val="00433FDE"/>
    <w:rsid w:val="0044024C"/>
    <w:rsid w:val="00462955"/>
    <w:rsid w:val="00494ECB"/>
    <w:rsid w:val="0049797B"/>
    <w:rsid w:val="004A798A"/>
    <w:rsid w:val="004B3656"/>
    <w:rsid w:val="004B480F"/>
    <w:rsid w:val="004B6473"/>
    <w:rsid w:val="004C1365"/>
    <w:rsid w:val="004C4175"/>
    <w:rsid w:val="004C78A4"/>
    <w:rsid w:val="004C7EE9"/>
    <w:rsid w:val="004D0F56"/>
    <w:rsid w:val="004D225E"/>
    <w:rsid w:val="004D5F5B"/>
    <w:rsid w:val="004E1D19"/>
    <w:rsid w:val="004F01D1"/>
    <w:rsid w:val="004F4DF6"/>
    <w:rsid w:val="004F5CEB"/>
    <w:rsid w:val="0050242B"/>
    <w:rsid w:val="00506791"/>
    <w:rsid w:val="00506E3E"/>
    <w:rsid w:val="00512D76"/>
    <w:rsid w:val="00517B30"/>
    <w:rsid w:val="005478EE"/>
    <w:rsid w:val="00551D4F"/>
    <w:rsid w:val="00555525"/>
    <w:rsid w:val="00586A5D"/>
    <w:rsid w:val="005974B0"/>
    <w:rsid w:val="0059753C"/>
    <w:rsid w:val="005A101A"/>
    <w:rsid w:val="005A30C0"/>
    <w:rsid w:val="005A4085"/>
    <w:rsid w:val="005B1BF8"/>
    <w:rsid w:val="005B55A4"/>
    <w:rsid w:val="005B568B"/>
    <w:rsid w:val="005C3F1C"/>
    <w:rsid w:val="005C5B7C"/>
    <w:rsid w:val="005D049B"/>
    <w:rsid w:val="005D47E4"/>
    <w:rsid w:val="005E518F"/>
    <w:rsid w:val="005F3515"/>
    <w:rsid w:val="00607E4B"/>
    <w:rsid w:val="00611D30"/>
    <w:rsid w:val="0061464C"/>
    <w:rsid w:val="006234B9"/>
    <w:rsid w:val="00643D38"/>
    <w:rsid w:val="00654E5B"/>
    <w:rsid w:val="006603DC"/>
    <w:rsid w:val="0066269E"/>
    <w:rsid w:val="006749DC"/>
    <w:rsid w:val="00676E35"/>
    <w:rsid w:val="00676FDB"/>
    <w:rsid w:val="00683D95"/>
    <w:rsid w:val="00687E9F"/>
    <w:rsid w:val="0069597B"/>
    <w:rsid w:val="00697B3D"/>
    <w:rsid w:val="006A53BA"/>
    <w:rsid w:val="006A6F65"/>
    <w:rsid w:val="006B2FD4"/>
    <w:rsid w:val="006B4407"/>
    <w:rsid w:val="006C55E4"/>
    <w:rsid w:val="006C7C61"/>
    <w:rsid w:val="006D0E6E"/>
    <w:rsid w:val="006D63CA"/>
    <w:rsid w:val="006E137A"/>
    <w:rsid w:val="006F60D7"/>
    <w:rsid w:val="00704608"/>
    <w:rsid w:val="00722940"/>
    <w:rsid w:val="00722A68"/>
    <w:rsid w:val="00725F33"/>
    <w:rsid w:val="00727B8D"/>
    <w:rsid w:val="0073305F"/>
    <w:rsid w:val="00736E61"/>
    <w:rsid w:val="00751553"/>
    <w:rsid w:val="00780AF3"/>
    <w:rsid w:val="00782AA6"/>
    <w:rsid w:val="007A078E"/>
    <w:rsid w:val="007A2A10"/>
    <w:rsid w:val="007B565D"/>
    <w:rsid w:val="007C7706"/>
    <w:rsid w:val="007D4589"/>
    <w:rsid w:val="007E16AA"/>
    <w:rsid w:val="007E4EFE"/>
    <w:rsid w:val="007F3231"/>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52A1"/>
    <w:rsid w:val="008F6EFB"/>
    <w:rsid w:val="009045F4"/>
    <w:rsid w:val="00904B32"/>
    <w:rsid w:val="00905DE6"/>
    <w:rsid w:val="00906C37"/>
    <w:rsid w:val="009114E5"/>
    <w:rsid w:val="0092171B"/>
    <w:rsid w:val="009234CC"/>
    <w:rsid w:val="00924E95"/>
    <w:rsid w:val="00925DEB"/>
    <w:rsid w:val="00926A30"/>
    <w:rsid w:val="0093F78D"/>
    <w:rsid w:val="00942F65"/>
    <w:rsid w:val="00945D26"/>
    <w:rsid w:val="009478A3"/>
    <w:rsid w:val="00950767"/>
    <w:rsid w:val="00953644"/>
    <w:rsid w:val="009602AD"/>
    <w:rsid w:val="009715FD"/>
    <w:rsid w:val="009747AE"/>
    <w:rsid w:val="00975D30"/>
    <w:rsid w:val="009800E5"/>
    <w:rsid w:val="00982720"/>
    <w:rsid w:val="00984771"/>
    <w:rsid w:val="00992FE1"/>
    <w:rsid w:val="009B5072"/>
    <w:rsid w:val="009B6897"/>
    <w:rsid w:val="009C0008"/>
    <w:rsid w:val="009C7CD5"/>
    <w:rsid w:val="009D48FC"/>
    <w:rsid w:val="009D58D8"/>
    <w:rsid w:val="009F0175"/>
    <w:rsid w:val="009F0246"/>
    <w:rsid w:val="00A01D41"/>
    <w:rsid w:val="00A041FB"/>
    <w:rsid w:val="00A06D15"/>
    <w:rsid w:val="00A11990"/>
    <w:rsid w:val="00A15801"/>
    <w:rsid w:val="00A23A21"/>
    <w:rsid w:val="00A27EFD"/>
    <w:rsid w:val="00A36BEF"/>
    <w:rsid w:val="00A44ADF"/>
    <w:rsid w:val="00A52AD6"/>
    <w:rsid w:val="00A54285"/>
    <w:rsid w:val="00A5435F"/>
    <w:rsid w:val="00A547E9"/>
    <w:rsid w:val="00A61EF6"/>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D4F2E"/>
    <w:rsid w:val="00AE2AFF"/>
    <w:rsid w:val="00AE2F03"/>
    <w:rsid w:val="00AE3399"/>
    <w:rsid w:val="00AE3BBB"/>
    <w:rsid w:val="00AF0E10"/>
    <w:rsid w:val="00B10F07"/>
    <w:rsid w:val="00B2399E"/>
    <w:rsid w:val="00B265F8"/>
    <w:rsid w:val="00B26DBF"/>
    <w:rsid w:val="00B26F7E"/>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D4269"/>
    <w:rsid w:val="00BE24FA"/>
    <w:rsid w:val="00BF0C41"/>
    <w:rsid w:val="00BF0EAB"/>
    <w:rsid w:val="00BF3218"/>
    <w:rsid w:val="00BF5275"/>
    <w:rsid w:val="00C059F9"/>
    <w:rsid w:val="00C07401"/>
    <w:rsid w:val="00C2055F"/>
    <w:rsid w:val="00C20DE5"/>
    <w:rsid w:val="00C2310B"/>
    <w:rsid w:val="00C27BF7"/>
    <w:rsid w:val="00C4496C"/>
    <w:rsid w:val="00C451F7"/>
    <w:rsid w:val="00C51554"/>
    <w:rsid w:val="00C539AD"/>
    <w:rsid w:val="00C63B5B"/>
    <w:rsid w:val="00C67852"/>
    <w:rsid w:val="00C70FAE"/>
    <w:rsid w:val="00C82FE1"/>
    <w:rsid w:val="00C86874"/>
    <w:rsid w:val="00CB41B4"/>
    <w:rsid w:val="00CB4DAD"/>
    <w:rsid w:val="00CC7CC7"/>
    <w:rsid w:val="00CD20F0"/>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D15"/>
    <w:rsid w:val="00DC1C59"/>
    <w:rsid w:val="00DC49B2"/>
    <w:rsid w:val="00DD4480"/>
    <w:rsid w:val="00DE12A3"/>
    <w:rsid w:val="00DE1363"/>
    <w:rsid w:val="00DE72A4"/>
    <w:rsid w:val="00DF3622"/>
    <w:rsid w:val="00E0455F"/>
    <w:rsid w:val="00E119E5"/>
    <w:rsid w:val="00E12812"/>
    <w:rsid w:val="00E143EB"/>
    <w:rsid w:val="00E36E32"/>
    <w:rsid w:val="00E41A95"/>
    <w:rsid w:val="00E50125"/>
    <w:rsid w:val="00E51DC0"/>
    <w:rsid w:val="00E62CA4"/>
    <w:rsid w:val="00E635A4"/>
    <w:rsid w:val="00E74AB7"/>
    <w:rsid w:val="00E96BCB"/>
    <w:rsid w:val="00EA3528"/>
    <w:rsid w:val="00EA39DF"/>
    <w:rsid w:val="00EA578E"/>
    <w:rsid w:val="00EA719D"/>
    <w:rsid w:val="00EB46AE"/>
    <w:rsid w:val="00EB4CAE"/>
    <w:rsid w:val="00ED0068"/>
    <w:rsid w:val="00ED7952"/>
    <w:rsid w:val="00ED7F79"/>
    <w:rsid w:val="00EE0975"/>
    <w:rsid w:val="00EF60E3"/>
    <w:rsid w:val="00EF6D59"/>
    <w:rsid w:val="00F1013C"/>
    <w:rsid w:val="00F23A13"/>
    <w:rsid w:val="00F25659"/>
    <w:rsid w:val="00F30E5B"/>
    <w:rsid w:val="00F37C05"/>
    <w:rsid w:val="00F51410"/>
    <w:rsid w:val="00F54A60"/>
    <w:rsid w:val="00F672FC"/>
    <w:rsid w:val="00F77E4E"/>
    <w:rsid w:val="00F81DEE"/>
    <w:rsid w:val="00F90286"/>
    <w:rsid w:val="00FA2A0D"/>
    <w:rsid w:val="00FA322C"/>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0/xmlns/"/>
    <ds:schemaRef ds:uri="http://www.w3.org/2001/XMLSchema"/>
    <ds:schemaRef ds:uri="905a0ae3-0c71-4ab6-86c2-81c9db94b029"/>
  </ds:schemaRefs>
</ds:datastoreItem>
</file>

<file path=customXml/itemProps3.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4.xml><?xml version="1.0" encoding="utf-8"?>
<ds:datastoreItem xmlns:ds="http://schemas.openxmlformats.org/officeDocument/2006/customXml" ds:itemID="{64723A87-1474-4D1A-A8FF-5E1DE9002C18}">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1874</Words>
  <Characters>10688</Characters>
  <Application>Microsoft Office Word</Application>
  <DocSecurity>0</DocSecurity>
  <Lines>89</Lines>
  <Paragraphs>25</Paragraphs>
  <ScaleCrop>false</ScaleCrop>
  <Company/>
  <LinksUpToDate>false</LinksUpToDate>
  <CharactersWithSpaces>12537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Shasta Majid (2535911)</cp:lastModifiedBy>
  <cp:revision>2</cp:revision>
  <cp:lastPrinted>2025-03-06T15:22:00Z</cp:lastPrinted>
  <dcterms:created xsi:type="dcterms:W3CDTF">2026-07-16T21:46:00Z</dcterms:created>
  <dcterms:modified xsi:type="dcterms:W3CDTF">2026-07-16T21:46:00Z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