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4DCD1" w14:textId="77777777" w:rsidR="00546638" w:rsidRPr="00546638" w:rsidRDefault="00546638" w:rsidP="00546638">
      <w:pPr>
        <w:rPr>
          <w:rFonts w:ascii="Arial" w:hAnsi="Arial" w:cs="Arial"/>
          <w:b/>
          <w:bCs/>
        </w:rPr>
      </w:pPr>
      <w:r w:rsidRPr="00546638">
        <w:rPr>
          <w:rFonts w:ascii="Arial" w:hAnsi="Arial" w:cs="Arial"/>
          <w:b/>
          <w:bCs/>
        </w:rPr>
        <w:drawing>
          <wp:anchor distT="0" distB="0" distL="114300" distR="114300" simplePos="0" relativeHeight="251659264" behindDoc="0" locked="0" layoutInCell="1" allowOverlap="1" wp14:anchorId="75856C8D" wp14:editId="1AA26346">
            <wp:simplePos x="0" y="0"/>
            <wp:positionH relativeFrom="column">
              <wp:posOffset>0</wp:posOffset>
            </wp:positionH>
            <wp:positionV relativeFrom="paragraph">
              <wp:posOffset>292100</wp:posOffset>
            </wp:positionV>
            <wp:extent cx="1809750" cy="723900"/>
            <wp:effectExtent l="0" t="0" r="0" b="0"/>
            <wp:wrapSquare wrapText="bothSides"/>
            <wp:docPr id="3"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407FC58" w14:textId="77777777" w:rsidR="00546638" w:rsidRPr="00546638" w:rsidRDefault="00546638" w:rsidP="00546638">
      <w:pPr>
        <w:rPr>
          <w:rFonts w:ascii="Arial" w:hAnsi="Arial" w:cs="Arial"/>
          <w:b/>
          <w:bCs/>
        </w:rPr>
      </w:pPr>
    </w:p>
    <w:p w14:paraId="41687B35" w14:textId="77777777" w:rsidR="00546638" w:rsidRPr="00546638" w:rsidRDefault="00546638" w:rsidP="00546638">
      <w:pPr>
        <w:rPr>
          <w:rFonts w:ascii="Arial" w:hAnsi="Arial" w:cs="Arial"/>
          <w:b/>
          <w:bCs/>
        </w:rPr>
      </w:pPr>
    </w:p>
    <w:p w14:paraId="604B85C8" w14:textId="77777777" w:rsidR="00546638" w:rsidRPr="00546638" w:rsidRDefault="00546638" w:rsidP="00546638">
      <w:pPr>
        <w:rPr>
          <w:rFonts w:ascii="Arial" w:hAnsi="Arial" w:cs="Arial"/>
          <w:b/>
          <w:bCs/>
        </w:rPr>
      </w:pPr>
    </w:p>
    <w:p w14:paraId="4C582837" w14:textId="77777777" w:rsidR="00546638" w:rsidRPr="00546638" w:rsidRDefault="00546638" w:rsidP="00546638">
      <w:pPr>
        <w:rPr>
          <w:rFonts w:ascii="Arial" w:hAnsi="Arial" w:cs="Arial"/>
          <w:b/>
          <w:bCs/>
        </w:rPr>
      </w:pPr>
      <w:bookmarkStart w:id="0" w:name="_Hlk119323191"/>
      <w:r w:rsidRPr="00546638">
        <w:rPr>
          <w:rFonts w:ascii="Arial" w:hAnsi="Arial" w:cs="Arial"/>
          <w:b/>
          <w:bCs/>
        </w:rPr>
        <w:t>Student name:  Bahja Salah</w:t>
      </w:r>
    </w:p>
    <w:p w14:paraId="6D0BA8A9" w14:textId="77777777" w:rsidR="00546638" w:rsidRPr="00546638" w:rsidRDefault="00546638" w:rsidP="00546638">
      <w:pPr>
        <w:rPr>
          <w:rFonts w:ascii="Arial" w:hAnsi="Arial" w:cs="Arial"/>
          <w:b/>
          <w:bCs/>
          <w:lang w:val="nl-NL"/>
        </w:rPr>
      </w:pPr>
      <w:r w:rsidRPr="00546638">
        <w:rPr>
          <w:rFonts w:ascii="Arial" w:hAnsi="Arial" w:cs="Arial"/>
          <w:b/>
          <w:bCs/>
          <w:lang w:val="nl-NL"/>
        </w:rPr>
        <w:t>Student ID: 2438654</w:t>
      </w:r>
    </w:p>
    <w:p w14:paraId="73523DB3" w14:textId="77777777" w:rsidR="00546638" w:rsidRPr="00546638" w:rsidRDefault="00546638" w:rsidP="00546638">
      <w:pPr>
        <w:rPr>
          <w:rFonts w:ascii="Arial" w:hAnsi="Arial" w:cs="Arial"/>
          <w:b/>
          <w:bCs/>
          <w:lang w:val="nl-NL"/>
        </w:rPr>
      </w:pPr>
      <w:r w:rsidRPr="00546638">
        <w:rPr>
          <w:rFonts w:ascii="Arial" w:hAnsi="Arial" w:cs="Arial"/>
          <w:b/>
          <w:bCs/>
          <w:lang w:val="nl-NL"/>
        </w:rPr>
        <w:t xml:space="preserve">Module Name: </w:t>
      </w:r>
      <w:r w:rsidRPr="00546638">
        <w:rPr>
          <w:rFonts w:ascii="Arial" w:hAnsi="Arial" w:cs="Arial"/>
          <w:b/>
          <w:bCs/>
        </w:rPr>
        <w:t>Assessment 2: Bibliography &amp; report</w:t>
      </w:r>
    </w:p>
    <w:p w14:paraId="3515E1DB" w14:textId="77777777" w:rsidR="00546638" w:rsidRPr="00546638" w:rsidRDefault="00546638" w:rsidP="00546638">
      <w:pPr>
        <w:rPr>
          <w:rFonts w:ascii="Arial" w:hAnsi="Arial" w:cs="Arial"/>
          <w:b/>
          <w:bCs/>
        </w:rPr>
      </w:pPr>
      <w:r w:rsidRPr="00546638">
        <w:rPr>
          <w:rFonts w:ascii="Arial" w:hAnsi="Arial" w:cs="Arial"/>
          <w:b/>
          <w:bCs/>
        </w:rPr>
        <w:t>Module code: LCHS4010</w:t>
      </w:r>
    </w:p>
    <w:p w14:paraId="238662B5" w14:textId="77777777" w:rsidR="00546638" w:rsidRPr="00546638" w:rsidRDefault="00546638" w:rsidP="00546638">
      <w:pPr>
        <w:rPr>
          <w:rFonts w:ascii="Arial" w:hAnsi="Arial" w:cs="Arial"/>
          <w:b/>
          <w:bCs/>
        </w:rPr>
      </w:pPr>
      <w:r w:rsidRPr="00546638">
        <w:rPr>
          <w:rFonts w:ascii="Arial" w:hAnsi="Arial" w:cs="Arial"/>
          <w:b/>
          <w:bCs/>
        </w:rPr>
        <w:t xml:space="preserve">Lecturer </w:t>
      </w:r>
      <w:bookmarkEnd w:id="0"/>
      <w:r w:rsidRPr="00546638">
        <w:rPr>
          <w:rFonts w:ascii="Arial" w:hAnsi="Arial" w:cs="Arial"/>
          <w:b/>
          <w:bCs/>
        </w:rPr>
        <w:t>name: Shepherd Ziko</w:t>
      </w:r>
    </w:p>
    <w:p w14:paraId="2AFDA7E0" w14:textId="77777777" w:rsidR="00546638" w:rsidRDefault="00546638" w:rsidP="00CC1A23">
      <w:pPr>
        <w:rPr>
          <w:rFonts w:ascii="Arial" w:hAnsi="Arial" w:cs="Arial"/>
          <w:b/>
          <w:bCs/>
        </w:rPr>
      </w:pPr>
    </w:p>
    <w:p w14:paraId="7830E83C" w14:textId="77777777" w:rsidR="00546638" w:rsidRDefault="00546638" w:rsidP="00CC1A23">
      <w:pPr>
        <w:rPr>
          <w:rFonts w:ascii="Arial" w:hAnsi="Arial" w:cs="Arial"/>
          <w:b/>
          <w:bCs/>
        </w:rPr>
      </w:pPr>
    </w:p>
    <w:p w14:paraId="4569B6D2" w14:textId="77777777" w:rsidR="00546638" w:rsidRDefault="00546638" w:rsidP="00CC1A23">
      <w:pPr>
        <w:rPr>
          <w:rFonts w:ascii="Arial" w:hAnsi="Arial" w:cs="Arial"/>
          <w:b/>
          <w:bCs/>
        </w:rPr>
      </w:pPr>
    </w:p>
    <w:p w14:paraId="64F4854E" w14:textId="77777777" w:rsidR="00546638" w:rsidRDefault="00546638" w:rsidP="00CC1A23">
      <w:pPr>
        <w:rPr>
          <w:rFonts w:ascii="Arial" w:hAnsi="Arial" w:cs="Arial"/>
          <w:b/>
          <w:bCs/>
        </w:rPr>
      </w:pPr>
    </w:p>
    <w:p w14:paraId="1D05FAC1" w14:textId="77777777" w:rsidR="00546638" w:rsidRDefault="00546638" w:rsidP="00CC1A23">
      <w:pPr>
        <w:rPr>
          <w:rFonts w:ascii="Arial" w:hAnsi="Arial" w:cs="Arial"/>
          <w:b/>
          <w:bCs/>
        </w:rPr>
      </w:pPr>
    </w:p>
    <w:p w14:paraId="54050DB4" w14:textId="77777777" w:rsidR="00546638" w:rsidRDefault="00546638" w:rsidP="00CC1A23">
      <w:pPr>
        <w:rPr>
          <w:rFonts w:ascii="Arial" w:hAnsi="Arial" w:cs="Arial"/>
          <w:b/>
          <w:bCs/>
        </w:rPr>
      </w:pPr>
    </w:p>
    <w:p w14:paraId="483B9BEC" w14:textId="77777777" w:rsidR="00546638" w:rsidRDefault="00546638" w:rsidP="00CC1A23">
      <w:pPr>
        <w:rPr>
          <w:rFonts w:ascii="Arial" w:hAnsi="Arial" w:cs="Arial"/>
          <w:b/>
          <w:bCs/>
        </w:rPr>
      </w:pPr>
    </w:p>
    <w:p w14:paraId="03204F27" w14:textId="77777777" w:rsidR="00546638" w:rsidRDefault="00546638" w:rsidP="00CC1A23">
      <w:pPr>
        <w:rPr>
          <w:rFonts w:ascii="Arial" w:hAnsi="Arial" w:cs="Arial"/>
          <w:b/>
          <w:bCs/>
        </w:rPr>
      </w:pPr>
    </w:p>
    <w:p w14:paraId="71DEA9FC" w14:textId="77777777" w:rsidR="00546638" w:rsidRDefault="00546638" w:rsidP="00CC1A23">
      <w:pPr>
        <w:rPr>
          <w:rFonts w:ascii="Arial" w:hAnsi="Arial" w:cs="Arial"/>
          <w:b/>
          <w:bCs/>
        </w:rPr>
      </w:pPr>
    </w:p>
    <w:p w14:paraId="62D3F525" w14:textId="77777777" w:rsidR="00546638" w:rsidRDefault="00546638" w:rsidP="00CC1A23">
      <w:pPr>
        <w:rPr>
          <w:rFonts w:ascii="Arial" w:hAnsi="Arial" w:cs="Arial"/>
          <w:b/>
          <w:bCs/>
        </w:rPr>
      </w:pPr>
    </w:p>
    <w:p w14:paraId="0D2A31A6" w14:textId="77777777" w:rsidR="00546638" w:rsidRDefault="00546638" w:rsidP="00CC1A23">
      <w:pPr>
        <w:rPr>
          <w:rFonts w:ascii="Arial" w:hAnsi="Arial" w:cs="Arial"/>
          <w:b/>
          <w:bCs/>
        </w:rPr>
      </w:pPr>
    </w:p>
    <w:p w14:paraId="1660F0CC" w14:textId="77777777" w:rsidR="00546638" w:rsidRDefault="00546638" w:rsidP="00CC1A23">
      <w:pPr>
        <w:rPr>
          <w:rFonts w:ascii="Arial" w:hAnsi="Arial" w:cs="Arial"/>
          <w:b/>
          <w:bCs/>
        </w:rPr>
      </w:pPr>
    </w:p>
    <w:p w14:paraId="1B76B55F" w14:textId="77777777" w:rsidR="00546638" w:rsidRDefault="00546638" w:rsidP="00CC1A23">
      <w:pPr>
        <w:rPr>
          <w:rFonts w:ascii="Arial" w:hAnsi="Arial" w:cs="Arial"/>
          <w:b/>
          <w:bCs/>
        </w:rPr>
      </w:pPr>
    </w:p>
    <w:p w14:paraId="33925CD7" w14:textId="77777777" w:rsidR="00546638" w:rsidRDefault="00546638" w:rsidP="00CC1A23">
      <w:pPr>
        <w:rPr>
          <w:rFonts w:ascii="Arial" w:hAnsi="Arial" w:cs="Arial"/>
          <w:b/>
          <w:bCs/>
        </w:rPr>
      </w:pPr>
    </w:p>
    <w:p w14:paraId="59710FA8" w14:textId="77777777" w:rsidR="00546638" w:rsidRDefault="00546638" w:rsidP="00CC1A23">
      <w:pPr>
        <w:rPr>
          <w:rFonts w:ascii="Arial" w:hAnsi="Arial" w:cs="Arial"/>
          <w:b/>
          <w:bCs/>
        </w:rPr>
      </w:pPr>
    </w:p>
    <w:p w14:paraId="00B16691" w14:textId="77777777" w:rsidR="00546638" w:rsidRDefault="00546638" w:rsidP="00CC1A23">
      <w:pPr>
        <w:rPr>
          <w:rFonts w:ascii="Arial" w:hAnsi="Arial" w:cs="Arial"/>
          <w:b/>
          <w:bCs/>
        </w:rPr>
      </w:pPr>
    </w:p>
    <w:p w14:paraId="2F0FC665" w14:textId="77777777" w:rsidR="00546638" w:rsidRDefault="00546638" w:rsidP="00CC1A23">
      <w:pPr>
        <w:rPr>
          <w:rFonts w:ascii="Arial" w:hAnsi="Arial" w:cs="Arial"/>
          <w:b/>
          <w:bCs/>
        </w:rPr>
      </w:pPr>
    </w:p>
    <w:p w14:paraId="6E7C428E" w14:textId="77777777" w:rsidR="00546638" w:rsidRDefault="00546638" w:rsidP="00CC1A23">
      <w:pPr>
        <w:rPr>
          <w:rFonts w:ascii="Arial" w:hAnsi="Arial" w:cs="Arial"/>
          <w:b/>
          <w:bCs/>
        </w:rPr>
      </w:pPr>
    </w:p>
    <w:p w14:paraId="24F911AB" w14:textId="77777777" w:rsidR="004F4605" w:rsidRDefault="004F4605" w:rsidP="00CC1A23">
      <w:pPr>
        <w:rPr>
          <w:rFonts w:ascii="Arial" w:hAnsi="Arial" w:cs="Arial"/>
          <w:b/>
          <w:bCs/>
        </w:rPr>
      </w:pPr>
    </w:p>
    <w:p w14:paraId="425789EA" w14:textId="29E4EB55" w:rsidR="004F4605" w:rsidRDefault="004F4605" w:rsidP="00CC1A23">
      <w:pPr>
        <w:rPr>
          <w:rFonts w:ascii="Arial" w:hAnsi="Arial" w:cs="Arial"/>
          <w:b/>
          <w:bCs/>
        </w:rPr>
      </w:pPr>
    </w:p>
    <w:p w14:paraId="07B50F0D" w14:textId="03E59BD1" w:rsidR="004F4605" w:rsidRDefault="004F4605" w:rsidP="00CC1A23">
      <w:pPr>
        <w:rPr>
          <w:rFonts w:ascii="Arial" w:hAnsi="Arial" w:cs="Arial"/>
          <w:b/>
          <w:bCs/>
        </w:rPr>
      </w:pPr>
      <w:r>
        <w:rPr>
          <w:rFonts w:ascii="Arial" w:hAnsi="Arial" w:cs="Arial"/>
          <w:b/>
          <w:bCs/>
          <w:noProof/>
        </w:rPr>
        <w:lastRenderedPageBreak/>
        <w:drawing>
          <wp:inline distT="0" distB="0" distL="0" distR="0" wp14:anchorId="1A974E1C" wp14:editId="43E1E97B">
            <wp:extent cx="5731510" cy="3227207"/>
            <wp:effectExtent l="0" t="0" r="2540" b="0"/>
            <wp:docPr id="1521844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7207"/>
                    </a:xfrm>
                    <a:prstGeom prst="rect">
                      <a:avLst/>
                    </a:prstGeom>
                    <a:noFill/>
                  </pic:spPr>
                </pic:pic>
              </a:graphicData>
            </a:graphic>
          </wp:inline>
        </w:drawing>
      </w:r>
    </w:p>
    <w:p w14:paraId="0CC1A27F" w14:textId="77777777" w:rsidR="004F4605" w:rsidRDefault="004F4605" w:rsidP="00CC1A23">
      <w:pPr>
        <w:rPr>
          <w:rFonts w:ascii="Arial" w:hAnsi="Arial" w:cs="Arial"/>
          <w:b/>
          <w:bCs/>
        </w:rPr>
      </w:pPr>
    </w:p>
    <w:p w14:paraId="022C386B" w14:textId="77777777" w:rsidR="004F4605" w:rsidRDefault="004F4605" w:rsidP="00CC1A23">
      <w:pPr>
        <w:rPr>
          <w:rFonts w:ascii="Arial" w:hAnsi="Arial" w:cs="Arial"/>
          <w:b/>
          <w:bCs/>
        </w:rPr>
      </w:pPr>
    </w:p>
    <w:p w14:paraId="5A03F1B2" w14:textId="77777777" w:rsidR="004F4605" w:rsidRDefault="004F4605" w:rsidP="00CC1A23">
      <w:pPr>
        <w:rPr>
          <w:rFonts w:ascii="Arial" w:hAnsi="Arial" w:cs="Arial"/>
          <w:b/>
          <w:bCs/>
        </w:rPr>
      </w:pPr>
    </w:p>
    <w:p w14:paraId="3D36B896" w14:textId="77777777" w:rsidR="004F4605" w:rsidRDefault="004F4605" w:rsidP="00CC1A23">
      <w:pPr>
        <w:rPr>
          <w:rFonts w:ascii="Arial" w:hAnsi="Arial" w:cs="Arial"/>
          <w:b/>
          <w:bCs/>
        </w:rPr>
      </w:pPr>
    </w:p>
    <w:p w14:paraId="70D425F7" w14:textId="77777777" w:rsidR="004F4605" w:rsidRDefault="004F4605" w:rsidP="00CC1A23">
      <w:pPr>
        <w:rPr>
          <w:rFonts w:ascii="Arial" w:hAnsi="Arial" w:cs="Arial"/>
          <w:b/>
          <w:bCs/>
        </w:rPr>
      </w:pPr>
    </w:p>
    <w:p w14:paraId="3856D617" w14:textId="77777777" w:rsidR="004F4605" w:rsidRDefault="004F4605" w:rsidP="00CC1A23">
      <w:pPr>
        <w:rPr>
          <w:rFonts w:ascii="Arial" w:hAnsi="Arial" w:cs="Arial"/>
          <w:b/>
          <w:bCs/>
        </w:rPr>
      </w:pPr>
    </w:p>
    <w:p w14:paraId="5DCD0DD3" w14:textId="77777777" w:rsidR="004F4605" w:rsidRDefault="004F4605" w:rsidP="00CC1A23">
      <w:pPr>
        <w:rPr>
          <w:rFonts w:ascii="Arial" w:hAnsi="Arial" w:cs="Arial"/>
          <w:b/>
          <w:bCs/>
        </w:rPr>
      </w:pPr>
    </w:p>
    <w:p w14:paraId="537B14BB" w14:textId="77777777" w:rsidR="004F4605" w:rsidRDefault="004F4605" w:rsidP="00CC1A23">
      <w:pPr>
        <w:rPr>
          <w:rFonts w:ascii="Arial" w:hAnsi="Arial" w:cs="Arial"/>
          <w:b/>
          <w:bCs/>
        </w:rPr>
      </w:pPr>
    </w:p>
    <w:p w14:paraId="636C8798" w14:textId="77777777" w:rsidR="004F4605" w:rsidRDefault="004F4605" w:rsidP="00CC1A23">
      <w:pPr>
        <w:rPr>
          <w:rFonts w:ascii="Arial" w:hAnsi="Arial" w:cs="Arial"/>
          <w:b/>
          <w:bCs/>
        </w:rPr>
      </w:pPr>
    </w:p>
    <w:p w14:paraId="2D42A508" w14:textId="77777777" w:rsidR="004F4605" w:rsidRDefault="004F4605" w:rsidP="00CC1A23">
      <w:pPr>
        <w:rPr>
          <w:rFonts w:ascii="Arial" w:hAnsi="Arial" w:cs="Arial"/>
          <w:b/>
          <w:bCs/>
        </w:rPr>
      </w:pPr>
    </w:p>
    <w:p w14:paraId="5B646EC0" w14:textId="77777777" w:rsidR="004F4605" w:rsidRDefault="004F4605" w:rsidP="00CC1A23">
      <w:pPr>
        <w:rPr>
          <w:rFonts w:ascii="Arial" w:hAnsi="Arial" w:cs="Arial"/>
          <w:b/>
          <w:bCs/>
        </w:rPr>
      </w:pPr>
    </w:p>
    <w:p w14:paraId="20F507A2" w14:textId="77777777" w:rsidR="004F4605" w:rsidRDefault="004F4605" w:rsidP="00CC1A23">
      <w:pPr>
        <w:rPr>
          <w:rFonts w:ascii="Arial" w:hAnsi="Arial" w:cs="Arial"/>
          <w:b/>
          <w:bCs/>
        </w:rPr>
      </w:pPr>
    </w:p>
    <w:p w14:paraId="74CCF233" w14:textId="77777777" w:rsidR="004F4605" w:rsidRDefault="004F4605" w:rsidP="00CC1A23">
      <w:pPr>
        <w:rPr>
          <w:rFonts w:ascii="Arial" w:hAnsi="Arial" w:cs="Arial"/>
          <w:b/>
          <w:bCs/>
        </w:rPr>
      </w:pPr>
    </w:p>
    <w:p w14:paraId="5EFDEE76" w14:textId="77777777" w:rsidR="00F743B1" w:rsidRDefault="00F743B1" w:rsidP="00CC1A23">
      <w:pPr>
        <w:rPr>
          <w:rFonts w:ascii="Arial" w:hAnsi="Arial" w:cs="Arial"/>
          <w:b/>
          <w:bCs/>
        </w:rPr>
      </w:pPr>
    </w:p>
    <w:p w14:paraId="14A86145" w14:textId="77777777" w:rsidR="004F4605" w:rsidRDefault="004F4605" w:rsidP="00CC1A23">
      <w:pPr>
        <w:rPr>
          <w:rFonts w:ascii="Arial" w:hAnsi="Arial" w:cs="Arial"/>
          <w:b/>
          <w:bCs/>
        </w:rPr>
      </w:pPr>
    </w:p>
    <w:p w14:paraId="43FE7A7B" w14:textId="77777777" w:rsidR="004F4605" w:rsidRDefault="004F4605" w:rsidP="00CC1A23">
      <w:pPr>
        <w:rPr>
          <w:rFonts w:ascii="Arial" w:hAnsi="Arial" w:cs="Arial"/>
          <w:b/>
          <w:bCs/>
        </w:rPr>
      </w:pPr>
    </w:p>
    <w:p w14:paraId="6175AAB7" w14:textId="77777777" w:rsidR="004F4605" w:rsidRDefault="004F4605" w:rsidP="00CC1A23">
      <w:pPr>
        <w:rPr>
          <w:rFonts w:ascii="Arial" w:hAnsi="Arial" w:cs="Arial"/>
          <w:b/>
          <w:bCs/>
        </w:rPr>
      </w:pPr>
    </w:p>
    <w:p w14:paraId="3BC3E9B9" w14:textId="77777777" w:rsidR="004F4605" w:rsidRDefault="004F4605" w:rsidP="00CC1A23">
      <w:pPr>
        <w:rPr>
          <w:rFonts w:ascii="Arial" w:hAnsi="Arial" w:cs="Arial"/>
          <w:b/>
          <w:bCs/>
        </w:rPr>
      </w:pPr>
    </w:p>
    <w:p w14:paraId="17F9DF22" w14:textId="3A17DA24" w:rsidR="00CC1A23" w:rsidRDefault="00CC1A23" w:rsidP="00CC1A23">
      <w:pPr>
        <w:rPr>
          <w:rFonts w:ascii="Arial" w:hAnsi="Arial" w:cs="Arial"/>
          <w:b/>
          <w:bCs/>
        </w:rPr>
      </w:pPr>
      <w:r w:rsidRPr="00CC1A23">
        <w:rPr>
          <w:rFonts w:ascii="Arial" w:hAnsi="Arial" w:cs="Arial"/>
          <w:b/>
          <w:bCs/>
        </w:rPr>
        <w:lastRenderedPageBreak/>
        <w:t>Introduction</w:t>
      </w:r>
    </w:p>
    <w:p w14:paraId="42DB23B7" w14:textId="67F1E468" w:rsidR="00CC1A23" w:rsidRPr="00CC1A23" w:rsidRDefault="00CC1A23" w:rsidP="00CC1A23">
      <w:pPr>
        <w:rPr>
          <w:rFonts w:ascii="Arial" w:hAnsi="Arial" w:cs="Arial"/>
        </w:rPr>
      </w:pPr>
      <w:r w:rsidRPr="00CC1A23">
        <w:rPr>
          <w:rFonts w:ascii="Arial" w:hAnsi="Arial" w:cs="Arial"/>
        </w:rPr>
        <w:t>Lifespan development theories offer vital frameworks for understanding how individuals grow, adapt, and respond to challenges from infancy to older adulthood. These theories enable health and social care practitioners to interpret behaviour, assess individual needs, and deliver person-centred interventions that promote wellbeing. Two influential theories are John Bowlby’s Attachment Theory and Erik Erikson’s Psychosocial Theory.</w:t>
      </w:r>
    </w:p>
    <w:p w14:paraId="6BF609E8" w14:textId="77777777" w:rsidR="00CC1A23" w:rsidRPr="00CC1A23" w:rsidRDefault="00CC1A23" w:rsidP="00CC1A23">
      <w:pPr>
        <w:rPr>
          <w:rFonts w:ascii="Arial" w:hAnsi="Arial" w:cs="Arial"/>
        </w:rPr>
      </w:pPr>
      <w:r w:rsidRPr="00CC1A23">
        <w:rPr>
          <w:rFonts w:ascii="Arial" w:hAnsi="Arial" w:cs="Arial"/>
        </w:rPr>
        <w:t>Bowlby’s Attachment Theory, initially focused on infant-caregiver relationships, has been extended to explain emotional responses to dependency, loss, and care transitions across the lifespan. Erikson’s theory outlines eight psychosocial stages, each involving a central conflict that shapes personality and emotional health. This essay explores the application of Bowlby’s Attachment Theory to support the psychological wellbeing of older adults in residential care settings. It compares the theory with Erikson’s psychosocial framework, evaluates its strengths and limitations, and examines practical challenges alongside implementation strategies. The discussion concludes by emphasising the benefits of integrating multiple developmental perspectives in health and social care practice.</w:t>
      </w:r>
    </w:p>
    <w:p w14:paraId="58E6EEBC" w14:textId="77777777" w:rsidR="00CC1A23" w:rsidRPr="00CC1A23" w:rsidRDefault="00CC1A23" w:rsidP="00CC1A23">
      <w:pPr>
        <w:rPr>
          <w:rFonts w:ascii="Arial" w:hAnsi="Arial" w:cs="Arial"/>
        </w:rPr>
      </w:pPr>
      <w:r w:rsidRPr="00CC1A23">
        <w:rPr>
          <w:rFonts w:ascii="Arial" w:hAnsi="Arial" w:cs="Arial"/>
          <w:b/>
          <w:bCs/>
        </w:rPr>
        <w:t>References</w:t>
      </w:r>
      <w:r w:rsidRPr="00CC1A23">
        <w:rPr>
          <w:rFonts w:ascii="Arial" w:hAnsi="Arial" w:cs="Arial"/>
        </w:rPr>
        <w:t xml:space="preserve"> Bowlby, J. (1969) </w:t>
      </w:r>
      <w:r w:rsidRPr="00CC1A23">
        <w:rPr>
          <w:rFonts w:ascii="Arial" w:hAnsi="Arial" w:cs="Arial"/>
          <w:i/>
          <w:iCs/>
        </w:rPr>
        <w:t>Attachment</w:t>
      </w:r>
      <w:r w:rsidRPr="00CC1A23">
        <w:rPr>
          <w:rFonts w:ascii="Arial" w:hAnsi="Arial" w:cs="Arial"/>
        </w:rPr>
        <w:t xml:space="preserve">. Vol. 1 of </w:t>
      </w:r>
      <w:r w:rsidRPr="00CC1A23">
        <w:rPr>
          <w:rFonts w:ascii="Arial" w:hAnsi="Arial" w:cs="Arial"/>
          <w:i/>
          <w:iCs/>
        </w:rPr>
        <w:t>Attachment and Loss</w:t>
      </w:r>
      <w:r w:rsidRPr="00CC1A23">
        <w:rPr>
          <w:rFonts w:ascii="Arial" w:hAnsi="Arial" w:cs="Arial"/>
        </w:rPr>
        <w:t xml:space="preserve">. London: Hogarth Press. Bowlby, J. (1988) </w:t>
      </w:r>
      <w:r w:rsidRPr="00CC1A23">
        <w:rPr>
          <w:rFonts w:ascii="Arial" w:hAnsi="Arial" w:cs="Arial"/>
          <w:i/>
          <w:iCs/>
        </w:rPr>
        <w:t>A Secure Base: Parent-Child Attachment and Healthy Human Development</w:t>
      </w:r>
      <w:r w:rsidRPr="00CC1A23">
        <w:rPr>
          <w:rFonts w:ascii="Arial" w:hAnsi="Arial" w:cs="Arial"/>
        </w:rPr>
        <w:t xml:space="preserve">. London: Routledge. Erikson, E.H. (1963) </w:t>
      </w:r>
      <w:r w:rsidRPr="00CC1A23">
        <w:rPr>
          <w:rFonts w:ascii="Arial" w:hAnsi="Arial" w:cs="Arial"/>
          <w:i/>
          <w:iCs/>
        </w:rPr>
        <w:t>Childhood and Society</w:t>
      </w:r>
      <w:r w:rsidRPr="00CC1A23">
        <w:rPr>
          <w:rFonts w:ascii="Arial" w:hAnsi="Arial" w:cs="Arial"/>
        </w:rPr>
        <w:t xml:space="preserve">. 2nd </w:t>
      </w:r>
      <w:proofErr w:type="spellStart"/>
      <w:r w:rsidRPr="00CC1A23">
        <w:rPr>
          <w:rFonts w:ascii="Arial" w:hAnsi="Arial" w:cs="Arial"/>
        </w:rPr>
        <w:t>edn</w:t>
      </w:r>
      <w:proofErr w:type="spellEnd"/>
      <w:r w:rsidRPr="00CC1A23">
        <w:rPr>
          <w:rFonts w:ascii="Arial" w:hAnsi="Arial" w:cs="Arial"/>
        </w:rPr>
        <w:t>. New York: Norton.</w:t>
      </w:r>
    </w:p>
    <w:p w14:paraId="2E617A0A" w14:textId="77777777" w:rsidR="00CC1A23" w:rsidRPr="00CC1A23" w:rsidRDefault="00CC1A23" w:rsidP="00CC1A23">
      <w:pPr>
        <w:rPr>
          <w:rFonts w:ascii="Arial" w:hAnsi="Arial" w:cs="Arial"/>
          <w:b/>
          <w:bCs/>
        </w:rPr>
      </w:pPr>
      <w:r w:rsidRPr="00CC1A23">
        <w:rPr>
          <w:rFonts w:ascii="Arial" w:hAnsi="Arial" w:cs="Arial"/>
          <w:b/>
          <w:bCs/>
        </w:rPr>
        <w:t>Part A: Bowlby’s Attachment Theory</w:t>
      </w:r>
    </w:p>
    <w:p w14:paraId="6C93A001" w14:textId="0CC70D9C" w:rsidR="00CC1A23" w:rsidRPr="00CC1A23" w:rsidRDefault="00CC1A23" w:rsidP="00CC1A23">
      <w:pPr>
        <w:rPr>
          <w:rFonts w:ascii="Arial" w:hAnsi="Arial" w:cs="Arial"/>
        </w:rPr>
      </w:pPr>
      <w:r w:rsidRPr="00CC1A23">
        <w:rPr>
          <w:rFonts w:ascii="Arial" w:hAnsi="Arial" w:cs="Arial"/>
        </w:rPr>
        <w:t>John Bowlby proposed that humans possess an innate attachment system that motivates proximity-seeking to caregivers, especially during distress, to ensure safety and emotional regulation (Bowlby, 1969). Drawing on evolutionary theory, ethology, and psychoanalysis, Bowlby argued that attachment is a biological survival mechanism. Key concepts include monotropy – the strong preference for a primary caregiver – a sensitive period for forming secure bonds, and the development of internal working models. These models are cognitive representations of the self and others, formed through early interactions, that influence expectations and behaviours in future relationships.</w:t>
      </w:r>
      <w:r w:rsidR="00C927E7" w:rsidRPr="00C927E7">
        <w:t xml:space="preserve"> </w:t>
      </w:r>
      <w:r w:rsidR="00C927E7" w:rsidRPr="00C927E7">
        <w:rPr>
          <w:rFonts w:ascii="Arial" w:hAnsi="Arial" w:cs="Arial"/>
        </w:rPr>
        <w:t>(Bowlby, 1969)</w:t>
      </w:r>
    </w:p>
    <w:p w14:paraId="766E466A" w14:textId="4E9DE119" w:rsidR="00CC1A23" w:rsidRPr="00CC1A23" w:rsidRDefault="00CC1A23" w:rsidP="00CC1A23">
      <w:pPr>
        <w:rPr>
          <w:rFonts w:ascii="Arial" w:hAnsi="Arial" w:cs="Arial"/>
        </w:rPr>
      </w:pPr>
      <w:r w:rsidRPr="00CC1A23">
        <w:rPr>
          <w:rFonts w:ascii="Arial" w:hAnsi="Arial" w:cs="Arial"/>
        </w:rPr>
        <w:t>Bowlby also highlighted the damaging effects of prolonged separation or deprivation, which can disrupt emotional development. While originally centred on infancy, attachment theory recognises that patterns (secure, anxious/preoccupied, avoidant/dismissive, and fearful/disorganised) persist into adulthood and shape responses to stress, illness, and relational changes.</w:t>
      </w:r>
      <w:r w:rsidR="00C927E7">
        <w:rPr>
          <w:rFonts w:ascii="Arial" w:hAnsi="Arial" w:cs="Arial"/>
        </w:rPr>
        <w:t xml:space="preserve"> </w:t>
      </w:r>
      <w:r w:rsidR="00C927E7" w:rsidRPr="00C927E7">
        <w:rPr>
          <w:rFonts w:ascii="Arial" w:hAnsi="Arial" w:cs="Arial"/>
        </w:rPr>
        <w:t>(Bowlby, 1969)</w:t>
      </w:r>
      <w:r w:rsidR="00C927E7">
        <w:rPr>
          <w:rFonts w:ascii="Arial" w:hAnsi="Arial" w:cs="Arial"/>
        </w:rPr>
        <w:t xml:space="preserve"> </w:t>
      </w:r>
    </w:p>
    <w:p w14:paraId="70359726" w14:textId="77777777" w:rsidR="00DE606E" w:rsidRDefault="00CC1A23" w:rsidP="00CC1A23">
      <w:pPr>
        <w:rPr>
          <w:rFonts w:ascii="Arial" w:hAnsi="Arial" w:cs="Arial"/>
        </w:rPr>
      </w:pPr>
      <w:r w:rsidRPr="00CC1A23">
        <w:rPr>
          <w:rFonts w:ascii="Arial" w:hAnsi="Arial" w:cs="Arial"/>
        </w:rPr>
        <w:t xml:space="preserve">In older adulthood, attachment needs often intensify due to cumulative losses such as bereavement, declining physical health, reduced mobility, and relocation to residential care. Residents with secure attachment histories typically adjust better </w:t>
      </w:r>
      <w:r w:rsidRPr="00CC1A23">
        <w:rPr>
          <w:rFonts w:ascii="Arial" w:hAnsi="Arial" w:cs="Arial"/>
        </w:rPr>
        <w:lastRenderedPageBreak/>
        <w:t xml:space="preserve">and accept support, whereas those with insecure patterns may exhibit heightened anxiety, resistance to care, or emotional withdrawal. </w:t>
      </w:r>
    </w:p>
    <w:p w14:paraId="7F903AAD" w14:textId="4698D524" w:rsidR="00CC1A23" w:rsidRPr="00CC1A23" w:rsidRDefault="00CC1A23" w:rsidP="00CC1A23">
      <w:pPr>
        <w:rPr>
          <w:rFonts w:ascii="Arial" w:hAnsi="Arial" w:cs="Arial"/>
        </w:rPr>
      </w:pPr>
      <w:r w:rsidRPr="00CC1A23">
        <w:rPr>
          <w:rFonts w:ascii="Arial" w:hAnsi="Arial" w:cs="Arial"/>
        </w:rPr>
        <w:t xml:space="preserve">These behaviours are not merely “challenging” but understandable reactions rooted in the need for a secure </w:t>
      </w:r>
      <w:proofErr w:type="gramStart"/>
      <w:r w:rsidRPr="00CC1A23">
        <w:rPr>
          <w:rFonts w:ascii="Arial" w:hAnsi="Arial" w:cs="Arial"/>
        </w:rPr>
        <w:t xml:space="preserve">base </w:t>
      </w:r>
      <w:r>
        <w:rPr>
          <w:rFonts w:ascii="Arial" w:hAnsi="Arial" w:cs="Arial"/>
        </w:rPr>
        <w:t>,</w:t>
      </w:r>
      <w:proofErr w:type="gramEnd"/>
      <w:r>
        <w:rPr>
          <w:rFonts w:ascii="Arial" w:hAnsi="Arial" w:cs="Arial"/>
        </w:rPr>
        <w:t xml:space="preserve"> </w:t>
      </w:r>
      <w:r w:rsidRPr="00CC1A23">
        <w:rPr>
          <w:rFonts w:ascii="Arial" w:hAnsi="Arial" w:cs="Arial"/>
        </w:rPr>
        <w:t>a reliable figure who provides comfort and reassurance (Bowlby, 1988).</w:t>
      </w:r>
    </w:p>
    <w:p w14:paraId="5B280DE2" w14:textId="5AD1EB63" w:rsidR="00CC1A23" w:rsidRPr="00CC1A23" w:rsidRDefault="00CC1A23" w:rsidP="00CC1A23">
      <w:pPr>
        <w:rPr>
          <w:rFonts w:ascii="Arial" w:hAnsi="Arial" w:cs="Arial"/>
        </w:rPr>
      </w:pPr>
      <w:r w:rsidRPr="00CC1A23">
        <w:rPr>
          <w:rFonts w:ascii="Arial" w:hAnsi="Arial" w:cs="Arial"/>
          <w:b/>
          <w:bCs/>
        </w:rPr>
        <w:t>Application to Older Adults in Residential Care</w:t>
      </w:r>
      <w:r w:rsidRPr="00CC1A23">
        <w:rPr>
          <w:rFonts w:ascii="Arial" w:hAnsi="Arial" w:cs="Arial"/>
        </w:rPr>
        <w:t xml:space="preserve"> Attachment-informed care in residential settings focuses on emotional </w:t>
      </w:r>
      <w:proofErr w:type="spellStart"/>
      <w:r w:rsidRPr="00CC1A23">
        <w:rPr>
          <w:rFonts w:ascii="Arial" w:hAnsi="Arial" w:cs="Arial"/>
        </w:rPr>
        <w:t>attunement</w:t>
      </w:r>
      <w:proofErr w:type="spellEnd"/>
      <w:r w:rsidRPr="00CC1A23">
        <w:rPr>
          <w:rFonts w:ascii="Arial" w:hAnsi="Arial" w:cs="Arial"/>
        </w:rPr>
        <w:t xml:space="preserve"> and validation. Staff can demonstrate </w:t>
      </w:r>
      <w:proofErr w:type="spellStart"/>
      <w:r w:rsidRPr="00CC1A23">
        <w:rPr>
          <w:rFonts w:ascii="Arial" w:hAnsi="Arial" w:cs="Arial"/>
        </w:rPr>
        <w:t>attunement</w:t>
      </w:r>
      <w:proofErr w:type="spellEnd"/>
      <w:r w:rsidRPr="00CC1A23">
        <w:rPr>
          <w:rFonts w:ascii="Arial" w:hAnsi="Arial" w:cs="Arial"/>
        </w:rPr>
        <w:t xml:space="preserve"> through active listening, acknowledging residents’ feelings without judgment, using warm and respectful communication, and encouraging expression of preferences. Such responses help residents feel seen, valued, and emotionally safe.</w:t>
      </w:r>
      <w:r w:rsidR="00C927E7" w:rsidRPr="00C927E7">
        <w:t xml:space="preserve"> </w:t>
      </w:r>
      <w:r w:rsidR="00C927E7">
        <w:t xml:space="preserve">  (</w:t>
      </w:r>
      <w:r w:rsidR="00C927E7" w:rsidRPr="00C927E7">
        <w:rPr>
          <w:rFonts w:ascii="Arial" w:hAnsi="Arial" w:cs="Arial"/>
        </w:rPr>
        <w:t>Erikson, E.H. (1963)</w:t>
      </w:r>
    </w:p>
    <w:p w14:paraId="2AA98DDD" w14:textId="02D466DB" w:rsidR="00CC1A23" w:rsidRPr="00CC1A23" w:rsidRDefault="00CC1A23" w:rsidP="00CC1A23">
      <w:pPr>
        <w:rPr>
          <w:rFonts w:ascii="Arial" w:hAnsi="Arial" w:cs="Arial"/>
        </w:rPr>
      </w:pPr>
      <w:r w:rsidRPr="00CC1A23">
        <w:rPr>
          <w:rFonts w:ascii="Arial" w:hAnsi="Arial" w:cs="Arial"/>
        </w:rPr>
        <w:t>Equally important is balancing support with autonomy. Older adults often fear loss of independence; therefore, practitioners should involve residents in care planning, offer meaningful choices, encourage self-care where feasible, and respect personal boundaries. These practices reduce feelings of helplessness, preserve self-esteem, and foster a sense of control, aligning with the secure base concept that enables exploration and adaptation even in later life.</w:t>
      </w:r>
      <w:r w:rsidR="00C927E7">
        <w:rPr>
          <w:rFonts w:ascii="Arial" w:hAnsi="Arial" w:cs="Arial"/>
        </w:rPr>
        <w:t xml:space="preserve"> (</w:t>
      </w:r>
      <w:r w:rsidR="00C927E7" w:rsidRPr="00C927E7">
        <w:rPr>
          <w:rFonts w:ascii="Arial" w:hAnsi="Arial" w:cs="Arial"/>
        </w:rPr>
        <w:t>Erikson, E.H. (1963)</w:t>
      </w:r>
    </w:p>
    <w:p w14:paraId="25F8A76F" w14:textId="79C87D8E" w:rsidR="00CC1A23" w:rsidRDefault="00CC1A23" w:rsidP="00CC1A23">
      <w:pPr>
        <w:rPr>
          <w:rFonts w:ascii="Arial" w:hAnsi="Arial" w:cs="Arial"/>
          <w:b/>
          <w:bCs/>
        </w:rPr>
      </w:pPr>
      <w:r w:rsidRPr="00CC1A23">
        <w:rPr>
          <w:rFonts w:ascii="Arial" w:hAnsi="Arial" w:cs="Arial"/>
          <w:b/>
          <w:bCs/>
        </w:rPr>
        <w:t>Part B: Short Report</w:t>
      </w:r>
      <w:r>
        <w:rPr>
          <w:rFonts w:ascii="Arial" w:hAnsi="Arial" w:cs="Arial"/>
          <w:b/>
          <w:bCs/>
        </w:rPr>
        <w:t>.</w:t>
      </w:r>
    </w:p>
    <w:p w14:paraId="45B42D4E" w14:textId="297A949C" w:rsidR="00CC1A23" w:rsidRPr="00CC1A23" w:rsidRDefault="00CC1A23" w:rsidP="00CC1A23">
      <w:pPr>
        <w:rPr>
          <w:rFonts w:ascii="Arial" w:hAnsi="Arial" w:cs="Arial"/>
          <w:b/>
          <w:bCs/>
        </w:rPr>
      </w:pPr>
      <w:r w:rsidRPr="00CC1A23">
        <w:rPr>
          <w:rFonts w:ascii="Arial" w:hAnsi="Arial" w:cs="Arial"/>
          <w:b/>
          <w:bCs/>
        </w:rPr>
        <w:t>Applying Attachment Theory in Residential Care</w:t>
      </w:r>
      <w:r w:rsidR="00C927E7">
        <w:rPr>
          <w:rFonts w:ascii="Arial" w:hAnsi="Arial" w:cs="Arial"/>
          <w:b/>
          <w:bCs/>
        </w:rPr>
        <w:t>.</w:t>
      </w:r>
    </w:p>
    <w:p w14:paraId="2C3AD0E5" w14:textId="6572D46A" w:rsidR="00CC1A23" w:rsidRPr="00CC1A23" w:rsidRDefault="00CC1A23" w:rsidP="00CC1A23">
      <w:pPr>
        <w:rPr>
          <w:rFonts w:ascii="Arial" w:hAnsi="Arial" w:cs="Arial"/>
        </w:rPr>
      </w:pPr>
      <w:r w:rsidRPr="00CC1A23">
        <w:rPr>
          <w:rFonts w:ascii="Arial" w:hAnsi="Arial" w:cs="Arial"/>
        </w:rPr>
        <w:t>Promoting psychological wellbeing remains a core duty for health and social care professionals supporting older adults in residential settings. Residents frequently encounter multiple transitions, including bereavement, deteriorating health, and loss of independence and familiar environments. These changes can heighten risks of loneliness, anxiety, depression, and emotional distress. Bowlby’s Attachment Theory provides a robust framework for understanding these experiences and guiding relational care that rebuilds security.</w:t>
      </w:r>
      <w:r w:rsidR="00C927E7">
        <w:rPr>
          <w:rFonts w:ascii="Arial" w:hAnsi="Arial" w:cs="Arial"/>
        </w:rPr>
        <w:t xml:space="preserve"> </w:t>
      </w:r>
      <w:r w:rsidR="00C927E7" w:rsidRPr="00C927E7">
        <w:rPr>
          <w:rFonts w:ascii="Arial" w:hAnsi="Arial" w:cs="Arial"/>
        </w:rPr>
        <w:t>(Van Assche et al., 2013).</w:t>
      </w:r>
    </w:p>
    <w:p w14:paraId="72A56982" w14:textId="77777777" w:rsidR="00CC1A23" w:rsidRDefault="00CC1A23" w:rsidP="00CC1A23">
      <w:pPr>
        <w:rPr>
          <w:rFonts w:ascii="Arial" w:hAnsi="Arial" w:cs="Arial"/>
          <w:b/>
          <w:bCs/>
        </w:rPr>
      </w:pPr>
      <w:r w:rsidRPr="00CC1A23">
        <w:rPr>
          <w:rFonts w:ascii="Arial" w:hAnsi="Arial" w:cs="Arial"/>
          <w:b/>
          <w:bCs/>
        </w:rPr>
        <w:t>Case Example: Mrs Maria</w:t>
      </w:r>
    </w:p>
    <w:p w14:paraId="676CA693" w14:textId="4ECDA18D" w:rsidR="00CC1A23" w:rsidRPr="00CC1A23" w:rsidRDefault="00CC1A23" w:rsidP="00CC1A23">
      <w:pPr>
        <w:rPr>
          <w:rFonts w:ascii="Arial" w:hAnsi="Arial" w:cs="Arial"/>
        </w:rPr>
      </w:pPr>
      <w:r w:rsidRPr="00CC1A23">
        <w:rPr>
          <w:rFonts w:ascii="Arial" w:hAnsi="Arial" w:cs="Arial"/>
        </w:rPr>
        <w:t>Mrs Maria, an 82-year-old woman, entered residential care after a fall that left her with reduced mobility. Initially, she displayed significant distress: repeatedly calling for staff, asking anxiously when they would return, and becoming upset whenever left alone. Her behaviour indicated an anxious attachment style, activated by the sudden disruption of independence and familiar routines.</w:t>
      </w:r>
    </w:p>
    <w:p w14:paraId="1630BEF6" w14:textId="77777777" w:rsidR="00F743B1" w:rsidRDefault="00CC1A23" w:rsidP="00CC1A23">
      <w:pPr>
        <w:rPr>
          <w:rFonts w:ascii="Arial" w:hAnsi="Arial" w:cs="Arial"/>
        </w:rPr>
      </w:pPr>
      <w:r w:rsidRPr="00CC1A23">
        <w:rPr>
          <w:rFonts w:ascii="Arial" w:hAnsi="Arial" w:cs="Arial"/>
        </w:rPr>
        <w:t>The care team adopted an attachment-informed approach. They assigned a consistent key worker, introduced predictable daily routines, offered regular emotional validation, facilitated frequent family visits, and maintained short but frequent positive interactions. Over several weeks, Mrs Maria became noticeably calmer, reported improved sleep, and required less constant reassurance. By functioning as a “secure base,” staff helped her restore emotional stability and rebuild confidence in her new environment.</w:t>
      </w:r>
    </w:p>
    <w:p w14:paraId="52F0AD57" w14:textId="0E6D67B8" w:rsidR="00CC1A23" w:rsidRPr="00F743B1" w:rsidRDefault="00CC1A23" w:rsidP="00CC1A23">
      <w:pPr>
        <w:rPr>
          <w:rFonts w:ascii="Arial" w:hAnsi="Arial" w:cs="Arial"/>
        </w:rPr>
      </w:pPr>
      <w:r w:rsidRPr="00CC1A23">
        <w:rPr>
          <w:rFonts w:ascii="Arial" w:hAnsi="Arial" w:cs="Arial"/>
          <w:b/>
          <w:bCs/>
        </w:rPr>
        <w:lastRenderedPageBreak/>
        <w:t>Comparison with Erikson’s Psychosocial Theory</w:t>
      </w:r>
    </w:p>
    <w:p w14:paraId="75EBF160" w14:textId="08263642" w:rsidR="00C927E7" w:rsidRDefault="00CC1A23" w:rsidP="00CC1A23">
      <w:pPr>
        <w:rPr>
          <w:rFonts w:ascii="Arial" w:hAnsi="Arial" w:cs="Arial"/>
        </w:rPr>
      </w:pPr>
      <w:r w:rsidRPr="00CC1A23">
        <w:rPr>
          <w:rFonts w:ascii="Arial" w:hAnsi="Arial" w:cs="Arial"/>
        </w:rPr>
        <w:t xml:space="preserve">Erik Erikson’s psychosocial theory complements Bowlby’s ideas by describing development as a lifelong process involving eight stages, each defined by a central conflict that must be resolved for healthy progression (Erikson, 1963). The final stage, </w:t>
      </w:r>
      <w:r w:rsidRPr="00CC1A23">
        <w:rPr>
          <w:rFonts w:ascii="Arial" w:hAnsi="Arial" w:cs="Arial"/>
          <w:b/>
          <w:bCs/>
        </w:rPr>
        <w:t>Integrity versus Despair</w:t>
      </w:r>
      <w:r w:rsidRPr="00CC1A23">
        <w:rPr>
          <w:rFonts w:ascii="Arial" w:hAnsi="Arial" w:cs="Arial"/>
        </w:rPr>
        <w:t>, is especially pertinent to older adulthood. Here, individuals engage in life review, evaluating their achievements, relationships, and regrets. Successful resolution fosters wisdom, acceptance, and a sense of integrity, while unresolved conflict can lead to despair, bitterness, or fear of death.</w:t>
      </w:r>
    </w:p>
    <w:p w14:paraId="6A296200" w14:textId="397FC66C" w:rsidR="00CC1A23" w:rsidRPr="00CC1A23" w:rsidRDefault="00C927E7" w:rsidP="00CC1A23">
      <w:pPr>
        <w:rPr>
          <w:rFonts w:ascii="Arial" w:hAnsi="Arial" w:cs="Arial"/>
        </w:rPr>
      </w:pPr>
      <w:r w:rsidRPr="00C927E7">
        <w:t xml:space="preserve"> </w:t>
      </w:r>
      <w:r w:rsidRPr="00C927E7">
        <w:rPr>
          <w:rFonts w:ascii="Arial" w:hAnsi="Arial" w:cs="Arial"/>
        </w:rPr>
        <w:t>(Van Assche et al., 2013).</w:t>
      </w:r>
    </w:p>
    <w:p w14:paraId="50A19B67" w14:textId="4075784A" w:rsidR="00CC1A23" w:rsidRDefault="00CC1A23" w:rsidP="00CC1A23">
      <w:pPr>
        <w:rPr>
          <w:rFonts w:ascii="Arial" w:hAnsi="Arial" w:cs="Arial"/>
        </w:rPr>
      </w:pPr>
      <w:r w:rsidRPr="00CC1A23">
        <w:rPr>
          <w:rFonts w:ascii="Arial" w:hAnsi="Arial" w:cs="Arial"/>
        </w:rPr>
        <w:t xml:space="preserve">Bowlby’s theory illuminates </w:t>
      </w:r>
      <w:r w:rsidRPr="00CC1A23">
        <w:rPr>
          <w:rFonts w:ascii="Arial" w:hAnsi="Arial" w:cs="Arial"/>
          <w:i/>
          <w:iCs/>
        </w:rPr>
        <w:t>why</w:t>
      </w:r>
      <w:r w:rsidRPr="00CC1A23">
        <w:rPr>
          <w:rFonts w:ascii="Arial" w:hAnsi="Arial" w:cs="Arial"/>
        </w:rPr>
        <w:t xml:space="preserve"> older adults may seek proximity, reassurance, or resist dependency through the lens of attachment security and internal working models. Erikson’s framework, conversely, addresses </w:t>
      </w:r>
      <w:r w:rsidRPr="00CC1A23">
        <w:rPr>
          <w:rFonts w:ascii="Arial" w:hAnsi="Arial" w:cs="Arial"/>
          <w:i/>
          <w:iCs/>
        </w:rPr>
        <w:t>how</w:t>
      </w:r>
      <w:r w:rsidRPr="00CC1A23">
        <w:rPr>
          <w:rFonts w:ascii="Arial" w:hAnsi="Arial" w:cs="Arial"/>
        </w:rPr>
        <w:t xml:space="preserve"> residents construct meaning from their life story and cope with existential aspects of ageing. Integrating both theories enables practitioners to provide holistic support: addressing immediate emotional security and relational needs (Bowlby) while facilitating dignity, life review activities, and a sense of purpose (Erikson).</w:t>
      </w:r>
      <w:r w:rsidR="00C927E7">
        <w:rPr>
          <w:rFonts w:ascii="Arial" w:hAnsi="Arial" w:cs="Arial"/>
        </w:rPr>
        <w:t xml:space="preserve"> </w:t>
      </w:r>
      <w:r w:rsidR="00C927E7" w:rsidRPr="00C927E7">
        <w:rPr>
          <w:rFonts w:ascii="Arial" w:hAnsi="Arial" w:cs="Arial"/>
        </w:rPr>
        <w:t>(Bowlby, 1969).</w:t>
      </w:r>
    </w:p>
    <w:p w14:paraId="386ADB1E" w14:textId="77777777" w:rsidR="00CC1A23" w:rsidRDefault="00CC1A23" w:rsidP="00CC1A23">
      <w:pPr>
        <w:rPr>
          <w:rFonts w:ascii="Arial" w:hAnsi="Arial" w:cs="Arial"/>
        </w:rPr>
      </w:pPr>
    </w:p>
    <w:p w14:paraId="18884A6C" w14:textId="775463FC" w:rsidR="00CC1A23" w:rsidRDefault="00CC1A23" w:rsidP="00CC1A23">
      <w:pPr>
        <w:rPr>
          <w:rFonts w:ascii="Arial" w:hAnsi="Arial" w:cs="Arial"/>
        </w:rPr>
      </w:pPr>
      <w:r>
        <w:rPr>
          <w:rFonts w:ascii="Arial" w:hAnsi="Arial" w:cs="Arial"/>
          <w:noProof/>
        </w:rPr>
        <w:drawing>
          <wp:inline distT="0" distB="0" distL="0" distR="0" wp14:anchorId="2D075044" wp14:editId="54485E3E">
            <wp:extent cx="6176010" cy="2512060"/>
            <wp:effectExtent l="0" t="0" r="0" b="2540"/>
            <wp:docPr id="1363070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6010" cy="2512060"/>
                    </a:xfrm>
                    <a:prstGeom prst="rect">
                      <a:avLst/>
                    </a:prstGeom>
                    <a:noFill/>
                  </pic:spPr>
                </pic:pic>
              </a:graphicData>
            </a:graphic>
          </wp:inline>
        </w:drawing>
      </w:r>
    </w:p>
    <w:p w14:paraId="554C51FF" w14:textId="77777777" w:rsidR="00CC1A23" w:rsidRDefault="00CC1A23" w:rsidP="00CC1A23">
      <w:pPr>
        <w:rPr>
          <w:rFonts w:ascii="Arial" w:hAnsi="Arial" w:cs="Arial"/>
        </w:rPr>
      </w:pPr>
    </w:p>
    <w:p w14:paraId="62D38C7E" w14:textId="77777777" w:rsidR="00CC1A23" w:rsidRPr="00CC1A23" w:rsidRDefault="00CC1A23" w:rsidP="00CC1A23">
      <w:pPr>
        <w:rPr>
          <w:rFonts w:ascii="Arial" w:hAnsi="Arial" w:cs="Arial"/>
        </w:rPr>
      </w:pPr>
      <w:r w:rsidRPr="00CC1A23">
        <w:rPr>
          <w:rFonts w:ascii="Arial" w:hAnsi="Arial" w:cs="Arial"/>
          <w:b/>
          <w:bCs/>
        </w:rPr>
        <w:t>Critical Evaluation</w:t>
      </w:r>
    </w:p>
    <w:p w14:paraId="2CC26A24" w14:textId="77777777" w:rsidR="00C927E7" w:rsidRDefault="00CC1A23" w:rsidP="00CC1A23">
      <w:pPr>
        <w:rPr>
          <w:rFonts w:ascii="Arial" w:hAnsi="Arial" w:cs="Arial"/>
        </w:rPr>
      </w:pPr>
      <w:r w:rsidRPr="00CC1A23">
        <w:rPr>
          <w:rFonts w:ascii="Arial" w:hAnsi="Arial" w:cs="Arial"/>
          <w:b/>
          <w:bCs/>
        </w:rPr>
        <w:t>Strengths</w:t>
      </w:r>
      <w:r w:rsidRPr="00CC1A23">
        <w:rPr>
          <w:rFonts w:ascii="Arial" w:hAnsi="Arial" w:cs="Arial"/>
        </w:rPr>
        <w:t xml:space="preserve"> Attachment Theory supplies a clear, biologically grounded framework for interpreting emotional needs in later life. It encourages staff to view behaviours such as calling out or resistance as attachment-driven rather than problematic, reducing the risk of mislabelling and punitive responses. Furthermore, it strongly supports relationship-centred care, which is consistently associated with improved resident wellbeing, reduced agitation, and higher quality of life in care settings.</w:t>
      </w:r>
      <w:r w:rsidR="00C927E7">
        <w:rPr>
          <w:rFonts w:ascii="Arial" w:hAnsi="Arial" w:cs="Arial"/>
        </w:rPr>
        <w:t xml:space="preserve"> </w:t>
      </w:r>
    </w:p>
    <w:p w14:paraId="68C1A1F3" w14:textId="03534673" w:rsidR="00CC1A23" w:rsidRPr="00CC1A23" w:rsidRDefault="00C927E7" w:rsidP="00CC1A23">
      <w:pPr>
        <w:rPr>
          <w:rFonts w:ascii="Arial" w:hAnsi="Arial" w:cs="Arial"/>
        </w:rPr>
      </w:pPr>
      <w:r w:rsidRPr="00C927E7">
        <w:rPr>
          <w:rFonts w:ascii="Arial" w:hAnsi="Arial" w:cs="Arial"/>
        </w:rPr>
        <w:t>(Bowlby, 1969).</w:t>
      </w:r>
    </w:p>
    <w:p w14:paraId="676EE1DC" w14:textId="1E1A4CFC" w:rsidR="00CC1A23" w:rsidRPr="00CC1A23" w:rsidRDefault="00CC1A23" w:rsidP="00CC1A23">
      <w:pPr>
        <w:rPr>
          <w:rFonts w:ascii="Arial" w:hAnsi="Arial" w:cs="Arial"/>
        </w:rPr>
      </w:pPr>
      <w:r w:rsidRPr="00CC1A23">
        <w:rPr>
          <w:rFonts w:ascii="Arial" w:hAnsi="Arial" w:cs="Arial"/>
          <w:b/>
          <w:bCs/>
        </w:rPr>
        <w:lastRenderedPageBreak/>
        <w:t>Limitations</w:t>
      </w:r>
      <w:r w:rsidRPr="00CC1A23">
        <w:rPr>
          <w:rFonts w:ascii="Arial" w:hAnsi="Arial" w:cs="Arial"/>
        </w:rPr>
        <w:t xml:space="preserve"> The theory originated from observations of infants and young children, so direct application to older </w:t>
      </w:r>
      <w:proofErr w:type="gramStart"/>
      <w:r w:rsidRPr="00CC1A23">
        <w:rPr>
          <w:rFonts w:ascii="Arial" w:hAnsi="Arial" w:cs="Arial"/>
        </w:rPr>
        <w:t>adults</w:t>
      </w:r>
      <w:proofErr w:type="gramEnd"/>
      <w:r w:rsidRPr="00CC1A23">
        <w:rPr>
          <w:rFonts w:ascii="Arial" w:hAnsi="Arial" w:cs="Arial"/>
        </w:rPr>
        <w:t xml:space="preserve"> risks oversimplification of complex, multifaceted adult relationships influenced by decades of experiences. There is also a danger of pathologizing normal ageing processes, such as increased dependency or reliance on others, by framing them exclusively through an attachment lens. Additionally, the theory pays relatively little attention to broader structural influences, including poverty, social isolation, inadequate housing, or systemic inequalities that profoundly affect older adults’ wellbeing.</w:t>
      </w:r>
      <w:r w:rsidR="00C927E7" w:rsidRPr="00C927E7">
        <w:t xml:space="preserve"> </w:t>
      </w:r>
      <w:r w:rsidR="00C927E7" w:rsidRPr="00C927E7">
        <w:rPr>
          <w:rFonts w:ascii="Arial" w:hAnsi="Arial" w:cs="Arial"/>
        </w:rPr>
        <w:t>(Bowlby, 1969).</w:t>
      </w:r>
    </w:p>
    <w:p w14:paraId="23DB950F" w14:textId="77777777" w:rsidR="00CC1A23" w:rsidRDefault="00CC1A23" w:rsidP="00CC1A23">
      <w:pPr>
        <w:rPr>
          <w:rFonts w:ascii="Arial" w:hAnsi="Arial" w:cs="Arial"/>
        </w:rPr>
      </w:pPr>
      <w:r w:rsidRPr="00CC1A23">
        <w:rPr>
          <w:rFonts w:ascii="Arial" w:hAnsi="Arial" w:cs="Arial"/>
          <w:b/>
          <w:bCs/>
        </w:rPr>
        <w:t>Practical Challenge and Strategy</w:t>
      </w:r>
      <w:r w:rsidRPr="00CC1A23">
        <w:rPr>
          <w:rFonts w:ascii="Arial" w:hAnsi="Arial" w:cs="Arial"/>
        </w:rPr>
        <w:t xml:space="preserve"> A key challenge in applying Bowlby’s theory within residential care is maintaining consistent relational care. Attachment-informed practice relies on stable, predictable relationships to foster security. However, many care homes experience staff shortages, frequent shift rotations, and high turnover rates. For residents with insecure attachment histories, this inconsistency can trigger distress, withdrawal, or resistance to care, undermining trust and emotional stability.</w:t>
      </w:r>
    </w:p>
    <w:p w14:paraId="3E639599" w14:textId="72237D9D" w:rsidR="00C927E7" w:rsidRPr="00CC1A23" w:rsidRDefault="00C927E7" w:rsidP="00CC1A23">
      <w:pPr>
        <w:rPr>
          <w:rFonts w:ascii="Arial" w:hAnsi="Arial" w:cs="Arial"/>
        </w:rPr>
      </w:pPr>
      <w:r w:rsidRPr="00C927E7">
        <w:rPr>
          <w:rFonts w:ascii="Arial" w:hAnsi="Arial" w:cs="Arial"/>
        </w:rPr>
        <w:t>(Van Assche et al., 2013).</w:t>
      </w:r>
    </w:p>
    <w:p w14:paraId="39F215A6" w14:textId="77777777" w:rsidR="00CC1A23" w:rsidRDefault="00CC1A23" w:rsidP="00CC1A23">
      <w:pPr>
        <w:rPr>
          <w:rFonts w:ascii="Arial" w:hAnsi="Arial" w:cs="Arial"/>
        </w:rPr>
      </w:pPr>
      <w:r w:rsidRPr="00CC1A23">
        <w:rPr>
          <w:rFonts w:ascii="Arial" w:hAnsi="Arial" w:cs="Arial"/>
        </w:rPr>
        <w:t xml:space="preserve">An effective strategy to mitigate this is the implementation of a dedicated </w:t>
      </w:r>
      <w:r w:rsidRPr="00CC1A23">
        <w:rPr>
          <w:rFonts w:ascii="Arial" w:hAnsi="Arial" w:cs="Arial"/>
          <w:b/>
          <w:bCs/>
        </w:rPr>
        <w:t>key worker system</w:t>
      </w:r>
      <w:r w:rsidRPr="00CC1A23">
        <w:rPr>
          <w:rFonts w:ascii="Arial" w:hAnsi="Arial" w:cs="Arial"/>
        </w:rPr>
        <w:t xml:space="preserve">, reinforced by organisation-wide </w:t>
      </w:r>
      <w:r w:rsidRPr="00CC1A23">
        <w:rPr>
          <w:rFonts w:ascii="Arial" w:hAnsi="Arial" w:cs="Arial"/>
          <w:b/>
          <w:bCs/>
        </w:rPr>
        <w:t>attachment-aware training</w:t>
      </w:r>
      <w:r w:rsidRPr="00CC1A23">
        <w:rPr>
          <w:rFonts w:ascii="Arial" w:hAnsi="Arial" w:cs="Arial"/>
        </w:rPr>
        <w:t>. The key worker serves as the primary, reliable emotional contact for the resident, building continuity and acting as a secure base. They also communicate the resident’s specific emotional needs to the wider team. Comprehensive training equips all staff to recognise attachment behaviours and respond sensitively, even in brief interactions. When combined, these measures enhance relational continuity and create a more emotionally supportive environment despite operational constraints.</w:t>
      </w:r>
    </w:p>
    <w:p w14:paraId="7557BF40" w14:textId="681B5820" w:rsidR="00C927E7" w:rsidRPr="00CC1A23" w:rsidRDefault="00C927E7" w:rsidP="00CC1A23">
      <w:pPr>
        <w:rPr>
          <w:rFonts w:ascii="Arial" w:hAnsi="Arial" w:cs="Arial"/>
        </w:rPr>
      </w:pPr>
      <w:r w:rsidRPr="00C927E7">
        <w:rPr>
          <w:rFonts w:ascii="Arial" w:hAnsi="Arial" w:cs="Arial"/>
        </w:rPr>
        <w:t>(Van Assche et al., 2013).</w:t>
      </w:r>
    </w:p>
    <w:p w14:paraId="0C1AE500" w14:textId="77777777" w:rsidR="00CC1A23" w:rsidRDefault="00CC1A23" w:rsidP="00CC1A23">
      <w:pPr>
        <w:rPr>
          <w:rFonts w:ascii="Arial" w:hAnsi="Arial" w:cs="Arial"/>
          <w:b/>
          <w:bCs/>
        </w:rPr>
      </w:pPr>
    </w:p>
    <w:p w14:paraId="07DEEC1A" w14:textId="63FD2D73" w:rsidR="00CC1A23" w:rsidRDefault="00C927E7" w:rsidP="00CC1A23">
      <w:pPr>
        <w:rPr>
          <w:rFonts w:ascii="Arial" w:hAnsi="Arial" w:cs="Arial"/>
          <w:b/>
          <w:bCs/>
        </w:rPr>
      </w:pPr>
      <w:r>
        <w:rPr>
          <w:rFonts w:ascii="Arial" w:hAnsi="Arial" w:cs="Arial"/>
          <w:b/>
          <w:bCs/>
          <w:noProof/>
        </w:rPr>
        <w:drawing>
          <wp:inline distT="0" distB="0" distL="0" distR="0" wp14:anchorId="02C57404" wp14:editId="195BA5AB">
            <wp:extent cx="5059936" cy="2589853"/>
            <wp:effectExtent l="0" t="0" r="7620" b="1270"/>
            <wp:docPr id="14087345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98662" cy="2609674"/>
                    </a:xfrm>
                    <a:prstGeom prst="rect">
                      <a:avLst/>
                    </a:prstGeom>
                    <a:noFill/>
                  </pic:spPr>
                </pic:pic>
              </a:graphicData>
            </a:graphic>
          </wp:inline>
        </w:drawing>
      </w:r>
    </w:p>
    <w:p w14:paraId="6FD6D75F" w14:textId="77777777" w:rsidR="007723CE" w:rsidRDefault="007723CE" w:rsidP="00CC1A23">
      <w:pPr>
        <w:rPr>
          <w:rFonts w:ascii="Arial" w:hAnsi="Arial" w:cs="Arial"/>
          <w:b/>
          <w:bCs/>
        </w:rPr>
      </w:pPr>
    </w:p>
    <w:p w14:paraId="02CBB332" w14:textId="5CF6C761" w:rsidR="00CC1A23" w:rsidRDefault="00CC1A23" w:rsidP="00CC1A23">
      <w:pPr>
        <w:rPr>
          <w:rFonts w:ascii="Arial" w:hAnsi="Arial" w:cs="Arial"/>
          <w:b/>
          <w:bCs/>
        </w:rPr>
      </w:pPr>
      <w:r w:rsidRPr="00CC1A23">
        <w:rPr>
          <w:rFonts w:ascii="Arial" w:hAnsi="Arial" w:cs="Arial"/>
          <w:b/>
          <w:bCs/>
        </w:rPr>
        <w:lastRenderedPageBreak/>
        <w:t>Conclusion</w:t>
      </w:r>
      <w:r>
        <w:rPr>
          <w:rFonts w:ascii="Arial" w:hAnsi="Arial" w:cs="Arial"/>
          <w:b/>
          <w:bCs/>
        </w:rPr>
        <w:t>.</w:t>
      </w:r>
    </w:p>
    <w:p w14:paraId="555C8F00" w14:textId="335E5BDD" w:rsidR="00DE606E" w:rsidRPr="00CC1A23" w:rsidRDefault="00CC1A23" w:rsidP="00CC1A23">
      <w:pPr>
        <w:rPr>
          <w:rFonts w:ascii="Arial" w:hAnsi="Arial" w:cs="Arial"/>
        </w:rPr>
      </w:pPr>
      <w:r w:rsidRPr="00CC1A23">
        <w:rPr>
          <w:rFonts w:ascii="Arial" w:hAnsi="Arial" w:cs="Arial"/>
        </w:rPr>
        <w:t>Bowlby’s Attachment Theory provides a powerful and practical lens for understanding and addressing the emotional needs of older adults in residential care. Although developed to explain early childhood bonds, its core principles – the secure base, internal working models, and persistent attachment patterns – remain highly relevant when individuals face dependency, illness, and major life transitions. When integrated with Erikson’s psychosocial theory, practitioners gain a richer, more holistic perspective that encompasses both immediate emotional security and the deeper search for meaning and integrity in later life.</w:t>
      </w:r>
      <w:r w:rsidR="00DE606E">
        <w:rPr>
          <w:rFonts w:ascii="Arial" w:hAnsi="Arial" w:cs="Arial"/>
        </w:rPr>
        <w:t xml:space="preserve"> </w:t>
      </w:r>
      <w:r w:rsidR="00DE606E" w:rsidRPr="00DE606E">
        <w:rPr>
          <w:rFonts w:ascii="Arial" w:hAnsi="Arial" w:cs="Arial"/>
        </w:rPr>
        <w:t>(Bowlby, 1988; Rodway, 2025).</w:t>
      </w:r>
    </w:p>
    <w:p w14:paraId="74C2AE70" w14:textId="77777777" w:rsidR="00CC1A23" w:rsidRPr="00CC1A23" w:rsidRDefault="00CC1A23" w:rsidP="00CC1A23">
      <w:pPr>
        <w:rPr>
          <w:rFonts w:ascii="Arial" w:hAnsi="Arial" w:cs="Arial"/>
        </w:rPr>
      </w:pPr>
      <w:r w:rsidRPr="00CC1A23">
        <w:rPr>
          <w:rFonts w:ascii="Arial" w:hAnsi="Arial" w:cs="Arial"/>
        </w:rPr>
        <w:t>Despite challenges such as staffing instability, targeted strategies like key worker systems and attachment-aware training can translate theory into compassionate, effective practice. Ultimately, adopting developmentally sensitive, attachment-informed approaches enhances dignity, trust, and psychological wellbeing. Integrating multiple lifespan theories in this way supports high-quality, person-centred care that truly improves quality of life for older adults in residential settings.</w:t>
      </w:r>
    </w:p>
    <w:p w14:paraId="6E40860F" w14:textId="496103B3" w:rsidR="00CC1A23" w:rsidRDefault="00DE606E">
      <w:pPr>
        <w:rPr>
          <w:rFonts w:ascii="Arial" w:hAnsi="Arial" w:cs="Arial"/>
        </w:rPr>
      </w:pPr>
      <w:r w:rsidRPr="00DE606E">
        <w:rPr>
          <w:rFonts w:ascii="Arial" w:hAnsi="Arial" w:cs="Arial"/>
        </w:rPr>
        <w:t>(Bowlby, 1988; Rodway, 2025).</w:t>
      </w:r>
    </w:p>
    <w:p w14:paraId="42832A93" w14:textId="77777777" w:rsidR="00CC1A23" w:rsidRDefault="00CC1A23">
      <w:pPr>
        <w:rPr>
          <w:rFonts w:ascii="Arial" w:hAnsi="Arial" w:cs="Arial"/>
        </w:rPr>
      </w:pPr>
    </w:p>
    <w:p w14:paraId="07D58255" w14:textId="77777777" w:rsidR="00CC1A23" w:rsidRDefault="00CC1A23">
      <w:pPr>
        <w:rPr>
          <w:rFonts w:ascii="Arial" w:hAnsi="Arial" w:cs="Arial"/>
        </w:rPr>
      </w:pPr>
    </w:p>
    <w:p w14:paraId="7D08B416" w14:textId="77777777" w:rsidR="00CC1A23" w:rsidRDefault="00CC1A23">
      <w:pPr>
        <w:rPr>
          <w:rFonts w:ascii="Arial" w:hAnsi="Arial" w:cs="Arial"/>
        </w:rPr>
      </w:pPr>
    </w:p>
    <w:p w14:paraId="3C668980" w14:textId="77777777" w:rsidR="00CC1A23" w:rsidRDefault="00CC1A23">
      <w:pPr>
        <w:rPr>
          <w:rFonts w:ascii="Arial" w:hAnsi="Arial" w:cs="Arial"/>
        </w:rPr>
      </w:pPr>
    </w:p>
    <w:p w14:paraId="0C9EFF46" w14:textId="77777777" w:rsidR="00CC1A23" w:rsidRDefault="00CC1A23">
      <w:pPr>
        <w:rPr>
          <w:rFonts w:ascii="Arial" w:hAnsi="Arial" w:cs="Arial"/>
        </w:rPr>
      </w:pPr>
    </w:p>
    <w:p w14:paraId="70849510" w14:textId="77777777" w:rsidR="00CC1A23" w:rsidRDefault="00CC1A23">
      <w:pPr>
        <w:rPr>
          <w:rFonts w:ascii="Arial" w:hAnsi="Arial" w:cs="Arial"/>
        </w:rPr>
      </w:pPr>
    </w:p>
    <w:p w14:paraId="1AA4BBA7" w14:textId="77777777" w:rsidR="00CC1A23" w:rsidRDefault="00CC1A23">
      <w:pPr>
        <w:rPr>
          <w:rFonts w:ascii="Arial" w:hAnsi="Arial" w:cs="Arial"/>
        </w:rPr>
      </w:pPr>
    </w:p>
    <w:p w14:paraId="221047DD" w14:textId="77777777" w:rsidR="00CC1A23" w:rsidRDefault="00CC1A23">
      <w:pPr>
        <w:rPr>
          <w:rFonts w:ascii="Arial" w:hAnsi="Arial" w:cs="Arial"/>
        </w:rPr>
      </w:pPr>
    </w:p>
    <w:p w14:paraId="05130A7D" w14:textId="77777777" w:rsidR="00CC1A23" w:rsidRDefault="00CC1A23">
      <w:pPr>
        <w:rPr>
          <w:rFonts w:ascii="Arial" w:hAnsi="Arial" w:cs="Arial"/>
        </w:rPr>
      </w:pPr>
    </w:p>
    <w:p w14:paraId="203FC645" w14:textId="77777777" w:rsidR="00CC1A23" w:rsidRDefault="00CC1A23">
      <w:pPr>
        <w:rPr>
          <w:rFonts w:ascii="Arial" w:hAnsi="Arial" w:cs="Arial"/>
        </w:rPr>
      </w:pPr>
    </w:p>
    <w:p w14:paraId="7FC997D4" w14:textId="77777777" w:rsidR="00CC1A23" w:rsidRDefault="00CC1A23">
      <w:pPr>
        <w:rPr>
          <w:rFonts w:ascii="Arial" w:hAnsi="Arial" w:cs="Arial"/>
        </w:rPr>
      </w:pPr>
    </w:p>
    <w:p w14:paraId="70C40866" w14:textId="77777777" w:rsidR="00CC1A23" w:rsidRDefault="00CC1A23">
      <w:pPr>
        <w:rPr>
          <w:rFonts w:ascii="Arial" w:hAnsi="Arial" w:cs="Arial"/>
        </w:rPr>
      </w:pPr>
    </w:p>
    <w:p w14:paraId="6025A3D4" w14:textId="77777777" w:rsidR="00CC1A23" w:rsidRDefault="00CC1A23">
      <w:pPr>
        <w:rPr>
          <w:rFonts w:ascii="Arial" w:hAnsi="Arial" w:cs="Arial"/>
        </w:rPr>
      </w:pPr>
    </w:p>
    <w:p w14:paraId="0194F7E0" w14:textId="77777777" w:rsidR="00CC1A23" w:rsidRDefault="00CC1A23">
      <w:pPr>
        <w:rPr>
          <w:rFonts w:ascii="Arial" w:hAnsi="Arial" w:cs="Arial"/>
        </w:rPr>
      </w:pPr>
    </w:p>
    <w:p w14:paraId="5B36F66D" w14:textId="77777777" w:rsidR="00CC1A23" w:rsidRDefault="00CC1A23">
      <w:pPr>
        <w:rPr>
          <w:rFonts w:ascii="Arial" w:hAnsi="Arial" w:cs="Arial"/>
        </w:rPr>
      </w:pPr>
    </w:p>
    <w:p w14:paraId="080635E0" w14:textId="77777777" w:rsidR="00CC1A23" w:rsidRDefault="00CC1A23">
      <w:pPr>
        <w:rPr>
          <w:rFonts w:ascii="Arial" w:hAnsi="Arial" w:cs="Arial"/>
        </w:rPr>
      </w:pPr>
    </w:p>
    <w:p w14:paraId="3A9380DB" w14:textId="77777777" w:rsidR="001E4B0D" w:rsidRDefault="001E4B0D" w:rsidP="00CC1A23">
      <w:pPr>
        <w:rPr>
          <w:rFonts w:ascii="Arial" w:hAnsi="Arial" w:cs="Arial"/>
        </w:rPr>
      </w:pPr>
    </w:p>
    <w:p w14:paraId="0459211A" w14:textId="796BE094" w:rsidR="00CC1A23" w:rsidRPr="00CC1A23" w:rsidRDefault="00CC1A23" w:rsidP="00CC1A23">
      <w:pPr>
        <w:rPr>
          <w:rFonts w:ascii="Arial" w:hAnsi="Arial" w:cs="Arial"/>
          <w:b/>
          <w:bCs/>
        </w:rPr>
      </w:pPr>
      <w:r w:rsidRPr="00CC1A23">
        <w:rPr>
          <w:rFonts w:ascii="Arial" w:hAnsi="Arial" w:cs="Arial"/>
          <w:b/>
          <w:bCs/>
        </w:rPr>
        <w:lastRenderedPageBreak/>
        <w:t>Reference:</w:t>
      </w:r>
    </w:p>
    <w:p w14:paraId="6A5793BF" w14:textId="77777777" w:rsidR="00CC1A23" w:rsidRPr="00CC1A23" w:rsidRDefault="00CC1A23" w:rsidP="00CC1A23">
      <w:pPr>
        <w:pStyle w:val="NormalWeb"/>
        <w:rPr>
          <w:rFonts w:ascii="Arial" w:hAnsi="Arial" w:cs="Arial"/>
        </w:rPr>
      </w:pPr>
      <w:r w:rsidRPr="00CC1A23">
        <w:rPr>
          <w:rFonts w:ascii="Arial" w:hAnsi="Arial" w:cs="Arial"/>
        </w:rPr>
        <w:t xml:space="preserve">Ainsworth, M.D.S. (1989) ‘Attachments beyond infancy’, </w:t>
      </w:r>
      <w:r w:rsidRPr="00CC1A23">
        <w:rPr>
          <w:rStyle w:val="Emphasis"/>
          <w:rFonts w:ascii="Arial" w:eastAsiaTheme="majorEastAsia" w:hAnsi="Arial" w:cs="Arial"/>
        </w:rPr>
        <w:t>American Psychologist</w:t>
      </w:r>
      <w:r w:rsidRPr="00CC1A23">
        <w:rPr>
          <w:rFonts w:ascii="Arial" w:hAnsi="Arial" w:cs="Arial"/>
        </w:rPr>
        <w:t>, 44(4), pp. 709–716.</w:t>
      </w:r>
    </w:p>
    <w:p w14:paraId="3CCBF428" w14:textId="77777777" w:rsidR="00CC1A23" w:rsidRPr="00CC1A23" w:rsidRDefault="00CC1A23" w:rsidP="00CC1A23">
      <w:pPr>
        <w:pStyle w:val="NormalWeb"/>
        <w:rPr>
          <w:rFonts w:ascii="Arial" w:hAnsi="Arial" w:cs="Arial"/>
        </w:rPr>
      </w:pPr>
      <w:r w:rsidRPr="00CC1A23">
        <w:rPr>
          <w:rFonts w:ascii="Arial" w:hAnsi="Arial" w:cs="Arial"/>
        </w:rPr>
        <w:t xml:space="preserve">Ainsworth, M.D.S., </w:t>
      </w:r>
      <w:proofErr w:type="spellStart"/>
      <w:r w:rsidRPr="00CC1A23">
        <w:rPr>
          <w:rFonts w:ascii="Arial" w:hAnsi="Arial" w:cs="Arial"/>
        </w:rPr>
        <w:t>Blehar</w:t>
      </w:r>
      <w:proofErr w:type="spellEnd"/>
      <w:r w:rsidRPr="00CC1A23">
        <w:rPr>
          <w:rFonts w:ascii="Arial" w:hAnsi="Arial" w:cs="Arial"/>
        </w:rPr>
        <w:t xml:space="preserve">, M., Waters, E. and Wall, S. (1978) </w:t>
      </w:r>
      <w:r w:rsidRPr="00CC1A23">
        <w:rPr>
          <w:rStyle w:val="Emphasis"/>
          <w:rFonts w:ascii="Arial" w:eastAsiaTheme="majorEastAsia" w:hAnsi="Arial" w:cs="Arial"/>
        </w:rPr>
        <w:t>Patterns of Attachment: A Psychological Study of the Strange Situation</w:t>
      </w:r>
      <w:r w:rsidRPr="00CC1A23">
        <w:rPr>
          <w:rFonts w:ascii="Arial" w:hAnsi="Arial" w:cs="Arial"/>
        </w:rPr>
        <w:t>. Hillsdale, NJ: Erlbaum.</w:t>
      </w:r>
    </w:p>
    <w:p w14:paraId="77628057" w14:textId="77777777" w:rsidR="00CC1A23" w:rsidRPr="00CC1A23" w:rsidRDefault="00CC1A23" w:rsidP="00CC1A23">
      <w:pPr>
        <w:pStyle w:val="NormalWeb"/>
        <w:rPr>
          <w:rFonts w:ascii="Arial" w:hAnsi="Arial" w:cs="Arial"/>
        </w:rPr>
      </w:pPr>
      <w:r w:rsidRPr="00CC1A23">
        <w:rPr>
          <w:rFonts w:ascii="Arial" w:hAnsi="Arial" w:cs="Arial"/>
        </w:rPr>
        <w:t>Bandura, A. (1977) ‘Self</w:t>
      </w:r>
      <w:r w:rsidRPr="00CC1A23">
        <w:rPr>
          <w:rFonts w:ascii="Arial" w:hAnsi="Arial" w:cs="Arial"/>
        </w:rPr>
        <w:noBreakHyphen/>
        <w:t xml:space="preserve">efficacy: Toward a unifying theory of </w:t>
      </w:r>
      <w:proofErr w:type="spellStart"/>
      <w:r w:rsidRPr="00CC1A23">
        <w:rPr>
          <w:rFonts w:ascii="Arial" w:hAnsi="Arial" w:cs="Arial"/>
        </w:rPr>
        <w:t>behavioral</w:t>
      </w:r>
      <w:proofErr w:type="spellEnd"/>
      <w:r w:rsidRPr="00CC1A23">
        <w:rPr>
          <w:rFonts w:ascii="Arial" w:hAnsi="Arial" w:cs="Arial"/>
        </w:rPr>
        <w:t xml:space="preserve"> change’, </w:t>
      </w:r>
      <w:r w:rsidRPr="00CC1A23">
        <w:rPr>
          <w:rStyle w:val="Emphasis"/>
          <w:rFonts w:ascii="Arial" w:eastAsiaTheme="majorEastAsia" w:hAnsi="Arial" w:cs="Arial"/>
        </w:rPr>
        <w:t>Psychological Review</w:t>
      </w:r>
      <w:r w:rsidRPr="00CC1A23">
        <w:rPr>
          <w:rFonts w:ascii="Arial" w:hAnsi="Arial" w:cs="Arial"/>
        </w:rPr>
        <w:t>, 84(2), pp. 191–215.</w:t>
      </w:r>
    </w:p>
    <w:p w14:paraId="18E27355" w14:textId="77777777" w:rsidR="00CC1A23" w:rsidRPr="00CC1A23" w:rsidRDefault="00CC1A23" w:rsidP="00CC1A23">
      <w:pPr>
        <w:pStyle w:val="NormalWeb"/>
        <w:rPr>
          <w:rFonts w:ascii="Arial" w:hAnsi="Arial" w:cs="Arial"/>
        </w:rPr>
      </w:pPr>
      <w:r w:rsidRPr="00CC1A23">
        <w:rPr>
          <w:rFonts w:ascii="Arial" w:hAnsi="Arial" w:cs="Arial"/>
        </w:rPr>
        <w:t xml:space="preserve">Bandura, A. (1978) ‘The </w:t>
      </w:r>
      <w:proofErr w:type="spellStart"/>
      <w:r w:rsidRPr="00CC1A23">
        <w:rPr>
          <w:rFonts w:ascii="Arial" w:hAnsi="Arial" w:cs="Arial"/>
        </w:rPr>
        <w:t>self system</w:t>
      </w:r>
      <w:proofErr w:type="spellEnd"/>
      <w:r w:rsidRPr="00CC1A23">
        <w:rPr>
          <w:rFonts w:ascii="Arial" w:hAnsi="Arial" w:cs="Arial"/>
        </w:rPr>
        <w:t xml:space="preserve"> in reciprocal determinism’, </w:t>
      </w:r>
      <w:r w:rsidRPr="00CC1A23">
        <w:rPr>
          <w:rStyle w:val="Emphasis"/>
          <w:rFonts w:ascii="Arial" w:eastAsiaTheme="majorEastAsia" w:hAnsi="Arial" w:cs="Arial"/>
        </w:rPr>
        <w:t>American Psychologist</w:t>
      </w:r>
      <w:r w:rsidRPr="00CC1A23">
        <w:rPr>
          <w:rFonts w:ascii="Arial" w:hAnsi="Arial" w:cs="Arial"/>
        </w:rPr>
        <w:t>, 33(4), pp. 344–358.</w:t>
      </w:r>
    </w:p>
    <w:p w14:paraId="426F42BE" w14:textId="77777777" w:rsidR="00CC1A23" w:rsidRPr="00CC1A23" w:rsidRDefault="00CC1A23" w:rsidP="00CC1A23">
      <w:pPr>
        <w:pStyle w:val="NormalWeb"/>
        <w:rPr>
          <w:rFonts w:ascii="Arial" w:hAnsi="Arial" w:cs="Arial"/>
        </w:rPr>
      </w:pPr>
      <w:r w:rsidRPr="00CC1A23">
        <w:rPr>
          <w:rFonts w:ascii="Arial" w:hAnsi="Arial" w:cs="Arial"/>
        </w:rPr>
        <w:t xml:space="preserve">Bowlby, J. (1969) </w:t>
      </w:r>
      <w:r w:rsidRPr="00CC1A23">
        <w:rPr>
          <w:rStyle w:val="Emphasis"/>
          <w:rFonts w:ascii="Arial" w:eastAsiaTheme="majorEastAsia" w:hAnsi="Arial" w:cs="Arial"/>
        </w:rPr>
        <w:t>Attachment</w:t>
      </w:r>
      <w:r w:rsidRPr="00CC1A23">
        <w:rPr>
          <w:rFonts w:ascii="Arial" w:hAnsi="Arial" w:cs="Arial"/>
        </w:rPr>
        <w:t xml:space="preserve">. Vol. 1 of </w:t>
      </w:r>
      <w:r w:rsidRPr="00CC1A23">
        <w:rPr>
          <w:rStyle w:val="Emphasis"/>
          <w:rFonts w:ascii="Arial" w:eastAsiaTheme="majorEastAsia" w:hAnsi="Arial" w:cs="Arial"/>
        </w:rPr>
        <w:t>Attachment and Loss</w:t>
      </w:r>
      <w:r w:rsidRPr="00CC1A23">
        <w:rPr>
          <w:rFonts w:ascii="Arial" w:hAnsi="Arial" w:cs="Arial"/>
        </w:rPr>
        <w:t>. London: Hogarth Press.</w:t>
      </w:r>
    </w:p>
    <w:p w14:paraId="41605C13" w14:textId="77777777" w:rsidR="00CC1A23" w:rsidRDefault="00CC1A23" w:rsidP="00CC1A23">
      <w:pPr>
        <w:pStyle w:val="NormalWeb"/>
        <w:rPr>
          <w:rFonts w:ascii="Arial" w:hAnsi="Arial" w:cs="Arial"/>
        </w:rPr>
      </w:pPr>
      <w:r w:rsidRPr="00CC1A23">
        <w:rPr>
          <w:rFonts w:ascii="Arial" w:hAnsi="Arial" w:cs="Arial"/>
        </w:rPr>
        <w:t xml:space="preserve">Bowlby, J. (1988) </w:t>
      </w:r>
      <w:r w:rsidRPr="00CC1A23">
        <w:rPr>
          <w:rStyle w:val="Emphasis"/>
          <w:rFonts w:ascii="Arial" w:eastAsiaTheme="majorEastAsia" w:hAnsi="Arial" w:cs="Arial"/>
        </w:rPr>
        <w:t>A Secure Base: Parent</w:t>
      </w:r>
      <w:r w:rsidRPr="00CC1A23">
        <w:rPr>
          <w:rStyle w:val="Emphasis"/>
          <w:rFonts w:ascii="Arial" w:eastAsiaTheme="majorEastAsia" w:hAnsi="Arial" w:cs="Arial"/>
        </w:rPr>
        <w:noBreakHyphen/>
        <w:t>Child Attachment and Healthy Human Development</w:t>
      </w:r>
      <w:r w:rsidRPr="00CC1A23">
        <w:rPr>
          <w:rFonts w:ascii="Arial" w:hAnsi="Arial" w:cs="Arial"/>
        </w:rPr>
        <w:t>. London: Routledge.</w:t>
      </w:r>
    </w:p>
    <w:p w14:paraId="57567ED7" w14:textId="77777777" w:rsidR="001E4B0D" w:rsidRPr="001E4B0D" w:rsidRDefault="001E4B0D" w:rsidP="001E4B0D">
      <w:pPr>
        <w:pStyle w:val="NormalWeb"/>
        <w:rPr>
          <w:rFonts w:ascii="Arial" w:hAnsi="Arial" w:cs="Arial"/>
        </w:rPr>
      </w:pPr>
      <w:r w:rsidRPr="001E4B0D">
        <w:rPr>
          <w:rFonts w:ascii="Arial" w:hAnsi="Arial" w:cs="Arial"/>
        </w:rPr>
        <w:t>Bowlby, 1988).</w:t>
      </w:r>
    </w:p>
    <w:p w14:paraId="2C4CF47E" w14:textId="77777777" w:rsidR="001E4B0D" w:rsidRPr="001E4B0D" w:rsidRDefault="001E4B0D" w:rsidP="001E4B0D">
      <w:pPr>
        <w:pStyle w:val="NormalWeb"/>
        <w:rPr>
          <w:rFonts w:ascii="Arial" w:hAnsi="Arial" w:cs="Arial"/>
        </w:rPr>
      </w:pPr>
      <w:r w:rsidRPr="001E4B0D">
        <w:rPr>
          <w:rFonts w:ascii="Arial" w:hAnsi="Arial" w:cs="Arial"/>
        </w:rPr>
        <w:t>(Bowlby, 1988; Rodway, 2025).</w:t>
      </w:r>
    </w:p>
    <w:p w14:paraId="1F4C5F51" w14:textId="77777777" w:rsidR="001E4B0D" w:rsidRPr="001E4B0D" w:rsidRDefault="001E4B0D" w:rsidP="001E4B0D">
      <w:pPr>
        <w:pStyle w:val="NormalWeb"/>
        <w:rPr>
          <w:rFonts w:ascii="Arial" w:hAnsi="Arial" w:cs="Arial"/>
        </w:rPr>
      </w:pPr>
      <w:r w:rsidRPr="001E4B0D">
        <w:rPr>
          <w:rFonts w:ascii="Arial" w:hAnsi="Arial" w:cs="Arial"/>
        </w:rPr>
        <w:t>(Bowlby 1969, 1988; Erikson 1963</w:t>
      </w:r>
    </w:p>
    <w:p w14:paraId="0E091BEE" w14:textId="4FF15C39" w:rsidR="001E4B0D" w:rsidRPr="00CC1A23" w:rsidRDefault="001E4B0D" w:rsidP="001E4B0D">
      <w:pPr>
        <w:pStyle w:val="NormalWeb"/>
        <w:rPr>
          <w:rFonts w:ascii="Arial" w:hAnsi="Arial" w:cs="Arial"/>
        </w:rPr>
      </w:pPr>
      <w:r w:rsidRPr="001E4B0D">
        <w:rPr>
          <w:rFonts w:ascii="Arial" w:hAnsi="Arial" w:cs="Arial"/>
        </w:rPr>
        <w:t>Bodner, E. et al. (2010) ‘Relations between attachment styles, ageism and quality of life in late life’, International Psychogeriatrics, 22(8), pp. 1353–1361.</w:t>
      </w:r>
    </w:p>
    <w:p w14:paraId="28B911B5" w14:textId="77777777" w:rsidR="00CC1A23" w:rsidRPr="00F45DEC" w:rsidRDefault="00CC1A23" w:rsidP="00CC1A23">
      <w:pPr>
        <w:pStyle w:val="NormalWeb"/>
        <w:rPr>
          <w:sz w:val="28"/>
          <w:szCs w:val="28"/>
        </w:rPr>
      </w:pPr>
      <w:r w:rsidRPr="00CC1A23">
        <w:rPr>
          <w:rFonts w:ascii="Arial" w:hAnsi="Arial" w:cs="Arial"/>
        </w:rPr>
        <w:t xml:space="preserve">Erikson, E.H. (1963) </w:t>
      </w:r>
      <w:r w:rsidRPr="00CC1A23">
        <w:rPr>
          <w:rStyle w:val="Emphasis"/>
          <w:rFonts w:ascii="Arial" w:eastAsiaTheme="majorEastAsia" w:hAnsi="Arial" w:cs="Arial"/>
        </w:rPr>
        <w:t>Childhood and Society</w:t>
      </w:r>
      <w:r w:rsidRPr="00CC1A23">
        <w:rPr>
          <w:rFonts w:ascii="Arial" w:hAnsi="Arial" w:cs="Arial"/>
        </w:rPr>
        <w:t xml:space="preserve">. 2nd </w:t>
      </w:r>
      <w:proofErr w:type="spellStart"/>
      <w:r w:rsidRPr="00CC1A23">
        <w:rPr>
          <w:rFonts w:ascii="Arial" w:hAnsi="Arial" w:cs="Arial"/>
        </w:rPr>
        <w:t>edn</w:t>
      </w:r>
      <w:proofErr w:type="spellEnd"/>
      <w:r w:rsidRPr="00F45DEC">
        <w:rPr>
          <w:sz w:val="28"/>
          <w:szCs w:val="28"/>
        </w:rPr>
        <w:t>. New York: Norton.</w:t>
      </w:r>
    </w:p>
    <w:p w14:paraId="7ABD4AEF" w14:textId="0F06F7C3" w:rsidR="00C927E7" w:rsidRDefault="00C927E7">
      <w:pPr>
        <w:rPr>
          <w:rFonts w:ascii="Arial" w:hAnsi="Arial" w:cs="Arial"/>
        </w:rPr>
      </w:pPr>
      <w:r w:rsidRPr="00C927E7">
        <w:rPr>
          <w:rFonts w:ascii="Arial" w:hAnsi="Arial" w:cs="Arial"/>
        </w:rPr>
        <w:t>(Van Assche et al., 2013).</w:t>
      </w:r>
    </w:p>
    <w:p w14:paraId="557D9BC8" w14:textId="2D97A5EF" w:rsidR="00DE606E" w:rsidRPr="00DE606E" w:rsidRDefault="00C927E7" w:rsidP="001E4B0D">
      <w:pPr>
        <w:rPr>
          <w:rFonts w:ascii="Arial" w:hAnsi="Arial" w:cs="Arial"/>
        </w:rPr>
      </w:pPr>
      <w:r w:rsidRPr="00C927E7">
        <w:rPr>
          <w:rFonts w:ascii="Arial" w:hAnsi="Arial" w:cs="Arial"/>
        </w:rPr>
        <w:t>(</w:t>
      </w:r>
    </w:p>
    <w:p w14:paraId="3AB8EB77" w14:textId="581CED69" w:rsidR="00DE606E" w:rsidRPr="00CC1A23" w:rsidRDefault="00DE606E" w:rsidP="00DE606E">
      <w:pPr>
        <w:rPr>
          <w:rFonts w:ascii="Arial" w:hAnsi="Arial" w:cs="Arial"/>
        </w:rPr>
      </w:pPr>
    </w:p>
    <w:sectPr w:rsidR="00DE606E" w:rsidRPr="00CC1A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B35DD" w14:textId="77777777" w:rsidR="0003181B" w:rsidRDefault="0003181B" w:rsidP="004F4605">
      <w:pPr>
        <w:spacing w:after="0" w:line="240" w:lineRule="auto"/>
      </w:pPr>
      <w:r>
        <w:separator/>
      </w:r>
    </w:p>
  </w:endnote>
  <w:endnote w:type="continuationSeparator" w:id="0">
    <w:p w14:paraId="124F726E" w14:textId="77777777" w:rsidR="0003181B" w:rsidRDefault="0003181B" w:rsidP="004F46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1BA37" w14:textId="77777777" w:rsidR="0003181B" w:rsidRDefault="0003181B" w:rsidP="004F4605">
      <w:pPr>
        <w:spacing w:after="0" w:line="240" w:lineRule="auto"/>
      </w:pPr>
      <w:r>
        <w:separator/>
      </w:r>
    </w:p>
  </w:footnote>
  <w:footnote w:type="continuationSeparator" w:id="0">
    <w:p w14:paraId="1A0434B6" w14:textId="77777777" w:rsidR="0003181B" w:rsidRDefault="0003181B" w:rsidP="004F46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A23"/>
    <w:rsid w:val="0003181B"/>
    <w:rsid w:val="00081D4B"/>
    <w:rsid w:val="001E4B0D"/>
    <w:rsid w:val="004F4605"/>
    <w:rsid w:val="00546638"/>
    <w:rsid w:val="007007F3"/>
    <w:rsid w:val="007723CE"/>
    <w:rsid w:val="009D02FE"/>
    <w:rsid w:val="00AE402B"/>
    <w:rsid w:val="00C927E7"/>
    <w:rsid w:val="00CC1A23"/>
    <w:rsid w:val="00DE606E"/>
    <w:rsid w:val="00F74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39C68"/>
  <w15:chartTrackingRefBased/>
  <w15:docId w15:val="{E51934CC-9F98-4AD5-83B5-164A092BD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A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1A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A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1A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1A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1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A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1A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1A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1A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1A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1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1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1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1A23"/>
    <w:rPr>
      <w:rFonts w:eastAsiaTheme="majorEastAsia" w:cstheme="majorBidi"/>
      <w:color w:val="272727" w:themeColor="text1" w:themeTint="D8"/>
    </w:rPr>
  </w:style>
  <w:style w:type="paragraph" w:styleId="Title">
    <w:name w:val="Title"/>
    <w:basedOn w:val="Normal"/>
    <w:next w:val="Normal"/>
    <w:link w:val="TitleChar"/>
    <w:uiPriority w:val="10"/>
    <w:qFormat/>
    <w:rsid w:val="00CC1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1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1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A23"/>
    <w:pPr>
      <w:spacing w:before="160"/>
      <w:jc w:val="center"/>
    </w:pPr>
    <w:rPr>
      <w:i/>
      <w:iCs/>
      <w:color w:val="404040" w:themeColor="text1" w:themeTint="BF"/>
    </w:rPr>
  </w:style>
  <w:style w:type="character" w:customStyle="1" w:styleId="QuoteChar">
    <w:name w:val="Quote Char"/>
    <w:basedOn w:val="DefaultParagraphFont"/>
    <w:link w:val="Quote"/>
    <w:uiPriority w:val="29"/>
    <w:rsid w:val="00CC1A23"/>
    <w:rPr>
      <w:i/>
      <w:iCs/>
      <w:color w:val="404040" w:themeColor="text1" w:themeTint="BF"/>
    </w:rPr>
  </w:style>
  <w:style w:type="paragraph" w:styleId="ListParagraph">
    <w:name w:val="List Paragraph"/>
    <w:basedOn w:val="Normal"/>
    <w:uiPriority w:val="34"/>
    <w:qFormat/>
    <w:rsid w:val="00CC1A23"/>
    <w:pPr>
      <w:ind w:left="720"/>
      <w:contextualSpacing/>
    </w:pPr>
  </w:style>
  <w:style w:type="character" w:styleId="IntenseEmphasis">
    <w:name w:val="Intense Emphasis"/>
    <w:basedOn w:val="DefaultParagraphFont"/>
    <w:uiPriority w:val="21"/>
    <w:qFormat/>
    <w:rsid w:val="00CC1A23"/>
    <w:rPr>
      <w:i/>
      <w:iCs/>
      <w:color w:val="0F4761" w:themeColor="accent1" w:themeShade="BF"/>
    </w:rPr>
  </w:style>
  <w:style w:type="paragraph" w:styleId="IntenseQuote">
    <w:name w:val="Intense Quote"/>
    <w:basedOn w:val="Normal"/>
    <w:next w:val="Normal"/>
    <w:link w:val="IntenseQuoteChar"/>
    <w:uiPriority w:val="30"/>
    <w:qFormat/>
    <w:rsid w:val="00CC1A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1A23"/>
    <w:rPr>
      <w:i/>
      <w:iCs/>
      <w:color w:val="0F4761" w:themeColor="accent1" w:themeShade="BF"/>
    </w:rPr>
  </w:style>
  <w:style w:type="character" w:styleId="IntenseReference">
    <w:name w:val="Intense Reference"/>
    <w:basedOn w:val="DefaultParagraphFont"/>
    <w:uiPriority w:val="32"/>
    <w:qFormat/>
    <w:rsid w:val="00CC1A23"/>
    <w:rPr>
      <w:b/>
      <w:bCs/>
      <w:smallCaps/>
      <w:color w:val="0F4761" w:themeColor="accent1" w:themeShade="BF"/>
      <w:spacing w:val="5"/>
    </w:rPr>
  </w:style>
  <w:style w:type="paragraph" w:styleId="NormalWeb">
    <w:name w:val="Normal (Web)"/>
    <w:basedOn w:val="Normal"/>
    <w:uiPriority w:val="99"/>
    <w:unhideWhenUsed/>
    <w:rsid w:val="00CC1A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C1A23"/>
    <w:rPr>
      <w:i/>
      <w:iCs/>
    </w:rPr>
  </w:style>
  <w:style w:type="paragraph" w:styleId="Header">
    <w:name w:val="header"/>
    <w:basedOn w:val="Normal"/>
    <w:link w:val="HeaderChar"/>
    <w:uiPriority w:val="99"/>
    <w:unhideWhenUsed/>
    <w:rsid w:val="004F46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605"/>
  </w:style>
  <w:style w:type="paragraph" w:styleId="Footer">
    <w:name w:val="footer"/>
    <w:basedOn w:val="Normal"/>
    <w:link w:val="FooterChar"/>
    <w:uiPriority w:val="99"/>
    <w:unhideWhenUsed/>
    <w:rsid w:val="004F4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6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8</Pages>
  <Words>1742</Words>
  <Characters>9935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Bahja Salah</dc:creator>
  <cp:keywords/>
  <dc:description/>
  <cp:lastModifiedBy>Bahja Salah</cp:lastModifiedBy>
  <cp:revision>6</cp:revision>
  <dcterms:created xsi:type="dcterms:W3CDTF">2026-04-18T18:56:00Z</dcterms:created>
  <dcterms:modified xsi:type="dcterms:W3CDTF">2026-04-18T20:11:00Z</dcterms:modified>
</cp:coreProperties>
</file>