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70509" w14:textId="77777777" w:rsidR="009C7B92" w:rsidRPr="00C516D5" w:rsidRDefault="009C7B92" w:rsidP="009C7B92">
      <w:pPr>
        <w:spacing w:line="360" w:lineRule="auto"/>
        <w:jc w:val="center"/>
        <w:rPr>
          <w:rFonts w:eastAsia="Calibri" w:cs="Times New Roman"/>
          <w:szCs w:val="24"/>
        </w:rPr>
      </w:pPr>
      <w:r w:rsidRPr="00C516D5">
        <w:rPr>
          <w:rFonts w:eastAsia="Calibri" w:cs="Times New Roman"/>
          <w:noProof/>
          <w:szCs w:val="24"/>
        </w:rPr>
        <w:drawing>
          <wp:inline distT="0" distB="0" distL="0" distR="0" wp14:anchorId="3880A909" wp14:editId="3AE18D05">
            <wp:extent cx="2768958" cy="121705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ow-black-e1530720485783.png"/>
                    <pic:cNvPicPr/>
                  </pic:nvPicPr>
                  <pic:blipFill rotWithShape="1">
                    <a:blip r:embed="rId7">
                      <a:extLst>
                        <a:ext uri="{28A0092B-C50C-407E-A947-70E740481C1C}">
                          <a14:useLocalDpi xmlns:a14="http://schemas.microsoft.com/office/drawing/2010/main" val="0"/>
                        </a:ext>
                      </a:extLst>
                    </a:blip>
                    <a:srcRect l="8168" t="21937" r="10160" b="24217"/>
                    <a:stretch/>
                  </pic:blipFill>
                  <pic:spPr bwMode="auto">
                    <a:xfrm>
                      <a:off x="0" y="0"/>
                      <a:ext cx="2767054" cy="1216216"/>
                    </a:xfrm>
                    <a:prstGeom prst="rect">
                      <a:avLst/>
                    </a:prstGeom>
                    <a:ln>
                      <a:noFill/>
                    </a:ln>
                    <a:extLst>
                      <a:ext uri="{53640926-AAD7-44D8-BBD7-CCE9431645EC}">
                        <a14:shadowObscured xmlns:a14="http://schemas.microsoft.com/office/drawing/2010/main"/>
                      </a:ext>
                    </a:extLst>
                  </pic:spPr>
                </pic:pic>
              </a:graphicData>
            </a:graphic>
          </wp:inline>
        </w:drawing>
      </w:r>
    </w:p>
    <w:p w14:paraId="7AF8EB27" w14:textId="77777777" w:rsidR="009C7B92" w:rsidRPr="00C516D5" w:rsidRDefault="009C7B92" w:rsidP="009C7B92">
      <w:pPr>
        <w:tabs>
          <w:tab w:val="left" w:pos="517"/>
        </w:tabs>
        <w:spacing w:after="200" w:line="360" w:lineRule="auto"/>
        <w:jc w:val="center"/>
        <w:rPr>
          <w:rFonts w:eastAsia="Calibri" w:cs="Times New Roman"/>
          <w:szCs w:val="24"/>
        </w:rPr>
      </w:pPr>
    </w:p>
    <w:p w14:paraId="3A6242E9" w14:textId="77777777" w:rsidR="009C7B92" w:rsidRPr="00C516D5" w:rsidRDefault="009C7B92" w:rsidP="009C7B92">
      <w:pPr>
        <w:tabs>
          <w:tab w:val="left" w:pos="517"/>
        </w:tabs>
        <w:spacing w:after="200" w:line="360" w:lineRule="auto"/>
        <w:jc w:val="center"/>
        <w:rPr>
          <w:rFonts w:eastAsia="Calibri" w:cs="Times New Roman"/>
          <w:sz w:val="32"/>
          <w:szCs w:val="32"/>
        </w:rPr>
      </w:pPr>
      <w:r w:rsidRPr="00C516D5">
        <w:rPr>
          <w:rFonts w:eastAsia="Calibri" w:cs="Times New Roman"/>
          <w:sz w:val="32"/>
          <w:szCs w:val="32"/>
        </w:rPr>
        <w:t>LCBB4002</w:t>
      </w:r>
    </w:p>
    <w:p w14:paraId="66ADB557" w14:textId="77777777" w:rsidR="009C7B92" w:rsidRPr="00C516D5" w:rsidRDefault="009C7B92" w:rsidP="009C7B92">
      <w:pPr>
        <w:tabs>
          <w:tab w:val="left" w:pos="517"/>
        </w:tabs>
        <w:spacing w:after="200" w:line="360" w:lineRule="auto"/>
        <w:jc w:val="center"/>
        <w:rPr>
          <w:rFonts w:eastAsia="Calibri" w:cs="Times New Roman"/>
          <w:sz w:val="32"/>
          <w:szCs w:val="32"/>
        </w:rPr>
      </w:pPr>
      <w:r w:rsidRPr="00C516D5">
        <w:rPr>
          <w:rFonts w:eastAsia="Calibri" w:cs="Times New Roman"/>
          <w:sz w:val="32"/>
          <w:szCs w:val="32"/>
        </w:rPr>
        <w:t>Community Engagement</w:t>
      </w:r>
    </w:p>
    <w:p w14:paraId="52389B49" w14:textId="5C60B04C" w:rsidR="009C7B92" w:rsidRPr="00A214A3" w:rsidRDefault="009C7B92" w:rsidP="00A214A3">
      <w:pPr>
        <w:tabs>
          <w:tab w:val="left" w:pos="517"/>
        </w:tabs>
        <w:spacing w:after="200" w:line="360" w:lineRule="auto"/>
        <w:jc w:val="center"/>
        <w:rPr>
          <w:rFonts w:eastAsia="Calibri" w:cs="Times New Roman"/>
          <w:sz w:val="32"/>
          <w:szCs w:val="32"/>
        </w:rPr>
      </w:pPr>
      <w:r w:rsidRPr="00C516D5">
        <w:rPr>
          <w:rFonts w:eastAsia="Calibri" w:cs="Times New Roman"/>
          <w:sz w:val="32"/>
          <w:szCs w:val="32"/>
        </w:rPr>
        <w:t xml:space="preserve">Assessment </w:t>
      </w:r>
      <w:r w:rsidR="001F2B91">
        <w:rPr>
          <w:rFonts w:eastAsia="Calibri" w:cs="Times New Roman"/>
          <w:sz w:val="32"/>
          <w:szCs w:val="32"/>
        </w:rPr>
        <w:t>1</w:t>
      </w:r>
    </w:p>
    <w:p w14:paraId="60AA12EA" w14:textId="77777777" w:rsidR="009C7B92" w:rsidRPr="00C516D5" w:rsidRDefault="009C7B92" w:rsidP="009C7B92">
      <w:pPr>
        <w:spacing w:after="200" w:line="360" w:lineRule="auto"/>
        <w:jc w:val="both"/>
        <w:rPr>
          <w:rFonts w:eastAsia="Calibri" w:cs="Times New Roman"/>
          <w:szCs w:val="24"/>
        </w:rPr>
      </w:pPr>
    </w:p>
    <w:p w14:paraId="77A47B36" w14:textId="77777777" w:rsidR="009C7B92" w:rsidRPr="00C516D5" w:rsidRDefault="009C7B92" w:rsidP="009C7B92">
      <w:pPr>
        <w:spacing w:after="200" w:line="360" w:lineRule="auto"/>
        <w:jc w:val="both"/>
        <w:rPr>
          <w:rFonts w:eastAsia="Calibri" w:cs="Times New Roman"/>
          <w:szCs w:val="24"/>
        </w:rPr>
      </w:pPr>
    </w:p>
    <w:p w14:paraId="143A146E" w14:textId="452CEB4B" w:rsidR="00586E49" w:rsidRPr="00C516D5" w:rsidRDefault="009C7B92" w:rsidP="00C516D5">
      <w:pPr>
        <w:spacing w:after="200" w:line="360" w:lineRule="auto"/>
        <w:jc w:val="both"/>
        <w:rPr>
          <w:rFonts w:eastAsia="Calibri" w:cs="Times New Roman"/>
          <w:sz w:val="28"/>
          <w:szCs w:val="28"/>
        </w:rPr>
      </w:pPr>
      <w:r w:rsidRPr="00C516D5">
        <w:rPr>
          <w:rFonts w:eastAsia="Calibri" w:cs="Times New Roman"/>
          <w:sz w:val="28"/>
          <w:szCs w:val="28"/>
        </w:rPr>
        <w:t>Student ID:</w:t>
      </w:r>
      <w:r w:rsidR="00D713E2">
        <w:rPr>
          <w:rFonts w:eastAsia="Calibri" w:cs="Times New Roman"/>
          <w:sz w:val="28"/>
          <w:szCs w:val="28"/>
        </w:rPr>
        <w:t xml:space="preserve"> 2118502</w:t>
      </w:r>
    </w:p>
    <w:p w14:paraId="132E8C3E" w14:textId="77777777" w:rsidR="00586E49" w:rsidRPr="00C516D5" w:rsidRDefault="00586E49" w:rsidP="00586E49">
      <w:pPr>
        <w:spacing w:after="200" w:line="360" w:lineRule="auto"/>
        <w:jc w:val="both"/>
        <w:rPr>
          <w:rFonts w:eastAsia="Calibri" w:cs="Times New Roman"/>
          <w:szCs w:val="24"/>
        </w:rPr>
      </w:pPr>
    </w:p>
    <w:p w14:paraId="72B7F4F7" w14:textId="2B026F74" w:rsidR="00C516D5" w:rsidRPr="00C516D5" w:rsidRDefault="00C516D5">
      <w:pPr>
        <w:rPr>
          <w:rFonts w:eastAsia="Calibri" w:cs="Times New Roman"/>
          <w:szCs w:val="24"/>
        </w:rPr>
      </w:pPr>
      <w:r w:rsidRPr="00C516D5">
        <w:rPr>
          <w:rFonts w:eastAsia="Calibri" w:cs="Times New Roman"/>
          <w:szCs w:val="24"/>
        </w:rPr>
        <w:br w:type="page"/>
      </w:r>
    </w:p>
    <w:p w14:paraId="177A6CF7" w14:textId="77777777" w:rsidR="00540420" w:rsidRPr="00C516D5" w:rsidRDefault="00540420" w:rsidP="00C516D5">
      <w:pPr>
        <w:spacing w:after="200" w:line="276" w:lineRule="auto"/>
        <w:rPr>
          <w:rFonts w:eastAsia="Calibri" w:cs="Times New Roman"/>
          <w:szCs w:val="24"/>
        </w:rPr>
      </w:pPr>
    </w:p>
    <w:sdt>
      <w:sdtPr>
        <w:rPr>
          <w:rFonts w:ascii="Times New Roman" w:eastAsiaTheme="minorHAnsi" w:hAnsi="Times New Roman" w:cs="Times New Roman"/>
          <w:color w:val="auto"/>
          <w:sz w:val="24"/>
          <w:szCs w:val="22"/>
        </w:rPr>
        <w:id w:val="-1513215736"/>
        <w:docPartObj>
          <w:docPartGallery w:val="Table of Contents"/>
          <w:docPartUnique/>
        </w:docPartObj>
      </w:sdtPr>
      <w:sdtEndPr>
        <w:rPr>
          <w:b/>
          <w:bCs/>
          <w:noProof/>
        </w:rPr>
      </w:sdtEndPr>
      <w:sdtContent>
        <w:p w14:paraId="163D9115" w14:textId="77777777" w:rsidR="00540420" w:rsidRPr="00C516D5" w:rsidRDefault="00540420" w:rsidP="00540420">
          <w:pPr>
            <w:pStyle w:val="TOCHeading"/>
            <w:rPr>
              <w:rFonts w:ascii="Times New Roman" w:hAnsi="Times New Roman" w:cs="Times New Roman"/>
            </w:rPr>
          </w:pPr>
          <w:r w:rsidRPr="00C516D5">
            <w:rPr>
              <w:rFonts w:ascii="Times New Roman" w:hAnsi="Times New Roman" w:cs="Times New Roman"/>
            </w:rPr>
            <w:t>Table of Contents</w:t>
          </w:r>
        </w:p>
        <w:p w14:paraId="52F39517" w14:textId="4B21005F" w:rsidR="00540420" w:rsidRPr="00C516D5" w:rsidRDefault="00540420" w:rsidP="00540420">
          <w:pPr>
            <w:pStyle w:val="TOC1"/>
            <w:tabs>
              <w:tab w:val="right" w:leader="dot" w:pos="9350"/>
            </w:tabs>
            <w:rPr>
              <w:rFonts w:cs="Times New Roman"/>
              <w:noProof/>
            </w:rPr>
          </w:pPr>
          <w:r w:rsidRPr="00C516D5">
            <w:rPr>
              <w:rFonts w:cs="Times New Roman"/>
            </w:rPr>
            <w:fldChar w:fldCharType="begin"/>
          </w:r>
          <w:r w:rsidRPr="00C516D5">
            <w:rPr>
              <w:rFonts w:cs="Times New Roman"/>
            </w:rPr>
            <w:instrText xml:space="preserve"> TOC \o "1-3" \h \z \u </w:instrText>
          </w:r>
          <w:r w:rsidRPr="00C516D5">
            <w:rPr>
              <w:rFonts w:cs="Times New Roman"/>
            </w:rPr>
            <w:fldChar w:fldCharType="separate"/>
          </w:r>
          <w:hyperlink w:anchor="_Toc106599486" w:history="1">
            <w:r w:rsidRPr="00C516D5">
              <w:rPr>
                <w:rStyle w:val="Hyperlink"/>
                <w:rFonts w:cs="Times New Roman"/>
                <w:noProof/>
              </w:rPr>
              <w:t>Introduction</w:t>
            </w:r>
            <w:r w:rsidRPr="00C516D5">
              <w:rPr>
                <w:rFonts w:cs="Times New Roman"/>
                <w:noProof/>
                <w:webHidden/>
              </w:rPr>
              <w:tab/>
            </w:r>
            <w:r w:rsidRPr="00C516D5">
              <w:rPr>
                <w:rFonts w:cs="Times New Roman"/>
                <w:noProof/>
                <w:webHidden/>
              </w:rPr>
              <w:fldChar w:fldCharType="begin"/>
            </w:r>
            <w:r w:rsidRPr="00C516D5">
              <w:rPr>
                <w:rFonts w:cs="Times New Roman"/>
                <w:noProof/>
                <w:webHidden/>
              </w:rPr>
              <w:instrText xml:space="preserve"> PAGEREF _Toc106599486 \h </w:instrText>
            </w:r>
            <w:r w:rsidRPr="00C516D5">
              <w:rPr>
                <w:rFonts w:cs="Times New Roman"/>
                <w:noProof/>
                <w:webHidden/>
              </w:rPr>
            </w:r>
            <w:r w:rsidRPr="00C516D5">
              <w:rPr>
                <w:rFonts w:cs="Times New Roman"/>
                <w:noProof/>
                <w:webHidden/>
              </w:rPr>
              <w:fldChar w:fldCharType="separate"/>
            </w:r>
            <w:r w:rsidR="009C7B92" w:rsidRPr="00C516D5">
              <w:rPr>
                <w:rFonts w:cs="Times New Roman"/>
                <w:noProof/>
                <w:webHidden/>
              </w:rPr>
              <w:t>4</w:t>
            </w:r>
            <w:r w:rsidRPr="00C516D5">
              <w:rPr>
                <w:rFonts w:cs="Times New Roman"/>
                <w:noProof/>
                <w:webHidden/>
              </w:rPr>
              <w:fldChar w:fldCharType="end"/>
            </w:r>
          </w:hyperlink>
        </w:p>
        <w:p w14:paraId="65AB719D" w14:textId="7B602D3E" w:rsidR="00540420" w:rsidRPr="00C516D5" w:rsidRDefault="00D713E2" w:rsidP="00540420">
          <w:pPr>
            <w:pStyle w:val="TOC1"/>
            <w:tabs>
              <w:tab w:val="right" w:leader="dot" w:pos="9350"/>
            </w:tabs>
            <w:rPr>
              <w:rFonts w:cs="Times New Roman"/>
              <w:noProof/>
            </w:rPr>
          </w:pPr>
          <w:hyperlink w:anchor="_Toc106599487" w:history="1">
            <w:r w:rsidR="00540420" w:rsidRPr="00C516D5">
              <w:rPr>
                <w:rStyle w:val="Hyperlink"/>
                <w:rFonts w:cs="Times New Roman"/>
                <w:noProof/>
              </w:rPr>
              <w:t>Community Engagement Program: Fujitsu</w:t>
            </w:r>
            <w:r w:rsidR="00540420" w:rsidRPr="00C516D5">
              <w:rPr>
                <w:rFonts w:cs="Times New Roman"/>
                <w:noProof/>
                <w:webHidden/>
              </w:rPr>
              <w:tab/>
            </w:r>
            <w:r w:rsidR="00540420" w:rsidRPr="00C516D5">
              <w:rPr>
                <w:rFonts w:cs="Times New Roman"/>
                <w:noProof/>
                <w:webHidden/>
              </w:rPr>
              <w:fldChar w:fldCharType="begin"/>
            </w:r>
            <w:r w:rsidR="00540420" w:rsidRPr="00C516D5">
              <w:rPr>
                <w:rFonts w:cs="Times New Roman"/>
                <w:noProof/>
                <w:webHidden/>
              </w:rPr>
              <w:instrText xml:space="preserve"> PAGEREF _Toc106599487 \h </w:instrText>
            </w:r>
            <w:r w:rsidR="00540420" w:rsidRPr="00C516D5">
              <w:rPr>
                <w:rFonts w:cs="Times New Roman"/>
                <w:noProof/>
                <w:webHidden/>
              </w:rPr>
            </w:r>
            <w:r w:rsidR="00540420" w:rsidRPr="00C516D5">
              <w:rPr>
                <w:rFonts w:cs="Times New Roman"/>
                <w:noProof/>
                <w:webHidden/>
              </w:rPr>
              <w:fldChar w:fldCharType="separate"/>
            </w:r>
            <w:r w:rsidR="009C7B92" w:rsidRPr="00C516D5">
              <w:rPr>
                <w:rFonts w:cs="Times New Roman"/>
                <w:noProof/>
                <w:webHidden/>
              </w:rPr>
              <w:t>5</w:t>
            </w:r>
            <w:r w:rsidR="00540420" w:rsidRPr="00C516D5">
              <w:rPr>
                <w:rFonts w:cs="Times New Roman"/>
                <w:noProof/>
                <w:webHidden/>
              </w:rPr>
              <w:fldChar w:fldCharType="end"/>
            </w:r>
          </w:hyperlink>
        </w:p>
        <w:p w14:paraId="7D328134" w14:textId="2EC68F42" w:rsidR="00540420" w:rsidRPr="00C516D5" w:rsidRDefault="00D713E2" w:rsidP="00540420">
          <w:pPr>
            <w:pStyle w:val="TOC1"/>
            <w:tabs>
              <w:tab w:val="right" w:leader="dot" w:pos="9350"/>
            </w:tabs>
            <w:rPr>
              <w:rFonts w:cs="Times New Roman"/>
              <w:noProof/>
            </w:rPr>
          </w:pPr>
          <w:hyperlink w:anchor="_Toc106599488" w:history="1">
            <w:r w:rsidR="00540420" w:rsidRPr="00C516D5">
              <w:rPr>
                <w:rStyle w:val="Hyperlink"/>
                <w:rFonts w:cs="Times New Roman"/>
                <w:noProof/>
              </w:rPr>
              <w:t>Identifying relationship between the stakeholders</w:t>
            </w:r>
            <w:r w:rsidR="00540420" w:rsidRPr="00C516D5">
              <w:rPr>
                <w:rFonts w:cs="Times New Roman"/>
                <w:noProof/>
                <w:webHidden/>
              </w:rPr>
              <w:tab/>
            </w:r>
            <w:r w:rsidR="00540420" w:rsidRPr="00C516D5">
              <w:rPr>
                <w:rFonts w:cs="Times New Roman"/>
                <w:noProof/>
                <w:webHidden/>
              </w:rPr>
              <w:fldChar w:fldCharType="begin"/>
            </w:r>
            <w:r w:rsidR="00540420" w:rsidRPr="00C516D5">
              <w:rPr>
                <w:rFonts w:cs="Times New Roman"/>
                <w:noProof/>
                <w:webHidden/>
              </w:rPr>
              <w:instrText xml:space="preserve"> PAGEREF _Toc106599488 \h </w:instrText>
            </w:r>
            <w:r w:rsidR="00540420" w:rsidRPr="00C516D5">
              <w:rPr>
                <w:rFonts w:cs="Times New Roman"/>
                <w:noProof/>
                <w:webHidden/>
              </w:rPr>
            </w:r>
            <w:r w:rsidR="00540420" w:rsidRPr="00C516D5">
              <w:rPr>
                <w:rFonts w:cs="Times New Roman"/>
                <w:noProof/>
                <w:webHidden/>
              </w:rPr>
              <w:fldChar w:fldCharType="separate"/>
            </w:r>
            <w:r w:rsidR="009C7B92" w:rsidRPr="00C516D5">
              <w:rPr>
                <w:rFonts w:cs="Times New Roman"/>
                <w:noProof/>
                <w:webHidden/>
              </w:rPr>
              <w:t>6</w:t>
            </w:r>
            <w:r w:rsidR="00540420" w:rsidRPr="00C516D5">
              <w:rPr>
                <w:rFonts w:cs="Times New Roman"/>
                <w:noProof/>
                <w:webHidden/>
              </w:rPr>
              <w:fldChar w:fldCharType="end"/>
            </w:r>
          </w:hyperlink>
        </w:p>
        <w:p w14:paraId="15939AAF" w14:textId="7C095A45" w:rsidR="00540420" w:rsidRPr="00C516D5" w:rsidRDefault="00D713E2" w:rsidP="00540420">
          <w:pPr>
            <w:pStyle w:val="TOC1"/>
            <w:tabs>
              <w:tab w:val="right" w:leader="dot" w:pos="9350"/>
            </w:tabs>
            <w:rPr>
              <w:rFonts w:cs="Times New Roman"/>
              <w:noProof/>
            </w:rPr>
          </w:pPr>
          <w:hyperlink w:anchor="_Toc106599489" w:history="1">
            <w:r w:rsidR="00540420" w:rsidRPr="00C516D5">
              <w:rPr>
                <w:rStyle w:val="Hyperlink"/>
                <w:rFonts w:cs="Times New Roman"/>
                <w:noProof/>
              </w:rPr>
              <w:t>Significance of stakeholder participation</w:t>
            </w:r>
            <w:r w:rsidR="00540420" w:rsidRPr="00C516D5">
              <w:rPr>
                <w:rFonts w:cs="Times New Roman"/>
                <w:noProof/>
                <w:webHidden/>
              </w:rPr>
              <w:tab/>
            </w:r>
            <w:r w:rsidR="00540420" w:rsidRPr="00C516D5">
              <w:rPr>
                <w:rFonts w:cs="Times New Roman"/>
                <w:noProof/>
                <w:webHidden/>
              </w:rPr>
              <w:fldChar w:fldCharType="begin"/>
            </w:r>
            <w:r w:rsidR="00540420" w:rsidRPr="00C516D5">
              <w:rPr>
                <w:rFonts w:cs="Times New Roman"/>
                <w:noProof/>
                <w:webHidden/>
              </w:rPr>
              <w:instrText xml:space="preserve"> PAGEREF _Toc106599489 \h </w:instrText>
            </w:r>
            <w:r w:rsidR="00540420" w:rsidRPr="00C516D5">
              <w:rPr>
                <w:rFonts w:cs="Times New Roman"/>
                <w:noProof/>
                <w:webHidden/>
              </w:rPr>
            </w:r>
            <w:r w:rsidR="00540420" w:rsidRPr="00C516D5">
              <w:rPr>
                <w:rFonts w:cs="Times New Roman"/>
                <w:noProof/>
                <w:webHidden/>
              </w:rPr>
              <w:fldChar w:fldCharType="separate"/>
            </w:r>
            <w:r w:rsidR="009C7B92" w:rsidRPr="00C516D5">
              <w:rPr>
                <w:rFonts w:cs="Times New Roman"/>
                <w:noProof/>
                <w:webHidden/>
              </w:rPr>
              <w:t>7</w:t>
            </w:r>
            <w:r w:rsidR="00540420" w:rsidRPr="00C516D5">
              <w:rPr>
                <w:rFonts w:cs="Times New Roman"/>
                <w:noProof/>
                <w:webHidden/>
              </w:rPr>
              <w:fldChar w:fldCharType="end"/>
            </w:r>
          </w:hyperlink>
        </w:p>
        <w:p w14:paraId="5AA1E98A" w14:textId="05D25D8F" w:rsidR="00540420" w:rsidRPr="00C516D5" w:rsidRDefault="00D713E2" w:rsidP="00540420">
          <w:pPr>
            <w:pStyle w:val="TOC1"/>
            <w:tabs>
              <w:tab w:val="right" w:leader="dot" w:pos="9350"/>
            </w:tabs>
            <w:rPr>
              <w:rFonts w:cs="Times New Roman"/>
              <w:noProof/>
            </w:rPr>
          </w:pPr>
          <w:hyperlink w:anchor="_Toc106599490" w:history="1">
            <w:r w:rsidR="00540420" w:rsidRPr="00C516D5">
              <w:rPr>
                <w:rStyle w:val="Hyperlink"/>
                <w:rFonts w:cs="Times New Roman"/>
                <w:noProof/>
              </w:rPr>
              <w:t>Strategies for stakeholder engagement</w:t>
            </w:r>
            <w:r w:rsidR="00540420" w:rsidRPr="00C516D5">
              <w:rPr>
                <w:rFonts w:cs="Times New Roman"/>
                <w:noProof/>
                <w:webHidden/>
              </w:rPr>
              <w:tab/>
            </w:r>
            <w:r w:rsidR="00540420" w:rsidRPr="00C516D5">
              <w:rPr>
                <w:rFonts w:cs="Times New Roman"/>
                <w:noProof/>
                <w:webHidden/>
              </w:rPr>
              <w:fldChar w:fldCharType="begin"/>
            </w:r>
            <w:r w:rsidR="00540420" w:rsidRPr="00C516D5">
              <w:rPr>
                <w:rFonts w:cs="Times New Roman"/>
                <w:noProof/>
                <w:webHidden/>
              </w:rPr>
              <w:instrText xml:space="preserve"> PAGEREF _Toc106599490 \h </w:instrText>
            </w:r>
            <w:r w:rsidR="00540420" w:rsidRPr="00C516D5">
              <w:rPr>
                <w:rFonts w:cs="Times New Roman"/>
                <w:noProof/>
                <w:webHidden/>
              </w:rPr>
            </w:r>
            <w:r w:rsidR="00540420" w:rsidRPr="00C516D5">
              <w:rPr>
                <w:rFonts w:cs="Times New Roman"/>
                <w:noProof/>
                <w:webHidden/>
              </w:rPr>
              <w:fldChar w:fldCharType="separate"/>
            </w:r>
            <w:r w:rsidR="009C7B92" w:rsidRPr="00C516D5">
              <w:rPr>
                <w:rFonts w:cs="Times New Roman"/>
                <w:noProof/>
                <w:webHidden/>
              </w:rPr>
              <w:t>8</w:t>
            </w:r>
            <w:r w:rsidR="00540420" w:rsidRPr="00C516D5">
              <w:rPr>
                <w:rFonts w:cs="Times New Roman"/>
                <w:noProof/>
                <w:webHidden/>
              </w:rPr>
              <w:fldChar w:fldCharType="end"/>
            </w:r>
          </w:hyperlink>
        </w:p>
        <w:p w14:paraId="1089354B" w14:textId="7C8B4AFC" w:rsidR="00540420" w:rsidRPr="00C516D5" w:rsidRDefault="00D713E2" w:rsidP="00540420">
          <w:pPr>
            <w:pStyle w:val="TOC1"/>
            <w:tabs>
              <w:tab w:val="right" w:leader="dot" w:pos="9350"/>
            </w:tabs>
            <w:rPr>
              <w:rFonts w:cs="Times New Roman"/>
              <w:noProof/>
            </w:rPr>
          </w:pPr>
          <w:hyperlink w:anchor="_Toc106599491" w:history="1">
            <w:r w:rsidR="00540420" w:rsidRPr="00C516D5">
              <w:rPr>
                <w:rStyle w:val="Hyperlink"/>
                <w:rFonts w:cs="Times New Roman"/>
                <w:noProof/>
              </w:rPr>
              <w:t>Approach moving forward</w:t>
            </w:r>
            <w:r w:rsidR="00540420" w:rsidRPr="00C516D5">
              <w:rPr>
                <w:rFonts w:cs="Times New Roman"/>
                <w:noProof/>
                <w:webHidden/>
              </w:rPr>
              <w:tab/>
            </w:r>
            <w:r w:rsidR="00540420" w:rsidRPr="00C516D5">
              <w:rPr>
                <w:rFonts w:cs="Times New Roman"/>
                <w:noProof/>
                <w:webHidden/>
              </w:rPr>
              <w:fldChar w:fldCharType="begin"/>
            </w:r>
            <w:r w:rsidR="00540420" w:rsidRPr="00C516D5">
              <w:rPr>
                <w:rFonts w:cs="Times New Roman"/>
                <w:noProof/>
                <w:webHidden/>
              </w:rPr>
              <w:instrText xml:space="preserve"> PAGEREF _Toc106599491 \h </w:instrText>
            </w:r>
            <w:r w:rsidR="00540420" w:rsidRPr="00C516D5">
              <w:rPr>
                <w:rFonts w:cs="Times New Roman"/>
                <w:noProof/>
                <w:webHidden/>
              </w:rPr>
            </w:r>
            <w:r w:rsidR="00540420" w:rsidRPr="00C516D5">
              <w:rPr>
                <w:rFonts w:cs="Times New Roman"/>
                <w:noProof/>
                <w:webHidden/>
              </w:rPr>
              <w:fldChar w:fldCharType="separate"/>
            </w:r>
            <w:r w:rsidR="009C7B92" w:rsidRPr="00C516D5">
              <w:rPr>
                <w:rFonts w:cs="Times New Roman"/>
                <w:noProof/>
                <w:webHidden/>
              </w:rPr>
              <w:t>9</w:t>
            </w:r>
            <w:r w:rsidR="00540420" w:rsidRPr="00C516D5">
              <w:rPr>
                <w:rFonts w:cs="Times New Roman"/>
                <w:noProof/>
                <w:webHidden/>
              </w:rPr>
              <w:fldChar w:fldCharType="end"/>
            </w:r>
          </w:hyperlink>
        </w:p>
        <w:p w14:paraId="7ACE2FC5" w14:textId="4A201EF7" w:rsidR="00540420" w:rsidRPr="00C516D5" w:rsidRDefault="00D713E2" w:rsidP="00540420">
          <w:pPr>
            <w:pStyle w:val="TOC1"/>
            <w:tabs>
              <w:tab w:val="right" w:leader="dot" w:pos="9350"/>
            </w:tabs>
            <w:rPr>
              <w:rFonts w:cs="Times New Roman"/>
              <w:noProof/>
            </w:rPr>
          </w:pPr>
          <w:hyperlink w:anchor="_Toc106599492" w:history="1">
            <w:r w:rsidR="00540420" w:rsidRPr="00C516D5">
              <w:rPr>
                <w:rStyle w:val="Hyperlink"/>
                <w:rFonts w:cs="Times New Roman"/>
                <w:noProof/>
              </w:rPr>
              <w:t>Conclusion</w:t>
            </w:r>
            <w:r w:rsidR="00540420" w:rsidRPr="00C516D5">
              <w:rPr>
                <w:rFonts w:cs="Times New Roman"/>
                <w:noProof/>
                <w:webHidden/>
              </w:rPr>
              <w:tab/>
            </w:r>
            <w:r w:rsidR="00540420" w:rsidRPr="00C516D5">
              <w:rPr>
                <w:rFonts w:cs="Times New Roman"/>
                <w:noProof/>
                <w:webHidden/>
              </w:rPr>
              <w:fldChar w:fldCharType="begin"/>
            </w:r>
            <w:r w:rsidR="00540420" w:rsidRPr="00C516D5">
              <w:rPr>
                <w:rFonts w:cs="Times New Roman"/>
                <w:noProof/>
                <w:webHidden/>
              </w:rPr>
              <w:instrText xml:space="preserve"> PAGEREF _Toc106599492 \h </w:instrText>
            </w:r>
            <w:r w:rsidR="00540420" w:rsidRPr="00C516D5">
              <w:rPr>
                <w:rFonts w:cs="Times New Roman"/>
                <w:noProof/>
                <w:webHidden/>
              </w:rPr>
            </w:r>
            <w:r w:rsidR="00540420" w:rsidRPr="00C516D5">
              <w:rPr>
                <w:rFonts w:cs="Times New Roman"/>
                <w:noProof/>
                <w:webHidden/>
              </w:rPr>
              <w:fldChar w:fldCharType="separate"/>
            </w:r>
            <w:r w:rsidR="009C7B92" w:rsidRPr="00C516D5">
              <w:rPr>
                <w:rFonts w:cs="Times New Roman"/>
                <w:noProof/>
                <w:webHidden/>
              </w:rPr>
              <w:t>9</w:t>
            </w:r>
            <w:r w:rsidR="00540420" w:rsidRPr="00C516D5">
              <w:rPr>
                <w:rFonts w:cs="Times New Roman"/>
                <w:noProof/>
                <w:webHidden/>
              </w:rPr>
              <w:fldChar w:fldCharType="end"/>
            </w:r>
          </w:hyperlink>
        </w:p>
        <w:p w14:paraId="530B9B3E" w14:textId="77777777" w:rsidR="00540420" w:rsidRPr="00C516D5" w:rsidRDefault="00540420" w:rsidP="00540420">
          <w:pPr>
            <w:rPr>
              <w:rFonts w:cs="Times New Roman"/>
              <w:b/>
              <w:bCs/>
              <w:noProof/>
            </w:rPr>
          </w:pPr>
          <w:r w:rsidRPr="00C516D5">
            <w:rPr>
              <w:rFonts w:cs="Times New Roman"/>
              <w:b/>
              <w:bCs/>
              <w:noProof/>
            </w:rPr>
            <w:fldChar w:fldCharType="end"/>
          </w:r>
        </w:p>
      </w:sdtContent>
    </w:sdt>
    <w:p w14:paraId="733A372F" w14:textId="3EA89B8C" w:rsidR="004B2F04" w:rsidRPr="00C516D5" w:rsidRDefault="004B2F04">
      <w:pPr>
        <w:rPr>
          <w:rFonts w:cs="Times New Roman"/>
          <w:b/>
        </w:rPr>
      </w:pPr>
    </w:p>
    <w:p w14:paraId="65640E1E" w14:textId="54602E90" w:rsidR="00586E49" w:rsidRPr="00C516D5" w:rsidRDefault="00586E49">
      <w:pPr>
        <w:rPr>
          <w:rFonts w:cs="Times New Roman"/>
          <w:b/>
        </w:rPr>
      </w:pPr>
    </w:p>
    <w:p w14:paraId="08E730AB" w14:textId="0E1CB67D" w:rsidR="00586E49" w:rsidRPr="00C516D5" w:rsidRDefault="00586E49">
      <w:pPr>
        <w:rPr>
          <w:rFonts w:cs="Times New Roman"/>
          <w:b/>
        </w:rPr>
      </w:pPr>
    </w:p>
    <w:p w14:paraId="7E9199EC" w14:textId="085D90E2" w:rsidR="00586E49" w:rsidRPr="00C516D5" w:rsidRDefault="00586E49">
      <w:pPr>
        <w:rPr>
          <w:rFonts w:cs="Times New Roman"/>
          <w:b/>
        </w:rPr>
      </w:pPr>
    </w:p>
    <w:p w14:paraId="088BD54B" w14:textId="73E00840" w:rsidR="00586E49" w:rsidRPr="00C516D5" w:rsidRDefault="00586E49">
      <w:pPr>
        <w:rPr>
          <w:rFonts w:cs="Times New Roman"/>
          <w:b/>
        </w:rPr>
      </w:pPr>
    </w:p>
    <w:p w14:paraId="74A986A4" w14:textId="1CFE61FD" w:rsidR="00586E49" w:rsidRPr="00C516D5" w:rsidRDefault="00586E49">
      <w:pPr>
        <w:rPr>
          <w:rFonts w:cs="Times New Roman"/>
          <w:b/>
        </w:rPr>
      </w:pPr>
    </w:p>
    <w:p w14:paraId="6601E3AD" w14:textId="3B8CA8F2" w:rsidR="00586E49" w:rsidRPr="00C516D5" w:rsidRDefault="00586E49">
      <w:pPr>
        <w:rPr>
          <w:rFonts w:cs="Times New Roman"/>
          <w:b/>
        </w:rPr>
      </w:pPr>
    </w:p>
    <w:p w14:paraId="1E3A2F45" w14:textId="21D3D5CD" w:rsidR="00586E49" w:rsidRPr="00C516D5" w:rsidRDefault="00586E49">
      <w:pPr>
        <w:rPr>
          <w:rFonts w:cs="Times New Roman"/>
          <w:b/>
        </w:rPr>
      </w:pPr>
    </w:p>
    <w:p w14:paraId="56BDDBB5" w14:textId="4470A28A" w:rsidR="00586E49" w:rsidRPr="00C516D5" w:rsidRDefault="00586E49">
      <w:pPr>
        <w:rPr>
          <w:rFonts w:cs="Times New Roman"/>
          <w:b/>
        </w:rPr>
      </w:pPr>
    </w:p>
    <w:p w14:paraId="30185A68" w14:textId="0BC71F21" w:rsidR="00586E49" w:rsidRPr="00C516D5" w:rsidRDefault="00586E49">
      <w:pPr>
        <w:rPr>
          <w:rFonts w:cs="Times New Roman"/>
          <w:b/>
        </w:rPr>
      </w:pPr>
    </w:p>
    <w:p w14:paraId="7101D9B3" w14:textId="559ACCB2" w:rsidR="00586E49" w:rsidRPr="00C516D5" w:rsidRDefault="00586E49">
      <w:pPr>
        <w:rPr>
          <w:rFonts w:cs="Times New Roman"/>
          <w:b/>
        </w:rPr>
      </w:pPr>
    </w:p>
    <w:p w14:paraId="2EABB516" w14:textId="7556F33A" w:rsidR="00586E49" w:rsidRPr="00C516D5" w:rsidRDefault="00586E49">
      <w:pPr>
        <w:rPr>
          <w:rFonts w:cs="Times New Roman"/>
          <w:b/>
        </w:rPr>
      </w:pPr>
    </w:p>
    <w:p w14:paraId="23BDDD27" w14:textId="2228710D" w:rsidR="00586E49" w:rsidRPr="00C516D5" w:rsidRDefault="00586E49">
      <w:pPr>
        <w:rPr>
          <w:rFonts w:cs="Times New Roman"/>
          <w:b/>
        </w:rPr>
      </w:pPr>
    </w:p>
    <w:p w14:paraId="45C2B5E9" w14:textId="2882866C" w:rsidR="00586E49" w:rsidRPr="00C516D5" w:rsidRDefault="00586E49">
      <w:pPr>
        <w:rPr>
          <w:rFonts w:cs="Times New Roman"/>
          <w:b/>
        </w:rPr>
      </w:pPr>
    </w:p>
    <w:p w14:paraId="1B63F99E" w14:textId="77777777" w:rsidR="004B2F04" w:rsidRPr="00C516D5" w:rsidRDefault="004B2F04">
      <w:pPr>
        <w:rPr>
          <w:rFonts w:cs="Times New Roman"/>
          <w:b/>
        </w:rPr>
      </w:pPr>
    </w:p>
    <w:p w14:paraId="656BD978" w14:textId="77777777" w:rsidR="004B2F04" w:rsidRPr="00C516D5" w:rsidRDefault="004B2F04">
      <w:pPr>
        <w:rPr>
          <w:rFonts w:cs="Times New Roman"/>
          <w:b/>
        </w:rPr>
      </w:pPr>
    </w:p>
    <w:p w14:paraId="7582BDD6" w14:textId="77777777" w:rsidR="004B2F04" w:rsidRPr="00C516D5" w:rsidRDefault="004B2F04">
      <w:pPr>
        <w:rPr>
          <w:rFonts w:cs="Times New Roman"/>
          <w:b/>
        </w:rPr>
      </w:pPr>
    </w:p>
    <w:p w14:paraId="33B9B480" w14:textId="77777777" w:rsidR="006C12B1" w:rsidRPr="00C516D5" w:rsidRDefault="0060713B" w:rsidP="00DF32AF">
      <w:pPr>
        <w:pStyle w:val="Heading1"/>
        <w:spacing w:line="360" w:lineRule="auto"/>
        <w:rPr>
          <w:rFonts w:cs="Times New Roman"/>
        </w:rPr>
      </w:pPr>
      <w:bookmarkStart w:id="0" w:name="_Toc106599486"/>
      <w:r w:rsidRPr="00C516D5">
        <w:rPr>
          <w:rFonts w:cs="Times New Roman"/>
        </w:rPr>
        <w:lastRenderedPageBreak/>
        <w:t>Introduction</w:t>
      </w:r>
      <w:bookmarkEnd w:id="0"/>
    </w:p>
    <w:p w14:paraId="764E72C8" w14:textId="7CE7C0FA" w:rsidR="0060713B" w:rsidRPr="00C516D5" w:rsidRDefault="00DF32AF" w:rsidP="00DF32AF">
      <w:pPr>
        <w:spacing w:line="360" w:lineRule="auto"/>
        <w:jc w:val="both"/>
        <w:rPr>
          <w:rFonts w:cs="Times New Roman"/>
        </w:rPr>
      </w:pPr>
      <w:r w:rsidRPr="00C516D5">
        <w:rPr>
          <w:rFonts w:cs="Times New Roman"/>
        </w:rPr>
        <w:t>Community involvement is the collaborative effort of individuals to effect positive development. Community participation is now the most dynamic topic in society. The community must guarantee that issues that might have a negative impact on society as a whole are resolved. It is a purposeful process, and the relationship based on geography, interest, or membership has an impact on their well-being</w:t>
      </w:r>
      <w:r w:rsidR="00586E49" w:rsidRPr="00C516D5">
        <w:rPr>
          <w:rFonts w:cs="Times New Roman"/>
        </w:rPr>
        <w:t xml:space="preserve"> (Akland, 2018)</w:t>
      </w:r>
      <w:r w:rsidRPr="00C516D5">
        <w:rPr>
          <w:rFonts w:cs="Times New Roman"/>
        </w:rPr>
        <w:t>. It is a method of assuring people in the community that they are able to contribute to the community by helping them acquire skills that allow them to engage in the society. In the following report, the detail advantages of community participation, including how it supports social awareness, money raising, and non-profit ini</w:t>
      </w:r>
      <w:r w:rsidR="004B2F04" w:rsidRPr="00C516D5">
        <w:rPr>
          <w:rFonts w:cs="Times New Roman"/>
        </w:rPr>
        <w:t>tiative will be discussed.</w:t>
      </w:r>
    </w:p>
    <w:p w14:paraId="3A964C28" w14:textId="77777777" w:rsidR="004B2F04" w:rsidRPr="00C516D5" w:rsidRDefault="004B2F04" w:rsidP="00DF32AF">
      <w:pPr>
        <w:spacing w:line="360" w:lineRule="auto"/>
        <w:jc w:val="both"/>
        <w:rPr>
          <w:rFonts w:cs="Times New Roman"/>
        </w:rPr>
      </w:pPr>
    </w:p>
    <w:p w14:paraId="32F46AC8" w14:textId="77777777" w:rsidR="004B2F04" w:rsidRPr="00C516D5" w:rsidRDefault="004B2F04" w:rsidP="00DF32AF">
      <w:pPr>
        <w:spacing w:line="360" w:lineRule="auto"/>
        <w:jc w:val="both"/>
        <w:rPr>
          <w:rFonts w:cs="Times New Roman"/>
        </w:rPr>
      </w:pPr>
    </w:p>
    <w:p w14:paraId="65B142BC" w14:textId="77777777" w:rsidR="004B2F04" w:rsidRPr="00C516D5" w:rsidRDefault="004B2F04" w:rsidP="00DF32AF">
      <w:pPr>
        <w:spacing w:line="360" w:lineRule="auto"/>
        <w:jc w:val="both"/>
        <w:rPr>
          <w:rFonts w:cs="Times New Roman"/>
        </w:rPr>
      </w:pPr>
    </w:p>
    <w:p w14:paraId="5C5A1C75" w14:textId="77777777" w:rsidR="004B2F04" w:rsidRPr="00C516D5" w:rsidRDefault="004B2F04" w:rsidP="00DF32AF">
      <w:pPr>
        <w:spacing w:line="360" w:lineRule="auto"/>
        <w:jc w:val="both"/>
        <w:rPr>
          <w:rFonts w:cs="Times New Roman"/>
        </w:rPr>
      </w:pPr>
    </w:p>
    <w:p w14:paraId="08029F81" w14:textId="77777777" w:rsidR="004B2F04" w:rsidRPr="00C516D5" w:rsidRDefault="004B2F04" w:rsidP="00DF32AF">
      <w:pPr>
        <w:spacing w:line="360" w:lineRule="auto"/>
        <w:jc w:val="both"/>
        <w:rPr>
          <w:rFonts w:cs="Times New Roman"/>
        </w:rPr>
      </w:pPr>
    </w:p>
    <w:p w14:paraId="67ADDA06" w14:textId="77777777" w:rsidR="004B2F04" w:rsidRPr="00C516D5" w:rsidRDefault="004B2F04" w:rsidP="00DF32AF">
      <w:pPr>
        <w:spacing w:line="360" w:lineRule="auto"/>
        <w:jc w:val="both"/>
        <w:rPr>
          <w:rFonts w:cs="Times New Roman"/>
        </w:rPr>
      </w:pPr>
    </w:p>
    <w:p w14:paraId="139200EF" w14:textId="77777777" w:rsidR="004B2F04" w:rsidRPr="00C516D5" w:rsidRDefault="004B2F04" w:rsidP="00DF32AF">
      <w:pPr>
        <w:spacing w:line="360" w:lineRule="auto"/>
        <w:jc w:val="both"/>
        <w:rPr>
          <w:rFonts w:cs="Times New Roman"/>
        </w:rPr>
      </w:pPr>
    </w:p>
    <w:p w14:paraId="633A81C0" w14:textId="77777777" w:rsidR="004B2F04" w:rsidRPr="00C516D5" w:rsidRDefault="004B2F04" w:rsidP="00DF32AF">
      <w:pPr>
        <w:spacing w:line="360" w:lineRule="auto"/>
        <w:jc w:val="both"/>
        <w:rPr>
          <w:rFonts w:cs="Times New Roman"/>
        </w:rPr>
      </w:pPr>
    </w:p>
    <w:p w14:paraId="5690940A" w14:textId="77777777" w:rsidR="004B2F04" w:rsidRPr="00C516D5" w:rsidRDefault="004B2F04" w:rsidP="00DF32AF">
      <w:pPr>
        <w:spacing w:line="360" w:lineRule="auto"/>
        <w:jc w:val="both"/>
        <w:rPr>
          <w:rFonts w:cs="Times New Roman"/>
        </w:rPr>
      </w:pPr>
    </w:p>
    <w:p w14:paraId="038C360D" w14:textId="77777777" w:rsidR="004B2F04" w:rsidRPr="00C516D5" w:rsidRDefault="004B2F04" w:rsidP="00DF32AF">
      <w:pPr>
        <w:spacing w:line="360" w:lineRule="auto"/>
        <w:jc w:val="both"/>
        <w:rPr>
          <w:rFonts w:cs="Times New Roman"/>
        </w:rPr>
      </w:pPr>
    </w:p>
    <w:p w14:paraId="35025236" w14:textId="77777777" w:rsidR="004B2F04" w:rsidRPr="00C516D5" w:rsidRDefault="004B2F04" w:rsidP="00DF32AF">
      <w:pPr>
        <w:spacing w:line="360" w:lineRule="auto"/>
        <w:jc w:val="both"/>
        <w:rPr>
          <w:rFonts w:cs="Times New Roman"/>
        </w:rPr>
      </w:pPr>
    </w:p>
    <w:p w14:paraId="3518B204" w14:textId="77777777" w:rsidR="004B2F04" w:rsidRPr="00C516D5" w:rsidRDefault="004B2F04" w:rsidP="00DF32AF">
      <w:pPr>
        <w:spacing w:line="360" w:lineRule="auto"/>
        <w:jc w:val="both"/>
        <w:rPr>
          <w:rFonts w:cs="Times New Roman"/>
        </w:rPr>
      </w:pPr>
    </w:p>
    <w:p w14:paraId="0F721979" w14:textId="77777777" w:rsidR="004B2F04" w:rsidRPr="00C516D5" w:rsidRDefault="004B2F04" w:rsidP="00DF32AF">
      <w:pPr>
        <w:spacing w:line="360" w:lineRule="auto"/>
        <w:jc w:val="both"/>
        <w:rPr>
          <w:rFonts w:cs="Times New Roman"/>
        </w:rPr>
      </w:pPr>
    </w:p>
    <w:p w14:paraId="2747FE84" w14:textId="77777777" w:rsidR="004B2F04" w:rsidRPr="00C516D5" w:rsidRDefault="004B2F04" w:rsidP="00DF32AF">
      <w:pPr>
        <w:spacing w:line="360" w:lineRule="auto"/>
        <w:jc w:val="both"/>
        <w:rPr>
          <w:rFonts w:cs="Times New Roman"/>
        </w:rPr>
      </w:pPr>
    </w:p>
    <w:p w14:paraId="4AE76BB9" w14:textId="326B9BA7" w:rsidR="004B2F04" w:rsidRPr="00C516D5" w:rsidRDefault="004B2F04" w:rsidP="00DF32AF">
      <w:pPr>
        <w:spacing w:line="360" w:lineRule="auto"/>
        <w:jc w:val="both"/>
        <w:rPr>
          <w:rFonts w:cs="Times New Roman"/>
        </w:rPr>
      </w:pPr>
    </w:p>
    <w:p w14:paraId="2B1C7E1C" w14:textId="77777777" w:rsidR="0060713B" w:rsidRPr="00C516D5" w:rsidRDefault="0060713B" w:rsidP="00DF32AF">
      <w:pPr>
        <w:pStyle w:val="Heading1"/>
        <w:spacing w:line="360" w:lineRule="auto"/>
        <w:rPr>
          <w:rFonts w:cs="Times New Roman"/>
        </w:rPr>
      </w:pPr>
      <w:bookmarkStart w:id="1" w:name="_Toc106599487"/>
      <w:r w:rsidRPr="00C516D5">
        <w:rPr>
          <w:rFonts w:cs="Times New Roman"/>
        </w:rPr>
        <w:t>Community Engagement Program: Fujitsu</w:t>
      </w:r>
      <w:bookmarkEnd w:id="1"/>
    </w:p>
    <w:p w14:paraId="7F1ED335" w14:textId="695838E8" w:rsidR="00BE20ED" w:rsidRPr="00C516D5" w:rsidRDefault="00DF32AF" w:rsidP="00DF32AF">
      <w:pPr>
        <w:spacing w:line="360" w:lineRule="auto"/>
        <w:jc w:val="both"/>
        <w:rPr>
          <w:rFonts w:cs="Times New Roman"/>
        </w:rPr>
      </w:pPr>
      <w:r w:rsidRPr="00C516D5">
        <w:rPr>
          <w:rFonts w:cs="Times New Roman"/>
        </w:rPr>
        <w:t>Fujitsu makes a significant contribution to the economy of the United Kingdom by providing assistance to thousands of small enterprises and mentoring hundreds of young people. Fujitsu is committed to addressing social challenges on a local as well as a global scale, using our core competencies to guarantee that people are prospering and benefitting through innovation</w:t>
      </w:r>
      <w:r w:rsidR="00586E49" w:rsidRPr="00C516D5">
        <w:rPr>
          <w:rFonts w:cs="Times New Roman"/>
        </w:rPr>
        <w:t xml:space="preserve"> (Head, 2017)</w:t>
      </w:r>
      <w:r w:rsidRPr="00C516D5">
        <w:rPr>
          <w:rFonts w:cs="Times New Roman"/>
        </w:rPr>
        <w:t>. To make choices that are wise, sustainable, and respectful of the community that an organisation serves, it is necessary to use a comprehensive and inclusive approach.</w:t>
      </w:r>
      <w:r w:rsidR="00F4447C" w:rsidRPr="00C516D5">
        <w:rPr>
          <w:rFonts w:cs="Times New Roman"/>
        </w:rPr>
        <w:t xml:space="preserve"> Fujitsu makes an effort to coordinate and coordinate all of our operations so that we may achieve all of their objectives, not just the ones that appear to be the most instantly lucrative or commendable.</w:t>
      </w:r>
      <w:r w:rsidRPr="00C516D5">
        <w:rPr>
          <w:rFonts w:cs="Times New Roman"/>
        </w:rPr>
        <w:t xml:space="preserve"> </w:t>
      </w:r>
    </w:p>
    <w:p w14:paraId="5C998CB1" w14:textId="1F31E53C" w:rsidR="00BE20ED" w:rsidRPr="00C516D5" w:rsidRDefault="00BE20ED" w:rsidP="00DF32AF">
      <w:pPr>
        <w:spacing w:line="360" w:lineRule="auto"/>
        <w:jc w:val="both"/>
        <w:rPr>
          <w:rFonts w:cs="Times New Roman"/>
        </w:rPr>
      </w:pPr>
      <w:r w:rsidRPr="00C516D5">
        <w:rPr>
          <w:rFonts w:cs="Times New Roman"/>
          <w:b/>
        </w:rPr>
        <w:t>Cooperation:</w:t>
      </w:r>
      <w:r w:rsidRPr="00C516D5">
        <w:rPr>
          <w:rFonts w:cs="Times New Roman"/>
        </w:rPr>
        <w:t xml:space="preserve"> </w:t>
      </w:r>
      <w:r w:rsidR="00F4447C" w:rsidRPr="00C516D5">
        <w:rPr>
          <w:rFonts w:cs="Times New Roman"/>
        </w:rPr>
        <w:t>The Fujitsu Group has worked together with the local communities that make up every zone in Japan and the rest of the globe to pursue activities that are distinctive to each area. These local communities are considered to be essential stakeholders for the company. Fujitsu intends to enhance their operations in Japan and abroad in a much more incorporated way and ensure the confidence those who have built-up in areas up until this point and uplift it to a global scale in order to fulfill the aims that was newly established in 2020</w:t>
      </w:r>
      <w:r w:rsidR="00586E49" w:rsidRPr="00C516D5">
        <w:rPr>
          <w:rFonts w:cs="Times New Roman"/>
        </w:rPr>
        <w:t xml:space="preserve"> (Wada, 2017)</w:t>
      </w:r>
      <w:r w:rsidR="00F4447C" w:rsidRPr="00C516D5">
        <w:rPr>
          <w:rFonts w:cs="Times New Roman"/>
        </w:rPr>
        <w:t>. This will allow Fujitsu to reach the aim that was newly established in 2020. Fujitsu strives to produce additional value by concentrating on areas in which they can optimise their existing business capabilities in order to address the issues that are currently being faced by society.</w:t>
      </w:r>
    </w:p>
    <w:p w14:paraId="09B746A2" w14:textId="2FEA2ACA" w:rsidR="0060713B" w:rsidRPr="00C516D5" w:rsidRDefault="00BE20ED" w:rsidP="00DF32AF">
      <w:pPr>
        <w:spacing w:line="360" w:lineRule="auto"/>
        <w:jc w:val="both"/>
        <w:rPr>
          <w:rFonts w:cs="Times New Roman"/>
        </w:rPr>
      </w:pPr>
      <w:r w:rsidRPr="00C516D5">
        <w:rPr>
          <w:rFonts w:cs="Times New Roman"/>
          <w:b/>
        </w:rPr>
        <w:t>Transparency:</w:t>
      </w:r>
      <w:r w:rsidRPr="00C516D5">
        <w:rPr>
          <w:rFonts w:cs="Times New Roman"/>
        </w:rPr>
        <w:t xml:space="preserve"> </w:t>
      </w:r>
      <w:r w:rsidR="00F4447C" w:rsidRPr="00C516D5">
        <w:rPr>
          <w:rFonts w:cs="Times New Roman"/>
        </w:rPr>
        <w:t>When a social group is engaging toward a goal, such as finding a solution to the situation of employment, transparency is essential due of the nature of the work being done. If the actions of that group raise suspicion, the stakeholders won't take part, there won't be any support, and the situation will tantamount to deception if nothing is done. Because of this, the aim, the goal, the means, and the objectives all required to be distinct and specific</w:t>
      </w:r>
      <w:r w:rsidR="00586E49" w:rsidRPr="00C516D5">
        <w:rPr>
          <w:rFonts w:cs="Times New Roman"/>
        </w:rPr>
        <w:t xml:space="preserve"> (Hidaka, 2018)</w:t>
      </w:r>
      <w:r w:rsidR="00F4447C" w:rsidRPr="00C516D5">
        <w:rPr>
          <w:rFonts w:cs="Times New Roman"/>
        </w:rPr>
        <w:t>. It is essential that there be transparency; else, the problems that have been raised won't be resolved, and the problems themselves will be seen as superfluous. Therefore, openness is an absolute must.</w:t>
      </w:r>
    </w:p>
    <w:p w14:paraId="571D70A5" w14:textId="446D7090" w:rsidR="00F4447C" w:rsidRPr="00C516D5" w:rsidRDefault="00BE20ED" w:rsidP="00DF32AF">
      <w:pPr>
        <w:spacing w:line="360" w:lineRule="auto"/>
        <w:jc w:val="both"/>
        <w:rPr>
          <w:rFonts w:cs="Times New Roman"/>
        </w:rPr>
      </w:pPr>
      <w:r w:rsidRPr="00C516D5">
        <w:rPr>
          <w:rFonts w:cs="Times New Roman"/>
          <w:b/>
        </w:rPr>
        <w:t>Charity Partnerships:</w:t>
      </w:r>
      <w:r w:rsidRPr="00C516D5">
        <w:rPr>
          <w:rFonts w:cs="Times New Roman"/>
        </w:rPr>
        <w:t xml:space="preserve"> </w:t>
      </w:r>
      <w:r w:rsidR="00F4447C" w:rsidRPr="00C516D5">
        <w:rPr>
          <w:rFonts w:cs="Times New Roman"/>
        </w:rPr>
        <w:t>Fujitsu workers cast their votes for their charity partner every two years, with a particular emphasis on organisations for whom our technological skills might prove to be a game-changer. We establish crystal-clear objectives for each of our partnerships as part of our coordinated plan for the next two years. This involves altering the user platform of the organization or the consumers of the charity via the use of a co - creating initiative and earning crucial revenue for the organization</w:t>
      </w:r>
      <w:r w:rsidR="00586E49" w:rsidRPr="00C516D5">
        <w:rPr>
          <w:rFonts w:cs="Times New Roman"/>
        </w:rPr>
        <w:t xml:space="preserve"> (Nakamura, 2017)</w:t>
      </w:r>
      <w:r w:rsidR="00F4447C" w:rsidRPr="00C516D5">
        <w:rPr>
          <w:rFonts w:cs="Times New Roman"/>
        </w:rPr>
        <w:t>.</w:t>
      </w:r>
    </w:p>
    <w:p w14:paraId="1F7741D6" w14:textId="77777777" w:rsidR="00F4447C" w:rsidRPr="00C516D5" w:rsidRDefault="005D1CB2" w:rsidP="00DF32AF">
      <w:pPr>
        <w:spacing w:line="360" w:lineRule="auto"/>
        <w:jc w:val="both"/>
        <w:rPr>
          <w:rFonts w:cs="Times New Roman"/>
        </w:rPr>
      </w:pPr>
      <w:r w:rsidRPr="00C516D5">
        <w:rPr>
          <w:rFonts w:cs="Times New Roman"/>
          <w:b/>
        </w:rPr>
        <w:t>Shared purpose:</w:t>
      </w:r>
      <w:r w:rsidRPr="00C516D5">
        <w:rPr>
          <w:rFonts w:cs="Times New Roman"/>
        </w:rPr>
        <w:t xml:space="preserve"> </w:t>
      </w:r>
      <w:r w:rsidR="00F4447C" w:rsidRPr="00C516D5">
        <w:rPr>
          <w:rFonts w:cs="Times New Roman"/>
        </w:rPr>
        <w:t>It is a goal that is shared by everyone, and the government has also instituted certain regulations with relation to the use of plastic. There are numerous organisations and organizations working to find a solution to this problem; this is the reason why the goal is common, and why it will be successful since everybody wants it to be solved.</w:t>
      </w:r>
    </w:p>
    <w:p w14:paraId="3D2564B1" w14:textId="0EBF88F7" w:rsidR="005D1CB2" w:rsidRPr="00C516D5" w:rsidRDefault="005D1CB2" w:rsidP="00DF32AF">
      <w:pPr>
        <w:spacing w:line="360" w:lineRule="auto"/>
        <w:jc w:val="both"/>
        <w:rPr>
          <w:rFonts w:cs="Times New Roman"/>
        </w:rPr>
      </w:pPr>
      <w:r w:rsidRPr="00C516D5">
        <w:rPr>
          <w:rFonts w:cs="Times New Roman"/>
          <w:b/>
        </w:rPr>
        <w:t>Quality:</w:t>
      </w:r>
      <w:r w:rsidRPr="00C516D5">
        <w:rPr>
          <w:rFonts w:cs="Times New Roman"/>
        </w:rPr>
        <w:t xml:space="preserve"> </w:t>
      </w:r>
      <w:r w:rsidR="00F4447C" w:rsidRPr="00C516D5">
        <w:rPr>
          <w:rFonts w:cs="Times New Roman"/>
        </w:rPr>
        <w:t>The activity is required to have a purpose, a goal, and appropriate preparation. Furthermore, the connection has to be appropriately displayed in order for citizens to be able to connect to it, and the item that is associated with it needs to be relevant in order for the issue to be handled</w:t>
      </w:r>
      <w:r w:rsidR="009C7B92" w:rsidRPr="00C516D5">
        <w:rPr>
          <w:rFonts w:cs="Times New Roman"/>
        </w:rPr>
        <w:t xml:space="preserve"> (Dorgan, 2016)</w:t>
      </w:r>
      <w:r w:rsidR="00F4447C" w:rsidRPr="00C516D5">
        <w:rPr>
          <w:rFonts w:cs="Times New Roman"/>
        </w:rPr>
        <w:t>.</w:t>
      </w:r>
    </w:p>
    <w:p w14:paraId="5E94ABBF" w14:textId="77777777" w:rsidR="005D1CB2" w:rsidRPr="00C516D5" w:rsidRDefault="00C82A8F" w:rsidP="00DF32AF">
      <w:pPr>
        <w:pStyle w:val="Heading1"/>
        <w:spacing w:line="360" w:lineRule="auto"/>
        <w:rPr>
          <w:rFonts w:cs="Times New Roman"/>
        </w:rPr>
      </w:pPr>
      <w:bookmarkStart w:id="2" w:name="_Toc106599488"/>
      <w:r w:rsidRPr="00C516D5">
        <w:rPr>
          <w:rFonts w:cs="Times New Roman"/>
        </w:rPr>
        <w:t>Identifying relationship between the stakeholders</w:t>
      </w:r>
      <w:bookmarkEnd w:id="2"/>
    </w:p>
    <w:p w14:paraId="088DA93D" w14:textId="4615FE37" w:rsidR="00F4447C" w:rsidRPr="00C516D5" w:rsidRDefault="00F4447C" w:rsidP="00DF32AF">
      <w:pPr>
        <w:spacing w:line="360" w:lineRule="auto"/>
        <w:jc w:val="both"/>
        <w:rPr>
          <w:rFonts w:cs="Times New Roman"/>
        </w:rPr>
      </w:pPr>
      <w:r w:rsidRPr="00C516D5">
        <w:rPr>
          <w:rFonts w:cs="Times New Roman"/>
        </w:rPr>
        <w:t>The term "stakeholder relationship management" (SRM) refers to a collection of procedures that are used in the business environment to establish and maintain a solid and functioning connection with a broad variety of stakeholders. These procedures are used to create and maintain these relationships. The easiest way to explain it is as an activity that results in relationships that are advantageous to both parties</w:t>
      </w:r>
      <w:r w:rsidR="009C7B92" w:rsidRPr="00C516D5">
        <w:rPr>
          <w:rFonts w:cs="Times New Roman"/>
        </w:rPr>
        <w:t xml:space="preserve"> (Bosse, 2016)</w:t>
      </w:r>
      <w:r w:rsidRPr="00C516D5">
        <w:rPr>
          <w:rFonts w:cs="Times New Roman"/>
        </w:rPr>
        <w:t>. Internal stakeholders and external stakeholders are the two primary categories that may be distinguished when looking at an organisation from the point of view of its stakeholders.</w:t>
      </w:r>
    </w:p>
    <w:p w14:paraId="3DA23D63" w14:textId="597F135B" w:rsidR="00C82A8F" w:rsidRPr="00C516D5" w:rsidRDefault="00F4447C" w:rsidP="00DF32AF">
      <w:pPr>
        <w:spacing w:line="360" w:lineRule="auto"/>
        <w:jc w:val="both"/>
        <w:rPr>
          <w:rFonts w:cs="Times New Roman"/>
        </w:rPr>
      </w:pPr>
      <w:r w:rsidRPr="00C516D5">
        <w:rPr>
          <w:rFonts w:cs="Times New Roman"/>
        </w:rPr>
        <w:t>Internal stakeholders are described as a group of persons who demonstrate a direct participation with the firm as well as impact and are influenced by the organisation as a whole. Examples of internal stakeholders include workers, executives, employers, and other similar individuals. On the other side, the external stakeholders are those who work outside the company and are influenced by the result of the company. Examples of external include customers, the government, supplier, shareholders, investors, and customers, amongst others. It is necessary to take into account the power, influence, and interests of each kind of stakeholder before deciding how to interact with them. The stakeholder electric grid is a very well methodology for stakeholder monitoring and control that may be used for the purpose of determining the most appropriate method to interact with the stakeholders</w:t>
      </w:r>
      <w:r w:rsidR="009C7B92" w:rsidRPr="00C516D5">
        <w:rPr>
          <w:rFonts w:cs="Times New Roman"/>
        </w:rPr>
        <w:t xml:space="preserve"> (Bourne, 2016)</w:t>
      </w:r>
      <w:r w:rsidRPr="00C516D5">
        <w:rPr>
          <w:rFonts w:cs="Times New Roman"/>
        </w:rPr>
        <w:t>. The developer of community outreach may design a comprehensive strategy for communicating with its stakeholders in order to correctly establish a technique that will guarantee a stronger connection and interaction with those stakeholders who are most important to the organization.</w:t>
      </w:r>
    </w:p>
    <w:p w14:paraId="1419C999" w14:textId="77777777" w:rsidR="00C82A8F" w:rsidRPr="00C516D5" w:rsidRDefault="00C82A8F" w:rsidP="00DF32AF">
      <w:pPr>
        <w:pStyle w:val="Heading1"/>
        <w:spacing w:line="360" w:lineRule="auto"/>
        <w:rPr>
          <w:rFonts w:cs="Times New Roman"/>
        </w:rPr>
      </w:pPr>
      <w:bookmarkStart w:id="3" w:name="_Toc106599489"/>
      <w:r w:rsidRPr="00C516D5">
        <w:rPr>
          <w:rFonts w:cs="Times New Roman"/>
        </w:rPr>
        <w:t>Significance of stakeholder participation</w:t>
      </w:r>
      <w:bookmarkEnd w:id="3"/>
    </w:p>
    <w:p w14:paraId="3C57A2C3" w14:textId="6489361A" w:rsidR="00C82A8F" w:rsidRPr="00C516D5" w:rsidRDefault="00C3282F" w:rsidP="00DF32AF">
      <w:pPr>
        <w:spacing w:line="360" w:lineRule="auto"/>
        <w:jc w:val="both"/>
        <w:rPr>
          <w:rFonts w:cs="Times New Roman"/>
        </w:rPr>
      </w:pPr>
      <w:r w:rsidRPr="00C516D5">
        <w:rPr>
          <w:rFonts w:cs="Times New Roman"/>
        </w:rPr>
        <w:t>Together, stakeholders such as parents, students, teachers, banks, businesses, and foundations that share a same goal may expand the community's capacity to support the issue. To seek support for the education of disabled persons, articles and papers or magazines will also be used to capture the attention of politicians. If the stakeholder does not engage in community engagement, the issue of funding, increasing the awareness, obtaining assistance, and reaching the intended audience, as well as the challenges, will not be handled. The customer, the public in broad sense, and the businesses themselves are all considered to be stakeholders. A variety of corporations and industries provide economic support for a variety of social causes and for the betterment of the public. These social causes may be for disabled people, people with special needs, economic hardship, and many other concerns that are present in today's society. In most instances, these businesses are responsible for addressing and solving these problems</w:t>
      </w:r>
      <w:r w:rsidR="009C7B92" w:rsidRPr="00C516D5">
        <w:rPr>
          <w:rFonts w:cs="Times New Roman"/>
        </w:rPr>
        <w:t xml:space="preserve"> (Murphy, 2015)</w:t>
      </w:r>
      <w:r w:rsidRPr="00C516D5">
        <w:rPr>
          <w:rFonts w:cs="Times New Roman"/>
        </w:rPr>
        <w:t>. The administration is a stakeholder in almost all of the issues that influence the macroenvironment, and these concerns need the attention from the government so that laws may be formulated to remedy the issues and allow citizens to stand up for their rights. Because the government is the primary epicentre, many communities as well as businesses are obligated to carry out various levels of duty. The participation of the many stakeholders not only enhances the likelihood of social integration but also makes it possible for more voices to be heard. When the community grows larger, the odds of the argument becoming successful or of human opinions being acknowledged also rise. Influential individuals are also contributing to this issue, and then when the community grows, the odds of influential people getting recognized also rise. On the other hand, once the matter at hand is settled or the problem is handled, the community will be wiped out. The wider populace participates through participating in social media, holding rallies, publishing articles in newspapers and other publications, and so on. The general public also participates by earning and also contributing monetarily. The same is true for buyers; when a problem is solved and the solution is provided in an appropriate manner, investors are more likely to contribute for the benefit of society. In addition to this, it imparts an awareness of personal liberty to the person. A significant part of the solution to the social problem will include the allocation of funds and the provision of financial support. Foundations are provided with financial support from corporations, organizations, and the state in order to address the problems</w:t>
      </w:r>
      <w:r w:rsidR="009C7B92" w:rsidRPr="00C516D5">
        <w:rPr>
          <w:rFonts w:cs="Times New Roman"/>
        </w:rPr>
        <w:t xml:space="preserve"> (Belyaeva, 2020)</w:t>
      </w:r>
      <w:r w:rsidRPr="00C516D5">
        <w:rPr>
          <w:rFonts w:cs="Times New Roman"/>
        </w:rPr>
        <w:t>. Therefore, having people participate is really crucial. In addition, the public becomes a stakeholder in the matter when it contributes to the problem in the form of donations or contributions. The involvement is an essential component of the interaction with the community. Through sustained involvement and active engagement, the vast majority of problems can be addressed.</w:t>
      </w:r>
    </w:p>
    <w:p w14:paraId="090BE4D1" w14:textId="77777777" w:rsidR="00C82A8F" w:rsidRPr="00C516D5" w:rsidRDefault="00C82A8F" w:rsidP="00DF32AF">
      <w:pPr>
        <w:pStyle w:val="Heading1"/>
        <w:spacing w:line="360" w:lineRule="auto"/>
        <w:rPr>
          <w:rFonts w:cs="Times New Roman"/>
        </w:rPr>
      </w:pPr>
      <w:bookmarkStart w:id="4" w:name="_Toc106599490"/>
      <w:r w:rsidRPr="00C516D5">
        <w:rPr>
          <w:rFonts w:cs="Times New Roman"/>
        </w:rPr>
        <w:t xml:space="preserve">Strategies </w:t>
      </w:r>
      <w:r w:rsidR="00FA2114" w:rsidRPr="00C516D5">
        <w:rPr>
          <w:rFonts w:cs="Times New Roman"/>
        </w:rPr>
        <w:t>for stakeholder engagement</w:t>
      </w:r>
      <w:bookmarkEnd w:id="4"/>
    </w:p>
    <w:p w14:paraId="2855CE77" w14:textId="77777777" w:rsidR="00C3282F" w:rsidRPr="00C516D5" w:rsidRDefault="00C3282F" w:rsidP="00DF32AF">
      <w:pPr>
        <w:spacing w:line="360" w:lineRule="auto"/>
        <w:jc w:val="both"/>
        <w:rPr>
          <w:rFonts w:cs="Times New Roman"/>
        </w:rPr>
      </w:pPr>
      <w:r w:rsidRPr="00C516D5">
        <w:rPr>
          <w:rFonts w:cs="Times New Roman"/>
        </w:rPr>
        <w:t>The most effective method to communicate with stakeholders at this time is via social media. People are participating more actively on websites, YouTube, and social media platforms like Facebook and Twitter. Commercials on television and other forms of traditional advertising are currently the most efficient means of communicating with the stakeholders. The following is a list of the most successful ways to communicate with the stakeholders:</w:t>
      </w:r>
    </w:p>
    <w:p w14:paraId="7EDE68F8" w14:textId="1660623E" w:rsidR="00C82A8F" w:rsidRPr="00C516D5" w:rsidRDefault="00FA2114" w:rsidP="00DF32AF">
      <w:pPr>
        <w:spacing w:line="360" w:lineRule="auto"/>
        <w:jc w:val="both"/>
        <w:rPr>
          <w:rFonts w:cs="Times New Roman"/>
        </w:rPr>
      </w:pPr>
      <w:r w:rsidRPr="00C516D5">
        <w:rPr>
          <w:rFonts w:cs="Times New Roman"/>
          <w:b/>
        </w:rPr>
        <w:t>Social media:</w:t>
      </w:r>
      <w:r w:rsidRPr="00C516D5">
        <w:rPr>
          <w:rFonts w:cs="Times New Roman"/>
        </w:rPr>
        <w:t xml:space="preserve"> </w:t>
      </w:r>
      <w:r w:rsidR="00C3282F" w:rsidRPr="00C516D5">
        <w:rPr>
          <w:rFonts w:cs="Times New Roman"/>
        </w:rPr>
        <w:t>The use of social media platforms is an excellent method for interacting with the relevant stakeholders. Campaigns may be effectively run via social media with lower costs if they are organised properly. Because social networks is used by millions around the world, employing short videos and exceptional information may be an effective way to interact with the customers. The people will be able to understand the importance of preserving the natural world and the worth that they bring to the table in this manner</w:t>
      </w:r>
      <w:r w:rsidR="009C7B92" w:rsidRPr="00C516D5">
        <w:rPr>
          <w:rFonts w:cs="Times New Roman"/>
        </w:rPr>
        <w:t xml:space="preserve"> (Newman, 2016)</w:t>
      </w:r>
      <w:r w:rsidR="00C3282F" w:rsidRPr="00C516D5">
        <w:rPr>
          <w:rFonts w:cs="Times New Roman"/>
        </w:rPr>
        <w:t>. It is possible to provide value to the brand while simultaneously fulfilling its social responsibility obligations to the community.</w:t>
      </w:r>
    </w:p>
    <w:p w14:paraId="356DE5B6" w14:textId="77777777" w:rsidR="00FA2114" w:rsidRPr="00C516D5" w:rsidRDefault="00FA2114" w:rsidP="00DF32AF">
      <w:pPr>
        <w:spacing w:line="360" w:lineRule="auto"/>
        <w:jc w:val="both"/>
        <w:rPr>
          <w:rFonts w:cs="Times New Roman"/>
        </w:rPr>
      </w:pPr>
      <w:r w:rsidRPr="00C516D5">
        <w:rPr>
          <w:rFonts w:cs="Times New Roman"/>
          <w:b/>
        </w:rPr>
        <w:t>YouTube:</w:t>
      </w:r>
      <w:r w:rsidRPr="00C516D5">
        <w:rPr>
          <w:rFonts w:cs="Times New Roman"/>
        </w:rPr>
        <w:t xml:space="preserve"> </w:t>
      </w:r>
      <w:r w:rsidR="00C3282F" w:rsidRPr="00C516D5">
        <w:rPr>
          <w:rFonts w:cs="Times New Roman"/>
        </w:rPr>
        <w:t>Because the majority of businesses are running marketing campaigns on YouTube, it is the ideal streaming video platform for the public at large. This is because YouTube is where the majority of businesses host their marketing campaigns. With the help of this platform, it will be possible to engage the greatest number of interested parties.</w:t>
      </w:r>
    </w:p>
    <w:p w14:paraId="54123515" w14:textId="77777777" w:rsidR="00FA2114" w:rsidRPr="00C516D5" w:rsidRDefault="00FA2114" w:rsidP="00DF32AF">
      <w:pPr>
        <w:spacing w:line="360" w:lineRule="auto"/>
        <w:jc w:val="both"/>
        <w:rPr>
          <w:rFonts w:cs="Times New Roman"/>
        </w:rPr>
      </w:pPr>
      <w:r w:rsidRPr="00C516D5">
        <w:rPr>
          <w:rFonts w:cs="Times New Roman"/>
          <w:b/>
        </w:rPr>
        <w:t>Digital advertisement:</w:t>
      </w:r>
      <w:r w:rsidRPr="00C516D5">
        <w:rPr>
          <w:rFonts w:cs="Times New Roman"/>
        </w:rPr>
        <w:t xml:space="preserve"> </w:t>
      </w:r>
      <w:r w:rsidR="00C3282F" w:rsidRPr="00C516D5">
        <w:rPr>
          <w:rFonts w:cs="Times New Roman"/>
        </w:rPr>
        <w:t>The use of digital advertising is another effective method for grabbing the attention of the target audience. The more people who make their views known, the more the society will develop. When there are sufficient numbers of members of the community, the issue will be rapidly handled. Because the public, investors, and politicians are often involved in digital media, digital advertisements are an effective approach to interact with them.</w:t>
      </w:r>
    </w:p>
    <w:p w14:paraId="598B48C9" w14:textId="77777777" w:rsidR="00FA2114" w:rsidRPr="00C516D5" w:rsidRDefault="00FA2114" w:rsidP="00DF32AF">
      <w:pPr>
        <w:pStyle w:val="Heading1"/>
        <w:spacing w:line="360" w:lineRule="auto"/>
        <w:rPr>
          <w:rFonts w:cs="Times New Roman"/>
        </w:rPr>
      </w:pPr>
      <w:bookmarkStart w:id="5" w:name="_Toc106599491"/>
      <w:r w:rsidRPr="00C516D5">
        <w:rPr>
          <w:rFonts w:cs="Times New Roman"/>
        </w:rPr>
        <w:t>Approach moving forward</w:t>
      </w:r>
      <w:bookmarkEnd w:id="5"/>
    </w:p>
    <w:p w14:paraId="4F741EE9" w14:textId="08E520AE" w:rsidR="00FA2114" w:rsidRPr="00C516D5" w:rsidRDefault="004B2F04" w:rsidP="00DF32AF">
      <w:pPr>
        <w:spacing w:line="360" w:lineRule="auto"/>
        <w:jc w:val="both"/>
        <w:rPr>
          <w:rFonts w:cs="Times New Roman"/>
        </w:rPr>
      </w:pPr>
      <w:r w:rsidRPr="00C516D5">
        <w:rPr>
          <w:rFonts w:cs="Times New Roman"/>
        </w:rPr>
        <w:t>Community participation is significantly influenced not just by internal but also by external forces. It is crucial to educate the community since there are many significant internal elements that determine the possibilities of accomplishment of concerns being addressed. Some of these characteristics include age, gender, the involvement of youth, leadership, and affect. Knowing both the existence and the degree of the issue is crucial as it has an effect on how policymakers try to solve the issue. When there is influence, ownership, or youth involved, significance, severity, and financial support come quickly rather than when the typical ordinary people are involved. Community participation is strongly influenced by external elements such as societal values, such as family, international trend, closeness with government organization or commercial organisation, and so on</w:t>
      </w:r>
      <w:r w:rsidR="009C7B92" w:rsidRPr="00C516D5">
        <w:rPr>
          <w:rFonts w:cs="Times New Roman"/>
        </w:rPr>
        <w:t xml:space="preserve"> (Butin, 2010)</w:t>
      </w:r>
      <w:r w:rsidRPr="00C516D5">
        <w:rPr>
          <w:rFonts w:cs="Times New Roman"/>
        </w:rPr>
        <w:t>. Because the well-being is the primary objective, support for just any idea or any group will not be gained. There is an effect caused by things like security, economics, the objectives, and the intended result. The community should adopt a forward-looking strategy by making strategies, establishing clear objectives, using social networks effectively, and preparing further for the welfare of the next generation so that it does not suffer. Every policy, guidelines, or declaration for obtaining that privilege is a forward-thinking, socially-beneficial strategy</w:t>
      </w:r>
      <w:r w:rsidR="009C7B92" w:rsidRPr="00C516D5">
        <w:rPr>
          <w:rFonts w:cs="Times New Roman"/>
        </w:rPr>
        <w:t xml:space="preserve"> (Edmondson, 2017)</w:t>
      </w:r>
      <w:r w:rsidRPr="00C516D5">
        <w:rPr>
          <w:rFonts w:cs="Times New Roman"/>
        </w:rPr>
        <w:t>.</w:t>
      </w:r>
    </w:p>
    <w:p w14:paraId="34D2ACF5" w14:textId="77777777" w:rsidR="00DF32AF" w:rsidRPr="00C516D5" w:rsidRDefault="00DF32AF" w:rsidP="004B2F04">
      <w:pPr>
        <w:pStyle w:val="Heading1"/>
        <w:rPr>
          <w:rFonts w:cs="Times New Roman"/>
        </w:rPr>
      </w:pPr>
      <w:bookmarkStart w:id="6" w:name="_Toc106599492"/>
      <w:r w:rsidRPr="00C516D5">
        <w:rPr>
          <w:rFonts w:cs="Times New Roman"/>
        </w:rPr>
        <w:t>Conclusion</w:t>
      </w:r>
      <w:bookmarkEnd w:id="6"/>
    </w:p>
    <w:p w14:paraId="11420474" w14:textId="068E53CB" w:rsidR="00586E49" w:rsidRPr="00C516D5" w:rsidRDefault="004B2F04" w:rsidP="00DF32AF">
      <w:pPr>
        <w:spacing w:line="360" w:lineRule="auto"/>
        <w:jc w:val="both"/>
        <w:rPr>
          <w:rFonts w:cs="Times New Roman"/>
        </w:rPr>
      </w:pPr>
      <w:r w:rsidRPr="00C516D5">
        <w:rPr>
          <w:rFonts w:cs="Times New Roman"/>
        </w:rPr>
        <w:t xml:space="preserve">Participation in one's local community is a subject that is very essential in our world. Businesses and organizations have duties and obligations that must be met toward the community in which they operate. However, the effort has to be made at the level of the person, the group, the organisation, and the organization since it is essential for achieving sustainable development and the functioning of the company as well as community as a whole might be impacted by it. Each community member is responsible for recognising not only their own rights and obligations, but also the external variables that affect the society, such as issues related to safety, logistics, good results, and the future that is wanted. Adoption is another issue, and there is a possibility that the issue, or the setting in which it exists, will not be tolerated if it is not adequately handled. Therefore, the participation of stakeholders, the exact and unambiguous presentation of the issue on which the community is founded, and the government as well as regulators have a significant role in the process of problem resolution. </w:t>
      </w:r>
    </w:p>
    <w:p w14:paraId="1D3158BB" w14:textId="0925CA70" w:rsidR="00586E49" w:rsidRPr="00C516D5" w:rsidRDefault="00586E49" w:rsidP="00586E49">
      <w:pPr>
        <w:rPr>
          <w:rFonts w:cs="Times New Roman"/>
        </w:rPr>
      </w:pPr>
    </w:p>
    <w:p w14:paraId="09D3EFA0" w14:textId="5F1707BB" w:rsidR="00C82A8F" w:rsidRPr="00C516D5" w:rsidRDefault="00586E49" w:rsidP="00586E49">
      <w:pPr>
        <w:pStyle w:val="Heading1"/>
        <w:rPr>
          <w:rFonts w:cs="Times New Roman"/>
        </w:rPr>
      </w:pPr>
      <w:r w:rsidRPr="00C516D5">
        <w:rPr>
          <w:rFonts w:cs="Times New Roman"/>
        </w:rPr>
        <w:t>References</w:t>
      </w:r>
    </w:p>
    <w:p w14:paraId="46166C3F" w14:textId="77777777" w:rsidR="009C7B92" w:rsidRPr="00C516D5" w:rsidRDefault="009C7B92" w:rsidP="009C7B92">
      <w:pPr>
        <w:spacing w:line="360" w:lineRule="auto"/>
        <w:jc w:val="both"/>
        <w:rPr>
          <w:rFonts w:cs="Times New Roman"/>
        </w:rPr>
      </w:pPr>
      <w:r w:rsidRPr="00C516D5">
        <w:rPr>
          <w:rFonts w:cs="Times New Roman"/>
        </w:rPr>
        <w:t>Akland, G., 2018. Community Engagement principles. Journal of Community Engagement and Scholarship, 4(1).</w:t>
      </w:r>
    </w:p>
    <w:p w14:paraId="6543823A" w14:textId="77777777" w:rsidR="009C7B92" w:rsidRPr="00C516D5" w:rsidRDefault="009C7B92" w:rsidP="009C7B92">
      <w:pPr>
        <w:spacing w:line="360" w:lineRule="auto"/>
        <w:jc w:val="both"/>
        <w:rPr>
          <w:rFonts w:cs="Times New Roman"/>
        </w:rPr>
      </w:pPr>
      <w:r w:rsidRPr="00C516D5">
        <w:rPr>
          <w:rFonts w:cs="Times New Roman"/>
        </w:rPr>
        <w:t>Belyaeva, Z., Shams, S.R., Santoro, G. and Grandhi, B., 2020. Unpacking stakeholder relationship management in the public and private sectors: the comparative insights. </w:t>
      </w:r>
      <w:r w:rsidRPr="00C516D5">
        <w:rPr>
          <w:rFonts w:cs="Times New Roman"/>
          <w:i/>
          <w:iCs/>
        </w:rPr>
        <w:t>EuroMed Journal of Business</w:t>
      </w:r>
      <w:r w:rsidRPr="00C516D5">
        <w:rPr>
          <w:rFonts w:cs="Times New Roman"/>
        </w:rPr>
        <w:t>.</w:t>
      </w:r>
    </w:p>
    <w:p w14:paraId="69E7E700" w14:textId="77777777" w:rsidR="009C7B92" w:rsidRPr="00C516D5" w:rsidRDefault="009C7B92" w:rsidP="009C7B92">
      <w:pPr>
        <w:spacing w:line="360" w:lineRule="auto"/>
        <w:jc w:val="both"/>
        <w:rPr>
          <w:rFonts w:cs="Times New Roman"/>
        </w:rPr>
      </w:pPr>
      <w:r w:rsidRPr="00C516D5">
        <w:rPr>
          <w:rFonts w:cs="Times New Roman"/>
        </w:rPr>
        <w:t>Bosse, D.A. and Coughlan, R., 2016. Stakeholder relationship bonds. </w:t>
      </w:r>
      <w:r w:rsidRPr="00C516D5">
        <w:rPr>
          <w:rFonts w:cs="Times New Roman"/>
          <w:i/>
          <w:iCs/>
        </w:rPr>
        <w:t>Journal of Management Studies</w:t>
      </w:r>
      <w:r w:rsidRPr="00C516D5">
        <w:rPr>
          <w:rFonts w:cs="Times New Roman"/>
        </w:rPr>
        <w:t>, </w:t>
      </w:r>
      <w:r w:rsidRPr="00C516D5">
        <w:rPr>
          <w:rFonts w:cs="Times New Roman"/>
          <w:i/>
          <w:iCs/>
        </w:rPr>
        <w:t>53</w:t>
      </w:r>
      <w:r w:rsidRPr="00C516D5">
        <w:rPr>
          <w:rFonts w:cs="Times New Roman"/>
        </w:rPr>
        <w:t>(7), pp.1197-1222.</w:t>
      </w:r>
    </w:p>
    <w:p w14:paraId="0095D57A" w14:textId="77777777" w:rsidR="009C7B92" w:rsidRPr="00C516D5" w:rsidRDefault="009C7B92" w:rsidP="009C7B92">
      <w:pPr>
        <w:spacing w:line="360" w:lineRule="auto"/>
        <w:jc w:val="both"/>
        <w:rPr>
          <w:rFonts w:cs="Times New Roman"/>
        </w:rPr>
      </w:pPr>
      <w:r w:rsidRPr="00C516D5">
        <w:rPr>
          <w:rFonts w:cs="Times New Roman"/>
        </w:rPr>
        <w:t>Bourne, L., 2019. </w:t>
      </w:r>
      <w:r w:rsidRPr="00C516D5">
        <w:rPr>
          <w:rFonts w:cs="Times New Roman"/>
          <w:i/>
          <w:iCs/>
        </w:rPr>
        <w:t>Stakeholder relationship management: a maturity model for organisational implementation</w:t>
      </w:r>
      <w:r w:rsidRPr="00C516D5">
        <w:rPr>
          <w:rFonts w:cs="Times New Roman"/>
        </w:rPr>
        <w:t>. Routledge.</w:t>
      </w:r>
    </w:p>
    <w:p w14:paraId="0F2B6112" w14:textId="77777777" w:rsidR="009C7B92" w:rsidRPr="00C516D5" w:rsidRDefault="009C7B92" w:rsidP="009C7B92">
      <w:pPr>
        <w:spacing w:line="360" w:lineRule="auto"/>
        <w:jc w:val="both"/>
        <w:rPr>
          <w:rFonts w:cs="Times New Roman"/>
        </w:rPr>
      </w:pPr>
      <w:r w:rsidRPr="00C516D5">
        <w:rPr>
          <w:rFonts w:cs="Times New Roman"/>
        </w:rPr>
        <w:t>Butin, D., 2010. </w:t>
      </w:r>
      <w:r w:rsidRPr="00C516D5">
        <w:rPr>
          <w:rFonts w:cs="Times New Roman"/>
          <w:i/>
          <w:iCs/>
        </w:rPr>
        <w:t>Service-learning in theory and practice: The future of community engagement in higher education</w:t>
      </w:r>
      <w:r w:rsidRPr="00C516D5">
        <w:rPr>
          <w:rFonts w:cs="Times New Roman"/>
        </w:rPr>
        <w:t>. Springer.</w:t>
      </w:r>
    </w:p>
    <w:p w14:paraId="0E37A86A" w14:textId="77777777" w:rsidR="009C7B92" w:rsidRPr="00C516D5" w:rsidRDefault="009C7B92" w:rsidP="009C7B92">
      <w:pPr>
        <w:spacing w:line="360" w:lineRule="auto"/>
        <w:jc w:val="both"/>
        <w:rPr>
          <w:rFonts w:cs="Times New Roman"/>
        </w:rPr>
      </w:pPr>
      <w:r w:rsidRPr="00C516D5">
        <w:rPr>
          <w:rFonts w:cs="Times New Roman"/>
        </w:rPr>
        <w:t>Dorgan, K.A., 2016. Principles of engagement:(Mis) understanding the community-design studio. </w:t>
      </w:r>
      <w:r w:rsidRPr="00C516D5">
        <w:rPr>
          <w:rFonts w:cs="Times New Roman"/>
          <w:i/>
          <w:iCs/>
        </w:rPr>
        <w:t>Cityscape</w:t>
      </w:r>
      <w:r w:rsidRPr="00C516D5">
        <w:rPr>
          <w:rFonts w:cs="Times New Roman"/>
        </w:rPr>
        <w:t>, pp.9-19.</w:t>
      </w:r>
    </w:p>
    <w:p w14:paraId="0844A452" w14:textId="77777777" w:rsidR="009C7B92" w:rsidRPr="00C516D5" w:rsidRDefault="009C7B92" w:rsidP="009C7B92">
      <w:pPr>
        <w:spacing w:line="360" w:lineRule="auto"/>
        <w:jc w:val="both"/>
        <w:rPr>
          <w:rFonts w:cs="Times New Roman"/>
        </w:rPr>
      </w:pPr>
      <w:r w:rsidRPr="00C516D5">
        <w:rPr>
          <w:rFonts w:cs="Times New Roman"/>
        </w:rPr>
        <w:t>Edmondson, A.C. and Harvey, J.F., 2017. Open innovation at Fujitsu (A). </w:t>
      </w:r>
      <w:r w:rsidRPr="00C516D5">
        <w:rPr>
          <w:rFonts w:cs="Times New Roman"/>
          <w:i/>
          <w:iCs/>
        </w:rPr>
        <w:t>Harvard Business School Case</w:t>
      </w:r>
      <w:r w:rsidRPr="00C516D5">
        <w:rPr>
          <w:rFonts w:cs="Times New Roman"/>
        </w:rPr>
        <w:t>, (616-034).</w:t>
      </w:r>
    </w:p>
    <w:p w14:paraId="4C60834A" w14:textId="77777777" w:rsidR="009C7B92" w:rsidRPr="00C516D5" w:rsidRDefault="009C7B92" w:rsidP="009C7B92">
      <w:pPr>
        <w:spacing w:line="360" w:lineRule="auto"/>
        <w:jc w:val="both"/>
        <w:rPr>
          <w:rFonts w:cs="Times New Roman"/>
        </w:rPr>
      </w:pPr>
      <w:r w:rsidRPr="00C516D5">
        <w:rPr>
          <w:rFonts w:cs="Times New Roman"/>
        </w:rPr>
        <w:t>Head, B.W., 2007. Community engagement: participation on whose terms?. </w:t>
      </w:r>
      <w:r w:rsidRPr="00C516D5">
        <w:rPr>
          <w:rFonts w:cs="Times New Roman"/>
          <w:i/>
          <w:iCs/>
        </w:rPr>
        <w:t>Australian Journal of Political Science</w:t>
      </w:r>
      <w:r w:rsidRPr="00C516D5">
        <w:rPr>
          <w:rFonts w:cs="Times New Roman"/>
        </w:rPr>
        <w:t>, </w:t>
      </w:r>
      <w:r w:rsidRPr="00C516D5">
        <w:rPr>
          <w:rFonts w:cs="Times New Roman"/>
          <w:i/>
          <w:iCs/>
        </w:rPr>
        <w:t>42</w:t>
      </w:r>
      <w:r w:rsidRPr="00C516D5">
        <w:rPr>
          <w:rFonts w:cs="Times New Roman"/>
        </w:rPr>
        <w:t>(3), pp.441-454.</w:t>
      </w:r>
    </w:p>
    <w:p w14:paraId="2D99977F" w14:textId="77777777" w:rsidR="009C7B92" w:rsidRPr="00C516D5" w:rsidRDefault="009C7B92" w:rsidP="009C7B92">
      <w:pPr>
        <w:spacing w:line="360" w:lineRule="auto"/>
        <w:jc w:val="both"/>
        <w:rPr>
          <w:rFonts w:cs="Times New Roman"/>
        </w:rPr>
      </w:pPr>
      <w:r w:rsidRPr="00C516D5">
        <w:rPr>
          <w:rFonts w:cs="Times New Roman"/>
        </w:rPr>
        <w:t>Hidaka, K., Takasaki, T. and Sasaki, Y., 2018. FUJITSU Knowledge Integration Base PLY: Co-creation Platform for New UX. </w:t>
      </w:r>
      <w:r w:rsidRPr="00C516D5">
        <w:rPr>
          <w:rFonts w:cs="Times New Roman"/>
          <w:i/>
          <w:iCs/>
        </w:rPr>
        <w:t>FUJITSU SCIENTIFIC &amp; TECHNICAL JOURNAL</w:t>
      </w:r>
      <w:r w:rsidRPr="00C516D5">
        <w:rPr>
          <w:rFonts w:cs="Times New Roman"/>
        </w:rPr>
        <w:t>, </w:t>
      </w:r>
      <w:r w:rsidRPr="00C516D5">
        <w:rPr>
          <w:rFonts w:cs="Times New Roman"/>
          <w:i/>
          <w:iCs/>
        </w:rPr>
        <w:t>54</w:t>
      </w:r>
      <w:r w:rsidRPr="00C516D5">
        <w:rPr>
          <w:rFonts w:cs="Times New Roman"/>
        </w:rPr>
        <w:t>(1), pp.27-32.</w:t>
      </w:r>
    </w:p>
    <w:p w14:paraId="7855AA9D" w14:textId="77777777" w:rsidR="009C7B92" w:rsidRPr="00C516D5" w:rsidRDefault="009C7B92" w:rsidP="009C7B92">
      <w:pPr>
        <w:spacing w:line="360" w:lineRule="auto"/>
        <w:jc w:val="both"/>
        <w:rPr>
          <w:rFonts w:cs="Times New Roman"/>
        </w:rPr>
      </w:pPr>
      <w:r w:rsidRPr="00C516D5">
        <w:rPr>
          <w:rFonts w:cs="Times New Roman"/>
        </w:rPr>
        <w:t>Murphy, B., Maguiness, P., Pescott, C., Wislang, S., Ma, J. and Wang, R., 2015. Stakeholder perceptions presage holistic stakeholder relationship marketing performance. </w:t>
      </w:r>
      <w:r w:rsidRPr="00C516D5">
        <w:rPr>
          <w:rFonts w:cs="Times New Roman"/>
          <w:i/>
          <w:iCs/>
        </w:rPr>
        <w:t>European Journal of Marketing</w:t>
      </w:r>
      <w:r w:rsidRPr="00C516D5">
        <w:rPr>
          <w:rFonts w:cs="Times New Roman"/>
        </w:rPr>
        <w:t>.</w:t>
      </w:r>
    </w:p>
    <w:p w14:paraId="097F542E" w14:textId="77777777" w:rsidR="009C7B92" w:rsidRPr="00C516D5" w:rsidRDefault="009C7B92" w:rsidP="009C7B92">
      <w:pPr>
        <w:spacing w:line="360" w:lineRule="auto"/>
        <w:jc w:val="both"/>
        <w:rPr>
          <w:rFonts w:cs="Times New Roman"/>
        </w:rPr>
      </w:pPr>
      <w:r w:rsidRPr="00C516D5">
        <w:rPr>
          <w:rFonts w:cs="Times New Roman"/>
        </w:rPr>
        <w:t>Nakamura, N., 2017. Fujitsu’s leading platform for digital business. </w:t>
      </w:r>
      <w:r w:rsidRPr="00C516D5">
        <w:rPr>
          <w:rFonts w:cs="Times New Roman"/>
          <w:i/>
          <w:iCs/>
        </w:rPr>
        <w:t>Fujitsu Scientific &amp; Technical Journal</w:t>
      </w:r>
      <w:r w:rsidRPr="00C516D5">
        <w:rPr>
          <w:rFonts w:cs="Times New Roman"/>
        </w:rPr>
        <w:t>, </w:t>
      </w:r>
      <w:r w:rsidRPr="00C516D5">
        <w:rPr>
          <w:rFonts w:cs="Times New Roman"/>
          <w:i/>
          <w:iCs/>
        </w:rPr>
        <w:t>53</w:t>
      </w:r>
      <w:r w:rsidRPr="00C516D5">
        <w:rPr>
          <w:rFonts w:cs="Times New Roman"/>
        </w:rPr>
        <w:t>(1), pp.3-10.</w:t>
      </w:r>
    </w:p>
    <w:p w14:paraId="74CD2806" w14:textId="77777777" w:rsidR="009C7B92" w:rsidRPr="00C516D5" w:rsidRDefault="009C7B92" w:rsidP="009C7B92">
      <w:pPr>
        <w:spacing w:line="360" w:lineRule="auto"/>
        <w:jc w:val="both"/>
        <w:rPr>
          <w:rFonts w:cs="Times New Roman"/>
        </w:rPr>
      </w:pPr>
      <w:r w:rsidRPr="00C516D5">
        <w:rPr>
          <w:rFonts w:cs="Times New Roman"/>
        </w:rPr>
        <w:t>Newman, P.A., 2016. Towards a science of community engagement. </w:t>
      </w:r>
      <w:r w:rsidRPr="00C516D5">
        <w:rPr>
          <w:rFonts w:cs="Times New Roman"/>
          <w:i/>
          <w:iCs/>
        </w:rPr>
        <w:t>The Lancet</w:t>
      </w:r>
      <w:r w:rsidRPr="00C516D5">
        <w:rPr>
          <w:rFonts w:cs="Times New Roman"/>
        </w:rPr>
        <w:t>, </w:t>
      </w:r>
      <w:r w:rsidRPr="00C516D5">
        <w:rPr>
          <w:rFonts w:cs="Times New Roman"/>
          <w:i/>
          <w:iCs/>
        </w:rPr>
        <w:t>367</w:t>
      </w:r>
      <w:r w:rsidRPr="00C516D5">
        <w:rPr>
          <w:rFonts w:cs="Times New Roman"/>
        </w:rPr>
        <w:t>(9507), p.302.</w:t>
      </w:r>
    </w:p>
    <w:p w14:paraId="7D855AAC" w14:textId="77777777" w:rsidR="009C7B92" w:rsidRPr="00C516D5" w:rsidRDefault="009C7B92" w:rsidP="009C7B92">
      <w:pPr>
        <w:spacing w:line="360" w:lineRule="auto"/>
        <w:jc w:val="both"/>
        <w:rPr>
          <w:rFonts w:cs="Times New Roman"/>
        </w:rPr>
      </w:pPr>
      <w:r w:rsidRPr="00C516D5">
        <w:rPr>
          <w:rFonts w:cs="Times New Roman"/>
        </w:rPr>
        <w:t>Wada, Y., Iyoda, S., Takamure, H., Kameta, M. and Taniuchi, Y., 2017. FUJITSU Cloud Service K5 IaaS for Growth and Innovation of Digital Business. </w:t>
      </w:r>
      <w:r w:rsidRPr="00C516D5">
        <w:rPr>
          <w:rFonts w:cs="Times New Roman"/>
          <w:i/>
          <w:iCs/>
        </w:rPr>
        <w:t>FUJITSU SCIENTIFIC &amp; TECHNICAL JOURNAL</w:t>
      </w:r>
      <w:r w:rsidRPr="00C516D5">
        <w:rPr>
          <w:rFonts w:cs="Times New Roman"/>
        </w:rPr>
        <w:t>, </w:t>
      </w:r>
      <w:r w:rsidRPr="00C516D5">
        <w:rPr>
          <w:rFonts w:cs="Times New Roman"/>
          <w:i/>
          <w:iCs/>
        </w:rPr>
        <w:t>53</w:t>
      </w:r>
      <w:r w:rsidRPr="00C516D5">
        <w:rPr>
          <w:rFonts w:cs="Times New Roman"/>
        </w:rPr>
        <w:t>(1), pp.11-16.</w:t>
      </w:r>
    </w:p>
    <w:sectPr w:rsidR="009C7B92" w:rsidRPr="00C516D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22D22" w14:textId="77777777" w:rsidR="008318BF" w:rsidRDefault="008318BF" w:rsidP="009C7B92">
      <w:pPr>
        <w:spacing w:after="0" w:line="240" w:lineRule="auto"/>
      </w:pPr>
      <w:r>
        <w:separator/>
      </w:r>
    </w:p>
  </w:endnote>
  <w:endnote w:type="continuationSeparator" w:id="0">
    <w:p w14:paraId="7AD818C0" w14:textId="77777777" w:rsidR="008318BF" w:rsidRDefault="008318BF" w:rsidP="009C7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5984801"/>
      <w:docPartObj>
        <w:docPartGallery w:val="Page Numbers (Bottom of Page)"/>
        <w:docPartUnique/>
      </w:docPartObj>
    </w:sdtPr>
    <w:sdtEndPr>
      <w:rPr>
        <w:noProof/>
      </w:rPr>
    </w:sdtEndPr>
    <w:sdtContent>
      <w:p w14:paraId="29A31ADF" w14:textId="009EE4B9" w:rsidR="009C7B92" w:rsidRDefault="009C7B9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974C3FA" w14:textId="77777777" w:rsidR="009C7B92" w:rsidRDefault="009C7B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BA44F" w14:textId="77777777" w:rsidR="008318BF" w:rsidRDefault="008318BF" w:rsidP="009C7B92">
      <w:pPr>
        <w:spacing w:after="0" w:line="240" w:lineRule="auto"/>
      </w:pPr>
      <w:r>
        <w:separator/>
      </w:r>
    </w:p>
  </w:footnote>
  <w:footnote w:type="continuationSeparator" w:id="0">
    <w:p w14:paraId="38072536" w14:textId="77777777" w:rsidR="008318BF" w:rsidRDefault="008318BF" w:rsidP="009C7B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B6907"/>
    <w:multiLevelType w:val="hybridMultilevel"/>
    <w:tmpl w:val="FFB456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4792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713B"/>
    <w:rsid w:val="0004563C"/>
    <w:rsid w:val="001B3D23"/>
    <w:rsid w:val="001F2B91"/>
    <w:rsid w:val="00393881"/>
    <w:rsid w:val="004B2F04"/>
    <w:rsid w:val="00540420"/>
    <w:rsid w:val="00586E49"/>
    <w:rsid w:val="005C767E"/>
    <w:rsid w:val="005D1CB2"/>
    <w:rsid w:val="0060713B"/>
    <w:rsid w:val="006C12B1"/>
    <w:rsid w:val="007008C3"/>
    <w:rsid w:val="008318BF"/>
    <w:rsid w:val="009C7B92"/>
    <w:rsid w:val="00A214A3"/>
    <w:rsid w:val="00BE20ED"/>
    <w:rsid w:val="00C3282F"/>
    <w:rsid w:val="00C516D5"/>
    <w:rsid w:val="00C76E1E"/>
    <w:rsid w:val="00C82A8F"/>
    <w:rsid w:val="00D713E2"/>
    <w:rsid w:val="00DF32AF"/>
    <w:rsid w:val="00EA41DC"/>
    <w:rsid w:val="00F4447C"/>
    <w:rsid w:val="00FA2114"/>
    <w:rsid w:val="00FB7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B5112"/>
  <w15:chartTrackingRefBased/>
  <w15:docId w15:val="{EDAC036A-4D3F-4888-9D8B-18AE6D670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CEA"/>
    <w:rPr>
      <w:rFonts w:ascii="Times New Roman" w:hAnsi="Times New Roman"/>
      <w:sz w:val="24"/>
    </w:rPr>
  </w:style>
  <w:style w:type="paragraph" w:styleId="Heading1">
    <w:name w:val="heading 1"/>
    <w:basedOn w:val="Normal"/>
    <w:next w:val="Normal"/>
    <w:link w:val="Heading1Char"/>
    <w:autoRedefine/>
    <w:uiPriority w:val="9"/>
    <w:qFormat/>
    <w:rsid w:val="00393881"/>
    <w:pPr>
      <w:keepNext/>
      <w:keepLines/>
      <w:spacing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semiHidden/>
    <w:unhideWhenUsed/>
    <w:qFormat/>
    <w:rsid w:val="005C767E"/>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881"/>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semiHidden/>
    <w:rsid w:val="005C767E"/>
    <w:rPr>
      <w:rFonts w:ascii="Times New Roman" w:eastAsiaTheme="majorEastAsia" w:hAnsi="Times New Roman" w:cstheme="majorBidi"/>
      <w:b/>
      <w:color w:val="2F5496" w:themeColor="accent1" w:themeShade="BF"/>
      <w:sz w:val="24"/>
      <w:szCs w:val="26"/>
    </w:rPr>
  </w:style>
  <w:style w:type="paragraph" w:styleId="TOCHeading">
    <w:name w:val="TOC Heading"/>
    <w:basedOn w:val="Heading1"/>
    <w:next w:val="Normal"/>
    <w:uiPriority w:val="39"/>
    <w:unhideWhenUsed/>
    <w:qFormat/>
    <w:rsid w:val="004B2F04"/>
    <w:pPr>
      <w:spacing w:before="240"/>
      <w:outlineLvl w:val="9"/>
    </w:pPr>
    <w:rPr>
      <w:rFonts w:asciiTheme="majorHAnsi" w:hAnsiTheme="majorHAnsi"/>
      <w:b w:val="0"/>
      <w:sz w:val="32"/>
    </w:rPr>
  </w:style>
  <w:style w:type="paragraph" w:styleId="TOC1">
    <w:name w:val="toc 1"/>
    <w:basedOn w:val="Normal"/>
    <w:next w:val="Normal"/>
    <w:autoRedefine/>
    <w:uiPriority w:val="39"/>
    <w:unhideWhenUsed/>
    <w:rsid w:val="004B2F04"/>
    <w:pPr>
      <w:spacing w:after="100"/>
    </w:pPr>
  </w:style>
  <w:style w:type="character" w:styleId="Hyperlink">
    <w:name w:val="Hyperlink"/>
    <w:basedOn w:val="DefaultParagraphFont"/>
    <w:uiPriority w:val="99"/>
    <w:unhideWhenUsed/>
    <w:rsid w:val="004B2F04"/>
    <w:rPr>
      <w:color w:val="0563C1" w:themeColor="hyperlink"/>
      <w:u w:val="single"/>
    </w:rPr>
  </w:style>
  <w:style w:type="paragraph" w:styleId="ListParagraph">
    <w:name w:val="List Paragraph"/>
    <w:basedOn w:val="Normal"/>
    <w:uiPriority w:val="34"/>
    <w:qFormat/>
    <w:rsid w:val="00586E49"/>
    <w:pPr>
      <w:ind w:left="720"/>
      <w:contextualSpacing/>
    </w:pPr>
  </w:style>
  <w:style w:type="paragraph" w:styleId="Header">
    <w:name w:val="header"/>
    <w:basedOn w:val="Normal"/>
    <w:link w:val="HeaderChar"/>
    <w:uiPriority w:val="99"/>
    <w:unhideWhenUsed/>
    <w:rsid w:val="009C7B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7B92"/>
    <w:rPr>
      <w:rFonts w:ascii="Times New Roman" w:hAnsi="Times New Roman"/>
      <w:sz w:val="24"/>
    </w:rPr>
  </w:style>
  <w:style w:type="paragraph" w:styleId="Footer">
    <w:name w:val="footer"/>
    <w:basedOn w:val="Normal"/>
    <w:link w:val="FooterChar"/>
    <w:uiPriority w:val="99"/>
    <w:unhideWhenUsed/>
    <w:rsid w:val="009C7B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7B9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2482</Words>
  <Characters>14148</Characters>
  <Application>Microsoft Office Word</Application>
  <DocSecurity>0</DocSecurity>
  <Lines>117</Lines>
  <Paragraphs>33</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Community Engagement Program: Fujitsu</vt:lpstr>
      <vt:lpstr>Identifying relationship between the stakeholders</vt:lpstr>
      <vt:lpstr>Significance of stakeholder participation</vt:lpstr>
      <vt:lpstr>Strategies for stakeholder engagement</vt:lpstr>
      <vt:lpstr>Approach moving forward</vt:lpstr>
      <vt:lpstr>Conclusion</vt:lpstr>
      <vt:lpstr>References</vt:lpstr>
    </vt:vector>
  </TitlesOfParts>
  <Company/>
  <LinksUpToDate>false</LinksUpToDate>
  <CharactersWithSpaces>16597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sumyum</dc:creator>
  <cp:keywords/>
  <dc:description/>
  <cp:lastModifiedBy>Silvia Borcila (2118502)</cp:lastModifiedBy>
  <cp:revision>3</cp:revision>
  <dcterms:created xsi:type="dcterms:W3CDTF">2022-07-09T08:19:00Z</dcterms:created>
  <dcterms:modified xsi:type="dcterms:W3CDTF">2022-07-09T08:32:00Z</dcterms:modified>
</cp:coreProperties>
</file>