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8E2CD9F" w14:textId="19A5F2E9" w:rsidR="007F58D3" w:rsidRDefault="007F58D3" w:rsidP="00A42CC4">
      <w:r>
        <w:t>Liliana Alves</w:t>
      </w:r>
    </w:p>
    <w:p w14:paraId="40E6A905" w14:textId="759783B0" w:rsidR="007F58D3" w:rsidRDefault="007F58D3" w:rsidP="00A42CC4">
      <w:r>
        <w:t>2617092</w:t>
      </w:r>
    </w:p>
    <w:p w14:paraId="3AD76E13" w14:textId="6D857317" w:rsidR="007F58D3" w:rsidRDefault="007F58D3" w:rsidP="00A42CC4">
      <w:proofErr w:type="spellStart"/>
      <w:r>
        <w:t>Hajra</w:t>
      </w:r>
      <w:proofErr w:type="spellEnd"/>
      <w:r>
        <w:t xml:space="preserve"> </w:t>
      </w:r>
      <w:proofErr w:type="spellStart"/>
      <w:r>
        <w:t>Mus</w:t>
      </w:r>
      <w:r w:rsidR="008D11DA">
        <w:t>tasim</w:t>
      </w:r>
      <w:proofErr w:type="spellEnd"/>
    </w:p>
    <w:p w14:paraId="3FC8AD3E" w14:textId="77777777" w:rsidR="007F58D3" w:rsidRDefault="007F58D3" w:rsidP="00A42CC4"/>
    <w:p w14:paraId="1D0AAEDE" w14:textId="7FF6F2AC" w:rsidR="00A42CC4" w:rsidRDefault="00A42CC4" w:rsidP="00A42CC4">
      <w:r>
        <w:t>Research Report — Stanley &amp; Sebastian (2023)</w:t>
      </w:r>
    </w:p>
    <w:p w14:paraId="6C320F1A" w14:textId="6D7172DC" w:rsidR="00C32514" w:rsidRDefault="00C32514" w:rsidP="00A42CC4"/>
    <w:p w14:paraId="60E4CCAA" w14:textId="34AA9515" w:rsidR="00A42CC4" w:rsidRPr="00D162E5" w:rsidRDefault="00A42CC4" w:rsidP="00A42CC4">
      <w:pPr>
        <w:rPr>
          <w:b/>
          <w:bCs/>
        </w:rPr>
      </w:pPr>
      <w:r w:rsidRPr="00D162E5">
        <w:rPr>
          <w:b/>
          <w:bCs/>
        </w:rPr>
        <w:t>SECTION 1: INTRODUCING THE RESEARCH PAPER AND TOPIC DEVELOPMENT</w:t>
      </w:r>
    </w:p>
    <w:p w14:paraId="2C2A7F3E" w14:textId="77777777" w:rsidR="00A42CC4" w:rsidRDefault="00A42CC4" w:rsidP="00A42CC4"/>
    <w:p w14:paraId="75602FFB" w14:textId="77777777" w:rsidR="00A42CC4" w:rsidRDefault="00A42CC4" w:rsidP="00A42CC4">
      <w:r>
        <w:t>Title of the research paper: Work-life balance, social support, and burnout: A quantitative study of social workers</w:t>
      </w:r>
    </w:p>
    <w:p w14:paraId="061DB4CF" w14:textId="77777777" w:rsidR="00A42CC4" w:rsidRDefault="00A42CC4" w:rsidP="00A42CC4">
      <w:r>
        <w:t xml:space="preserve">Authors: </w:t>
      </w:r>
      <w:proofErr w:type="spellStart"/>
      <w:r>
        <w:t>Selwyn</w:t>
      </w:r>
      <w:proofErr w:type="spellEnd"/>
      <w:r>
        <w:t xml:space="preserve"> Stanley and Anand </w:t>
      </w:r>
      <w:proofErr w:type="spellStart"/>
      <w:r>
        <w:t>Jerard</w:t>
      </w:r>
      <w:proofErr w:type="spellEnd"/>
      <w:r>
        <w:t xml:space="preserve"> Sebastian</w:t>
      </w:r>
    </w:p>
    <w:p w14:paraId="3CAE3002" w14:textId="77777777" w:rsidR="00A42CC4" w:rsidRDefault="00A42CC4" w:rsidP="00A42CC4">
      <w:r>
        <w:t>Year of publication: 2023</w:t>
      </w:r>
    </w:p>
    <w:p w14:paraId="01748928" w14:textId="77777777" w:rsidR="00A42CC4" w:rsidRDefault="00A42CC4" w:rsidP="00A42CC4">
      <w:r>
        <w:t>Journal: Journal of Social Work</w:t>
      </w:r>
    </w:p>
    <w:p w14:paraId="23252627" w14:textId="77777777" w:rsidR="00AE43BF" w:rsidRDefault="00AE43BF" w:rsidP="00AE43BF"/>
    <w:p w14:paraId="63356DF3" w14:textId="7A77597D" w:rsidR="00AE43BF" w:rsidRDefault="00AE43BF" w:rsidP="00AE43BF">
      <w:r>
        <w:t xml:space="preserve">In this article work–life balance, social support and burnout of social workers are studied. Burnout (emotional exhaustion, </w:t>
      </w:r>
      <w:r w:rsidR="0038647F">
        <w:t>depersonalisation,</w:t>
      </w:r>
      <w:r>
        <w:t xml:space="preserve"> and lack of personal accomplishment) is a problem in the field because of heavy workloads, high emotional demands and lack of resources (heavy workload, high emotional demands and insufficient resources). The study sought to find out how perceived social support and ability to maintain work-life balance affect burnout levels among social workers. 73 active social workers from India were surveyed using three </w:t>
      </w:r>
      <w:r w:rsidR="00DD5BF4">
        <w:t>standardised</w:t>
      </w:r>
      <w:r>
        <w:t xml:space="preserve"> instruments with basic demographic questions.</w:t>
      </w:r>
    </w:p>
    <w:p w14:paraId="13C7DD92" w14:textId="77777777" w:rsidR="00AE43BF" w:rsidRDefault="00AE43BF" w:rsidP="00AE43BF"/>
    <w:p w14:paraId="1957DE7B" w14:textId="1701C64A" w:rsidR="00AE43BF" w:rsidRDefault="00AE43BF" w:rsidP="00AE43BF">
      <w:r>
        <w:t xml:space="preserve">The relevance of this topic is immediate to health and social care in the UK where similar pressures on social workers and care staff lead to higher burnout rates which drive high turnover rates, sickness absence and poor quality care (NHS Employers 2022). These conditions add further pressure to already stretched services. Factors that either prevent or </w:t>
      </w:r>
      <w:r w:rsidR="00C25B16">
        <w:t>worsen</w:t>
      </w:r>
      <w:r>
        <w:t xml:space="preserve"> burnout were identified so evidence can be used for workplace policies, </w:t>
      </w:r>
      <w:r w:rsidR="000D3E45">
        <w:t>supervision,</w:t>
      </w:r>
      <w:r>
        <w:t xml:space="preserve"> and wellbeing initiatives across the UK workforce. They also relate to UK </w:t>
      </w:r>
      <w:r w:rsidR="00B01E84">
        <w:t>goals</w:t>
      </w:r>
      <w:r>
        <w:t xml:space="preserve"> around workforce retention and sustainability as described recently in analyses of the social care workforce (Skills for Care 2024).</w:t>
      </w:r>
    </w:p>
    <w:p w14:paraId="5AFED246" w14:textId="77777777" w:rsidR="00AE43BF" w:rsidRDefault="00AE43BF" w:rsidP="00AE43BF"/>
    <w:p w14:paraId="37D11B59" w14:textId="77777777" w:rsidR="00DD5BF4" w:rsidRDefault="00DD5BF4" w:rsidP="00AE43BF">
      <w:pPr>
        <w:rPr>
          <w:b/>
          <w:bCs/>
        </w:rPr>
      </w:pPr>
    </w:p>
    <w:p w14:paraId="7CD5AD1B" w14:textId="6A0408C3" w:rsidR="00AE43BF" w:rsidRPr="00DD5BF4" w:rsidRDefault="00AE43BF" w:rsidP="00AE43BF">
      <w:pPr>
        <w:rPr>
          <w:b/>
          <w:bCs/>
        </w:rPr>
      </w:pPr>
      <w:r w:rsidRPr="00DD5BF4">
        <w:rPr>
          <w:b/>
          <w:bCs/>
        </w:rPr>
        <w:lastRenderedPageBreak/>
        <w:t>SECTION 2: UNDERSTANDING THE PURPOSE AND RESEARCH QUESTION</w:t>
      </w:r>
    </w:p>
    <w:p w14:paraId="2C5ED14E" w14:textId="77777777" w:rsidR="00AE43BF" w:rsidRDefault="00AE43BF" w:rsidP="00AE43BF"/>
    <w:p w14:paraId="4C9077C6" w14:textId="77777777" w:rsidR="00AE43BF" w:rsidRDefault="00AE43BF" w:rsidP="00AE43BF">
      <w:r>
        <w:t>The study sought to determine whether work–life balance and perceived social support were predictors of burnout among social workers; reported levels of burnout, support and work-life imbalance by participants; if scores differ across demographic groups; and how strong the correlation between predictor variables and burnout outcomes was. Authors also wanted practical recommendations for improving wellbeing and reducing burnout in the profession.</w:t>
      </w:r>
    </w:p>
    <w:p w14:paraId="5904A754" w14:textId="63230976" w:rsidR="00AE43BF" w:rsidRDefault="00AE43BF" w:rsidP="00AE43BF"/>
    <w:p w14:paraId="2294391A" w14:textId="77777777" w:rsidR="00AE43BF" w:rsidRDefault="00AE43BF" w:rsidP="00AE43BF"/>
    <w:p w14:paraId="2B5F7064" w14:textId="23E9E965" w:rsidR="00AE43BF" w:rsidRPr="00214773" w:rsidRDefault="00AE43BF" w:rsidP="00AE43BF">
      <w:pPr>
        <w:rPr>
          <w:b/>
          <w:bCs/>
        </w:rPr>
      </w:pPr>
      <w:r w:rsidRPr="00214773">
        <w:rPr>
          <w:b/>
          <w:bCs/>
        </w:rPr>
        <w:t>SECTION 3: UNDERSTANDING THE RESEARCH METHODS</w:t>
      </w:r>
    </w:p>
    <w:p w14:paraId="3E8EB69F" w14:textId="77777777" w:rsidR="00F541B4" w:rsidRDefault="00F541B4" w:rsidP="00AE43BF"/>
    <w:p w14:paraId="25CA3CE1" w14:textId="69F030D8" w:rsidR="00AE43BF" w:rsidRDefault="00AE43BF" w:rsidP="00AE43BF">
      <w:r>
        <w:t>Overview of Research Approaches</w:t>
      </w:r>
    </w:p>
    <w:p w14:paraId="5A8E3E7B" w14:textId="77777777" w:rsidR="00AE43BF" w:rsidRDefault="00AE43BF" w:rsidP="00AE43BF"/>
    <w:p w14:paraId="1DFFDE1C" w14:textId="77777777" w:rsidR="00AE43BF" w:rsidRDefault="00AE43BF" w:rsidP="00AE43BF">
      <w:r>
        <w:t>There are three broad types of research methodologies (quantitative, qualitative and mixed-methods).</w:t>
      </w:r>
    </w:p>
    <w:p w14:paraId="7BF8A173" w14:textId="77777777" w:rsidR="00AE43BF" w:rsidRDefault="00AE43BF" w:rsidP="00AE43BF"/>
    <w:p w14:paraId="0C56AB59" w14:textId="1620B86A" w:rsidR="00AE43BF" w:rsidRDefault="00AE43BF" w:rsidP="00AE43BF">
      <w:r>
        <w:t xml:space="preserve">Quantitative research measures variables numerically. Structured data is gathered from samples using statistical techniques to find patterns or differences between groups; it answers questions about prevalence or correlation strength but </w:t>
      </w:r>
      <w:r w:rsidR="00C5658A">
        <w:t>generalisability</w:t>
      </w:r>
      <w:r>
        <w:t xml:space="preserve"> is possible only when samples are representative (</w:t>
      </w:r>
      <w:proofErr w:type="spellStart"/>
      <w:r>
        <w:t>Creswell</w:t>
      </w:r>
      <w:proofErr w:type="spellEnd"/>
      <w:r>
        <w:t>, 2021).</w:t>
      </w:r>
    </w:p>
    <w:p w14:paraId="73F81E77" w14:textId="77777777" w:rsidR="00AE43BF" w:rsidRDefault="00AE43BF" w:rsidP="00AE43BF"/>
    <w:p w14:paraId="10B5B0B9" w14:textId="5B4024A3" w:rsidR="00AE43BF" w:rsidRDefault="00AE43BF" w:rsidP="00AE43BF">
      <w:r>
        <w:t xml:space="preserve">Qualitative research aims to understand experiences, </w:t>
      </w:r>
      <w:r w:rsidR="006579EA">
        <w:t>meanings,</w:t>
      </w:r>
      <w:r>
        <w:t xml:space="preserve"> and viewpoints. Interviews or focus groups are used to collect descriptive (non-numerical) data which is then analysed for themes; it helps us understand the human context behind statistical trends but does not give quantitative data (Braun &amp; Clarke, 2022).</w:t>
      </w:r>
    </w:p>
    <w:p w14:paraId="2549557E" w14:textId="77777777" w:rsidR="00AE43BF" w:rsidRDefault="00AE43BF" w:rsidP="00AE43BF"/>
    <w:p w14:paraId="096183AA" w14:textId="77777777" w:rsidR="00AE43BF" w:rsidRDefault="00AE43BF" w:rsidP="00AE43BF">
      <w:r>
        <w:t>Mixed methods research combines both approaches so that researchers can glean statistical information and contextual information from the same study.</w:t>
      </w:r>
    </w:p>
    <w:p w14:paraId="7D04CFC5" w14:textId="77777777" w:rsidR="00AE43BF" w:rsidRDefault="00AE43BF" w:rsidP="00AE43BF"/>
    <w:p w14:paraId="3CA3AF8E" w14:textId="7FCA7616" w:rsidR="00AE43BF" w:rsidRPr="00C475E4" w:rsidRDefault="00AE43BF" w:rsidP="00AE43BF">
      <w:pPr>
        <w:rPr>
          <w:i/>
          <w:iCs/>
        </w:rPr>
      </w:pPr>
      <w:r w:rsidRPr="00C475E4">
        <w:rPr>
          <w:i/>
          <w:iCs/>
        </w:rPr>
        <w:t>Method Selected for This Study</w:t>
      </w:r>
    </w:p>
    <w:p w14:paraId="6E929F25" w14:textId="77777777" w:rsidR="00AE43BF" w:rsidRDefault="00AE43BF" w:rsidP="00AE43BF"/>
    <w:p w14:paraId="09F03000" w14:textId="77777777" w:rsidR="00AE43BF" w:rsidRDefault="00AE43BF" w:rsidP="00AE43BF">
      <w:r>
        <w:lastRenderedPageBreak/>
        <w:t>The paper used quantitative methods (cross-sectional survey design) because the questions asked for measurable data on three different constructs (burnout levels as well as perceptions of social support and work–life balance) and statistical examination of predictive relationships. The survey format allowed all participants to be provided with standardised information while quantifying the strength and significance of associations (Stanley &amp; Sebastian, 2023).</w:t>
      </w:r>
    </w:p>
    <w:p w14:paraId="5E6E3682" w14:textId="77777777" w:rsidR="00AE43BF" w:rsidRDefault="00AE43BF" w:rsidP="00AE43BF"/>
    <w:p w14:paraId="452DF025" w14:textId="7F005513" w:rsidR="00AE43BF" w:rsidRDefault="00AE43BF" w:rsidP="00AE43BF">
      <w:r>
        <w:t>Primary vs Secondary Data</w:t>
      </w:r>
    </w:p>
    <w:p w14:paraId="0E6289E5" w14:textId="77777777" w:rsidR="00AE43BF" w:rsidRDefault="00AE43BF" w:rsidP="00AE43BF"/>
    <w:p w14:paraId="7550D07C" w14:textId="77777777" w:rsidR="00AE43BF" w:rsidRDefault="00AE43BF" w:rsidP="00AE43BF">
      <w:r>
        <w:t>Primary data are information gathered directly from participants for this study (originally collected relevantly to its aims). Secondary data are information that has been collected by others before (published statistics, earlier datasets etc) for another purpose. In our study we used only primary data collected directly from the social workers participating in it (no existing datasets were used).</w:t>
      </w:r>
    </w:p>
    <w:p w14:paraId="385B0B06" w14:textId="77777777" w:rsidR="00AE43BF" w:rsidRDefault="00AE43BF" w:rsidP="00AE43BF"/>
    <w:p w14:paraId="17C2C743" w14:textId="3A29947A" w:rsidR="00AE43BF" w:rsidRDefault="00AE43BF" w:rsidP="00AE43BF">
      <w:r>
        <w:t>Data Collection</w:t>
      </w:r>
    </w:p>
    <w:p w14:paraId="26632644" w14:textId="77777777" w:rsidR="00AE43BF" w:rsidRDefault="00AE43BF" w:rsidP="00AE43BF"/>
    <w:p w14:paraId="44BFB8C6" w14:textId="33205EFD" w:rsidR="00AE43BF" w:rsidRDefault="00AE43BF" w:rsidP="00AE43BF">
      <w:r>
        <w:t xml:space="preserve">They used a self-report questionnaire with three validated </w:t>
      </w:r>
      <w:r w:rsidR="00313335">
        <w:t>standardised</w:t>
      </w:r>
      <w:r>
        <w:t xml:space="preserve"> scales (burnout levels; perceived social support; work–life balance). Demographic data (age</w:t>
      </w:r>
      <w:r w:rsidR="004932DA">
        <w:t>,</w:t>
      </w:r>
      <w:r>
        <w:t xml:space="preserve"> gender</w:t>
      </w:r>
      <w:r w:rsidR="004932DA">
        <w:t>,</w:t>
      </w:r>
      <w:r>
        <w:t xml:space="preserve"> years of professional experience) were also collected. Participants were 73 social workers from different practice settings in India. Data collection was done once (cross sectional design), so results cannot </w:t>
      </w:r>
      <w:r w:rsidR="00127AF0">
        <w:t xml:space="preserve">be generalised </w:t>
      </w:r>
      <w:r>
        <w:t>over time.</w:t>
      </w:r>
    </w:p>
    <w:p w14:paraId="0A205501" w14:textId="77777777" w:rsidR="00AE43BF" w:rsidRDefault="00AE43BF" w:rsidP="00AE43BF"/>
    <w:p w14:paraId="1569CF5F" w14:textId="7373DF02" w:rsidR="00AE43BF" w:rsidRDefault="00AE43BF" w:rsidP="00AE43BF">
      <w:r>
        <w:t>Data Analysis</w:t>
      </w:r>
    </w:p>
    <w:p w14:paraId="17453858" w14:textId="77777777" w:rsidR="00AE43BF" w:rsidRDefault="00AE43BF" w:rsidP="00AE43BF"/>
    <w:p w14:paraId="558F50B9" w14:textId="3E8E87D0" w:rsidR="00AE43BF" w:rsidRDefault="00AE43BF" w:rsidP="00AE43BF">
      <w:r>
        <w:t xml:space="preserve">Multiple regression analysis was used to </w:t>
      </w:r>
      <w:r w:rsidR="00377754">
        <w:t>analyse</w:t>
      </w:r>
      <w:r>
        <w:t xml:space="preserve"> the data (statistical method for determining how well a set of predictor variables explains variation in an outcome variable — here whether scores on social support and work-life balance predict reported levels of burnout). Descriptive statistics were produced showing average scores as well as variability in responses and comparative tests compared groups. Results were presented as statistically significant or not; effect size showed reliability/strength of relationship.</w:t>
      </w:r>
    </w:p>
    <w:p w14:paraId="7618B15B" w14:textId="77777777" w:rsidR="00AE43BF" w:rsidRDefault="00AE43BF" w:rsidP="00AE43BF"/>
    <w:p w14:paraId="2C58DC55" w14:textId="3BFC5F35" w:rsidR="00AE43BF" w:rsidRDefault="00AE43BF" w:rsidP="00AE43BF"/>
    <w:p w14:paraId="68096E7C" w14:textId="77777777" w:rsidR="00AE43BF" w:rsidRDefault="00AE43BF" w:rsidP="00AE43BF"/>
    <w:p w14:paraId="4064C46F" w14:textId="500B97D2" w:rsidR="000D6283" w:rsidRPr="000D6283" w:rsidRDefault="00AE43BF" w:rsidP="00AE43BF">
      <w:pPr>
        <w:rPr>
          <w:b/>
          <w:bCs/>
        </w:rPr>
      </w:pPr>
      <w:r w:rsidRPr="000D6283">
        <w:rPr>
          <w:b/>
          <w:bCs/>
        </w:rPr>
        <w:t>SECTION 4: CONCLUSION</w:t>
      </w:r>
    </w:p>
    <w:p w14:paraId="5BD258DD" w14:textId="77777777" w:rsidR="00AE43BF" w:rsidRDefault="00AE43BF" w:rsidP="00AE43BF"/>
    <w:p w14:paraId="2FA7F273" w14:textId="6AC49C52" w:rsidR="00AE43BF" w:rsidRDefault="00AE43BF" w:rsidP="00AE43BF">
      <w:r>
        <w:t>Summary of Main Findings</w:t>
      </w:r>
    </w:p>
    <w:p w14:paraId="590CE949" w14:textId="77777777" w:rsidR="00AE43BF" w:rsidRDefault="00AE43BF" w:rsidP="00AE43BF"/>
    <w:p w14:paraId="5F5E889C" w14:textId="77777777" w:rsidR="00AE43BF" w:rsidRDefault="00AE43BF" w:rsidP="00AE43BF">
      <w:r>
        <w:t>Both perceived social support and work–life balance were key predictors of burnout in surveyed social workers — lower perceptions of support and poor work–life balance were strongly associated with higher burnout scores. The authors concluded that organisational change supporting supportive environments as well as strategies to help staff maintain healthy boundaries between their professional lives and personal lives are needed to reduce burnout but also self-care strategies (including reflective practice) should be used in combination too. Although an Indian sample was used these findings have international relevance (also UK contexts for social work and care settings).</w:t>
      </w:r>
    </w:p>
    <w:p w14:paraId="48ABA283" w14:textId="77777777" w:rsidR="00AE43BF" w:rsidRDefault="00AE43BF" w:rsidP="00AE43BF"/>
    <w:p w14:paraId="7B864D42" w14:textId="766418AC" w:rsidR="00AE43BF" w:rsidRDefault="00AE43BF" w:rsidP="00AE43BF">
      <w:r>
        <w:t>Reflection on Research Skills</w:t>
      </w:r>
    </w:p>
    <w:p w14:paraId="6A4EDCBA" w14:textId="77777777" w:rsidR="00AE43BF" w:rsidRDefault="00AE43BF" w:rsidP="00AE43BF"/>
    <w:p w14:paraId="6E76C03B" w14:textId="77777777" w:rsidR="00AE43BF" w:rsidRDefault="00AE43BF" w:rsidP="00AE43BF">
      <w:r>
        <w:t>By completing this assignment I have become aware of quantitative research’s place in evidence based practice. How standardised tools and statistical methods can identify relationships that qualitative alone cannot; where primary data vs secondary data should be used depending on context etc — skills for critical appraisal needed as part of my academic journey into future career in health/social care too. Knowing this evidence base allows me to contribute towards person-centred practice but also know how rigorous research drives service quality improvement AND staff welfare.</w:t>
      </w:r>
    </w:p>
    <w:p w14:paraId="5CB99084" w14:textId="77777777" w:rsidR="00AE43BF" w:rsidRDefault="00AE43BF" w:rsidP="00AE43BF"/>
    <w:p w14:paraId="55EA062C" w14:textId="55A4505A" w:rsidR="00AE43BF" w:rsidRDefault="00AE43BF" w:rsidP="00AE43BF"/>
    <w:p w14:paraId="08A0E386" w14:textId="77777777" w:rsidR="001C676E" w:rsidRDefault="001C676E" w:rsidP="00AE43BF"/>
    <w:p w14:paraId="3ED6D03B" w14:textId="77777777" w:rsidR="001C676E" w:rsidRDefault="001C676E" w:rsidP="00AE43BF"/>
    <w:p w14:paraId="45B1EC0C" w14:textId="77777777" w:rsidR="001C676E" w:rsidRDefault="001C676E" w:rsidP="00AE43BF"/>
    <w:p w14:paraId="4138CFE2" w14:textId="77777777" w:rsidR="001C676E" w:rsidRDefault="001C676E" w:rsidP="00AE43BF"/>
    <w:p w14:paraId="03843CEC" w14:textId="77777777" w:rsidR="001C676E" w:rsidRDefault="001C676E" w:rsidP="00AE43BF"/>
    <w:p w14:paraId="45E54A24" w14:textId="77777777" w:rsidR="001C676E" w:rsidRDefault="001C676E" w:rsidP="00AE43BF"/>
    <w:p w14:paraId="0DFBA73F" w14:textId="77777777" w:rsidR="00AE43BF" w:rsidRDefault="00AE43BF" w:rsidP="00AE43BF"/>
    <w:p w14:paraId="0A4BC686" w14:textId="01DFC644" w:rsidR="00AE43BF" w:rsidRPr="000D6283" w:rsidRDefault="00AE43BF" w:rsidP="00AE43BF">
      <w:pPr>
        <w:rPr>
          <w:b/>
          <w:bCs/>
        </w:rPr>
      </w:pPr>
      <w:r w:rsidRPr="000D6283">
        <w:rPr>
          <w:b/>
          <w:bCs/>
        </w:rPr>
        <w:lastRenderedPageBreak/>
        <w:t>References</w:t>
      </w:r>
    </w:p>
    <w:p w14:paraId="180BC3B8" w14:textId="77777777" w:rsidR="00AE43BF" w:rsidRDefault="00AE43BF" w:rsidP="00AE43BF"/>
    <w:p w14:paraId="166036CC" w14:textId="49EF7F6D" w:rsidR="00AE43BF" w:rsidRPr="00D166B0" w:rsidRDefault="00AE43BF" w:rsidP="00AE43BF">
      <w:pPr>
        <w:rPr>
          <w:lang w:val="pt-PT"/>
        </w:rPr>
      </w:pPr>
      <w:r>
        <w:t xml:space="preserve">- Braun V., Clarke V. (2022). Environmental contaminants and their effects on human health: a systematic review. Environ Health </w:t>
      </w:r>
      <w:proofErr w:type="spellStart"/>
      <w:r>
        <w:t>Perspect</w:t>
      </w:r>
      <w:proofErr w:type="spellEnd"/>
      <w:r>
        <w:t xml:space="preserve"> 130(</w:t>
      </w:r>
      <w:proofErr w:type="spellStart"/>
      <w:r>
        <w:t>Suppl</w:t>
      </w:r>
      <w:proofErr w:type="spellEnd"/>
      <w:r>
        <w:t xml:space="preserve"> 1): S4-S25. </w:t>
      </w:r>
      <w:proofErr w:type="spellStart"/>
      <w:r>
        <w:t>doi:10.1289</w:t>
      </w:r>
      <w:proofErr w:type="spellEnd"/>
      <w:r>
        <w:t>/</w:t>
      </w:r>
      <w:proofErr w:type="spellStart"/>
      <w:r>
        <w:t>ehp11318</w:t>
      </w:r>
      <w:proofErr w:type="spellEnd"/>
      <w:r>
        <w:t xml:space="preserve"> *Successful qualitative research: A practical guide for beginners.* 2nd </w:t>
      </w:r>
      <w:proofErr w:type="spellStart"/>
      <w:r>
        <w:t>edn</w:t>
      </w:r>
      <w:proofErr w:type="spellEnd"/>
      <w:r>
        <w:t>., London: SAGE.</w:t>
      </w:r>
      <w:r w:rsidR="00B33B56">
        <w:t xml:space="preserve"> </w:t>
      </w:r>
      <w:r w:rsidR="00D166B0">
        <w:t>[</w:t>
      </w:r>
      <w:r w:rsidR="00D166B0">
        <w:rPr>
          <w:lang w:val="pt-PT"/>
        </w:rPr>
        <w:t>Accessed</w:t>
      </w:r>
      <w:r w:rsidR="001061C8">
        <w:rPr>
          <w:lang w:val="pt-PT"/>
        </w:rPr>
        <w:t xml:space="preserve"> </w:t>
      </w:r>
      <w:r w:rsidR="00281C3E">
        <w:rPr>
          <w:lang w:val="pt-PT"/>
        </w:rPr>
        <w:t>21</w:t>
      </w:r>
      <w:r w:rsidR="0004542D">
        <w:rPr>
          <w:lang w:val="pt-PT"/>
        </w:rPr>
        <w:t xml:space="preserve"> October 2026</w:t>
      </w:r>
      <w:r w:rsidR="00927006">
        <w:rPr>
          <w:lang w:val="pt-PT"/>
        </w:rPr>
        <w:t>]</w:t>
      </w:r>
    </w:p>
    <w:p w14:paraId="0422F87E" w14:textId="77777777" w:rsidR="00AE43BF" w:rsidRDefault="00AE43BF" w:rsidP="00AE43BF">
      <w:r>
        <w:t xml:space="preserve">  </w:t>
      </w:r>
    </w:p>
    <w:p w14:paraId="4CA3BF15" w14:textId="5C7D82CB" w:rsidR="00AE43BF" w:rsidRPr="00372D7B" w:rsidRDefault="00AE43BF" w:rsidP="00AE43BF">
      <w:r>
        <w:t xml:space="preserve">- </w:t>
      </w:r>
      <w:proofErr w:type="spellStart"/>
      <w:r>
        <w:t>Creswell</w:t>
      </w:r>
      <w:proofErr w:type="spellEnd"/>
      <w:r>
        <w:t xml:space="preserve"> J.W.(2021). Qualitative inquiry and research design: Choosing among five approaches, 4th ed. Sage Publications Inc.. Thousand Oaks, CA. *Research design: Qualitative , quantitative and mixed methods approaches.* 5th </w:t>
      </w:r>
      <w:proofErr w:type="spellStart"/>
      <w:r>
        <w:t>edn</w:t>
      </w:r>
      <w:proofErr w:type="spellEnd"/>
      <w:r>
        <w:t xml:space="preserve">., London: SAGE. Facts and length: 5th </w:t>
      </w:r>
      <w:proofErr w:type="spellStart"/>
      <w:r>
        <w:t>edn</w:t>
      </w:r>
      <w:proofErr w:type="spellEnd"/>
      <w:r>
        <w:t>., London: SAGE.</w:t>
      </w:r>
      <w:r w:rsidR="00927006">
        <w:t xml:space="preserve"> </w:t>
      </w:r>
      <w:r w:rsidR="00372D7B">
        <w:t xml:space="preserve">[Accessed </w:t>
      </w:r>
      <w:r w:rsidR="00281C3E">
        <w:t>21</w:t>
      </w:r>
      <w:r w:rsidR="000F61B4">
        <w:t xml:space="preserve"> October 2026</w:t>
      </w:r>
      <w:r w:rsidR="00127CBA">
        <w:t>]</w:t>
      </w:r>
    </w:p>
    <w:p w14:paraId="40E66324" w14:textId="77777777" w:rsidR="00AE43BF" w:rsidRDefault="00AE43BF" w:rsidP="00AE43BF">
      <w:r>
        <w:t xml:space="preserve">  </w:t>
      </w:r>
    </w:p>
    <w:p w14:paraId="6176461A" w14:textId="3E26B9D1" w:rsidR="00AE43BF" w:rsidRDefault="00AE43BF" w:rsidP="00AE43BF">
      <w:r>
        <w:t xml:space="preserve">- NHS Employers (2022). Workforce wellbeing and retention: Guidance for employers. London: NHS Confederation. Available from: </w:t>
      </w:r>
      <w:hyperlink r:id="rId4" w:history="1">
        <w:r w:rsidR="00402DCA" w:rsidRPr="007902A1">
          <w:rPr>
            <w:rStyle w:val="Hyperlink"/>
          </w:rPr>
          <w:t>https://www.nhsemployers.org/</w:t>
        </w:r>
      </w:hyperlink>
      <w:r w:rsidR="00402DCA">
        <w:t xml:space="preserve"> </w:t>
      </w:r>
      <w:r>
        <w:t xml:space="preserve"> [Accessed 21 October 2026].</w:t>
      </w:r>
    </w:p>
    <w:p w14:paraId="116C2E1D" w14:textId="77777777" w:rsidR="00AE43BF" w:rsidRDefault="00AE43BF" w:rsidP="00AE43BF">
      <w:r>
        <w:t xml:space="preserve">  </w:t>
      </w:r>
    </w:p>
    <w:p w14:paraId="7E31B9C4" w14:textId="6FB47AFA" w:rsidR="00AE43BF" w:rsidRDefault="00AE43BF" w:rsidP="00AE43BF">
      <w:r>
        <w:t xml:space="preserve">- </w:t>
      </w:r>
      <w:proofErr w:type="spellStart"/>
      <w:r>
        <w:t>SkillsforCare</w:t>
      </w:r>
      <w:proofErr w:type="spellEnd"/>
      <w:r>
        <w:t xml:space="preserve">(2024). The stateoftheadultsocialcaresectorandworkforceinEngland. Leeds: </w:t>
      </w:r>
      <w:proofErr w:type="spellStart"/>
      <w:r>
        <w:t>SkillsforCare</w:t>
      </w:r>
      <w:proofErr w:type="spellEnd"/>
      <w:r>
        <w:t xml:space="preserve">. </w:t>
      </w:r>
      <w:r w:rsidR="00D30561">
        <w:t>Available at</w:t>
      </w:r>
      <w:r>
        <w:t xml:space="preserve"> </w:t>
      </w:r>
      <w:hyperlink r:id="rId5" w:history="1">
        <w:r w:rsidR="00402DCA" w:rsidRPr="007902A1">
          <w:rPr>
            <w:rStyle w:val="Hyperlink"/>
          </w:rPr>
          <w:t>https://www.skillsforcare.org.uk/</w:t>
        </w:r>
      </w:hyperlink>
      <w:r w:rsidR="00402DCA">
        <w:t xml:space="preserve"> </w:t>
      </w:r>
      <w:r>
        <w:t>[Accessed 21 October 2026].</w:t>
      </w:r>
    </w:p>
    <w:p w14:paraId="54B08CFD" w14:textId="77777777" w:rsidR="00AE43BF" w:rsidRDefault="00AE43BF" w:rsidP="00AE43BF">
      <w:r>
        <w:t xml:space="preserve">  </w:t>
      </w:r>
    </w:p>
    <w:p w14:paraId="141D9842" w14:textId="5D16844A" w:rsidR="00AE43BF" w:rsidRDefault="00AE43BF" w:rsidP="00AE43BF">
      <w:r>
        <w:t>- Stanley S.,&amp;SebastianA.J.(2023).*</w:t>
      </w:r>
      <w:proofErr w:type="spellStart"/>
      <w:r>
        <w:t>Work-</w:t>
      </w:r>
      <w:r w:rsidR="001B6C5F">
        <w:t>lifebalance</w:t>
      </w:r>
      <w:proofErr w:type="spellEnd"/>
      <w:r w:rsidR="001B6C5F">
        <w:t>, socialsupportandburnout</w:t>
      </w:r>
      <w:r>
        <w:t>:Aquantitativestudyofsocialworkers.JournalofSocialWork23(8):1234–1251*https://journals.sagepub.com/home/jsw</w:t>
      </w:r>
      <w:r w:rsidR="00AF3278">
        <w:t xml:space="preserve"> </w:t>
      </w:r>
      <w:r>
        <w:t>[Accessed21October2026].</w:t>
      </w:r>
    </w:p>
    <w:p w14:paraId="4E66E75B" w14:textId="77777777" w:rsidR="00AE43BF" w:rsidRDefault="00AE43BF" w:rsidP="00AE43BF"/>
    <w:p w14:paraId="21ACCB7F" w14:textId="49E5797F" w:rsidR="00A42CC4" w:rsidRPr="009B7D11" w:rsidRDefault="00AE43BF">
      <w:pPr>
        <w:rPr>
          <w:lang w:val="pt-PT"/>
        </w:rPr>
      </w:pPr>
      <w:r>
        <w:t>- ThomasJ.&amp;HardenA.(2020).*Introductiontoquantitativeresearchmethodsforhealthandsocialcare.* London:SAGE.</w:t>
      </w:r>
      <w:r w:rsidR="009B7D11">
        <w:t xml:space="preserve"> </w:t>
      </w:r>
      <w:r w:rsidR="009B7D11">
        <w:rPr>
          <w:lang w:val="pt-PT"/>
        </w:rPr>
        <w:t>[Accessed 21 October 2026]</w:t>
      </w:r>
    </w:p>
    <w:sectPr w:rsidR="00A42CC4" w:rsidRPr="009B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CC4"/>
    <w:rsid w:val="0004542D"/>
    <w:rsid w:val="00091146"/>
    <w:rsid w:val="000D3E45"/>
    <w:rsid w:val="000D6283"/>
    <w:rsid w:val="000F61B4"/>
    <w:rsid w:val="001061C8"/>
    <w:rsid w:val="00127AF0"/>
    <w:rsid w:val="00127CBA"/>
    <w:rsid w:val="001B6C5F"/>
    <w:rsid w:val="001C676E"/>
    <w:rsid w:val="00214773"/>
    <w:rsid w:val="00281C3E"/>
    <w:rsid w:val="00313335"/>
    <w:rsid w:val="00343540"/>
    <w:rsid w:val="00372D7B"/>
    <w:rsid w:val="00377754"/>
    <w:rsid w:val="0038647F"/>
    <w:rsid w:val="003D67CC"/>
    <w:rsid w:val="00402DCA"/>
    <w:rsid w:val="004932DA"/>
    <w:rsid w:val="0065092D"/>
    <w:rsid w:val="006579EA"/>
    <w:rsid w:val="00714BCA"/>
    <w:rsid w:val="007F58D3"/>
    <w:rsid w:val="008D11DA"/>
    <w:rsid w:val="00927006"/>
    <w:rsid w:val="009756BB"/>
    <w:rsid w:val="009B7D11"/>
    <w:rsid w:val="00A14318"/>
    <w:rsid w:val="00A22B30"/>
    <w:rsid w:val="00A31E00"/>
    <w:rsid w:val="00A42CC4"/>
    <w:rsid w:val="00A83E5D"/>
    <w:rsid w:val="00AE43BF"/>
    <w:rsid w:val="00AF3278"/>
    <w:rsid w:val="00B01E84"/>
    <w:rsid w:val="00B33B56"/>
    <w:rsid w:val="00C07456"/>
    <w:rsid w:val="00C25B16"/>
    <w:rsid w:val="00C32514"/>
    <w:rsid w:val="00C475E4"/>
    <w:rsid w:val="00C5658A"/>
    <w:rsid w:val="00D162E5"/>
    <w:rsid w:val="00D166B0"/>
    <w:rsid w:val="00D30561"/>
    <w:rsid w:val="00DD5BF4"/>
    <w:rsid w:val="00F541B4"/>
    <w:rsid w:val="00F925DF"/>
    <w:rsid w:val="00FB43A1"/>
    <w:rsid w:val="00FD5F27"/>
    <w:rsid w:val="00FE2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6633E2"/>
  <w15:chartTrackingRefBased/>
  <w15:docId w15:val="{3F4EC23A-1EAC-914D-8B40-90FAC5D12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C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C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C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C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C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C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C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C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C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C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C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C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C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C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C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C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C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CC4"/>
    <w:rPr>
      <w:rFonts w:eastAsiaTheme="majorEastAsia" w:cstheme="majorBidi"/>
      <w:color w:val="272727" w:themeColor="text1" w:themeTint="D8"/>
    </w:rPr>
  </w:style>
  <w:style w:type="paragraph" w:styleId="Title">
    <w:name w:val="Title"/>
    <w:basedOn w:val="Normal"/>
    <w:next w:val="Normal"/>
    <w:link w:val="TitleChar"/>
    <w:uiPriority w:val="10"/>
    <w:qFormat/>
    <w:rsid w:val="00A42C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C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C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C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CC4"/>
    <w:pPr>
      <w:spacing w:before="160"/>
      <w:jc w:val="center"/>
    </w:pPr>
    <w:rPr>
      <w:i/>
      <w:iCs/>
      <w:color w:val="404040" w:themeColor="text1" w:themeTint="BF"/>
    </w:rPr>
  </w:style>
  <w:style w:type="character" w:customStyle="1" w:styleId="QuoteChar">
    <w:name w:val="Quote Char"/>
    <w:basedOn w:val="DefaultParagraphFont"/>
    <w:link w:val="Quote"/>
    <w:uiPriority w:val="29"/>
    <w:rsid w:val="00A42CC4"/>
    <w:rPr>
      <w:i/>
      <w:iCs/>
      <w:color w:val="404040" w:themeColor="text1" w:themeTint="BF"/>
    </w:rPr>
  </w:style>
  <w:style w:type="paragraph" w:styleId="ListParagraph">
    <w:name w:val="List Paragraph"/>
    <w:basedOn w:val="Normal"/>
    <w:uiPriority w:val="34"/>
    <w:qFormat/>
    <w:rsid w:val="00A42CC4"/>
    <w:pPr>
      <w:ind w:left="720"/>
      <w:contextualSpacing/>
    </w:pPr>
  </w:style>
  <w:style w:type="character" w:styleId="IntenseEmphasis">
    <w:name w:val="Intense Emphasis"/>
    <w:basedOn w:val="DefaultParagraphFont"/>
    <w:uiPriority w:val="21"/>
    <w:qFormat/>
    <w:rsid w:val="00A42CC4"/>
    <w:rPr>
      <w:i/>
      <w:iCs/>
      <w:color w:val="0F4761" w:themeColor="accent1" w:themeShade="BF"/>
    </w:rPr>
  </w:style>
  <w:style w:type="paragraph" w:styleId="IntenseQuote">
    <w:name w:val="Intense Quote"/>
    <w:basedOn w:val="Normal"/>
    <w:next w:val="Normal"/>
    <w:link w:val="IntenseQuoteChar"/>
    <w:uiPriority w:val="30"/>
    <w:qFormat/>
    <w:rsid w:val="00A42C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CC4"/>
    <w:rPr>
      <w:i/>
      <w:iCs/>
      <w:color w:val="0F4761" w:themeColor="accent1" w:themeShade="BF"/>
    </w:rPr>
  </w:style>
  <w:style w:type="character" w:styleId="IntenseReference">
    <w:name w:val="Intense Reference"/>
    <w:basedOn w:val="DefaultParagraphFont"/>
    <w:uiPriority w:val="32"/>
    <w:qFormat/>
    <w:rsid w:val="00A42CC4"/>
    <w:rPr>
      <w:b/>
      <w:bCs/>
      <w:smallCaps/>
      <w:color w:val="0F4761" w:themeColor="accent1" w:themeShade="BF"/>
      <w:spacing w:val="5"/>
    </w:rPr>
  </w:style>
  <w:style w:type="character" w:styleId="Hyperlink">
    <w:name w:val="Hyperlink"/>
    <w:basedOn w:val="DefaultParagraphFont"/>
    <w:uiPriority w:val="99"/>
    <w:unhideWhenUsed/>
    <w:rsid w:val="00402DCA"/>
    <w:rPr>
      <w:color w:val="467886" w:themeColor="hyperlink"/>
      <w:u w:val="single"/>
    </w:rPr>
  </w:style>
  <w:style w:type="character" w:styleId="UnresolvedMention">
    <w:name w:val="Unresolved Mention"/>
    <w:basedOn w:val="DefaultParagraphFont"/>
    <w:uiPriority w:val="99"/>
    <w:semiHidden/>
    <w:unhideWhenUsed/>
    <w:rsid w:val="00402D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killsforcare.org.uk/" TargetMode="External"/><Relationship Id="rId4" Type="http://schemas.openxmlformats.org/officeDocument/2006/relationships/hyperlink" Target="https://www.nhsemployer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1168</Words>
  <Characters>6658</Characters>
  <Application>Microsoft Office Word</Application>
  <DocSecurity>0</DocSecurity>
  <Lines>55</Lines>
  <Paragraphs>15</Paragraphs>
  <ScaleCrop>false</ScaleCrop>
  <Company/>
  <LinksUpToDate>false</LinksUpToDate>
  <CharactersWithSpaces>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Carmo Monteiro Alves (2617092)</dc:creator>
  <cp:keywords/>
  <dc:description/>
  <cp:lastModifiedBy>Liliana Carmo Monteiro Alves (2617092)</cp:lastModifiedBy>
  <cp:revision>2</cp:revision>
  <dcterms:created xsi:type="dcterms:W3CDTF">2026-10-21T11:54:00Z</dcterms:created>
  <dcterms:modified xsi:type="dcterms:W3CDTF">2026-10-21T11:54:00Z</dcterms:modified>
</cp:coreProperties>
</file>