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012EF" w:rsidRDefault="00197C18">
      <w:pPr>
        <w:rPr>
          <w:rFonts w:asciiTheme="minorHAnsi" w:hAnsiTheme="minorHAnsi"/>
          <w:b/>
          <w:sz w:val="32"/>
          <w:szCs w:val="32"/>
          <w:u w:val="single"/>
        </w:rPr>
      </w:pPr>
      <w:bookmarkStart w:id="0" w:name="_GoBack"/>
      <w:bookmarkEnd w:id="0"/>
      <w:r>
        <w:rPr>
          <w:rFonts w:asciiTheme="minorHAnsi" w:hAnsiTheme="minorHAnsi"/>
          <w:b/>
          <w:sz w:val="32"/>
          <w:szCs w:val="32"/>
          <w:u w:val="single"/>
        </w:rPr>
        <w:t>TUPE</w:t>
      </w:r>
    </w:p>
    <w:p w:rsidR="00197C18" w:rsidRDefault="00197C18">
      <w:pPr>
        <w:rPr>
          <w:rFonts w:asciiTheme="minorHAnsi" w:hAnsiTheme="minorHAnsi"/>
          <w:b/>
          <w:sz w:val="32"/>
          <w:szCs w:val="32"/>
          <w:u w:val="single"/>
        </w:rPr>
      </w:pPr>
    </w:p>
    <w:p w:rsidR="00197C18" w:rsidRPr="00197C18" w:rsidRDefault="00197C18">
      <w:pPr>
        <w:rPr>
          <w:rFonts w:asciiTheme="minorHAnsi" w:hAnsiTheme="minorHAnsi"/>
          <w:b/>
          <w:sz w:val="32"/>
          <w:szCs w:val="32"/>
          <w:u w:val="single"/>
        </w:rPr>
      </w:pPr>
    </w:p>
    <w:p w:rsidR="002A0260" w:rsidRPr="00197C18" w:rsidRDefault="00197C18" w:rsidP="002A0260">
      <w:pPr>
        <w:spacing w:before="100" w:beforeAutospacing="1" w:after="100" w:afterAutospacing="1" w:line="360" w:lineRule="auto"/>
        <w:rPr>
          <w:rFonts w:asciiTheme="minorHAnsi" w:hAnsiTheme="minorHAnsi"/>
          <w:sz w:val="28"/>
          <w:szCs w:val="28"/>
        </w:rPr>
      </w:pPr>
      <w:bookmarkStart w:id="1" w:name="a729268"/>
      <w:bookmarkEnd w:id="1"/>
      <w:r w:rsidRPr="00197C18">
        <w:rPr>
          <w:rFonts w:asciiTheme="minorHAnsi" w:hAnsiTheme="minorHAnsi"/>
          <w:sz w:val="28"/>
          <w:szCs w:val="28"/>
        </w:rPr>
        <w:t>These notes</w:t>
      </w:r>
      <w:r w:rsidR="002A0260" w:rsidRPr="00197C18">
        <w:rPr>
          <w:rFonts w:asciiTheme="minorHAnsi" w:hAnsiTheme="minorHAnsi"/>
          <w:sz w:val="28"/>
          <w:szCs w:val="28"/>
        </w:rPr>
        <w:t xml:space="preserve"> provides an overview of the main provisions of the</w:t>
      </w:r>
      <w:r w:rsidR="00183327" w:rsidRPr="00197C18">
        <w:rPr>
          <w:rFonts w:asciiTheme="minorHAnsi" w:hAnsiTheme="minorHAnsi"/>
          <w:sz w:val="28"/>
          <w:szCs w:val="28"/>
        </w:rPr>
        <w:t xml:space="preserve"> Transfer of Undertakings (Protection of </w:t>
      </w:r>
      <w:proofErr w:type="gramStart"/>
      <w:r w:rsidR="00183327" w:rsidRPr="00197C18">
        <w:rPr>
          <w:rFonts w:asciiTheme="minorHAnsi" w:hAnsiTheme="minorHAnsi"/>
          <w:sz w:val="28"/>
          <w:szCs w:val="28"/>
        </w:rPr>
        <w:t>Employment )</w:t>
      </w:r>
      <w:proofErr w:type="gramEnd"/>
      <w:r w:rsidR="00183327" w:rsidRPr="00197C18">
        <w:rPr>
          <w:rFonts w:asciiTheme="minorHAnsi" w:hAnsiTheme="minorHAnsi"/>
          <w:sz w:val="28"/>
          <w:szCs w:val="28"/>
        </w:rPr>
        <w:t xml:space="preserve"> Regulations 2006 </w:t>
      </w:r>
      <w:r w:rsidR="002A0260" w:rsidRPr="00197C18">
        <w:rPr>
          <w:rFonts w:asciiTheme="minorHAnsi" w:hAnsiTheme="minorHAnsi"/>
          <w:sz w:val="28"/>
          <w:szCs w:val="28"/>
        </w:rPr>
        <w:t>(TUPE). It considers the situations where TUPE will apply and addresses the main principles and obligations arising from TUPE, including the automatic transfer principle and obligations to inform and consult.</w:t>
      </w:r>
    </w:p>
    <w:p w:rsidR="002A0260" w:rsidRPr="00197C18" w:rsidRDefault="002A0260" w:rsidP="002A0260">
      <w:pPr>
        <w:spacing w:line="360" w:lineRule="auto"/>
        <w:rPr>
          <w:rFonts w:asciiTheme="minorHAnsi" w:hAnsiTheme="minorHAnsi"/>
          <w:sz w:val="28"/>
          <w:szCs w:val="28"/>
        </w:rPr>
      </w:pPr>
      <w:r w:rsidRPr="00197C18">
        <w:rPr>
          <w:rFonts w:asciiTheme="minorHAnsi" w:hAnsiTheme="minorHAnsi"/>
          <w:sz w:val="28"/>
          <w:szCs w:val="28"/>
        </w:rPr>
        <w:t xml:space="preserve">  </w:t>
      </w:r>
      <w:bookmarkStart w:id="2" w:name="a519777"/>
      <w:bookmarkEnd w:id="2"/>
    </w:p>
    <w:p w:rsidR="002A0260" w:rsidRPr="00197C18" w:rsidRDefault="002A0260" w:rsidP="002A0260">
      <w:pPr>
        <w:pBdr>
          <w:bottom w:val="dotted" w:sz="6" w:space="7" w:color="BABABA"/>
        </w:pBdr>
        <w:spacing w:before="100" w:beforeAutospacing="1" w:after="135" w:line="360" w:lineRule="auto"/>
        <w:outlineLvl w:val="1"/>
        <w:rPr>
          <w:rFonts w:asciiTheme="minorHAnsi" w:hAnsiTheme="minorHAnsi"/>
          <w:b/>
          <w:bCs/>
          <w:sz w:val="28"/>
          <w:szCs w:val="28"/>
        </w:rPr>
      </w:pPr>
      <w:r w:rsidRPr="00197C18">
        <w:rPr>
          <w:rFonts w:asciiTheme="minorHAnsi" w:hAnsiTheme="minorHAnsi"/>
          <w:b/>
          <w:bCs/>
          <w:sz w:val="28"/>
          <w:szCs w:val="28"/>
        </w:rPr>
        <w:t>Background to TUPE</w:t>
      </w:r>
    </w:p>
    <w:p w:rsidR="002A0260" w:rsidRPr="00197C18" w:rsidRDefault="002A0260" w:rsidP="002A0260">
      <w:pPr>
        <w:spacing w:before="100" w:beforeAutospacing="1" w:after="100" w:afterAutospacing="1" w:line="360" w:lineRule="auto"/>
        <w:rPr>
          <w:rFonts w:asciiTheme="minorHAnsi" w:hAnsiTheme="minorHAnsi"/>
          <w:sz w:val="28"/>
          <w:szCs w:val="28"/>
        </w:rPr>
      </w:pPr>
      <w:r w:rsidRPr="00197C18">
        <w:rPr>
          <w:rFonts w:asciiTheme="minorHAnsi" w:hAnsiTheme="minorHAnsi"/>
          <w:sz w:val="28"/>
          <w:szCs w:val="28"/>
        </w:rPr>
        <w:t>TUPE came into force on 6 April 2006 and replaced the Transfer of Undertakings (Protection of Employment) Regulations 1981 (</w:t>
      </w:r>
      <w:r w:rsidRPr="00197C18">
        <w:rPr>
          <w:rFonts w:asciiTheme="minorHAnsi" w:hAnsiTheme="minorHAnsi"/>
          <w:i/>
          <w:iCs/>
          <w:sz w:val="28"/>
          <w:szCs w:val="28"/>
        </w:rPr>
        <w:t>SI 1981/1794</w:t>
      </w:r>
      <w:r w:rsidRPr="00197C18">
        <w:rPr>
          <w:rFonts w:asciiTheme="minorHAnsi" w:hAnsiTheme="minorHAnsi"/>
          <w:sz w:val="28"/>
          <w:szCs w:val="28"/>
        </w:rPr>
        <w:t>) (TUPE 1981). It applies to any relevant transfer that took place on or after 6 April 2006.</w:t>
      </w:r>
    </w:p>
    <w:p w:rsidR="002A0260" w:rsidRPr="00197C18" w:rsidRDefault="002A0260" w:rsidP="002A0260">
      <w:pPr>
        <w:spacing w:before="100" w:beforeAutospacing="1" w:after="100" w:afterAutospacing="1" w:line="360" w:lineRule="auto"/>
        <w:rPr>
          <w:rFonts w:asciiTheme="minorHAnsi" w:hAnsiTheme="minorHAnsi"/>
          <w:sz w:val="28"/>
          <w:szCs w:val="28"/>
        </w:rPr>
      </w:pPr>
      <w:r w:rsidRPr="00197C18">
        <w:rPr>
          <w:rFonts w:asciiTheme="minorHAnsi" w:hAnsiTheme="minorHAnsi"/>
          <w:sz w:val="28"/>
          <w:szCs w:val="28"/>
        </w:rPr>
        <w:t xml:space="preserve">TUPE implements the Acquired Rights Directive. English courts and employment tribunals are required to give TUPE a purposive construction to give effect to the general purpose of the underlying Directive, which is to safeguard employees' rights on the transfer of a business. </w:t>
      </w:r>
    </w:p>
    <w:p w:rsidR="002A0260" w:rsidRPr="00197C18" w:rsidRDefault="002A0260" w:rsidP="002A0260">
      <w:pPr>
        <w:spacing w:before="100" w:beforeAutospacing="1" w:after="100" w:afterAutospacing="1" w:line="360" w:lineRule="auto"/>
        <w:rPr>
          <w:rFonts w:asciiTheme="minorHAnsi" w:hAnsiTheme="minorHAnsi"/>
          <w:sz w:val="28"/>
          <w:szCs w:val="28"/>
        </w:rPr>
      </w:pPr>
      <w:r w:rsidRPr="00197C18">
        <w:rPr>
          <w:rFonts w:asciiTheme="minorHAnsi" w:hAnsiTheme="minorHAnsi"/>
          <w:sz w:val="28"/>
          <w:szCs w:val="28"/>
        </w:rPr>
        <w:t>TUPE introduced three concepts into UK employment law:</w:t>
      </w:r>
    </w:p>
    <w:p w:rsidR="002A0260" w:rsidRPr="00197C18" w:rsidRDefault="002A0260" w:rsidP="002A0260">
      <w:pPr>
        <w:numPr>
          <w:ilvl w:val="0"/>
          <w:numId w:val="1"/>
        </w:numPr>
        <w:spacing w:before="100" w:beforeAutospacing="1" w:after="100" w:afterAutospacing="1" w:line="360" w:lineRule="auto"/>
        <w:ind w:left="0"/>
        <w:rPr>
          <w:rFonts w:asciiTheme="minorHAnsi" w:hAnsiTheme="minorHAnsi"/>
          <w:sz w:val="28"/>
          <w:szCs w:val="28"/>
        </w:rPr>
      </w:pPr>
      <w:r w:rsidRPr="00197C18">
        <w:rPr>
          <w:rFonts w:asciiTheme="minorHAnsi" w:hAnsiTheme="minorHAnsi"/>
          <w:sz w:val="28"/>
          <w:szCs w:val="28"/>
        </w:rPr>
        <w:t xml:space="preserve">The automatic transfer principle: employees transfer to the transferee who inherits all rights, liabilities and obligations in relation to them. </w:t>
      </w:r>
    </w:p>
    <w:p w:rsidR="002A0260" w:rsidRPr="00197C18" w:rsidRDefault="002A0260" w:rsidP="002A0260">
      <w:pPr>
        <w:numPr>
          <w:ilvl w:val="0"/>
          <w:numId w:val="1"/>
        </w:numPr>
        <w:spacing w:before="100" w:beforeAutospacing="1" w:after="100" w:afterAutospacing="1" w:line="360" w:lineRule="auto"/>
        <w:ind w:left="0"/>
        <w:rPr>
          <w:rFonts w:asciiTheme="minorHAnsi" w:hAnsiTheme="minorHAnsi"/>
          <w:sz w:val="28"/>
          <w:szCs w:val="28"/>
        </w:rPr>
      </w:pPr>
      <w:r w:rsidRPr="00197C18">
        <w:rPr>
          <w:rFonts w:asciiTheme="minorHAnsi" w:hAnsiTheme="minorHAnsi"/>
          <w:sz w:val="28"/>
          <w:szCs w:val="28"/>
        </w:rPr>
        <w:t xml:space="preserve">Protection against dismissal in connection with a TUPE transfer. </w:t>
      </w:r>
    </w:p>
    <w:p w:rsidR="002A0260" w:rsidRPr="00197C18" w:rsidRDefault="002A0260" w:rsidP="002A0260">
      <w:pPr>
        <w:numPr>
          <w:ilvl w:val="0"/>
          <w:numId w:val="1"/>
        </w:numPr>
        <w:spacing w:before="100" w:beforeAutospacing="1" w:after="100" w:afterAutospacing="1" w:line="360" w:lineRule="auto"/>
        <w:ind w:left="0"/>
        <w:rPr>
          <w:rFonts w:asciiTheme="minorHAnsi" w:hAnsiTheme="minorHAnsi"/>
          <w:sz w:val="28"/>
          <w:szCs w:val="28"/>
        </w:rPr>
      </w:pPr>
      <w:r w:rsidRPr="00197C18">
        <w:rPr>
          <w:rFonts w:asciiTheme="minorHAnsi" w:hAnsiTheme="minorHAnsi"/>
          <w:sz w:val="28"/>
          <w:szCs w:val="28"/>
        </w:rPr>
        <w:lastRenderedPageBreak/>
        <w:t>The obligation to inform and consult with representatives of the affected employees.</w:t>
      </w:r>
    </w:p>
    <w:p w:rsidR="002A0260" w:rsidRPr="00197C18" w:rsidRDefault="002A0260" w:rsidP="002A0260">
      <w:pPr>
        <w:spacing w:before="100" w:beforeAutospacing="1" w:after="100" w:afterAutospacing="1" w:line="360" w:lineRule="auto"/>
        <w:outlineLvl w:val="2"/>
        <w:rPr>
          <w:rFonts w:asciiTheme="minorHAnsi" w:hAnsiTheme="minorHAnsi"/>
          <w:b/>
          <w:bCs/>
          <w:sz w:val="28"/>
          <w:szCs w:val="28"/>
        </w:rPr>
      </w:pPr>
      <w:bookmarkStart w:id="3" w:name="a162476"/>
      <w:bookmarkEnd w:id="3"/>
      <w:r w:rsidRPr="00197C18">
        <w:rPr>
          <w:rFonts w:asciiTheme="minorHAnsi" w:hAnsiTheme="minorHAnsi"/>
          <w:b/>
          <w:bCs/>
          <w:sz w:val="28"/>
          <w:szCs w:val="28"/>
        </w:rPr>
        <w:t>Changes to TUPE: 2014 amendment regulations</w:t>
      </w:r>
    </w:p>
    <w:p w:rsidR="002A0260" w:rsidRPr="00197C18" w:rsidRDefault="002A0260" w:rsidP="002A0260">
      <w:pPr>
        <w:spacing w:before="100" w:beforeAutospacing="1" w:after="100" w:afterAutospacing="1" w:line="360" w:lineRule="auto"/>
        <w:rPr>
          <w:rFonts w:asciiTheme="minorHAnsi" w:hAnsiTheme="minorHAnsi"/>
          <w:sz w:val="28"/>
          <w:szCs w:val="28"/>
        </w:rPr>
      </w:pPr>
      <w:r w:rsidRPr="00197C18">
        <w:rPr>
          <w:rFonts w:asciiTheme="minorHAnsi" w:hAnsiTheme="minorHAnsi"/>
          <w:sz w:val="28"/>
          <w:szCs w:val="28"/>
        </w:rPr>
        <w:t>Various changes to TUPE were made throughout 2014, and this note incorporates all of those amendments. The amending legislation</w:t>
      </w:r>
      <w:r w:rsidR="00183327" w:rsidRPr="00197C18">
        <w:rPr>
          <w:rFonts w:asciiTheme="minorHAnsi" w:hAnsiTheme="minorHAnsi"/>
          <w:sz w:val="28"/>
          <w:szCs w:val="28"/>
        </w:rPr>
        <w:t xml:space="preserve"> </w:t>
      </w:r>
      <w:r w:rsidRPr="00197C18">
        <w:rPr>
          <w:rFonts w:asciiTheme="minorHAnsi" w:hAnsiTheme="minorHAnsi"/>
          <w:sz w:val="28"/>
          <w:szCs w:val="28"/>
        </w:rPr>
        <w:t>came into force on 31 January 2014, subject to transitional and saving provisions.</w:t>
      </w:r>
    </w:p>
    <w:p w:rsidR="002A0260" w:rsidRPr="00197C18" w:rsidRDefault="002A0260" w:rsidP="002A0260">
      <w:pPr>
        <w:spacing w:line="360" w:lineRule="auto"/>
        <w:rPr>
          <w:rFonts w:asciiTheme="minorHAnsi" w:hAnsiTheme="minorHAnsi"/>
          <w:vanish/>
          <w:sz w:val="28"/>
          <w:szCs w:val="28"/>
        </w:rPr>
      </w:pPr>
      <w:r w:rsidRPr="00197C18">
        <w:rPr>
          <w:rFonts w:asciiTheme="minorHAnsi" w:hAnsiTheme="minorHAnsi"/>
          <w:sz w:val="28"/>
          <w:szCs w:val="28"/>
        </w:rPr>
        <w:t> </w:t>
      </w:r>
      <w:hyperlink r:id="rId5" w:anchor="top" w:tooltip="Link to the top of the document" w:history="1">
        <w:r w:rsidRPr="00197C18">
          <w:rPr>
            <w:rFonts w:asciiTheme="minorHAnsi" w:hAnsiTheme="minorHAnsi"/>
            <w:vanish/>
            <w:color w:val="005A84"/>
            <w:sz w:val="28"/>
            <w:szCs w:val="28"/>
          </w:rPr>
          <w:t>Top</w:t>
        </w:r>
      </w:hyperlink>
    </w:p>
    <w:p w:rsidR="002A0260" w:rsidRPr="00197C18" w:rsidRDefault="002A0260" w:rsidP="002A0260">
      <w:pPr>
        <w:pBdr>
          <w:bottom w:val="dotted" w:sz="6" w:space="7" w:color="BABABA"/>
        </w:pBdr>
        <w:spacing w:before="100" w:beforeAutospacing="1" w:after="135" w:line="360" w:lineRule="auto"/>
        <w:outlineLvl w:val="1"/>
        <w:rPr>
          <w:rFonts w:asciiTheme="minorHAnsi" w:hAnsiTheme="minorHAnsi"/>
          <w:b/>
          <w:bCs/>
          <w:sz w:val="28"/>
          <w:szCs w:val="28"/>
        </w:rPr>
      </w:pPr>
      <w:bookmarkStart w:id="4" w:name="a893644"/>
      <w:bookmarkEnd w:id="4"/>
      <w:r w:rsidRPr="00197C18">
        <w:rPr>
          <w:rFonts w:asciiTheme="minorHAnsi" w:hAnsiTheme="minorHAnsi"/>
          <w:b/>
          <w:bCs/>
          <w:sz w:val="28"/>
          <w:szCs w:val="28"/>
        </w:rPr>
        <w:t>When does TUPE apply?</w:t>
      </w:r>
    </w:p>
    <w:p w:rsidR="002A0260" w:rsidRPr="00197C18" w:rsidRDefault="002A0260" w:rsidP="002A0260">
      <w:pPr>
        <w:spacing w:before="100" w:beforeAutospacing="1" w:after="100" w:afterAutospacing="1" w:line="360" w:lineRule="auto"/>
        <w:rPr>
          <w:rFonts w:asciiTheme="minorHAnsi" w:hAnsiTheme="minorHAnsi"/>
          <w:sz w:val="28"/>
          <w:szCs w:val="28"/>
        </w:rPr>
      </w:pPr>
      <w:r w:rsidRPr="00197C18">
        <w:rPr>
          <w:rFonts w:asciiTheme="minorHAnsi" w:hAnsiTheme="minorHAnsi"/>
          <w:sz w:val="28"/>
          <w:szCs w:val="28"/>
        </w:rPr>
        <w:t>TUPE applies to a "relevant transfer", which means either or both of the following:</w:t>
      </w:r>
    </w:p>
    <w:p w:rsidR="002A0260" w:rsidRPr="00197C18" w:rsidRDefault="002A0260" w:rsidP="002A0260">
      <w:pPr>
        <w:numPr>
          <w:ilvl w:val="0"/>
          <w:numId w:val="3"/>
        </w:numPr>
        <w:spacing w:before="100" w:beforeAutospacing="1" w:after="100" w:afterAutospacing="1" w:line="360" w:lineRule="auto"/>
        <w:ind w:left="0"/>
        <w:rPr>
          <w:rFonts w:asciiTheme="minorHAnsi" w:hAnsiTheme="minorHAnsi"/>
          <w:sz w:val="28"/>
          <w:szCs w:val="28"/>
        </w:rPr>
      </w:pPr>
      <w:r w:rsidRPr="00197C18">
        <w:rPr>
          <w:rFonts w:asciiTheme="minorHAnsi" w:hAnsiTheme="minorHAnsi"/>
          <w:sz w:val="28"/>
          <w:szCs w:val="28"/>
        </w:rPr>
        <w:t xml:space="preserve">A transfer of a business, undertaking or part of a business or undertaking where there is a transfer of an economic entity that retains its identity (a </w:t>
      </w:r>
      <w:r w:rsidRPr="00197C18">
        <w:rPr>
          <w:rFonts w:asciiTheme="minorHAnsi" w:hAnsiTheme="minorHAnsi"/>
          <w:b/>
          <w:bCs/>
          <w:sz w:val="28"/>
          <w:szCs w:val="28"/>
        </w:rPr>
        <w:t>business transfer</w:t>
      </w:r>
      <w:r w:rsidRPr="00197C18">
        <w:rPr>
          <w:rFonts w:asciiTheme="minorHAnsi" w:hAnsiTheme="minorHAnsi"/>
          <w:sz w:val="28"/>
          <w:szCs w:val="28"/>
        </w:rPr>
        <w:t>) (</w:t>
      </w:r>
      <w:r w:rsidR="00183327" w:rsidRPr="00197C18">
        <w:rPr>
          <w:rFonts w:asciiTheme="minorHAnsi" w:hAnsiTheme="minorHAnsi"/>
          <w:sz w:val="28"/>
          <w:szCs w:val="28"/>
        </w:rPr>
        <w:t>regulation  3(1)(a), TUPE</w:t>
      </w:r>
      <w:hyperlink r:id="rId6" w:history="1"/>
      <w:r w:rsidRPr="00197C18">
        <w:rPr>
          <w:rFonts w:asciiTheme="minorHAnsi" w:hAnsiTheme="minorHAnsi"/>
          <w:sz w:val="28"/>
          <w:szCs w:val="28"/>
        </w:rPr>
        <w:t>). This involves three elements:</w:t>
      </w:r>
    </w:p>
    <w:p w:rsidR="002A0260" w:rsidRPr="00197C18" w:rsidRDefault="002A0260" w:rsidP="002A0260">
      <w:pPr>
        <w:numPr>
          <w:ilvl w:val="1"/>
          <w:numId w:val="3"/>
        </w:numPr>
        <w:spacing w:before="100" w:beforeAutospacing="1" w:after="100" w:afterAutospacing="1" w:line="360" w:lineRule="auto"/>
        <w:ind w:left="0"/>
        <w:rPr>
          <w:rFonts w:asciiTheme="minorHAnsi" w:hAnsiTheme="minorHAnsi"/>
          <w:sz w:val="28"/>
          <w:szCs w:val="28"/>
        </w:rPr>
      </w:pPr>
      <w:r w:rsidRPr="00197C18">
        <w:rPr>
          <w:rFonts w:asciiTheme="minorHAnsi" w:hAnsiTheme="minorHAnsi"/>
          <w:sz w:val="28"/>
          <w:szCs w:val="28"/>
        </w:rPr>
        <w:t>an economic entity;</w:t>
      </w:r>
    </w:p>
    <w:p w:rsidR="002A0260" w:rsidRPr="00197C18" w:rsidRDefault="002A0260" w:rsidP="002A0260">
      <w:pPr>
        <w:numPr>
          <w:ilvl w:val="1"/>
          <w:numId w:val="3"/>
        </w:numPr>
        <w:spacing w:before="100" w:beforeAutospacing="1" w:after="100" w:afterAutospacing="1" w:line="360" w:lineRule="auto"/>
        <w:ind w:left="0"/>
        <w:rPr>
          <w:rFonts w:asciiTheme="minorHAnsi" w:hAnsiTheme="minorHAnsi"/>
          <w:sz w:val="28"/>
          <w:szCs w:val="28"/>
        </w:rPr>
      </w:pPr>
      <w:r w:rsidRPr="00197C18">
        <w:rPr>
          <w:rFonts w:asciiTheme="minorHAnsi" w:hAnsiTheme="minorHAnsi"/>
          <w:sz w:val="28"/>
          <w:szCs w:val="28"/>
        </w:rPr>
        <w:t>a transfer of that economic entity; and</w:t>
      </w:r>
    </w:p>
    <w:p w:rsidR="002A0260" w:rsidRPr="00197C18" w:rsidRDefault="002A0260" w:rsidP="002A0260">
      <w:pPr>
        <w:numPr>
          <w:ilvl w:val="1"/>
          <w:numId w:val="3"/>
        </w:numPr>
        <w:spacing w:before="100" w:beforeAutospacing="1" w:after="100" w:afterAutospacing="1" w:line="360" w:lineRule="auto"/>
        <w:ind w:left="0"/>
        <w:rPr>
          <w:rFonts w:asciiTheme="minorHAnsi" w:hAnsiTheme="minorHAnsi"/>
          <w:sz w:val="28"/>
          <w:szCs w:val="28"/>
        </w:rPr>
      </w:pPr>
      <w:proofErr w:type="gramStart"/>
      <w:r w:rsidRPr="00197C18">
        <w:rPr>
          <w:rFonts w:asciiTheme="minorHAnsi" w:hAnsiTheme="minorHAnsi"/>
          <w:sz w:val="28"/>
          <w:szCs w:val="28"/>
        </w:rPr>
        <w:t>the</w:t>
      </w:r>
      <w:proofErr w:type="gramEnd"/>
      <w:r w:rsidRPr="00197C18">
        <w:rPr>
          <w:rFonts w:asciiTheme="minorHAnsi" w:hAnsiTheme="minorHAnsi"/>
          <w:sz w:val="28"/>
          <w:szCs w:val="28"/>
        </w:rPr>
        <w:t xml:space="preserve"> economic entity retaining its identity following the transfer.</w:t>
      </w:r>
    </w:p>
    <w:p w:rsidR="002A0260" w:rsidRPr="00197C18" w:rsidRDefault="002A0260" w:rsidP="002A0260">
      <w:pPr>
        <w:numPr>
          <w:ilvl w:val="0"/>
          <w:numId w:val="3"/>
        </w:numPr>
        <w:spacing w:before="100" w:beforeAutospacing="1" w:after="100" w:afterAutospacing="1" w:line="360" w:lineRule="auto"/>
        <w:ind w:left="0"/>
        <w:rPr>
          <w:rFonts w:asciiTheme="minorHAnsi" w:hAnsiTheme="minorHAnsi"/>
          <w:sz w:val="28"/>
          <w:szCs w:val="28"/>
        </w:rPr>
      </w:pPr>
      <w:r w:rsidRPr="00197C18">
        <w:rPr>
          <w:rFonts w:asciiTheme="minorHAnsi" w:hAnsiTheme="minorHAnsi"/>
          <w:sz w:val="28"/>
          <w:szCs w:val="28"/>
        </w:rPr>
        <w:t xml:space="preserve">A client engaging a contractor to do work on its behalf, reassigning such a contract or bringing the work "in-house" (a </w:t>
      </w:r>
      <w:r w:rsidRPr="00197C18">
        <w:rPr>
          <w:rFonts w:asciiTheme="minorHAnsi" w:hAnsiTheme="minorHAnsi"/>
          <w:b/>
          <w:bCs/>
          <w:sz w:val="28"/>
          <w:szCs w:val="28"/>
        </w:rPr>
        <w:t>service provision change</w:t>
      </w:r>
      <w:r w:rsidRPr="00197C18">
        <w:rPr>
          <w:rFonts w:asciiTheme="minorHAnsi" w:hAnsiTheme="minorHAnsi"/>
          <w:sz w:val="28"/>
          <w:szCs w:val="28"/>
        </w:rPr>
        <w:t>) (</w:t>
      </w:r>
      <w:r w:rsidRPr="00197C18">
        <w:rPr>
          <w:rFonts w:asciiTheme="minorHAnsi" w:hAnsiTheme="minorHAnsi"/>
          <w:i/>
          <w:iCs/>
          <w:sz w:val="28"/>
          <w:szCs w:val="28"/>
        </w:rPr>
        <w:t>regulation 3(1</w:t>
      </w:r>
      <w:proofErr w:type="gramStart"/>
      <w:r w:rsidRPr="00197C18">
        <w:rPr>
          <w:rFonts w:asciiTheme="minorHAnsi" w:hAnsiTheme="minorHAnsi"/>
          <w:i/>
          <w:iCs/>
          <w:sz w:val="28"/>
          <w:szCs w:val="28"/>
        </w:rPr>
        <w:t>)(</w:t>
      </w:r>
      <w:proofErr w:type="gramEnd"/>
      <w:r w:rsidRPr="00197C18">
        <w:rPr>
          <w:rFonts w:asciiTheme="minorHAnsi" w:hAnsiTheme="minorHAnsi"/>
          <w:i/>
          <w:iCs/>
          <w:sz w:val="28"/>
          <w:szCs w:val="28"/>
        </w:rPr>
        <w:t>b), TUPE</w:t>
      </w:r>
      <w:r w:rsidRPr="00197C18">
        <w:rPr>
          <w:rFonts w:asciiTheme="minorHAnsi" w:hAnsiTheme="minorHAnsi"/>
          <w:sz w:val="28"/>
          <w:szCs w:val="28"/>
        </w:rPr>
        <w:t xml:space="preserve">). This can, therefore, encompass an initial (or first generation) outsourcing, a subsequent (or second generation) outsourcing or an in-sourcing. However, the supply of goods and "one-off buying-in of services" are excluded. The 2014 changes included a minor amendment, making it clear that the activities carried on after a </w:t>
      </w:r>
      <w:r w:rsidRPr="00197C18">
        <w:rPr>
          <w:rFonts w:asciiTheme="minorHAnsi" w:hAnsiTheme="minorHAnsi"/>
          <w:sz w:val="28"/>
          <w:szCs w:val="28"/>
        </w:rPr>
        <w:lastRenderedPageBreak/>
        <w:t>change in service provider must be "fundamentally or essentially the same" as those carried on before it.</w:t>
      </w:r>
    </w:p>
    <w:p w:rsidR="002A0260" w:rsidRPr="00197C18" w:rsidRDefault="002A0260" w:rsidP="002A0260">
      <w:pPr>
        <w:spacing w:before="100" w:beforeAutospacing="1" w:after="100" w:afterAutospacing="1" w:line="360" w:lineRule="auto"/>
        <w:outlineLvl w:val="2"/>
        <w:rPr>
          <w:rFonts w:asciiTheme="minorHAnsi" w:hAnsiTheme="minorHAnsi"/>
          <w:b/>
          <w:bCs/>
          <w:sz w:val="28"/>
          <w:szCs w:val="28"/>
        </w:rPr>
      </w:pPr>
      <w:bookmarkStart w:id="5" w:name="a548458"/>
      <w:bookmarkEnd w:id="5"/>
      <w:r w:rsidRPr="00197C18">
        <w:rPr>
          <w:rFonts w:asciiTheme="minorHAnsi" w:hAnsiTheme="minorHAnsi"/>
          <w:b/>
          <w:bCs/>
          <w:sz w:val="28"/>
          <w:szCs w:val="28"/>
        </w:rPr>
        <w:t>Share sales</w:t>
      </w:r>
    </w:p>
    <w:p w:rsidR="002A0260" w:rsidRPr="00197C18" w:rsidRDefault="002A0260" w:rsidP="002A0260">
      <w:pPr>
        <w:spacing w:before="100" w:beforeAutospacing="1" w:after="100" w:afterAutospacing="1" w:line="360" w:lineRule="auto"/>
        <w:rPr>
          <w:rFonts w:asciiTheme="minorHAnsi" w:hAnsiTheme="minorHAnsi"/>
          <w:sz w:val="28"/>
          <w:szCs w:val="28"/>
        </w:rPr>
      </w:pPr>
      <w:r w:rsidRPr="00197C18">
        <w:rPr>
          <w:rFonts w:asciiTheme="minorHAnsi" w:hAnsiTheme="minorHAnsi"/>
          <w:sz w:val="28"/>
          <w:szCs w:val="28"/>
        </w:rPr>
        <w:t>TUPE does not apply to a transfer of shares, but it would apply to an asset transfer carried out as a precursor to a share sale or a transfer of the business or part of the business to the holding company following a share transfer.</w:t>
      </w:r>
    </w:p>
    <w:bookmarkStart w:id="6" w:name="a73119"/>
    <w:bookmarkEnd w:id="6"/>
    <w:p w:rsidR="002A0260" w:rsidRPr="00197C18" w:rsidRDefault="003A7EE3" w:rsidP="002A0260">
      <w:pPr>
        <w:spacing w:line="360" w:lineRule="auto"/>
        <w:rPr>
          <w:rFonts w:asciiTheme="minorHAnsi" w:hAnsiTheme="minorHAnsi"/>
          <w:vanish/>
          <w:sz w:val="28"/>
          <w:szCs w:val="28"/>
        </w:rPr>
      </w:pPr>
      <w:r w:rsidRPr="00197C18">
        <w:rPr>
          <w:rFonts w:asciiTheme="minorHAnsi" w:hAnsiTheme="minorHAnsi"/>
          <w:sz w:val="28"/>
          <w:szCs w:val="28"/>
        </w:rPr>
        <w:fldChar w:fldCharType="begin"/>
      </w:r>
      <w:r w:rsidRPr="00197C18">
        <w:rPr>
          <w:rFonts w:asciiTheme="minorHAnsi" w:hAnsiTheme="minorHAnsi"/>
          <w:sz w:val="28"/>
          <w:szCs w:val="28"/>
        </w:rPr>
        <w:instrText>HYPERLINK "http://uk.practicallaw.com/8-202-1704?q=&amp;qp=&amp;qo=&amp;qe=" \l "top" \o "Link to the top of the document"</w:instrText>
      </w:r>
      <w:r w:rsidRPr="00197C18">
        <w:rPr>
          <w:rFonts w:asciiTheme="minorHAnsi" w:hAnsiTheme="minorHAnsi"/>
          <w:sz w:val="28"/>
          <w:szCs w:val="28"/>
        </w:rPr>
        <w:fldChar w:fldCharType="separate"/>
      </w:r>
      <w:r w:rsidR="002A0260" w:rsidRPr="00197C18">
        <w:rPr>
          <w:rFonts w:asciiTheme="minorHAnsi" w:hAnsiTheme="minorHAnsi"/>
          <w:vanish/>
          <w:color w:val="005A84"/>
          <w:sz w:val="28"/>
          <w:szCs w:val="28"/>
        </w:rPr>
        <w:t>Top</w:t>
      </w:r>
      <w:r w:rsidRPr="00197C18">
        <w:rPr>
          <w:rFonts w:asciiTheme="minorHAnsi" w:hAnsiTheme="minorHAnsi"/>
          <w:sz w:val="28"/>
          <w:szCs w:val="28"/>
        </w:rPr>
        <w:fldChar w:fldCharType="end"/>
      </w:r>
    </w:p>
    <w:p w:rsidR="002A0260" w:rsidRPr="00197C18" w:rsidRDefault="002A0260" w:rsidP="002A0260">
      <w:pPr>
        <w:pBdr>
          <w:bottom w:val="dotted" w:sz="6" w:space="7" w:color="BABABA"/>
        </w:pBdr>
        <w:spacing w:before="100" w:beforeAutospacing="1" w:after="135" w:line="360" w:lineRule="auto"/>
        <w:outlineLvl w:val="1"/>
        <w:rPr>
          <w:rFonts w:asciiTheme="minorHAnsi" w:hAnsiTheme="minorHAnsi"/>
          <w:b/>
          <w:bCs/>
          <w:sz w:val="28"/>
          <w:szCs w:val="28"/>
        </w:rPr>
      </w:pPr>
      <w:bookmarkStart w:id="7" w:name="a468328"/>
      <w:bookmarkEnd w:id="7"/>
      <w:r w:rsidRPr="00197C18">
        <w:rPr>
          <w:rFonts w:asciiTheme="minorHAnsi" w:hAnsiTheme="minorHAnsi"/>
          <w:b/>
          <w:bCs/>
          <w:sz w:val="28"/>
          <w:szCs w:val="28"/>
        </w:rPr>
        <w:t>Automatic transfer principle</w:t>
      </w:r>
    </w:p>
    <w:p w:rsidR="002A0260" w:rsidRPr="00197C18" w:rsidRDefault="002A0260" w:rsidP="002A0260">
      <w:pPr>
        <w:spacing w:before="100" w:beforeAutospacing="1" w:after="100" w:afterAutospacing="1" w:line="360" w:lineRule="auto"/>
        <w:rPr>
          <w:rFonts w:asciiTheme="minorHAnsi" w:hAnsiTheme="minorHAnsi"/>
          <w:sz w:val="28"/>
          <w:szCs w:val="28"/>
        </w:rPr>
      </w:pPr>
      <w:r w:rsidRPr="00197C18">
        <w:rPr>
          <w:rFonts w:asciiTheme="minorHAnsi" w:hAnsiTheme="minorHAnsi"/>
          <w:sz w:val="28"/>
          <w:szCs w:val="28"/>
        </w:rPr>
        <w:t>Where there is a relevant transfer:</w:t>
      </w:r>
    </w:p>
    <w:p w:rsidR="00183327" w:rsidRPr="00197C18" w:rsidRDefault="002A0260" w:rsidP="002A0260">
      <w:pPr>
        <w:numPr>
          <w:ilvl w:val="0"/>
          <w:numId w:val="7"/>
        </w:numPr>
        <w:spacing w:before="100" w:beforeAutospacing="1" w:after="100" w:afterAutospacing="1" w:line="360" w:lineRule="auto"/>
        <w:ind w:left="0"/>
        <w:rPr>
          <w:rFonts w:asciiTheme="minorHAnsi" w:hAnsiTheme="minorHAnsi"/>
          <w:sz w:val="28"/>
          <w:szCs w:val="28"/>
        </w:rPr>
      </w:pPr>
      <w:r w:rsidRPr="00197C18">
        <w:rPr>
          <w:rFonts w:asciiTheme="minorHAnsi" w:hAnsiTheme="minorHAnsi"/>
          <w:sz w:val="28"/>
          <w:szCs w:val="28"/>
        </w:rPr>
        <w:t xml:space="preserve">The contracts of employment of those employees employed by the transferor and "assigned to the organised grouping of resources or employees that is subject to the relevant transfer" automatically transfer to the transferee on their existing terms, with the exception of old age, invalidity and survivors' benefits under </w:t>
      </w:r>
      <w:r w:rsidR="00183327" w:rsidRPr="00197C18">
        <w:rPr>
          <w:rFonts w:asciiTheme="minorHAnsi" w:hAnsiTheme="minorHAnsi"/>
          <w:sz w:val="28"/>
          <w:szCs w:val="28"/>
        </w:rPr>
        <w:t xml:space="preserve">occupational pension schemes </w:t>
      </w:r>
      <w:r w:rsidRPr="00197C18">
        <w:rPr>
          <w:rFonts w:asciiTheme="minorHAnsi" w:hAnsiTheme="minorHAnsi"/>
          <w:b/>
          <w:bCs/>
          <w:i/>
          <w:iCs/>
          <w:vanish/>
          <w:color w:val="005A84"/>
          <w:sz w:val="28"/>
          <w:szCs w:val="28"/>
        </w:rPr>
        <w:t xml:space="preserve"> ( www.practicallaw.com/8-107-6900) </w:t>
      </w:r>
      <w:r w:rsidR="00183327" w:rsidRPr="00197C18">
        <w:rPr>
          <w:rFonts w:asciiTheme="minorHAnsi" w:hAnsiTheme="minorHAnsi"/>
          <w:sz w:val="28"/>
          <w:szCs w:val="28"/>
        </w:rPr>
        <w:t>(regulation 4(1)</w:t>
      </w:r>
      <w:r w:rsidRPr="00197C18">
        <w:rPr>
          <w:rFonts w:asciiTheme="minorHAnsi" w:hAnsiTheme="minorHAnsi"/>
          <w:i/>
          <w:iCs/>
          <w:sz w:val="28"/>
          <w:szCs w:val="28"/>
        </w:rPr>
        <w:t>, TUPE</w:t>
      </w:r>
      <w:r w:rsidRPr="00197C18">
        <w:rPr>
          <w:rFonts w:asciiTheme="minorHAnsi" w:hAnsiTheme="minorHAnsi"/>
          <w:sz w:val="28"/>
          <w:szCs w:val="28"/>
        </w:rPr>
        <w:t xml:space="preserve">). This principle applies to all employees who were employed in the grouping immediately before the transfer, or who would have been so employed if they had not been dismissed by reason of the transfer, unless that reason was an </w:t>
      </w:r>
      <w:r w:rsidR="00183327" w:rsidRPr="00197C18">
        <w:rPr>
          <w:rFonts w:asciiTheme="minorHAnsi" w:hAnsiTheme="minorHAnsi"/>
          <w:sz w:val="28"/>
          <w:szCs w:val="28"/>
        </w:rPr>
        <w:t>econo</w:t>
      </w:r>
      <w:r w:rsidR="008166B0" w:rsidRPr="00197C18">
        <w:rPr>
          <w:rFonts w:asciiTheme="minorHAnsi" w:hAnsiTheme="minorHAnsi"/>
          <w:sz w:val="28"/>
          <w:szCs w:val="28"/>
        </w:rPr>
        <w:t xml:space="preserve">mic technical or organisational reason </w:t>
      </w:r>
      <w:r w:rsidRPr="00197C18">
        <w:rPr>
          <w:rFonts w:asciiTheme="minorHAnsi" w:hAnsiTheme="minorHAnsi"/>
          <w:sz w:val="28"/>
          <w:szCs w:val="28"/>
        </w:rPr>
        <w:t>(ETO reason) (</w:t>
      </w:r>
      <w:r w:rsidRPr="00197C18">
        <w:rPr>
          <w:rFonts w:asciiTheme="minorHAnsi" w:hAnsiTheme="minorHAnsi"/>
          <w:i/>
          <w:iCs/>
          <w:sz w:val="28"/>
          <w:szCs w:val="28"/>
        </w:rPr>
        <w:t>regulation 4(3), TUPE</w:t>
      </w:r>
      <w:r w:rsidRPr="00197C18">
        <w:rPr>
          <w:rFonts w:asciiTheme="minorHAnsi" w:hAnsiTheme="minorHAnsi"/>
          <w:sz w:val="28"/>
          <w:szCs w:val="28"/>
        </w:rPr>
        <w:t xml:space="preserve">). </w:t>
      </w:r>
    </w:p>
    <w:p w:rsidR="002A0260" w:rsidRPr="00197C18" w:rsidRDefault="002A0260" w:rsidP="002A0260">
      <w:pPr>
        <w:numPr>
          <w:ilvl w:val="0"/>
          <w:numId w:val="7"/>
        </w:numPr>
        <w:spacing w:before="100" w:beforeAutospacing="1" w:after="100" w:afterAutospacing="1" w:line="360" w:lineRule="auto"/>
        <w:ind w:left="0"/>
        <w:rPr>
          <w:rFonts w:asciiTheme="minorHAnsi" w:hAnsiTheme="minorHAnsi"/>
          <w:sz w:val="28"/>
          <w:szCs w:val="28"/>
        </w:rPr>
      </w:pPr>
      <w:r w:rsidRPr="00197C18">
        <w:rPr>
          <w:rFonts w:asciiTheme="minorHAnsi" w:hAnsiTheme="minorHAnsi"/>
          <w:sz w:val="28"/>
          <w:szCs w:val="28"/>
        </w:rPr>
        <w:t xml:space="preserve">The transferee effectively steps into the transferor's shoes with regard to the transferring employees. All of the transferor's rights, powers, duties and liabilities under or in connection with the transferring employees' contracts pass to the transferee and any acts or omissions of </w:t>
      </w:r>
      <w:r w:rsidRPr="00197C18">
        <w:rPr>
          <w:rFonts w:asciiTheme="minorHAnsi" w:hAnsiTheme="minorHAnsi"/>
          <w:sz w:val="28"/>
          <w:szCs w:val="28"/>
        </w:rPr>
        <w:lastRenderedPageBreak/>
        <w:t>the transferor before the transfer are treated as having been done by the transferee (</w:t>
      </w:r>
      <w:r w:rsidRPr="00197C18">
        <w:rPr>
          <w:rFonts w:asciiTheme="minorHAnsi" w:hAnsiTheme="minorHAnsi"/>
          <w:i/>
          <w:iCs/>
          <w:sz w:val="28"/>
          <w:szCs w:val="28"/>
        </w:rPr>
        <w:t>regulation 4(2), TUPE</w:t>
      </w:r>
      <w:r w:rsidRPr="00197C18">
        <w:rPr>
          <w:rFonts w:asciiTheme="minorHAnsi" w:hAnsiTheme="minorHAnsi"/>
          <w:sz w:val="28"/>
          <w:szCs w:val="28"/>
        </w:rPr>
        <w:t xml:space="preserve">). </w:t>
      </w:r>
    </w:p>
    <w:p w:rsidR="002A0260" w:rsidRPr="00197C18" w:rsidRDefault="002A0260" w:rsidP="002A0260">
      <w:pPr>
        <w:numPr>
          <w:ilvl w:val="0"/>
          <w:numId w:val="8"/>
        </w:numPr>
        <w:spacing w:before="100" w:beforeAutospacing="1" w:after="100" w:afterAutospacing="1" w:line="360" w:lineRule="auto"/>
        <w:ind w:left="0"/>
        <w:rPr>
          <w:rFonts w:asciiTheme="minorHAnsi" w:hAnsiTheme="minorHAnsi"/>
          <w:sz w:val="28"/>
          <w:szCs w:val="28"/>
        </w:rPr>
      </w:pPr>
      <w:r w:rsidRPr="00197C18">
        <w:rPr>
          <w:rFonts w:asciiTheme="minorHAnsi" w:hAnsiTheme="minorHAnsi"/>
          <w:sz w:val="28"/>
          <w:szCs w:val="28"/>
        </w:rPr>
        <w:t>Employees who object to the transfer do not become employees of the transferee. Instead, their contracts of employment terminate by operation of law on the transfer date (</w:t>
      </w:r>
      <w:r w:rsidRPr="00197C18">
        <w:rPr>
          <w:rFonts w:asciiTheme="minorHAnsi" w:hAnsiTheme="minorHAnsi"/>
          <w:i/>
          <w:iCs/>
          <w:sz w:val="28"/>
          <w:szCs w:val="28"/>
        </w:rPr>
        <w:t>regulation 4(7), TUPE</w:t>
      </w:r>
      <w:r w:rsidRPr="00197C18">
        <w:rPr>
          <w:rFonts w:asciiTheme="minorHAnsi" w:hAnsiTheme="minorHAnsi"/>
          <w:sz w:val="28"/>
          <w:szCs w:val="28"/>
        </w:rPr>
        <w:t>). There is no dismissal.</w:t>
      </w:r>
    </w:p>
    <w:p w:rsidR="002A0260" w:rsidRPr="00197C18" w:rsidRDefault="002A0260" w:rsidP="002A0260">
      <w:pPr>
        <w:spacing w:line="360" w:lineRule="auto"/>
        <w:rPr>
          <w:rFonts w:asciiTheme="minorHAnsi" w:hAnsiTheme="minorHAnsi"/>
          <w:sz w:val="28"/>
          <w:szCs w:val="28"/>
        </w:rPr>
      </w:pPr>
      <w:r w:rsidRPr="00197C18">
        <w:rPr>
          <w:rFonts w:asciiTheme="minorHAnsi" w:hAnsiTheme="minorHAnsi"/>
          <w:sz w:val="28"/>
          <w:szCs w:val="28"/>
        </w:rPr>
        <w:t xml:space="preserve">  </w:t>
      </w:r>
    </w:p>
    <w:p w:rsidR="002A0260" w:rsidRPr="00197C18" w:rsidRDefault="00E017D9" w:rsidP="002A0260">
      <w:pPr>
        <w:spacing w:line="360" w:lineRule="auto"/>
        <w:rPr>
          <w:rFonts w:asciiTheme="minorHAnsi" w:hAnsiTheme="minorHAnsi"/>
          <w:vanish/>
          <w:sz w:val="28"/>
          <w:szCs w:val="28"/>
        </w:rPr>
      </w:pPr>
      <w:hyperlink r:id="rId7" w:anchor="top" w:tooltip="Link to the top of the document" w:history="1">
        <w:r w:rsidR="002A0260" w:rsidRPr="00197C18">
          <w:rPr>
            <w:rFonts w:asciiTheme="minorHAnsi" w:hAnsiTheme="minorHAnsi"/>
            <w:vanish/>
            <w:color w:val="005A84"/>
            <w:sz w:val="28"/>
            <w:szCs w:val="28"/>
          </w:rPr>
          <w:t>Top</w:t>
        </w:r>
      </w:hyperlink>
    </w:p>
    <w:p w:rsidR="002A0260" w:rsidRPr="00197C18" w:rsidRDefault="002A0260" w:rsidP="002A0260">
      <w:pPr>
        <w:pBdr>
          <w:bottom w:val="dotted" w:sz="6" w:space="7" w:color="BABABA"/>
        </w:pBdr>
        <w:spacing w:before="100" w:beforeAutospacing="1" w:after="135" w:line="360" w:lineRule="auto"/>
        <w:outlineLvl w:val="1"/>
        <w:rPr>
          <w:rFonts w:asciiTheme="minorHAnsi" w:hAnsiTheme="minorHAnsi"/>
          <w:b/>
          <w:bCs/>
          <w:sz w:val="28"/>
          <w:szCs w:val="28"/>
        </w:rPr>
      </w:pPr>
      <w:bookmarkStart w:id="8" w:name="a285053"/>
      <w:bookmarkEnd w:id="8"/>
      <w:r w:rsidRPr="00197C18">
        <w:rPr>
          <w:rFonts w:asciiTheme="minorHAnsi" w:hAnsiTheme="minorHAnsi"/>
          <w:b/>
          <w:bCs/>
          <w:sz w:val="28"/>
          <w:szCs w:val="28"/>
        </w:rPr>
        <w:t>Changing terms of employment</w:t>
      </w:r>
    </w:p>
    <w:p w:rsidR="002A0260" w:rsidRPr="00197C18" w:rsidRDefault="002A0260" w:rsidP="002A0260">
      <w:pPr>
        <w:spacing w:before="100" w:beforeAutospacing="1" w:after="100" w:afterAutospacing="1" w:line="360" w:lineRule="auto"/>
        <w:rPr>
          <w:rFonts w:asciiTheme="minorHAnsi" w:hAnsiTheme="minorHAnsi"/>
          <w:sz w:val="28"/>
          <w:szCs w:val="28"/>
        </w:rPr>
      </w:pPr>
      <w:r w:rsidRPr="00197C18">
        <w:rPr>
          <w:rFonts w:asciiTheme="minorHAnsi" w:hAnsiTheme="minorHAnsi"/>
          <w:sz w:val="28"/>
          <w:szCs w:val="28"/>
        </w:rPr>
        <w:t>The transferee takes on the transferring employees on their existing terms of employment, and can only make changes to their terms in limited circumstances.</w:t>
      </w:r>
    </w:p>
    <w:p w:rsidR="002A0260" w:rsidRPr="00197C18" w:rsidRDefault="002A0260" w:rsidP="002A0260">
      <w:pPr>
        <w:spacing w:before="100" w:beforeAutospacing="1" w:after="100" w:afterAutospacing="1" w:line="360" w:lineRule="auto"/>
        <w:rPr>
          <w:rFonts w:asciiTheme="minorHAnsi" w:hAnsiTheme="minorHAnsi"/>
          <w:sz w:val="28"/>
          <w:szCs w:val="28"/>
        </w:rPr>
      </w:pPr>
      <w:r w:rsidRPr="00197C18">
        <w:rPr>
          <w:rFonts w:asciiTheme="minorHAnsi" w:hAnsiTheme="minorHAnsi"/>
          <w:sz w:val="28"/>
          <w:szCs w:val="28"/>
        </w:rPr>
        <w:t xml:space="preserve">Changes to terms of employment will be void if the sole or principal reason for the change is the transfer itself, unless either: </w:t>
      </w:r>
    </w:p>
    <w:p w:rsidR="002A0260" w:rsidRPr="00197C18" w:rsidRDefault="002A0260" w:rsidP="002A0260">
      <w:pPr>
        <w:numPr>
          <w:ilvl w:val="0"/>
          <w:numId w:val="9"/>
        </w:numPr>
        <w:spacing w:before="100" w:beforeAutospacing="1" w:after="100" w:afterAutospacing="1" w:line="360" w:lineRule="auto"/>
        <w:ind w:left="0"/>
        <w:rPr>
          <w:rFonts w:asciiTheme="minorHAnsi" w:hAnsiTheme="minorHAnsi"/>
          <w:sz w:val="28"/>
          <w:szCs w:val="28"/>
        </w:rPr>
      </w:pPr>
      <w:r w:rsidRPr="00197C18">
        <w:rPr>
          <w:rFonts w:asciiTheme="minorHAnsi" w:hAnsiTheme="minorHAnsi"/>
          <w:sz w:val="28"/>
          <w:szCs w:val="28"/>
        </w:rPr>
        <w:t>The reason for the variation is an ETO reason.</w:t>
      </w:r>
    </w:p>
    <w:p w:rsidR="002A0260" w:rsidRPr="00197C18" w:rsidRDefault="002A0260" w:rsidP="002A0260">
      <w:pPr>
        <w:numPr>
          <w:ilvl w:val="0"/>
          <w:numId w:val="9"/>
        </w:numPr>
        <w:spacing w:before="100" w:beforeAutospacing="1" w:after="100" w:afterAutospacing="1" w:line="360" w:lineRule="auto"/>
        <w:ind w:left="0"/>
        <w:rPr>
          <w:rFonts w:asciiTheme="minorHAnsi" w:hAnsiTheme="minorHAnsi"/>
          <w:sz w:val="28"/>
          <w:szCs w:val="28"/>
        </w:rPr>
      </w:pPr>
      <w:r w:rsidRPr="00197C18">
        <w:rPr>
          <w:rFonts w:asciiTheme="minorHAnsi" w:hAnsiTheme="minorHAnsi"/>
          <w:sz w:val="28"/>
          <w:szCs w:val="28"/>
        </w:rPr>
        <w:t>The reason for the variation is the transfer, but the terms of the contract permit the employer to make such a variation.</w:t>
      </w:r>
    </w:p>
    <w:p w:rsidR="002A0260" w:rsidRDefault="002A0260" w:rsidP="002A0260">
      <w:pPr>
        <w:spacing w:before="100" w:beforeAutospacing="1" w:after="100" w:afterAutospacing="1" w:line="360" w:lineRule="auto"/>
        <w:rPr>
          <w:rFonts w:asciiTheme="minorHAnsi" w:hAnsiTheme="minorHAnsi"/>
          <w:sz w:val="28"/>
          <w:szCs w:val="28"/>
        </w:rPr>
      </w:pPr>
      <w:r w:rsidRPr="00197C18">
        <w:rPr>
          <w:rFonts w:asciiTheme="minorHAnsi" w:hAnsiTheme="minorHAnsi"/>
          <w:sz w:val="28"/>
          <w:szCs w:val="28"/>
        </w:rPr>
        <w:t>(</w:t>
      </w:r>
      <w:r w:rsidR="008166B0" w:rsidRPr="00197C18">
        <w:rPr>
          <w:rFonts w:asciiTheme="minorHAnsi" w:hAnsiTheme="minorHAnsi"/>
          <w:sz w:val="28"/>
          <w:szCs w:val="28"/>
        </w:rPr>
        <w:t>Regulation 4 (4)-4(5)</w:t>
      </w:r>
      <w:r w:rsidRPr="00197C18">
        <w:rPr>
          <w:rFonts w:asciiTheme="minorHAnsi" w:hAnsiTheme="minorHAnsi"/>
          <w:i/>
          <w:iCs/>
          <w:sz w:val="28"/>
          <w:szCs w:val="28"/>
        </w:rPr>
        <w:t>, TUPE</w:t>
      </w:r>
      <w:r w:rsidRPr="00197C18">
        <w:rPr>
          <w:rFonts w:asciiTheme="minorHAnsi" w:hAnsiTheme="minorHAnsi"/>
          <w:sz w:val="28"/>
          <w:szCs w:val="28"/>
        </w:rPr>
        <w:t>.)</w:t>
      </w:r>
    </w:p>
    <w:p w:rsidR="00197C18" w:rsidRDefault="00197C18" w:rsidP="002A0260">
      <w:pPr>
        <w:spacing w:before="100" w:beforeAutospacing="1" w:after="100" w:afterAutospacing="1" w:line="360" w:lineRule="auto"/>
        <w:rPr>
          <w:rFonts w:asciiTheme="minorHAnsi" w:hAnsiTheme="minorHAnsi"/>
          <w:sz w:val="28"/>
          <w:szCs w:val="28"/>
        </w:rPr>
      </w:pPr>
    </w:p>
    <w:p w:rsidR="00197C18" w:rsidRDefault="00197C18" w:rsidP="002A0260">
      <w:pPr>
        <w:spacing w:before="100" w:beforeAutospacing="1" w:after="100" w:afterAutospacing="1" w:line="360" w:lineRule="auto"/>
        <w:rPr>
          <w:rFonts w:asciiTheme="minorHAnsi" w:hAnsiTheme="minorHAnsi"/>
          <w:sz w:val="28"/>
          <w:szCs w:val="28"/>
        </w:rPr>
      </w:pPr>
    </w:p>
    <w:p w:rsidR="00197C18" w:rsidRPr="00197C18" w:rsidRDefault="00197C18" w:rsidP="002A0260">
      <w:pPr>
        <w:spacing w:before="100" w:beforeAutospacing="1" w:after="100" w:afterAutospacing="1" w:line="360" w:lineRule="auto"/>
        <w:rPr>
          <w:rFonts w:asciiTheme="minorHAnsi" w:hAnsiTheme="minorHAnsi"/>
          <w:sz w:val="28"/>
          <w:szCs w:val="28"/>
        </w:rPr>
      </w:pPr>
    </w:p>
    <w:p w:rsidR="002A0260" w:rsidRPr="00197C18" w:rsidRDefault="002A0260" w:rsidP="002A0260">
      <w:pPr>
        <w:spacing w:line="360" w:lineRule="auto"/>
        <w:rPr>
          <w:rFonts w:asciiTheme="minorHAnsi" w:hAnsiTheme="minorHAnsi"/>
          <w:sz w:val="28"/>
          <w:szCs w:val="28"/>
        </w:rPr>
      </w:pPr>
    </w:p>
    <w:p w:rsidR="002A0260" w:rsidRPr="00197C18" w:rsidRDefault="00E017D9" w:rsidP="002A0260">
      <w:pPr>
        <w:spacing w:line="360" w:lineRule="auto"/>
        <w:rPr>
          <w:rFonts w:asciiTheme="minorHAnsi" w:hAnsiTheme="minorHAnsi"/>
          <w:vanish/>
          <w:sz w:val="28"/>
          <w:szCs w:val="28"/>
        </w:rPr>
      </w:pPr>
      <w:hyperlink r:id="rId8" w:anchor="top" w:tooltip="Link to the top of the document" w:history="1">
        <w:r w:rsidR="002A0260" w:rsidRPr="00197C18">
          <w:rPr>
            <w:rFonts w:asciiTheme="minorHAnsi" w:hAnsiTheme="minorHAnsi"/>
            <w:vanish/>
            <w:color w:val="005A84"/>
            <w:sz w:val="28"/>
            <w:szCs w:val="28"/>
          </w:rPr>
          <w:t>Top</w:t>
        </w:r>
      </w:hyperlink>
    </w:p>
    <w:p w:rsidR="002A0260" w:rsidRPr="00197C18" w:rsidRDefault="002A0260" w:rsidP="002A0260">
      <w:pPr>
        <w:pBdr>
          <w:bottom w:val="dotted" w:sz="6" w:space="7" w:color="BABABA"/>
        </w:pBdr>
        <w:spacing w:before="100" w:beforeAutospacing="1" w:after="135" w:line="360" w:lineRule="auto"/>
        <w:outlineLvl w:val="1"/>
        <w:rPr>
          <w:rFonts w:asciiTheme="minorHAnsi" w:hAnsiTheme="minorHAnsi"/>
          <w:b/>
          <w:bCs/>
          <w:sz w:val="28"/>
          <w:szCs w:val="28"/>
        </w:rPr>
      </w:pPr>
      <w:bookmarkStart w:id="9" w:name="a168430"/>
      <w:bookmarkEnd w:id="9"/>
      <w:r w:rsidRPr="00197C18">
        <w:rPr>
          <w:rFonts w:asciiTheme="minorHAnsi" w:hAnsiTheme="minorHAnsi"/>
          <w:b/>
          <w:bCs/>
          <w:sz w:val="28"/>
          <w:szCs w:val="28"/>
        </w:rPr>
        <w:t>Protection against dismissal</w:t>
      </w:r>
    </w:p>
    <w:p w:rsidR="002A0260" w:rsidRPr="00197C18" w:rsidRDefault="002A0260" w:rsidP="002A0260">
      <w:pPr>
        <w:spacing w:before="100" w:beforeAutospacing="1" w:after="100" w:afterAutospacing="1" w:line="360" w:lineRule="auto"/>
        <w:rPr>
          <w:rFonts w:asciiTheme="minorHAnsi" w:hAnsiTheme="minorHAnsi"/>
          <w:sz w:val="28"/>
          <w:szCs w:val="28"/>
        </w:rPr>
      </w:pPr>
      <w:r w:rsidRPr="00197C18">
        <w:rPr>
          <w:rFonts w:asciiTheme="minorHAnsi" w:hAnsiTheme="minorHAnsi"/>
          <w:sz w:val="28"/>
          <w:szCs w:val="28"/>
        </w:rPr>
        <w:t>TUPE provides enhanced protection against dismissal over and above general unfair dismissal law for employees with (at least) the qualifying period of service.</w:t>
      </w:r>
    </w:p>
    <w:p w:rsidR="002A0260" w:rsidRPr="00197C18" w:rsidRDefault="002A0260" w:rsidP="002A0260">
      <w:pPr>
        <w:spacing w:before="100" w:beforeAutospacing="1" w:after="100" w:afterAutospacing="1" w:line="360" w:lineRule="auto"/>
        <w:rPr>
          <w:rFonts w:asciiTheme="minorHAnsi" w:hAnsiTheme="minorHAnsi"/>
          <w:sz w:val="28"/>
          <w:szCs w:val="28"/>
        </w:rPr>
      </w:pPr>
      <w:r w:rsidRPr="00197C18">
        <w:rPr>
          <w:rFonts w:asciiTheme="minorHAnsi" w:hAnsiTheme="minorHAnsi"/>
          <w:sz w:val="28"/>
          <w:szCs w:val="28"/>
        </w:rPr>
        <w:t>Dismissals will be automatically unfair if the sole or principal reason for the dismissal is the transfer itself. If, however, the reason is an ETO reason, then they will instead be potentially unfair (</w:t>
      </w:r>
      <w:r w:rsidR="008166B0" w:rsidRPr="00197C18">
        <w:rPr>
          <w:rFonts w:asciiTheme="minorHAnsi" w:hAnsiTheme="minorHAnsi"/>
          <w:sz w:val="28"/>
          <w:szCs w:val="28"/>
        </w:rPr>
        <w:t>Regulation 7 (1)</w:t>
      </w:r>
      <w:r w:rsidRPr="00197C18">
        <w:rPr>
          <w:rFonts w:asciiTheme="minorHAnsi" w:hAnsiTheme="minorHAnsi"/>
          <w:i/>
          <w:iCs/>
          <w:sz w:val="28"/>
          <w:szCs w:val="28"/>
        </w:rPr>
        <w:t xml:space="preserve"> TUPE</w:t>
      </w:r>
      <w:r w:rsidRPr="00197C18">
        <w:rPr>
          <w:rFonts w:asciiTheme="minorHAnsi" w:hAnsiTheme="minorHAnsi"/>
          <w:sz w:val="28"/>
          <w:szCs w:val="28"/>
        </w:rPr>
        <w:t xml:space="preserve">). </w:t>
      </w:r>
    </w:p>
    <w:p w:rsidR="002A0260" w:rsidRPr="00197C18" w:rsidRDefault="008166B0" w:rsidP="002A0260">
      <w:pPr>
        <w:spacing w:before="100" w:beforeAutospacing="1" w:after="100" w:afterAutospacing="1" w:line="360" w:lineRule="auto"/>
        <w:rPr>
          <w:rFonts w:asciiTheme="minorHAnsi" w:hAnsiTheme="minorHAnsi"/>
          <w:sz w:val="28"/>
          <w:szCs w:val="28"/>
        </w:rPr>
      </w:pPr>
      <w:r w:rsidRPr="00197C18">
        <w:rPr>
          <w:rFonts w:asciiTheme="minorHAnsi" w:hAnsiTheme="minorHAnsi"/>
          <w:sz w:val="28"/>
          <w:szCs w:val="28"/>
        </w:rPr>
        <w:t xml:space="preserve">Resignations in response to a repudiatory breach </w:t>
      </w:r>
      <w:r w:rsidRPr="00197C18">
        <w:rPr>
          <w:rFonts w:asciiTheme="minorHAnsi" w:hAnsiTheme="minorHAnsi"/>
          <w:b/>
          <w:bCs/>
          <w:i/>
          <w:iCs/>
          <w:vanish/>
          <w:color w:val="005A84"/>
          <w:sz w:val="28"/>
          <w:szCs w:val="28"/>
        </w:rPr>
        <w:t> ( www.practicallaw.com/</w:t>
      </w:r>
      <w:r w:rsidR="002A0260" w:rsidRPr="00197C18">
        <w:rPr>
          <w:rFonts w:asciiTheme="minorHAnsi" w:hAnsiTheme="minorHAnsi"/>
          <w:sz w:val="28"/>
          <w:szCs w:val="28"/>
        </w:rPr>
        <w:t>of contract or to substantial changes in working conditions to the employee's material detriment are treated as deemed dismissals to which the enhanced protection against dismissal applies (</w:t>
      </w:r>
      <w:r w:rsidRPr="00197C18">
        <w:rPr>
          <w:rFonts w:asciiTheme="minorHAnsi" w:hAnsiTheme="minorHAnsi"/>
          <w:sz w:val="28"/>
          <w:szCs w:val="28"/>
        </w:rPr>
        <w:t>regulation 4 (9) and 4 (11</w:t>
      </w:r>
      <w:proofErr w:type="gramStart"/>
      <w:r w:rsidRPr="00197C18">
        <w:rPr>
          <w:rFonts w:asciiTheme="minorHAnsi" w:hAnsiTheme="minorHAnsi"/>
          <w:sz w:val="28"/>
          <w:szCs w:val="28"/>
        </w:rPr>
        <w:t xml:space="preserve">) </w:t>
      </w:r>
      <w:r w:rsidR="002A0260" w:rsidRPr="00197C18">
        <w:rPr>
          <w:rFonts w:asciiTheme="minorHAnsi" w:hAnsiTheme="minorHAnsi"/>
          <w:i/>
          <w:iCs/>
          <w:sz w:val="28"/>
          <w:szCs w:val="28"/>
        </w:rPr>
        <w:t>,</w:t>
      </w:r>
      <w:proofErr w:type="gramEnd"/>
      <w:r w:rsidR="002A0260" w:rsidRPr="00197C18">
        <w:rPr>
          <w:rFonts w:asciiTheme="minorHAnsi" w:hAnsiTheme="minorHAnsi"/>
          <w:i/>
          <w:iCs/>
          <w:sz w:val="28"/>
          <w:szCs w:val="28"/>
        </w:rPr>
        <w:t xml:space="preserve"> TUPE</w:t>
      </w:r>
      <w:r w:rsidR="002A0260" w:rsidRPr="00197C18">
        <w:rPr>
          <w:rFonts w:asciiTheme="minorHAnsi" w:hAnsiTheme="minorHAnsi"/>
          <w:sz w:val="28"/>
          <w:szCs w:val="28"/>
        </w:rPr>
        <w:t xml:space="preserve">). </w:t>
      </w:r>
    </w:p>
    <w:p w:rsidR="002A0260" w:rsidRPr="00197C18" w:rsidRDefault="002A0260" w:rsidP="002A0260">
      <w:pPr>
        <w:spacing w:line="360" w:lineRule="auto"/>
        <w:rPr>
          <w:rFonts w:asciiTheme="minorHAnsi" w:hAnsiTheme="minorHAnsi"/>
          <w:sz w:val="28"/>
          <w:szCs w:val="28"/>
        </w:rPr>
      </w:pPr>
      <w:r w:rsidRPr="00197C18">
        <w:rPr>
          <w:rFonts w:asciiTheme="minorHAnsi" w:hAnsiTheme="minorHAnsi"/>
          <w:sz w:val="28"/>
          <w:szCs w:val="28"/>
        </w:rPr>
        <w:t xml:space="preserve"> </w:t>
      </w:r>
    </w:p>
    <w:p w:rsidR="002A0260" w:rsidRPr="00197C18" w:rsidRDefault="00E017D9" w:rsidP="002A0260">
      <w:pPr>
        <w:spacing w:line="360" w:lineRule="auto"/>
        <w:rPr>
          <w:rFonts w:asciiTheme="minorHAnsi" w:hAnsiTheme="minorHAnsi"/>
          <w:vanish/>
          <w:sz w:val="28"/>
          <w:szCs w:val="28"/>
        </w:rPr>
      </w:pPr>
      <w:hyperlink r:id="rId9" w:anchor="top" w:tooltip="Link to the top of the document" w:history="1">
        <w:r w:rsidR="002A0260" w:rsidRPr="00197C18">
          <w:rPr>
            <w:rFonts w:asciiTheme="minorHAnsi" w:hAnsiTheme="minorHAnsi"/>
            <w:vanish/>
            <w:color w:val="005A84"/>
            <w:sz w:val="28"/>
            <w:szCs w:val="28"/>
          </w:rPr>
          <w:t>Top</w:t>
        </w:r>
      </w:hyperlink>
    </w:p>
    <w:p w:rsidR="002A0260" w:rsidRPr="00197C18" w:rsidRDefault="002A0260" w:rsidP="002A0260">
      <w:pPr>
        <w:pBdr>
          <w:bottom w:val="dotted" w:sz="6" w:space="7" w:color="BABABA"/>
        </w:pBdr>
        <w:spacing w:before="100" w:beforeAutospacing="1" w:after="135" w:line="360" w:lineRule="auto"/>
        <w:outlineLvl w:val="1"/>
        <w:rPr>
          <w:rFonts w:asciiTheme="minorHAnsi" w:hAnsiTheme="minorHAnsi"/>
          <w:b/>
          <w:bCs/>
          <w:sz w:val="28"/>
          <w:szCs w:val="28"/>
        </w:rPr>
      </w:pPr>
      <w:bookmarkStart w:id="10" w:name="a837308"/>
      <w:bookmarkEnd w:id="10"/>
      <w:r w:rsidRPr="00197C18">
        <w:rPr>
          <w:rFonts w:asciiTheme="minorHAnsi" w:hAnsiTheme="minorHAnsi"/>
          <w:b/>
          <w:bCs/>
          <w:sz w:val="28"/>
          <w:szCs w:val="28"/>
        </w:rPr>
        <w:t>Obligations to inform and consult</w:t>
      </w:r>
    </w:p>
    <w:p w:rsidR="002A0260" w:rsidRPr="00197C18" w:rsidRDefault="002A0260" w:rsidP="002A0260">
      <w:pPr>
        <w:spacing w:before="100" w:beforeAutospacing="1" w:after="100" w:afterAutospacing="1" w:line="360" w:lineRule="auto"/>
        <w:rPr>
          <w:rFonts w:asciiTheme="minorHAnsi" w:hAnsiTheme="minorHAnsi"/>
          <w:sz w:val="28"/>
          <w:szCs w:val="28"/>
        </w:rPr>
      </w:pPr>
      <w:r w:rsidRPr="00197C18">
        <w:rPr>
          <w:rFonts w:asciiTheme="minorHAnsi" w:hAnsiTheme="minorHAnsi"/>
          <w:sz w:val="28"/>
          <w:szCs w:val="28"/>
        </w:rPr>
        <w:t xml:space="preserve">Both the transferor and the transferee must inform and (if appropriate) consult with recognised trade unions or elected employee representatives (if there is no recognised union) in relation to any of their own employees who may be affected by the transfer or any measures taken in connection with it. Certain information must be provided to the representatives long enough before the transfer to enable the transferor to consult with them about it. Although there will be a duty to inform on every TUPE transfer, the duty to consult only arises where an employer envisages taking measures in respect of </w:t>
      </w:r>
      <w:r w:rsidRPr="00197C18">
        <w:rPr>
          <w:rFonts w:asciiTheme="minorHAnsi" w:hAnsiTheme="minorHAnsi"/>
          <w:sz w:val="28"/>
          <w:szCs w:val="28"/>
        </w:rPr>
        <w:lastRenderedPageBreak/>
        <w:t>affected employees (</w:t>
      </w:r>
      <w:r w:rsidR="008166B0" w:rsidRPr="00197C18">
        <w:rPr>
          <w:rFonts w:asciiTheme="minorHAnsi" w:hAnsiTheme="minorHAnsi"/>
          <w:sz w:val="28"/>
          <w:szCs w:val="28"/>
        </w:rPr>
        <w:t>regulation 13</w:t>
      </w:r>
      <w:r w:rsidRPr="00197C18">
        <w:rPr>
          <w:rFonts w:asciiTheme="minorHAnsi" w:hAnsiTheme="minorHAnsi"/>
          <w:i/>
          <w:iCs/>
          <w:sz w:val="28"/>
          <w:szCs w:val="28"/>
        </w:rPr>
        <w:t>, TUPE</w:t>
      </w:r>
      <w:r w:rsidRPr="00197C18">
        <w:rPr>
          <w:rFonts w:asciiTheme="minorHAnsi" w:hAnsiTheme="minorHAnsi"/>
          <w:sz w:val="28"/>
          <w:szCs w:val="28"/>
        </w:rPr>
        <w:t>). Since 31 July 2014, the 2014 amendment regulations allow micro-businesses with ten or fewer employees to inform and consult affected employees directly in certain circumstances.</w:t>
      </w:r>
    </w:p>
    <w:p w:rsidR="008166B0" w:rsidRPr="00197C18" w:rsidRDefault="002A0260" w:rsidP="002A0260">
      <w:pPr>
        <w:spacing w:before="100" w:beforeAutospacing="1" w:after="100" w:afterAutospacing="1" w:line="360" w:lineRule="auto"/>
        <w:rPr>
          <w:rFonts w:asciiTheme="minorHAnsi" w:hAnsiTheme="minorHAnsi"/>
          <w:sz w:val="28"/>
          <w:szCs w:val="28"/>
        </w:rPr>
      </w:pPr>
      <w:r w:rsidRPr="00197C18">
        <w:rPr>
          <w:rFonts w:asciiTheme="minorHAnsi" w:hAnsiTheme="minorHAnsi"/>
          <w:sz w:val="28"/>
          <w:szCs w:val="28"/>
        </w:rPr>
        <w:t xml:space="preserve">A failure to comply with these obligations exposes the parties liable to pay compensation equivalent to up to 13 weeks' uncapped pay. The transferor and transferee may, in certain circumstances, be held to be </w:t>
      </w:r>
      <w:r w:rsidR="008166B0" w:rsidRPr="00197C18">
        <w:rPr>
          <w:rFonts w:asciiTheme="minorHAnsi" w:hAnsiTheme="minorHAnsi"/>
          <w:sz w:val="28"/>
          <w:szCs w:val="28"/>
        </w:rPr>
        <w:t xml:space="preserve">jointly and severally liable for </w:t>
      </w:r>
      <w:r w:rsidRPr="00197C18">
        <w:rPr>
          <w:rFonts w:asciiTheme="minorHAnsi" w:hAnsiTheme="minorHAnsi"/>
          <w:sz w:val="28"/>
          <w:szCs w:val="28"/>
        </w:rPr>
        <w:t>this (</w:t>
      </w:r>
      <w:r w:rsidR="008166B0" w:rsidRPr="00197C18">
        <w:rPr>
          <w:rFonts w:asciiTheme="minorHAnsi" w:hAnsiTheme="minorHAnsi"/>
          <w:sz w:val="28"/>
          <w:szCs w:val="28"/>
        </w:rPr>
        <w:t>regulation 15</w:t>
      </w:r>
      <w:r w:rsidRPr="00197C18">
        <w:rPr>
          <w:rFonts w:asciiTheme="minorHAnsi" w:hAnsiTheme="minorHAnsi"/>
          <w:i/>
          <w:iCs/>
          <w:sz w:val="28"/>
          <w:szCs w:val="28"/>
        </w:rPr>
        <w:t>, TUPE</w:t>
      </w:r>
      <w:r w:rsidRPr="00197C18">
        <w:rPr>
          <w:rFonts w:asciiTheme="minorHAnsi" w:hAnsiTheme="minorHAnsi"/>
          <w:sz w:val="28"/>
          <w:szCs w:val="28"/>
        </w:rPr>
        <w:t xml:space="preserve">). Affected employees of a transferor are only able to obtain compensation from the transferee where the transferor makes the transferee a party to the proceedings alleging the transferee's failure under regulation 13(4). </w:t>
      </w:r>
    </w:p>
    <w:p w:rsidR="002A0260" w:rsidRPr="00197C18" w:rsidRDefault="002A0260" w:rsidP="008166B0">
      <w:pPr>
        <w:spacing w:before="100" w:beforeAutospacing="1" w:after="100" w:afterAutospacing="1" w:line="360" w:lineRule="auto"/>
        <w:rPr>
          <w:rFonts w:asciiTheme="minorHAnsi" w:hAnsiTheme="minorHAnsi"/>
          <w:sz w:val="28"/>
          <w:szCs w:val="28"/>
        </w:rPr>
      </w:pPr>
      <w:r w:rsidRPr="00197C18">
        <w:rPr>
          <w:rFonts w:asciiTheme="minorHAnsi" w:hAnsiTheme="minorHAnsi"/>
          <w:sz w:val="28"/>
          <w:szCs w:val="28"/>
        </w:rPr>
        <w:t>The 2014 amendment regulations enable</w:t>
      </w:r>
      <w:r w:rsidR="008166B0" w:rsidRPr="00197C18">
        <w:rPr>
          <w:rFonts w:asciiTheme="minorHAnsi" w:hAnsiTheme="minorHAnsi"/>
          <w:sz w:val="28"/>
          <w:szCs w:val="28"/>
        </w:rPr>
        <w:t>d</w:t>
      </w:r>
      <w:r w:rsidRPr="00197C18">
        <w:rPr>
          <w:rFonts w:asciiTheme="minorHAnsi" w:hAnsiTheme="minorHAnsi"/>
          <w:sz w:val="28"/>
          <w:szCs w:val="28"/>
        </w:rPr>
        <w:t xml:space="preserve"> the transferee to elect to consult representatives of affected employees, including those transferring, before the transfer, provided that it notifies the transferor in writing and the transferor agrees.   </w:t>
      </w:r>
    </w:p>
    <w:p w:rsidR="002A0260" w:rsidRPr="00197C18" w:rsidRDefault="00E017D9" w:rsidP="002A0260">
      <w:pPr>
        <w:spacing w:line="360" w:lineRule="auto"/>
        <w:rPr>
          <w:rFonts w:asciiTheme="minorHAnsi" w:hAnsiTheme="minorHAnsi"/>
          <w:vanish/>
          <w:sz w:val="28"/>
          <w:szCs w:val="28"/>
        </w:rPr>
      </w:pPr>
      <w:hyperlink r:id="rId10" w:anchor="top" w:tooltip="Link to the top of the document" w:history="1">
        <w:r w:rsidR="002A0260" w:rsidRPr="00197C18">
          <w:rPr>
            <w:rFonts w:asciiTheme="minorHAnsi" w:hAnsiTheme="minorHAnsi"/>
            <w:vanish/>
            <w:color w:val="005A84"/>
            <w:sz w:val="28"/>
            <w:szCs w:val="28"/>
          </w:rPr>
          <w:t>Top</w:t>
        </w:r>
      </w:hyperlink>
    </w:p>
    <w:p w:rsidR="002A0260" w:rsidRPr="00197C18" w:rsidRDefault="002A0260" w:rsidP="002A0260">
      <w:pPr>
        <w:pBdr>
          <w:bottom w:val="dotted" w:sz="6" w:space="7" w:color="BABABA"/>
        </w:pBdr>
        <w:spacing w:before="100" w:beforeAutospacing="1" w:after="135" w:line="360" w:lineRule="auto"/>
        <w:outlineLvl w:val="1"/>
        <w:rPr>
          <w:rFonts w:asciiTheme="minorHAnsi" w:hAnsiTheme="minorHAnsi"/>
          <w:b/>
          <w:bCs/>
          <w:sz w:val="28"/>
          <w:szCs w:val="28"/>
        </w:rPr>
      </w:pPr>
      <w:bookmarkStart w:id="11" w:name="a545576"/>
      <w:bookmarkEnd w:id="11"/>
      <w:r w:rsidRPr="00197C18">
        <w:rPr>
          <w:rFonts w:asciiTheme="minorHAnsi" w:hAnsiTheme="minorHAnsi"/>
          <w:b/>
          <w:bCs/>
          <w:sz w:val="28"/>
          <w:szCs w:val="28"/>
        </w:rPr>
        <w:t>The obligation to provide "employee liability information"</w:t>
      </w:r>
    </w:p>
    <w:p w:rsidR="002A0260" w:rsidRDefault="002A0260" w:rsidP="002A0260">
      <w:pPr>
        <w:spacing w:before="100" w:beforeAutospacing="1" w:after="100" w:afterAutospacing="1" w:line="360" w:lineRule="auto"/>
        <w:rPr>
          <w:rFonts w:asciiTheme="minorHAnsi" w:hAnsiTheme="minorHAnsi"/>
          <w:sz w:val="28"/>
          <w:szCs w:val="28"/>
        </w:rPr>
      </w:pPr>
      <w:r w:rsidRPr="00197C18">
        <w:rPr>
          <w:rFonts w:asciiTheme="minorHAnsi" w:hAnsiTheme="minorHAnsi"/>
          <w:sz w:val="28"/>
          <w:szCs w:val="28"/>
        </w:rPr>
        <w:t xml:space="preserve">The transferor must provide the transferee with certain information about the transferring employees (the "employee liability information") not less than 28 days before the relevant transfer takes place. If the transferor fails to provide this information, then the transferee has a remedy under </w:t>
      </w:r>
      <w:r w:rsidR="008166B0" w:rsidRPr="00197C18">
        <w:rPr>
          <w:rFonts w:asciiTheme="minorHAnsi" w:hAnsiTheme="minorHAnsi"/>
          <w:sz w:val="28"/>
          <w:szCs w:val="28"/>
        </w:rPr>
        <w:t xml:space="preserve">regulation 11 </w:t>
      </w:r>
      <w:r w:rsidRPr="00197C18">
        <w:rPr>
          <w:rFonts w:asciiTheme="minorHAnsi" w:hAnsiTheme="minorHAnsi"/>
          <w:sz w:val="28"/>
          <w:szCs w:val="28"/>
        </w:rPr>
        <w:t>and</w:t>
      </w:r>
      <w:r w:rsidR="008166B0" w:rsidRPr="00197C18">
        <w:rPr>
          <w:rFonts w:asciiTheme="minorHAnsi" w:hAnsiTheme="minorHAnsi"/>
          <w:sz w:val="28"/>
          <w:szCs w:val="28"/>
        </w:rPr>
        <w:t xml:space="preserve"> regulation 12 </w:t>
      </w:r>
      <w:r w:rsidRPr="00197C18">
        <w:rPr>
          <w:rFonts w:asciiTheme="minorHAnsi" w:hAnsiTheme="minorHAnsi"/>
          <w:sz w:val="28"/>
          <w:szCs w:val="28"/>
        </w:rPr>
        <w:t>of TUPE.</w:t>
      </w:r>
    </w:p>
    <w:p w:rsidR="00197C18" w:rsidRDefault="00197C18" w:rsidP="002A0260">
      <w:pPr>
        <w:spacing w:before="100" w:beforeAutospacing="1" w:after="100" w:afterAutospacing="1" w:line="360" w:lineRule="auto"/>
        <w:rPr>
          <w:rFonts w:asciiTheme="minorHAnsi" w:hAnsiTheme="minorHAnsi"/>
          <w:sz w:val="28"/>
          <w:szCs w:val="28"/>
        </w:rPr>
      </w:pPr>
    </w:p>
    <w:p w:rsidR="00197C18" w:rsidRPr="00197C18" w:rsidRDefault="00197C18" w:rsidP="002A0260">
      <w:pPr>
        <w:spacing w:before="100" w:beforeAutospacing="1" w:after="100" w:afterAutospacing="1" w:line="360" w:lineRule="auto"/>
        <w:rPr>
          <w:rFonts w:asciiTheme="minorHAnsi" w:hAnsiTheme="minorHAnsi"/>
          <w:sz w:val="28"/>
          <w:szCs w:val="28"/>
        </w:rPr>
      </w:pPr>
    </w:p>
    <w:p w:rsidR="002A0260" w:rsidRPr="00197C18" w:rsidRDefault="002A0260" w:rsidP="002A0260">
      <w:pPr>
        <w:spacing w:line="360" w:lineRule="auto"/>
        <w:rPr>
          <w:rFonts w:asciiTheme="minorHAnsi" w:hAnsiTheme="minorHAnsi"/>
          <w:sz w:val="28"/>
          <w:szCs w:val="28"/>
        </w:rPr>
      </w:pPr>
      <w:r w:rsidRPr="00197C18">
        <w:rPr>
          <w:rFonts w:asciiTheme="minorHAnsi" w:hAnsiTheme="minorHAnsi"/>
          <w:sz w:val="28"/>
          <w:szCs w:val="28"/>
        </w:rPr>
        <w:lastRenderedPageBreak/>
        <w:t xml:space="preserve">  </w:t>
      </w:r>
    </w:p>
    <w:p w:rsidR="002A0260" w:rsidRPr="00197C18" w:rsidRDefault="00E017D9" w:rsidP="002A0260">
      <w:pPr>
        <w:spacing w:line="360" w:lineRule="auto"/>
        <w:rPr>
          <w:rFonts w:asciiTheme="minorHAnsi" w:hAnsiTheme="minorHAnsi"/>
          <w:vanish/>
          <w:sz w:val="28"/>
          <w:szCs w:val="28"/>
        </w:rPr>
      </w:pPr>
      <w:hyperlink r:id="rId11" w:anchor="top" w:tooltip="Link to the top of the document" w:history="1">
        <w:r w:rsidR="002A0260" w:rsidRPr="00197C18">
          <w:rPr>
            <w:rFonts w:asciiTheme="minorHAnsi" w:hAnsiTheme="minorHAnsi"/>
            <w:vanish/>
            <w:color w:val="005A84"/>
            <w:sz w:val="28"/>
            <w:szCs w:val="28"/>
          </w:rPr>
          <w:t>Top</w:t>
        </w:r>
      </w:hyperlink>
    </w:p>
    <w:p w:rsidR="002A0260" w:rsidRPr="00197C18" w:rsidRDefault="002A0260" w:rsidP="002A0260">
      <w:pPr>
        <w:pBdr>
          <w:bottom w:val="dotted" w:sz="6" w:space="7" w:color="BABABA"/>
        </w:pBdr>
        <w:spacing w:before="100" w:beforeAutospacing="1" w:after="135" w:line="360" w:lineRule="auto"/>
        <w:outlineLvl w:val="1"/>
        <w:rPr>
          <w:rFonts w:asciiTheme="minorHAnsi" w:hAnsiTheme="minorHAnsi"/>
          <w:b/>
          <w:bCs/>
          <w:sz w:val="28"/>
          <w:szCs w:val="28"/>
        </w:rPr>
      </w:pPr>
      <w:bookmarkStart w:id="12" w:name="a830671"/>
      <w:bookmarkEnd w:id="12"/>
      <w:r w:rsidRPr="00197C18">
        <w:rPr>
          <w:rFonts w:asciiTheme="minorHAnsi" w:hAnsiTheme="minorHAnsi"/>
          <w:b/>
          <w:bCs/>
          <w:sz w:val="28"/>
          <w:szCs w:val="28"/>
        </w:rPr>
        <w:t xml:space="preserve">Insolvent businesses </w:t>
      </w:r>
    </w:p>
    <w:p w:rsidR="002A0260" w:rsidRPr="00197C18" w:rsidRDefault="002A0260" w:rsidP="002A0260">
      <w:pPr>
        <w:spacing w:before="100" w:beforeAutospacing="1" w:after="100" w:afterAutospacing="1" w:line="360" w:lineRule="auto"/>
        <w:rPr>
          <w:rFonts w:asciiTheme="minorHAnsi" w:hAnsiTheme="minorHAnsi"/>
          <w:sz w:val="28"/>
          <w:szCs w:val="28"/>
        </w:rPr>
      </w:pPr>
      <w:r w:rsidRPr="00197C18">
        <w:rPr>
          <w:rFonts w:asciiTheme="minorHAnsi" w:hAnsiTheme="minorHAnsi"/>
          <w:sz w:val="28"/>
          <w:szCs w:val="28"/>
        </w:rPr>
        <w:t>Some of the fundamental TUPE employment protections are relaxed where the transferor is insolvent. This is designed to facilitate the rescue of failing businesses. The extent of these modifications depends on the nature of the insolvency proceedings to which the transferor is subject. In general, more significant employment protections are removed where the transferor is subject to terminal insolvency proceedings which aim to liquidate the transferor's assets.</w:t>
      </w:r>
    </w:p>
    <w:p w:rsidR="002A0260" w:rsidRPr="00197C18" w:rsidRDefault="002A0260" w:rsidP="002A0260">
      <w:pPr>
        <w:spacing w:line="360" w:lineRule="auto"/>
        <w:rPr>
          <w:rFonts w:asciiTheme="minorHAnsi" w:hAnsiTheme="minorHAnsi"/>
          <w:sz w:val="28"/>
          <w:szCs w:val="28"/>
        </w:rPr>
      </w:pPr>
      <w:r w:rsidRPr="00197C18">
        <w:rPr>
          <w:rFonts w:asciiTheme="minorHAnsi" w:hAnsiTheme="minorHAnsi"/>
          <w:sz w:val="28"/>
          <w:szCs w:val="28"/>
        </w:rPr>
        <w:t xml:space="preserve">  </w:t>
      </w:r>
    </w:p>
    <w:p w:rsidR="002A0260" w:rsidRPr="00197C18" w:rsidRDefault="00E017D9" w:rsidP="002A0260">
      <w:pPr>
        <w:spacing w:line="360" w:lineRule="auto"/>
        <w:rPr>
          <w:rFonts w:asciiTheme="minorHAnsi" w:hAnsiTheme="minorHAnsi"/>
          <w:vanish/>
          <w:sz w:val="28"/>
          <w:szCs w:val="28"/>
        </w:rPr>
      </w:pPr>
      <w:hyperlink r:id="rId12" w:anchor="top" w:tooltip="Link to the top of the document" w:history="1">
        <w:r w:rsidR="002A0260" w:rsidRPr="00197C18">
          <w:rPr>
            <w:rFonts w:asciiTheme="minorHAnsi" w:hAnsiTheme="minorHAnsi"/>
            <w:vanish/>
            <w:color w:val="005A84"/>
            <w:sz w:val="28"/>
            <w:szCs w:val="28"/>
          </w:rPr>
          <w:t>Top</w:t>
        </w:r>
      </w:hyperlink>
    </w:p>
    <w:p w:rsidR="002A0260" w:rsidRPr="00197C18" w:rsidRDefault="002A0260" w:rsidP="002A0260">
      <w:pPr>
        <w:spacing w:line="360" w:lineRule="auto"/>
        <w:rPr>
          <w:rFonts w:asciiTheme="minorHAnsi" w:hAnsiTheme="minorHAnsi"/>
          <w:sz w:val="28"/>
          <w:szCs w:val="28"/>
        </w:rPr>
      </w:pPr>
      <w:bookmarkStart w:id="13" w:name="a282700"/>
      <w:bookmarkEnd w:id="13"/>
      <w:r w:rsidRPr="00197C18">
        <w:rPr>
          <w:rFonts w:asciiTheme="minorHAnsi" w:hAnsiTheme="minorHAnsi"/>
          <w:sz w:val="28"/>
          <w:szCs w:val="28"/>
        </w:rPr>
        <w:t xml:space="preserve">  </w:t>
      </w:r>
    </w:p>
    <w:p w:rsidR="002A0260" w:rsidRPr="00197C18" w:rsidRDefault="00E017D9" w:rsidP="002A0260">
      <w:pPr>
        <w:spacing w:line="360" w:lineRule="auto"/>
        <w:rPr>
          <w:rFonts w:asciiTheme="minorHAnsi" w:hAnsiTheme="minorHAnsi"/>
          <w:vanish/>
          <w:sz w:val="28"/>
          <w:szCs w:val="28"/>
        </w:rPr>
      </w:pPr>
      <w:hyperlink r:id="rId13" w:anchor="top" w:tooltip="Link to the top of the document" w:history="1">
        <w:r w:rsidR="002A0260" w:rsidRPr="00197C18">
          <w:rPr>
            <w:rFonts w:asciiTheme="minorHAnsi" w:hAnsiTheme="minorHAnsi"/>
            <w:vanish/>
            <w:color w:val="005A84"/>
            <w:sz w:val="28"/>
            <w:szCs w:val="28"/>
          </w:rPr>
          <w:t>Top</w:t>
        </w:r>
      </w:hyperlink>
    </w:p>
    <w:p w:rsidR="002A0260" w:rsidRPr="00197C18" w:rsidRDefault="002A0260" w:rsidP="002A0260">
      <w:pPr>
        <w:pBdr>
          <w:bottom w:val="dotted" w:sz="6" w:space="7" w:color="BABABA"/>
        </w:pBdr>
        <w:spacing w:before="100" w:beforeAutospacing="1" w:after="135" w:line="360" w:lineRule="auto"/>
        <w:outlineLvl w:val="1"/>
        <w:rPr>
          <w:rFonts w:asciiTheme="minorHAnsi" w:hAnsiTheme="minorHAnsi"/>
          <w:b/>
          <w:bCs/>
          <w:sz w:val="28"/>
          <w:szCs w:val="28"/>
        </w:rPr>
      </w:pPr>
      <w:bookmarkStart w:id="14" w:name="a894062"/>
      <w:bookmarkEnd w:id="14"/>
      <w:r w:rsidRPr="00197C18">
        <w:rPr>
          <w:rFonts w:asciiTheme="minorHAnsi" w:hAnsiTheme="minorHAnsi"/>
          <w:b/>
          <w:bCs/>
          <w:sz w:val="28"/>
          <w:szCs w:val="28"/>
        </w:rPr>
        <w:t>What happens if TUPE doesn't apply?</w:t>
      </w:r>
    </w:p>
    <w:p w:rsidR="002A0260" w:rsidRPr="00197C18" w:rsidRDefault="002A0260" w:rsidP="002A0260">
      <w:pPr>
        <w:spacing w:before="100" w:beforeAutospacing="1" w:after="100" w:afterAutospacing="1" w:line="360" w:lineRule="auto"/>
        <w:rPr>
          <w:rFonts w:asciiTheme="minorHAnsi" w:hAnsiTheme="minorHAnsi"/>
          <w:sz w:val="28"/>
          <w:szCs w:val="28"/>
        </w:rPr>
      </w:pPr>
      <w:r w:rsidRPr="00197C18">
        <w:rPr>
          <w:rFonts w:asciiTheme="minorHAnsi" w:hAnsiTheme="minorHAnsi"/>
          <w:sz w:val="28"/>
          <w:szCs w:val="28"/>
        </w:rPr>
        <w:t>If a business transfers from one employer to another but TUPE doesn't apply then:</w:t>
      </w:r>
    </w:p>
    <w:p w:rsidR="00197C18" w:rsidRPr="00197C18" w:rsidRDefault="002A0260" w:rsidP="002A0260">
      <w:pPr>
        <w:numPr>
          <w:ilvl w:val="0"/>
          <w:numId w:val="12"/>
        </w:numPr>
        <w:spacing w:before="100" w:beforeAutospacing="1" w:after="100" w:afterAutospacing="1" w:line="360" w:lineRule="auto"/>
        <w:ind w:left="0"/>
        <w:rPr>
          <w:rFonts w:asciiTheme="minorHAnsi" w:hAnsiTheme="minorHAnsi"/>
          <w:sz w:val="28"/>
          <w:szCs w:val="28"/>
        </w:rPr>
      </w:pPr>
      <w:r w:rsidRPr="00197C18">
        <w:rPr>
          <w:rFonts w:asciiTheme="minorHAnsi" w:hAnsiTheme="minorHAnsi"/>
          <w:sz w:val="28"/>
          <w:szCs w:val="28"/>
        </w:rPr>
        <w:t>The employee's consent is required for their employment to transfer</w:t>
      </w:r>
      <w:r w:rsidR="00197C18" w:rsidRPr="00197C18">
        <w:rPr>
          <w:rFonts w:asciiTheme="minorHAnsi" w:hAnsiTheme="minorHAnsi"/>
          <w:sz w:val="28"/>
          <w:szCs w:val="28"/>
        </w:rPr>
        <w:t>.</w:t>
      </w:r>
    </w:p>
    <w:p w:rsidR="002A0260" w:rsidRDefault="002A0260" w:rsidP="002A0260">
      <w:pPr>
        <w:numPr>
          <w:ilvl w:val="0"/>
          <w:numId w:val="12"/>
        </w:numPr>
        <w:spacing w:before="100" w:beforeAutospacing="1" w:after="100" w:afterAutospacing="1" w:line="360" w:lineRule="auto"/>
        <w:ind w:left="0"/>
        <w:rPr>
          <w:rFonts w:asciiTheme="minorHAnsi" w:hAnsiTheme="minorHAnsi"/>
          <w:sz w:val="28"/>
          <w:szCs w:val="28"/>
        </w:rPr>
      </w:pPr>
      <w:r w:rsidRPr="00197C18">
        <w:rPr>
          <w:rFonts w:asciiTheme="minorHAnsi" w:hAnsiTheme="minorHAnsi"/>
          <w:sz w:val="28"/>
          <w:szCs w:val="28"/>
        </w:rPr>
        <w:t>If the employee agrees to be transferred, and the new owner of the business agrees to take them on, then their existing period of continuous employment will be preserved (</w:t>
      </w:r>
      <w:r w:rsidR="00197C18" w:rsidRPr="00197C18">
        <w:rPr>
          <w:rFonts w:asciiTheme="minorHAnsi" w:hAnsiTheme="minorHAnsi"/>
          <w:sz w:val="28"/>
          <w:szCs w:val="28"/>
        </w:rPr>
        <w:t>section 218</w:t>
      </w:r>
      <w:r w:rsidRPr="00197C18">
        <w:rPr>
          <w:rFonts w:asciiTheme="minorHAnsi" w:hAnsiTheme="minorHAnsi"/>
          <w:i/>
          <w:iCs/>
          <w:vanish/>
          <w:color w:val="005A84"/>
          <w:sz w:val="28"/>
          <w:szCs w:val="28"/>
        </w:rPr>
        <w:t xml:space="preserve"> ( www.practicallaw.com/6-505-5918) </w:t>
      </w:r>
      <w:r w:rsidRPr="00197C18">
        <w:rPr>
          <w:rFonts w:asciiTheme="minorHAnsi" w:hAnsiTheme="minorHAnsi"/>
          <w:i/>
          <w:iCs/>
          <w:sz w:val="28"/>
          <w:szCs w:val="28"/>
        </w:rPr>
        <w:t>, Employment Rights Act 1996</w:t>
      </w:r>
      <w:r w:rsidRPr="00197C18">
        <w:rPr>
          <w:rFonts w:asciiTheme="minorHAnsi" w:hAnsiTheme="minorHAnsi"/>
          <w:sz w:val="28"/>
          <w:szCs w:val="28"/>
        </w:rPr>
        <w:t xml:space="preserve">).  </w:t>
      </w:r>
    </w:p>
    <w:p w:rsidR="00197C18" w:rsidRDefault="00197C18" w:rsidP="00197C18">
      <w:pPr>
        <w:spacing w:before="100" w:beforeAutospacing="1" w:after="100" w:afterAutospacing="1" w:line="360" w:lineRule="auto"/>
        <w:rPr>
          <w:rFonts w:asciiTheme="minorHAnsi" w:hAnsiTheme="minorHAnsi"/>
          <w:sz w:val="28"/>
          <w:szCs w:val="28"/>
        </w:rPr>
      </w:pPr>
    </w:p>
    <w:p w:rsidR="00197C18" w:rsidRPr="00197C18" w:rsidRDefault="00197C18" w:rsidP="00197C18">
      <w:pPr>
        <w:spacing w:before="100" w:beforeAutospacing="1" w:after="100" w:afterAutospacing="1" w:line="360" w:lineRule="auto"/>
        <w:rPr>
          <w:rFonts w:asciiTheme="minorHAnsi" w:hAnsiTheme="minorHAnsi"/>
          <w:sz w:val="28"/>
          <w:szCs w:val="28"/>
        </w:rPr>
      </w:pPr>
    </w:p>
    <w:p w:rsidR="002A0260" w:rsidRPr="00197C18" w:rsidRDefault="00E017D9" w:rsidP="002A0260">
      <w:pPr>
        <w:spacing w:line="360" w:lineRule="auto"/>
        <w:rPr>
          <w:rFonts w:asciiTheme="minorHAnsi" w:hAnsiTheme="minorHAnsi"/>
          <w:vanish/>
          <w:sz w:val="28"/>
          <w:szCs w:val="28"/>
        </w:rPr>
      </w:pPr>
      <w:hyperlink r:id="rId14" w:anchor="top" w:tooltip="Link to the top of the document" w:history="1">
        <w:r w:rsidR="002A0260" w:rsidRPr="00197C18">
          <w:rPr>
            <w:rFonts w:asciiTheme="minorHAnsi" w:hAnsiTheme="minorHAnsi"/>
            <w:vanish/>
            <w:color w:val="005A84"/>
            <w:sz w:val="28"/>
            <w:szCs w:val="28"/>
          </w:rPr>
          <w:t>Top</w:t>
        </w:r>
      </w:hyperlink>
    </w:p>
    <w:p w:rsidR="002A0260" w:rsidRPr="00197C18" w:rsidRDefault="002A0260" w:rsidP="002A0260">
      <w:pPr>
        <w:pBdr>
          <w:bottom w:val="dotted" w:sz="6" w:space="7" w:color="BABABA"/>
        </w:pBdr>
        <w:shd w:val="clear" w:color="auto" w:fill="F1F1F1"/>
        <w:spacing w:before="100" w:beforeAutospacing="1" w:after="135" w:line="360" w:lineRule="auto"/>
        <w:outlineLvl w:val="1"/>
        <w:rPr>
          <w:rFonts w:asciiTheme="minorHAnsi" w:hAnsiTheme="minorHAnsi"/>
          <w:b/>
          <w:bCs/>
          <w:sz w:val="28"/>
          <w:szCs w:val="28"/>
        </w:rPr>
      </w:pPr>
      <w:bookmarkStart w:id="15" w:name="a355698"/>
      <w:bookmarkEnd w:id="15"/>
      <w:r w:rsidRPr="00197C18">
        <w:rPr>
          <w:rFonts w:asciiTheme="minorHAnsi" w:hAnsiTheme="minorHAnsi"/>
          <w:b/>
          <w:bCs/>
          <w:sz w:val="28"/>
          <w:szCs w:val="28"/>
        </w:rPr>
        <w:t>Key changes to TUPE made by the 2014 amendment regulations</w:t>
      </w:r>
    </w:p>
    <w:p w:rsidR="002A0260" w:rsidRPr="00197C18" w:rsidRDefault="002A0260" w:rsidP="002A0260">
      <w:pPr>
        <w:shd w:val="clear" w:color="auto" w:fill="F1F1F1"/>
        <w:spacing w:before="100" w:beforeAutospacing="1" w:after="100" w:afterAutospacing="1" w:line="360" w:lineRule="auto"/>
        <w:rPr>
          <w:rFonts w:asciiTheme="minorHAnsi" w:hAnsiTheme="minorHAnsi"/>
          <w:sz w:val="28"/>
          <w:szCs w:val="28"/>
        </w:rPr>
      </w:pPr>
      <w:r w:rsidRPr="00197C18">
        <w:rPr>
          <w:rFonts w:asciiTheme="minorHAnsi" w:hAnsiTheme="minorHAnsi"/>
          <w:sz w:val="28"/>
          <w:szCs w:val="28"/>
        </w:rPr>
        <w:t>The main changes to TUPE as a result of the 2014 amendment regulations (and which mostly came into effect on 31 January 2014) are:</w:t>
      </w:r>
    </w:p>
    <w:p w:rsidR="002A0260" w:rsidRPr="00197C18" w:rsidRDefault="002A0260" w:rsidP="002A0260">
      <w:pPr>
        <w:numPr>
          <w:ilvl w:val="0"/>
          <w:numId w:val="13"/>
        </w:numPr>
        <w:shd w:val="clear" w:color="auto" w:fill="F1F1F1"/>
        <w:spacing w:before="100" w:beforeAutospacing="1" w:after="100" w:afterAutospacing="1" w:line="360" w:lineRule="auto"/>
        <w:ind w:left="0"/>
        <w:rPr>
          <w:rFonts w:asciiTheme="minorHAnsi" w:hAnsiTheme="minorHAnsi"/>
          <w:sz w:val="28"/>
          <w:szCs w:val="28"/>
        </w:rPr>
      </w:pPr>
      <w:r w:rsidRPr="00197C18">
        <w:rPr>
          <w:rFonts w:asciiTheme="minorHAnsi" w:hAnsiTheme="minorHAnsi"/>
          <w:sz w:val="28"/>
          <w:szCs w:val="28"/>
        </w:rPr>
        <w:t>The rules on service provision changes will remain, but the legislation will clarify that for there to be a TUPE service provision change, the activities carried on after the change in service provision must be "fundamentally the same as the activities carried out by the person who has ceased to carry them out."</w:t>
      </w:r>
    </w:p>
    <w:p w:rsidR="002A0260" w:rsidRPr="00197C18" w:rsidRDefault="002A0260" w:rsidP="002A0260">
      <w:pPr>
        <w:numPr>
          <w:ilvl w:val="0"/>
          <w:numId w:val="13"/>
        </w:numPr>
        <w:shd w:val="clear" w:color="auto" w:fill="F1F1F1"/>
        <w:spacing w:before="100" w:beforeAutospacing="1" w:after="100" w:afterAutospacing="1" w:line="360" w:lineRule="auto"/>
        <w:ind w:left="0"/>
        <w:rPr>
          <w:rFonts w:asciiTheme="minorHAnsi" w:hAnsiTheme="minorHAnsi"/>
          <w:sz w:val="28"/>
          <w:szCs w:val="28"/>
        </w:rPr>
      </w:pPr>
      <w:r w:rsidRPr="00197C18">
        <w:rPr>
          <w:rFonts w:asciiTheme="minorHAnsi" w:hAnsiTheme="minorHAnsi"/>
          <w:sz w:val="28"/>
          <w:szCs w:val="28"/>
        </w:rPr>
        <w:t xml:space="preserve">The requirement to provide employee liability information is retained but from 1 May 2014 the information has to be given 28 days before the transfer, rather than the previous 14 days. </w:t>
      </w:r>
    </w:p>
    <w:p w:rsidR="002A0260" w:rsidRPr="00197C18" w:rsidRDefault="002A0260" w:rsidP="002A0260">
      <w:pPr>
        <w:numPr>
          <w:ilvl w:val="0"/>
          <w:numId w:val="13"/>
        </w:numPr>
        <w:shd w:val="clear" w:color="auto" w:fill="F1F1F1"/>
        <w:spacing w:before="100" w:beforeAutospacing="1" w:after="100" w:afterAutospacing="1" w:line="360" w:lineRule="auto"/>
        <w:ind w:left="0"/>
        <w:rPr>
          <w:rFonts w:asciiTheme="minorHAnsi" w:hAnsiTheme="minorHAnsi"/>
          <w:sz w:val="28"/>
          <w:szCs w:val="28"/>
        </w:rPr>
      </w:pPr>
      <w:r w:rsidRPr="00197C18">
        <w:rPr>
          <w:rFonts w:asciiTheme="minorHAnsi" w:hAnsiTheme="minorHAnsi"/>
          <w:sz w:val="28"/>
          <w:szCs w:val="28"/>
        </w:rPr>
        <w:t>Changes in the location of the workforce following a transfer will be expressly included within the scope of an ETO reason, thereby preventing genuine place of work redundancies from being automatically unfair.</w:t>
      </w:r>
    </w:p>
    <w:p w:rsidR="002A0260" w:rsidRPr="00197C18" w:rsidRDefault="002A0260" w:rsidP="002A0260">
      <w:pPr>
        <w:numPr>
          <w:ilvl w:val="0"/>
          <w:numId w:val="13"/>
        </w:numPr>
        <w:shd w:val="clear" w:color="auto" w:fill="F1F1F1"/>
        <w:spacing w:before="100" w:beforeAutospacing="1" w:after="100" w:afterAutospacing="1" w:line="360" w:lineRule="auto"/>
        <w:ind w:left="0"/>
        <w:rPr>
          <w:rFonts w:asciiTheme="minorHAnsi" w:hAnsiTheme="minorHAnsi"/>
          <w:sz w:val="28"/>
          <w:szCs w:val="28"/>
        </w:rPr>
      </w:pPr>
      <w:r w:rsidRPr="00197C18">
        <w:rPr>
          <w:rFonts w:asciiTheme="minorHAnsi" w:hAnsiTheme="minorHAnsi"/>
          <w:sz w:val="28"/>
          <w:szCs w:val="28"/>
        </w:rPr>
        <w:t>Since 31 July 2014, micro-businesses are allowed to inform and consult affected employees directly when there is no recognised independent union, nor any existing appropriate representatives.</w:t>
      </w:r>
    </w:p>
    <w:p w:rsidR="000A2C31" w:rsidRPr="002A0260" w:rsidRDefault="000A2C31" w:rsidP="002A0260">
      <w:pPr>
        <w:spacing w:line="360" w:lineRule="auto"/>
        <w:rPr>
          <w:rFonts w:asciiTheme="minorHAnsi" w:hAnsiTheme="minorHAnsi"/>
          <w:sz w:val="24"/>
        </w:rPr>
      </w:pPr>
    </w:p>
    <w:sectPr w:rsidR="000A2C31" w:rsidRPr="002A0260" w:rsidSect="009B7FD2">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2F155D"/>
    <w:multiLevelType w:val="multilevel"/>
    <w:tmpl w:val="7C58C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CA5BE1"/>
    <w:multiLevelType w:val="multilevel"/>
    <w:tmpl w:val="38125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601616"/>
    <w:multiLevelType w:val="multilevel"/>
    <w:tmpl w:val="FDC05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B86E89"/>
    <w:multiLevelType w:val="multilevel"/>
    <w:tmpl w:val="8A766A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5D22B0"/>
    <w:multiLevelType w:val="multilevel"/>
    <w:tmpl w:val="CF0CB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3B25B2"/>
    <w:multiLevelType w:val="multilevel"/>
    <w:tmpl w:val="92264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9D6B43"/>
    <w:multiLevelType w:val="multilevel"/>
    <w:tmpl w:val="7F82F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D616F61"/>
    <w:multiLevelType w:val="multilevel"/>
    <w:tmpl w:val="4CAE0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A2065FE"/>
    <w:multiLevelType w:val="multilevel"/>
    <w:tmpl w:val="4A142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B75322"/>
    <w:multiLevelType w:val="multilevel"/>
    <w:tmpl w:val="F0BA9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E4E142D"/>
    <w:multiLevelType w:val="multilevel"/>
    <w:tmpl w:val="8D56C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AD62BA"/>
    <w:multiLevelType w:val="multilevel"/>
    <w:tmpl w:val="7CA4F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FC32CF2"/>
    <w:multiLevelType w:val="multilevel"/>
    <w:tmpl w:val="15EEB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5"/>
  </w:num>
  <w:num w:numId="3">
    <w:abstractNumId w:val="3"/>
  </w:num>
  <w:num w:numId="4">
    <w:abstractNumId w:val="4"/>
  </w:num>
  <w:num w:numId="5">
    <w:abstractNumId w:val="0"/>
  </w:num>
  <w:num w:numId="6">
    <w:abstractNumId w:val="10"/>
  </w:num>
  <w:num w:numId="7">
    <w:abstractNumId w:val="11"/>
  </w:num>
  <w:num w:numId="8">
    <w:abstractNumId w:val="12"/>
  </w:num>
  <w:num w:numId="9">
    <w:abstractNumId w:val="9"/>
  </w:num>
  <w:num w:numId="10">
    <w:abstractNumId w:val="2"/>
  </w:num>
  <w:num w:numId="11">
    <w:abstractNumId w:val="7"/>
  </w:num>
  <w:num w:numId="12">
    <w:abstractNumId w:val="6"/>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ForceOverwriteVersion" w:val="False"/>
  </w:docVars>
  <w:rsids>
    <w:rsidRoot w:val="002A0260"/>
    <w:rsid w:val="000A2C31"/>
    <w:rsid w:val="000D5D1F"/>
    <w:rsid w:val="000E4C3A"/>
    <w:rsid w:val="001776D0"/>
    <w:rsid w:val="00183327"/>
    <w:rsid w:val="00191321"/>
    <w:rsid w:val="00197C18"/>
    <w:rsid w:val="001C3DD3"/>
    <w:rsid w:val="00222799"/>
    <w:rsid w:val="002474D8"/>
    <w:rsid w:val="00274DBD"/>
    <w:rsid w:val="002A0260"/>
    <w:rsid w:val="002A143D"/>
    <w:rsid w:val="00363203"/>
    <w:rsid w:val="003744DD"/>
    <w:rsid w:val="003A7EE3"/>
    <w:rsid w:val="006654D5"/>
    <w:rsid w:val="006D69B4"/>
    <w:rsid w:val="007012EF"/>
    <w:rsid w:val="007B50D9"/>
    <w:rsid w:val="007D52E6"/>
    <w:rsid w:val="007F6D1D"/>
    <w:rsid w:val="008166B0"/>
    <w:rsid w:val="008521F7"/>
    <w:rsid w:val="009B7FD2"/>
    <w:rsid w:val="009C06F6"/>
    <w:rsid w:val="009C627C"/>
    <w:rsid w:val="00A37342"/>
    <w:rsid w:val="00A42682"/>
    <w:rsid w:val="00A651FA"/>
    <w:rsid w:val="00BC7671"/>
    <w:rsid w:val="00C307E5"/>
    <w:rsid w:val="00C54C22"/>
    <w:rsid w:val="00C6671F"/>
    <w:rsid w:val="00CF7E95"/>
    <w:rsid w:val="00D30A28"/>
    <w:rsid w:val="00D451FE"/>
    <w:rsid w:val="00DB61BE"/>
    <w:rsid w:val="00E017D9"/>
    <w:rsid w:val="00E459B1"/>
    <w:rsid w:val="00F24B45"/>
    <w:rsid w:val="00F837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52CF3486-4FE1-4FD1-87F1-73BE75427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B7FD2"/>
    <w:rPr>
      <w:rFonts w:ascii="Arial" w:hAnsi="Arial"/>
      <w:sz w:val="22"/>
      <w:szCs w:val="24"/>
    </w:rPr>
  </w:style>
  <w:style w:type="paragraph" w:styleId="Heading2">
    <w:name w:val="heading 2"/>
    <w:basedOn w:val="Normal"/>
    <w:link w:val="Heading2Char"/>
    <w:uiPriority w:val="9"/>
    <w:qFormat/>
    <w:rsid w:val="002A0260"/>
    <w:pPr>
      <w:pBdr>
        <w:bottom w:val="dotted" w:sz="6" w:space="7" w:color="BABABA"/>
      </w:pBdr>
      <w:spacing w:before="100" w:beforeAutospacing="1" w:after="135"/>
      <w:outlineLvl w:val="1"/>
    </w:pPr>
    <w:rPr>
      <w:rFonts w:ascii="Times New Roman" w:hAnsi="Times New Roman"/>
      <w:b/>
      <w:bCs/>
      <w:sz w:val="27"/>
      <w:szCs w:val="27"/>
    </w:rPr>
  </w:style>
  <w:style w:type="paragraph" w:styleId="Heading3">
    <w:name w:val="heading 3"/>
    <w:basedOn w:val="Normal"/>
    <w:link w:val="Heading3Char"/>
    <w:uiPriority w:val="9"/>
    <w:qFormat/>
    <w:rsid w:val="002A0260"/>
    <w:pPr>
      <w:spacing w:before="100" w:beforeAutospacing="1" w:after="100" w:afterAutospacing="1"/>
      <w:outlineLvl w:val="2"/>
    </w:pPr>
    <w:rPr>
      <w:rFonts w:ascii="Times New Roman" w:hAnsi="Times New Roman"/>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A0260"/>
    <w:rPr>
      <w:b/>
      <w:bCs/>
      <w:sz w:val="27"/>
      <w:szCs w:val="27"/>
    </w:rPr>
  </w:style>
  <w:style w:type="character" w:customStyle="1" w:styleId="Heading3Char">
    <w:name w:val="Heading 3 Char"/>
    <w:basedOn w:val="DefaultParagraphFont"/>
    <w:link w:val="Heading3"/>
    <w:uiPriority w:val="9"/>
    <w:rsid w:val="002A0260"/>
    <w:rPr>
      <w:b/>
      <w:bCs/>
      <w:sz w:val="21"/>
      <w:szCs w:val="21"/>
    </w:rPr>
  </w:style>
  <w:style w:type="character" w:styleId="Hyperlink">
    <w:name w:val="Hyperlink"/>
    <w:basedOn w:val="DefaultParagraphFont"/>
    <w:uiPriority w:val="99"/>
    <w:unhideWhenUsed/>
    <w:rsid w:val="002A0260"/>
    <w:rPr>
      <w:strike w:val="0"/>
      <w:dstrike w:val="0"/>
      <w:color w:val="005A84"/>
      <w:u w:val="none"/>
      <w:effect w:val="none"/>
    </w:rPr>
  </w:style>
  <w:style w:type="character" w:styleId="Emphasis">
    <w:name w:val="Emphasis"/>
    <w:basedOn w:val="DefaultParagraphFont"/>
    <w:uiPriority w:val="20"/>
    <w:qFormat/>
    <w:rsid w:val="002A0260"/>
    <w:rPr>
      <w:i/>
      <w:iCs/>
    </w:rPr>
  </w:style>
  <w:style w:type="character" w:styleId="Strong">
    <w:name w:val="Strong"/>
    <w:basedOn w:val="DefaultParagraphFont"/>
    <w:uiPriority w:val="22"/>
    <w:qFormat/>
    <w:rsid w:val="002A0260"/>
    <w:rPr>
      <w:b/>
      <w:bCs/>
    </w:rPr>
  </w:style>
  <w:style w:type="paragraph" w:styleId="NormalWeb">
    <w:name w:val="Normal (Web)"/>
    <w:basedOn w:val="Normal"/>
    <w:uiPriority w:val="99"/>
    <w:unhideWhenUsed/>
    <w:rsid w:val="002A0260"/>
    <w:pPr>
      <w:spacing w:before="100" w:beforeAutospacing="1" w:after="100" w:afterAutospacing="1"/>
    </w:pPr>
    <w:rPr>
      <w:rFonts w:ascii="Times New Roman" w:hAnsi="Times New Roman"/>
      <w:sz w:val="24"/>
    </w:rPr>
  </w:style>
  <w:style w:type="character" w:customStyle="1" w:styleId="printlink1">
    <w:name w:val="printlink1"/>
    <w:basedOn w:val="DefaultParagraphFont"/>
    <w:rsid w:val="002A0260"/>
    <w:rPr>
      <w:vanish/>
      <w:webHidden w:val="0"/>
      <w:specVanish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88953">
      <w:marLeft w:val="0"/>
      <w:marRight w:val="0"/>
      <w:marTop w:val="0"/>
      <w:marBottom w:val="0"/>
      <w:divBdr>
        <w:top w:val="none" w:sz="0" w:space="0" w:color="auto"/>
        <w:left w:val="none" w:sz="0" w:space="0" w:color="auto"/>
        <w:bottom w:val="none" w:sz="0" w:space="0" w:color="auto"/>
        <w:right w:val="none" w:sz="0" w:space="0" w:color="auto"/>
      </w:divBdr>
    </w:div>
    <w:div w:id="56826413">
      <w:marLeft w:val="0"/>
      <w:marRight w:val="0"/>
      <w:marTop w:val="0"/>
      <w:marBottom w:val="0"/>
      <w:divBdr>
        <w:top w:val="none" w:sz="0" w:space="0" w:color="auto"/>
        <w:left w:val="none" w:sz="0" w:space="0" w:color="auto"/>
        <w:bottom w:val="none" w:sz="0" w:space="0" w:color="auto"/>
        <w:right w:val="none" w:sz="0" w:space="0" w:color="auto"/>
      </w:divBdr>
    </w:div>
    <w:div w:id="330109680">
      <w:marLeft w:val="0"/>
      <w:marRight w:val="0"/>
      <w:marTop w:val="0"/>
      <w:marBottom w:val="0"/>
      <w:divBdr>
        <w:top w:val="none" w:sz="0" w:space="0" w:color="auto"/>
        <w:left w:val="none" w:sz="0" w:space="0" w:color="auto"/>
        <w:bottom w:val="none" w:sz="0" w:space="0" w:color="auto"/>
        <w:right w:val="none" w:sz="0" w:space="0" w:color="auto"/>
      </w:divBdr>
    </w:div>
    <w:div w:id="462114949">
      <w:marLeft w:val="0"/>
      <w:marRight w:val="0"/>
      <w:marTop w:val="0"/>
      <w:marBottom w:val="0"/>
      <w:divBdr>
        <w:top w:val="none" w:sz="0" w:space="0" w:color="auto"/>
        <w:left w:val="none" w:sz="0" w:space="0" w:color="auto"/>
        <w:bottom w:val="none" w:sz="0" w:space="0" w:color="auto"/>
        <w:right w:val="none" w:sz="0" w:space="0" w:color="auto"/>
      </w:divBdr>
    </w:div>
    <w:div w:id="481046839">
      <w:marLeft w:val="0"/>
      <w:marRight w:val="0"/>
      <w:marTop w:val="0"/>
      <w:marBottom w:val="0"/>
      <w:divBdr>
        <w:top w:val="none" w:sz="0" w:space="0" w:color="auto"/>
        <w:left w:val="none" w:sz="0" w:space="0" w:color="auto"/>
        <w:bottom w:val="none" w:sz="0" w:space="0" w:color="auto"/>
        <w:right w:val="none" w:sz="0" w:space="0" w:color="auto"/>
      </w:divBdr>
    </w:div>
    <w:div w:id="663094671">
      <w:marLeft w:val="0"/>
      <w:marRight w:val="0"/>
      <w:marTop w:val="0"/>
      <w:marBottom w:val="0"/>
      <w:divBdr>
        <w:top w:val="none" w:sz="0" w:space="0" w:color="auto"/>
        <w:left w:val="none" w:sz="0" w:space="0" w:color="auto"/>
        <w:bottom w:val="none" w:sz="0" w:space="0" w:color="auto"/>
        <w:right w:val="none" w:sz="0" w:space="0" w:color="auto"/>
      </w:divBdr>
      <w:divsChild>
        <w:div w:id="316612921">
          <w:marLeft w:val="0"/>
          <w:marRight w:val="0"/>
          <w:marTop w:val="0"/>
          <w:marBottom w:val="75"/>
          <w:divBdr>
            <w:top w:val="none" w:sz="0" w:space="0" w:color="auto"/>
            <w:left w:val="none" w:sz="0" w:space="0" w:color="auto"/>
            <w:bottom w:val="none" w:sz="0" w:space="0" w:color="auto"/>
            <w:right w:val="none" w:sz="0" w:space="0" w:color="auto"/>
          </w:divBdr>
        </w:div>
        <w:div w:id="680282614">
          <w:marLeft w:val="330"/>
          <w:marRight w:val="0"/>
          <w:marTop w:val="0"/>
          <w:marBottom w:val="135"/>
          <w:divBdr>
            <w:top w:val="none" w:sz="0" w:space="0" w:color="auto"/>
            <w:left w:val="none" w:sz="0" w:space="0" w:color="auto"/>
            <w:bottom w:val="none" w:sz="0" w:space="0" w:color="auto"/>
            <w:right w:val="none" w:sz="0" w:space="0" w:color="auto"/>
          </w:divBdr>
          <w:divsChild>
            <w:div w:id="530386582">
              <w:marLeft w:val="0"/>
              <w:marRight w:val="0"/>
              <w:marTop w:val="0"/>
              <w:marBottom w:val="75"/>
              <w:divBdr>
                <w:top w:val="none" w:sz="0" w:space="0" w:color="auto"/>
                <w:left w:val="none" w:sz="0" w:space="0" w:color="auto"/>
                <w:bottom w:val="none" w:sz="0" w:space="0" w:color="auto"/>
                <w:right w:val="none" w:sz="0" w:space="0" w:color="auto"/>
              </w:divBdr>
            </w:div>
          </w:divsChild>
        </w:div>
        <w:div w:id="2084376069">
          <w:marLeft w:val="0"/>
          <w:marRight w:val="0"/>
          <w:marTop w:val="0"/>
          <w:marBottom w:val="75"/>
          <w:divBdr>
            <w:top w:val="none" w:sz="0" w:space="0" w:color="auto"/>
            <w:left w:val="none" w:sz="0" w:space="0" w:color="auto"/>
            <w:bottom w:val="none" w:sz="0" w:space="0" w:color="auto"/>
            <w:right w:val="none" w:sz="0" w:space="0" w:color="auto"/>
          </w:divBdr>
        </w:div>
        <w:div w:id="1666518833">
          <w:marLeft w:val="330"/>
          <w:marRight w:val="0"/>
          <w:marTop w:val="0"/>
          <w:marBottom w:val="135"/>
          <w:divBdr>
            <w:top w:val="none" w:sz="0" w:space="0" w:color="auto"/>
            <w:left w:val="none" w:sz="0" w:space="0" w:color="auto"/>
            <w:bottom w:val="none" w:sz="0" w:space="0" w:color="auto"/>
            <w:right w:val="none" w:sz="0" w:space="0" w:color="auto"/>
          </w:divBdr>
          <w:divsChild>
            <w:div w:id="1962806494">
              <w:marLeft w:val="0"/>
              <w:marRight w:val="0"/>
              <w:marTop w:val="0"/>
              <w:marBottom w:val="75"/>
              <w:divBdr>
                <w:top w:val="none" w:sz="0" w:space="0" w:color="auto"/>
                <w:left w:val="none" w:sz="0" w:space="0" w:color="auto"/>
                <w:bottom w:val="none" w:sz="0" w:space="0" w:color="auto"/>
                <w:right w:val="none" w:sz="0" w:space="0" w:color="auto"/>
              </w:divBdr>
            </w:div>
            <w:div w:id="482235937">
              <w:marLeft w:val="0"/>
              <w:marRight w:val="0"/>
              <w:marTop w:val="0"/>
              <w:marBottom w:val="75"/>
              <w:divBdr>
                <w:top w:val="none" w:sz="0" w:space="0" w:color="auto"/>
                <w:left w:val="none" w:sz="0" w:space="0" w:color="auto"/>
                <w:bottom w:val="none" w:sz="0" w:space="0" w:color="auto"/>
                <w:right w:val="none" w:sz="0" w:space="0" w:color="auto"/>
              </w:divBdr>
            </w:div>
          </w:divsChild>
        </w:div>
        <w:div w:id="1713112695">
          <w:marLeft w:val="0"/>
          <w:marRight w:val="0"/>
          <w:marTop w:val="0"/>
          <w:marBottom w:val="75"/>
          <w:divBdr>
            <w:top w:val="none" w:sz="0" w:space="0" w:color="auto"/>
            <w:left w:val="none" w:sz="0" w:space="0" w:color="auto"/>
            <w:bottom w:val="none" w:sz="0" w:space="0" w:color="auto"/>
            <w:right w:val="none" w:sz="0" w:space="0" w:color="auto"/>
          </w:divBdr>
        </w:div>
        <w:div w:id="348220831">
          <w:marLeft w:val="0"/>
          <w:marRight w:val="0"/>
          <w:marTop w:val="0"/>
          <w:marBottom w:val="75"/>
          <w:divBdr>
            <w:top w:val="none" w:sz="0" w:space="0" w:color="auto"/>
            <w:left w:val="none" w:sz="0" w:space="0" w:color="auto"/>
            <w:bottom w:val="none" w:sz="0" w:space="0" w:color="auto"/>
            <w:right w:val="none" w:sz="0" w:space="0" w:color="auto"/>
          </w:divBdr>
        </w:div>
        <w:div w:id="462583056">
          <w:marLeft w:val="0"/>
          <w:marRight w:val="0"/>
          <w:marTop w:val="0"/>
          <w:marBottom w:val="75"/>
          <w:divBdr>
            <w:top w:val="none" w:sz="0" w:space="0" w:color="auto"/>
            <w:left w:val="none" w:sz="0" w:space="0" w:color="auto"/>
            <w:bottom w:val="none" w:sz="0" w:space="0" w:color="auto"/>
            <w:right w:val="none" w:sz="0" w:space="0" w:color="auto"/>
          </w:divBdr>
        </w:div>
        <w:div w:id="121655918">
          <w:marLeft w:val="0"/>
          <w:marRight w:val="0"/>
          <w:marTop w:val="0"/>
          <w:marBottom w:val="75"/>
          <w:divBdr>
            <w:top w:val="none" w:sz="0" w:space="0" w:color="auto"/>
            <w:left w:val="none" w:sz="0" w:space="0" w:color="auto"/>
            <w:bottom w:val="none" w:sz="0" w:space="0" w:color="auto"/>
            <w:right w:val="none" w:sz="0" w:space="0" w:color="auto"/>
          </w:divBdr>
        </w:div>
        <w:div w:id="1717848649">
          <w:marLeft w:val="0"/>
          <w:marRight w:val="0"/>
          <w:marTop w:val="0"/>
          <w:marBottom w:val="75"/>
          <w:divBdr>
            <w:top w:val="none" w:sz="0" w:space="0" w:color="auto"/>
            <w:left w:val="none" w:sz="0" w:space="0" w:color="auto"/>
            <w:bottom w:val="none" w:sz="0" w:space="0" w:color="auto"/>
            <w:right w:val="none" w:sz="0" w:space="0" w:color="auto"/>
          </w:divBdr>
        </w:div>
        <w:div w:id="2083982182">
          <w:marLeft w:val="0"/>
          <w:marRight w:val="0"/>
          <w:marTop w:val="0"/>
          <w:marBottom w:val="75"/>
          <w:divBdr>
            <w:top w:val="none" w:sz="0" w:space="0" w:color="auto"/>
            <w:left w:val="none" w:sz="0" w:space="0" w:color="auto"/>
            <w:bottom w:val="none" w:sz="0" w:space="0" w:color="auto"/>
            <w:right w:val="none" w:sz="0" w:space="0" w:color="auto"/>
          </w:divBdr>
        </w:div>
        <w:div w:id="1666081810">
          <w:marLeft w:val="0"/>
          <w:marRight w:val="0"/>
          <w:marTop w:val="0"/>
          <w:marBottom w:val="75"/>
          <w:divBdr>
            <w:top w:val="none" w:sz="0" w:space="0" w:color="auto"/>
            <w:left w:val="none" w:sz="0" w:space="0" w:color="auto"/>
            <w:bottom w:val="none" w:sz="0" w:space="0" w:color="auto"/>
            <w:right w:val="none" w:sz="0" w:space="0" w:color="auto"/>
          </w:divBdr>
        </w:div>
        <w:div w:id="931426546">
          <w:marLeft w:val="0"/>
          <w:marRight w:val="0"/>
          <w:marTop w:val="0"/>
          <w:marBottom w:val="75"/>
          <w:divBdr>
            <w:top w:val="none" w:sz="0" w:space="0" w:color="auto"/>
            <w:left w:val="none" w:sz="0" w:space="0" w:color="auto"/>
            <w:bottom w:val="none" w:sz="0" w:space="0" w:color="auto"/>
            <w:right w:val="none" w:sz="0" w:space="0" w:color="auto"/>
          </w:divBdr>
        </w:div>
        <w:div w:id="250428021">
          <w:marLeft w:val="0"/>
          <w:marRight w:val="0"/>
          <w:marTop w:val="0"/>
          <w:marBottom w:val="75"/>
          <w:divBdr>
            <w:top w:val="none" w:sz="0" w:space="0" w:color="auto"/>
            <w:left w:val="none" w:sz="0" w:space="0" w:color="auto"/>
            <w:bottom w:val="none" w:sz="0" w:space="0" w:color="auto"/>
            <w:right w:val="none" w:sz="0" w:space="0" w:color="auto"/>
          </w:divBdr>
        </w:div>
      </w:divsChild>
    </w:div>
    <w:div w:id="1322808543">
      <w:marLeft w:val="0"/>
      <w:marRight w:val="0"/>
      <w:marTop w:val="0"/>
      <w:marBottom w:val="0"/>
      <w:divBdr>
        <w:top w:val="none" w:sz="0" w:space="0" w:color="auto"/>
        <w:left w:val="none" w:sz="0" w:space="0" w:color="auto"/>
        <w:bottom w:val="none" w:sz="0" w:space="0" w:color="auto"/>
        <w:right w:val="none" w:sz="0" w:space="0" w:color="auto"/>
      </w:divBdr>
    </w:div>
    <w:div w:id="1456944042">
      <w:marLeft w:val="0"/>
      <w:marRight w:val="0"/>
      <w:marTop w:val="135"/>
      <w:marBottom w:val="0"/>
      <w:divBdr>
        <w:top w:val="none" w:sz="0" w:space="0" w:color="auto"/>
        <w:left w:val="none" w:sz="0" w:space="0" w:color="auto"/>
        <w:bottom w:val="none" w:sz="0" w:space="0" w:color="auto"/>
        <w:right w:val="none" w:sz="0" w:space="0" w:color="auto"/>
      </w:divBdr>
    </w:div>
    <w:div w:id="1561742617">
      <w:marLeft w:val="0"/>
      <w:marRight w:val="0"/>
      <w:marTop w:val="0"/>
      <w:marBottom w:val="0"/>
      <w:divBdr>
        <w:top w:val="none" w:sz="0" w:space="0" w:color="auto"/>
        <w:left w:val="none" w:sz="0" w:space="0" w:color="auto"/>
        <w:bottom w:val="none" w:sz="0" w:space="0" w:color="auto"/>
        <w:right w:val="none" w:sz="0" w:space="0" w:color="auto"/>
      </w:divBdr>
    </w:div>
    <w:div w:id="1564412943">
      <w:marLeft w:val="0"/>
      <w:marRight w:val="0"/>
      <w:marTop w:val="0"/>
      <w:marBottom w:val="0"/>
      <w:divBdr>
        <w:top w:val="none" w:sz="0" w:space="0" w:color="auto"/>
        <w:left w:val="none" w:sz="0" w:space="0" w:color="auto"/>
        <w:bottom w:val="none" w:sz="0" w:space="0" w:color="auto"/>
        <w:right w:val="none" w:sz="0" w:space="0" w:color="auto"/>
      </w:divBdr>
    </w:div>
    <w:div w:id="1856915241">
      <w:marLeft w:val="0"/>
      <w:marRight w:val="0"/>
      <w:marTop w:val="0"/>
      <w:marBottom w:val="0"/>
      <w:divBdr>
        <w:top w:val="none" w:sz="0" w:space="0" w:color="auto"/>
        <w:left w:val="none" w:sz="0" w:space="0" w:color="auto"/>
        <w:bottom w:val="none" w:sz="0" w:space="0" w:color="auto"/>
        <w:right w:val="none" w:sz="0" w:space="0" w:color="auto"/>
      </w:divBdr>
    </w:div>
    <w:div w:id="2022774688">
      <w:marLeft w:val="0"/>
      <w:marRight w:val="0"/>
      <w:marTop w:val="0"/>
      <w:marBottom w:val="0"/>
      <w:divBdr>
        <w:top w:val="single" w:sz="2" w:space="7" w:color="BABABA"/>
        <w:left w:val="single" w:sz="2" w:space="14" w:color="BABABA"/>
        <w:bottom w:val="single" w:sz="2" w:space="7" w:color="BABABA"/>
        <w:right w:val="single" w:sz="2" w:space="14" w:color="BABABA"/>
      </w:divBdr>
    </w:div>
    <w:div w:id="2106725748">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uk.practicallaw.com/8-202-1704?q=&amp;qp=&amp;qo=&amp;qe=" TargetMode="External"/><Relationship Id="rId13" Type="http://schemas.openxmlformats.org/officeDocument/2006/relationships/hyperlink" Target="http://uk.practicallaw.com/8-202-1704?q=&amp;qp=&amp;qo=&amp;qe=" TargetMode="External"/><Relationship Id="rId3" Type="http://schemas.openxmlformats.org/officeDocument/2006/relationships/settings" Target="settings.xml"/><Relationship Id="rId7" Type="http://schemas.openxmlformats.org/officeDocument/2006/relationships/hyperlink" Target="http://uk.practicallaw.com/8-202-1704?q=&amp;qp=&amp;qo=&amp;qe=" TargetMode="External"/><Relationship Id="rId12" Type="http://schemas.openxmlformats.org/officeDocument/2006/relationships/hyperlink" Target="http://uk.practicallaw.com/8-202-1704?q=&amp;qp=&amp;qo=&amp;q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uk.practicallaw.com/3-508-2621?pit=" TargetMode="External"/><Relationship Id="rId11" Type="http://schemas.openxmlformats.org/officeDocument/2006/relationships/hyperlink" Target="http://uk.practicallaw.com/8-202-1704?q=&amp;qp=&amp;qo=&amp;qe=" TargetMode="External"/><Relationship Id="rId5" Type="http://schemas.openxmlformats.org/officeDocument/2006/relationships/hyperlink" Target="http://uk.practicallaw.com/8-202-1704?q=&amp;qp=&amp;qo=&amp;qe=" TargetMode="External"/><Relationship Id="rId15" Type="http://schemas.openxmlformats.org/officeDocument/2006/relationships/fontTable" Target="fontTable.xml"/><Relationship Id="rId10" Type="http://schemas.openxmlformats.org/officeDocument/2006/relationships/hyperlink" Target="http://uk.practicallaw.com/8-202-1704?q=&amp;qp=&amp;qo=&amp;qe=" TargetMode="External"/><Relationship Id="rId4" Type="http://schemas.openxmlformats.org/officeDocument/2006/relationships/webSettings" Target="webSettings.xml"/><Relationship Id="rId9" Type="http://schemas.openxmlformats.org/officeDocument/2006/relationships/hyperlink" Target="http://uk.practicallaw.com/8-202-1704?q=&amp;qp=&amp;qo=&amp;qe=" TargetMode="External"/><Relationship Id="rId14" Type="http://schemas.openxmlformats.org/officeDocument/2006/relationships/hyperlink" Target="http://uk.practicallaw.com/8-202-1704?q=&amp;qp=&amp;qo=&amp;q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1597</Words>
  <Characters>9109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JCP Solicitors</Company>
  <LinksUpToDate>false</LinksUpToDate>
  <CharactersWithSpaces>10685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Paul.Shuttleworth</dc:creator>
  <cp:lastModifiedBy>Julie Potter</cp:lastModifiedBy>
  <cp:revision>2</cp:revision>
  <cp:lastPrinted>2016-01-11T13:58:00Z</cp:lastPrinted>
  <dcterms:created xsi:type="dcterms:W3CDTF">2017-09-20T12:59:00Z</dcterms:created>
  <dcterms:modified xsi:type="dcterms:W3CDTF">2017-09-20T12:59:00Z</dcterms:modified>
</cp:coreProperties>
</file>