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5EB8C" w14:textId="77007662" w:rsidR="0043362F" w:rsidRDefault="0043362F" w:rsidP="0043362F">
      <w:r>
        <w:t>Michelle Ferguson</w:t>
      </w:r>
      <w:r w:rsidR="003930D6">
        <w:t xml:space="preserve"> (2206798)</w:t>
      </w:r>
    </w:p>
    <w:p w14:paraId="406A1F05" w14:textId="77777777" w:rsidR="0043362F" w:rsidRDefault="0043362F" w:rsidP="0043362F">
      <w:r>
        <w:t>HPHI7016 Past Peoples, Present Societies</w:t>
      </w:r>
    </w:p>
    <w:p w14:paraId="4234CF65" w14:textId="7AAC08D4" w:rsidR="0043362F" w:rsidRDefault="0043362F" w:rsidP="0043362F">
      <w:r>
        <w:t>Harriet</w:t>
      </w:r>
      <w:r w:rsidR="006D5E46">
        <w:t>t</w:t>
      </w:r>
      <w:r>
        <w:t xml:space="preserve"> Webster</w:t>
      </w:r>
    </w:p>
    <w:p w14:paraId="7F052197" w14:textId="0C5997B9" w:rsidR="0043362F" w:rsidRDefault="002C3829" w:rsidP="0043362F">
      <w:r>
        <w:t>02</w:t>
      </w:r>
      <w:r w:rsidR="0043362F">
        <w:t>/12/22</w:t>
      </w:r>
    </w:p>
    <w:p w14:paraId="02E69E23" w14:textId="77777777" w:rsidR="0043362F" w:rsidRDefault="0043362F" w:rsidP="0043362F"/>
    <w:p w14:paraId="644D56FD" w14:textId="5CF3ABDB" w:rsidR="0043362F" w:rsidRDefault="0043362F" w:rsidP="0043362F">
      <w:pPr>
        <w:jc w:val="center"/>
      </w:pPr>
      <w:r>
        <w:t>DATING EXERCISE</w:t>
      </w:r>
    </w:p>
    <w:p w14:paraId="00E8A13B" w14:textId="77777777" w:rsidR="00A855C0" w:rsidRDefault="00A855C0" w:rsidP="0043362F"/>
    <w:p w14:paraId="060F238C" w14:textId="1AFC2EE7" w:rsidR="0043362F" w:rsidRPr="00C751F7" w:rsidRDefault="00A855C0" w:rsidP="0043362F">
      <w:pPr>
        <w:rPr>
          <w:b/>
          <w:bCs/>
        </w:rPr>
      </w:pPr>
      <w:r w:rsidRPr="00C751F7">
        <w:rPr>
          <w:b/>
          <w:bCs/>
        </w:rPr>
        <w:t>Date A:</w:t>
      </w:r>
    </w:p>
    <w:p w14:paraId="5EBF1CB1" w14:textId="302BD608" w:rsidR="009E63E7" w:rsidRDefault="00C751F7" w:rsidP="00EA3581">
      <w:r>
        <w:t xml:space="preserve">18 </w:t>
      </w:r>
      <w:r w:rsidR="00A855C0">
        <w:t>August, 1384</w:t>
      </w:r>
    </w:p>
    <w:p w14:paraId="094E81F9" w14:textId="77777777" w:rsidR="00207FCC" w:rsidRDefault="00207FCC" w:rsidP="00C751F7"/>
    <w:p w14:paraId="3545972C" w14:textId="5009BBD0" w:rsidR="00FC73D8" w:rsidRDefault="00C751F7" w:rsidP="00FC73D8">
      <w:pPr>
        <w:ind w:firstLine="720"/>
      </w:pPr>
      <w:r>
        <w:t>The time markers for this date are that it is on a Thursday, that it is by the feast of Assumption, and that it took place in the eighth year of Richard II’s reign.  The last narrows down the options to the year, and then the feast of Assumption gives the day of the year that the Thursday can be calculated from, so I started with finding the eighth year of Richard II’s reign.  This was from 22 June, 1384 to 21 June, 1385.</w:t>
      </w:r>
      <w:r w:rsidR="00FC73D8">
        <w:rPr>
          <w:rStyle w:val="FootnoteReference"/>
        </w:rPr>
        <w:footnoteReference w:id="1"/>
      </w:r>
      <w:r>
        <w:t xml:space="preserve">  This leaves either 1384 or 1385 as options.  The feast of Assumption takes place on 15 August, so it has to be 1384.</w:t>
      </w:r>
      <w:r w:rsidR="00592E4B">
        <w:rPr>
          <w:rStyle w:val="FootnoteReference"/>
        </w:rPr>
        <w:footnoteReference w:id="2"/>
      </w:r>
      <w:r>
        <w:t xml:space="preserve">  Then I looked</w:t>
      </w:r>
      <w:r w:rsidR="00FC73D8">
        <w:t xml:space="preserve"> up the date for Easter in 1384 and found that it fell on 10 April.</w:t>
      </w:r>
      <w:r w:rsidR="00592E4B">
        <w:rPr>
          <w:rStyle w:val="FootnoteReference"/>
        </w:rPr>
        <w:footnoteReference w:id="3"/>
      </w:r>
      <w:r w:rsidR="00FC73D8">
        <w:t xml:space="preserve">  Following this date, the closest Sunday to 15 August was 14 August, and thus the </w:t>
      </w:r>
      <w:r>
        <w:t xml:space="preserve">Thursday </w:t>
      </w:r>
      <w:r w:rsidR="00FC73D8">
        <w:t xml:space="preserve">that </w:t>
      </w:r>
      <w:r>
        <w:t>followed 15 August, 1384</w:t>
      </w:r>
      <w:r w:rsidR="00FC73D8">
        <w:t xml:space="preserve"> was</w:t>
      </w:r>
      <w:r>
        <w:t xml:space="preserve"> 18 August, 1384.</w:t>
      </w:r>
    </w:p>
    <w:p w14:paraId="69BB0B3B" w14:textId="77777777" w:rsidR="00207FCC" w:rsidRPr="00207FCC" w:rsidRDefault="00207FCC" w:rsidP="00207FCC"/>
    <w:p w14:paraId="47AAB4C5" w14:textId="77777777" w:rsidR="00207FCC" w:rsidRPr="00207FCC" w:rsidRDefault="00207FCC" w:rsidP="00207FCC">
      <w:pPr>
        <w:rPr>
          <w:b/>
          <w:bCs/>
        </w:rPr>
      </w:pPr>
      <w:r w:rsidRPr="00207FCC">
        <w:rPr>
          <w:b/>
          <w:bCs/>
        </w:rPr>
        <w:t>Date B:</w:t>
      </w:r>
    </w:p>
    <w:p w14:paraId="7AE5B757" w14:textId="4E46B04B" w:rsidR="00207FCC" w:rsidRDefault="00207FCC" w:rsidP="00207FCC">
      <w:r>
        <w:t>23 July, 1250</w:t>
      </w:r>
      <w:r w:rsidR="003653E9">
        <w:t xml:space="preserve"> or 23 July, 1269</w:t>
      </w:r>
    </w:p>
    <w:p w14:paraId="6D714E30" w14:textId="77777777" w:rsidR="00207FCC" w:rsidRDefault="00207FCC" w:rsidP="00207FCC"/>
    <w:p w14:paraId="59B77346" w14:textId="09C601F2" w:rsidR="00207FCC" w:rsidRDefault="00207FCC" w:rsidP="00207FCC">
      <w:pPr>
        <w:ind w:firstLine="720"/>
      </w:pPr>
      <w:r>
        <w:t xml:space="preserve">The time markers for this date are that it takes place on the first year of Bishop </w:t>
      </w:r>
      <w:proofErr w:type="spellStart"/>
      <w:r>
        <w:t>Anian</w:t>
      </w:r>
      <w:proofErr w:type="spellEnd"/>
      <w:r>
        <w:t xml:space="preserve"> of St Asaph, that he is preceded by bishops Reiner, Abraham, and Hugh, that it is by the feast of St Mary Magdalene, and that it is the day after the feast.  First I looked to see how many </w:t>
      </w:r>
      <w:proofErr w:type="spellStart"/>
      <w:r>
        <w:t>Anians</w:t>
      </w:r>
      <w:proofErr w:type="spellEnd"/>
      <w:r>
        <w:t xml:space="preserve"> were bishop of St Asaph and when they served.  There were two</w:t>
      </w:r>
      <w:r w:rsidR="003653E9">
        <w:t>.</w:t>
      </w:r>
      <w:r>
        <w:t xml:space="preserve">  Then I looked at when there were bishops Reiner, Abraham, and Hugh and found that these three served consecutively</w:t>
      </w:r>
      <w:r w:rsidR="00FC47F3">
        <w:t xml:space="preserve"> but before both </w:t>
      </w:r>
      <w:proofErr w:type="spellStart"/>
      <w:r w:rsidR="00FC47F3">
        <w:t>Anians</w:t>
      </w:r>
      <w:proofErr w:type="spellEnd"/>
      <w:r w:rsidR="00FC47F3">
        <w:t xml:space="preserve">, so the date could have taken place </w:t>
      </w:r>
      <w:r w:rsidR="003653E9">
        <w:t xml:space="preserve">during the first year of either men.  </w:t>
      </w:r>
      <w:proofErr w:type="spellStart"/>
      <w:r w:rsidR="003653E9">
        <w:t>Anian</w:t>
      </w:r>
      <w:proofErr w:type="spellEnd"/>
      <w:r w:rsidR="003653E9">
        <w:t xml:space="preserve"> I was consecrated in November 1249, and </w:t>
      </w:r>
      <w:proofErr w:type="spellStart"/>
      <w:r w:rsidR="003653E9">
        <w:t>Anian</w:t>
      </w:r>
      <w:proofErr w:type="spellEnd"/>
      <w:r w:rsidR="003653E9">
        <w:t xml:space="preserve"> II on 21 October, 1268. </w:t>
      </w:r>
      <w:r>
        <w:t xml:space="preserve"> </w:t>
      </w:r>
      <w:r w:rsidR="003653E9">
        <w:t>This means that the first bishop’s first year ran from November 1249 to November 1250 while the second’s ran from 21 October, 1268 to 20 October, 1269.</w:t>
      </w:r>
      <w:r w:rsidR="00592E4B">
        <w:rPr>
          <w:rStyle w:val="FootnoteReference"/>
        </w:rPr>
        <w:footnoteReference w:id="4"/>
      </w:r>
      <w:r>
        <w:t xml:space="preserve">  The feast of St Mary Magdalene is on July 22.</w:t>
      </w:r>
      <w:r w:rsidR="00592E4B">
        <w:rPr>
          <w:rStyle w:val="FootnoteReference"/>
        </w:rPr>
        <w:footnoteReference w:id="5"/>
      </w:r>
      <w:r>
        <w:t xml:space="preserve">  Thus this date took place in July of 1250</w:t>
      </w:r>
      <w:r w:rsidR="003653E9">
        <w:t xml:space="preserve"> or July of 1269</w:t>
      </w:r>
      <w:r>
        <w:t>.  Since it was the day after the feast, it must have taken place on 23 July, 1250</w:t>
      </w:r>
      <w:r w:rsidR="003653E9">
        <w:t xml:space="preserve"> or 23 July, 1269</w:t>
      </w:r>
      <w:r>
        <w:t>.</w:t>
      </w:r>
    </w:p>
    <w:p w14:paraId="1448A0CA" w14:textId="6DCE2935" w:rsidR="00A855C0" w:rsidRDefault="00A855C0" w:rsidP="00A855C0"/>
    <w:p w14:paraId="704585B9" w14:textId="77777777" w:rsidR="00207FCC" w:rsidRPr="00207FCC" w:rsidRDefault="00207FCC" w:rsidP="00207FCC">
      <w:pPr>
        <w:rPr>
          <w:b/>
          <w:bCs/>
        </w:rPr>
      </w:pPr>
      <w:r w:rsidRPr="00207FCC">
        <w:rPr>
          <w:b/>
          <w:bCs/>
        </w:rPr>
        <w:t>Date C:</w:t>
      </w:r>
    </w:p>
    <w:p w14:paraId="3627EEFD" w14:textId="6D77D87B" w:rsidR="00207FCC" w:rsidRDefault="003E2473" w:rsidP="00207FCC">
      <w:r>
        <w:t xml:space="preserve">25 </w:t>
      </w:r>
      <w:r w:rsidR="00207FCC">
        <w:t>February</w:t>
      </w:r>
      <w:r>
        <w:t>,</w:t>
      </w:r>
      <w:r w:rsidR="00207FCC">
        <w:t xml:space="preserve"> 1311</w:t>
      </w:r>
    </w:p>
    <w:p w14:paraId="1B1650CF" w14:textId="77777777" w:rsidR="003930D6" w:rsidRDefault="003930D6" w:rsidP="00207FCC"/>
    <w:p w14:paraId="38028841" w14:textId="55112560" w:rsidR="00207FCC" w:rsidRDefault="00207FCC" w:rsidP="00207FCC">
      <w:r>
        <w:tab/>
        <w:t xml:space="preserve">The time markers for this date are that it took place on a Thursday, that it took place near Ash Wednesday, that it took place in the fourth year of a king Edward, and that it took place in </w:t>
      </w:r>
      <w:r>
        <w:lastRenderedPageBreak/>
        <w:t>the first year of Bishop John de Ketene.  To find out the year, it is necessary to figure out which Edward is the king in question by seeing whose fourth year overlapped with a John de Ketene’s first year as bishop.  John de Ketene was consecrated</w:t>
      </w:r>
      <w:r w:rsidR="00DA16D7">
        <w:t xml:space="preserve"> as bishop of Ely</w:t>
      </w:r>
      <w:r>
        <w:t xml:space="preserve"> in 6 September, 1310, which overlaps with Edward II’s fourth year.</w:t>
      </w:r>
      <w:r w:rsidR="00592E4B">
        <w:rPr>
          <w:rStyle w:val="FootnoteReference"/>
        </w:rPr>
        <w:footnoteReference w:id="6"/>
      </w:r>
      <w:r>
        <w:t xml:space="preserve">  </w:t>
      </w:r>
      <w:r w:rsidR="00DA16D7">
        <w:t>Edward’s</w:t>
      </w:r>
      <w:r>
        <w:t xml:space="preserve"> fourth year ran from 8 July, 1310 to </w:t>
      </w:r>
      <w:r w:rsidR="003E2473">
        <w:t>7 July, 1311.  Since it is the day after Ash Wednesday, the year would have to be 1311.  Then I looked up when Easter took place in that year, and it was on 11 April.</w:t>
      </w:r>
      <w:r w:rsidR="004B76E5">
        <w:rPr>
          <w:rStyle w:val="FootnoteReference"/>
        </w:rPr>
        <w:footnoteReference w:id="7"/>
      </w:r>
      <w:r w:rsidR="003E2473">
        <w:t xml:space="preserve">  Ash Wednesday is forty days earlier, so Ash Wednesday of that y</w:t>
      </w:r>
      <w:r w:rsidR="0005146E">
        <w:t>ea</w:t>
      </w:r>
      <w:r w:rsidR="003E2473">
        <w:t>r took place on 24 February.  Therefore the Thursday after would be 25 February, 1311.</w:t>
      </w:r>
    </w:p>
    <w:p w14:paraId="0B3ED7C2" w14:textId="77777777" w:rsidR="00D0539C" w:rsidRDefault="00D0539C" w:rsidP="00207FCC"/>
    <w:p w14:paraId="67AC1526" w14:textId="77777777" w:rsidR="002635F5" w:rsidRDefault="003E2473" w:rsidP="002635F5">
      <w:pPr>
        <w:rPr>
          <w:b/>
          <w:bCs/>
        </w:rPr>
      </w:pPr>
      <w:r>
        <w:rPr>
          <w:b/>
          <w:bCs/>
        </w:rPr>
        <w:t>Date D:</w:t>
      </w:r>
    </w:p>
    <w:p w14:paraId="703C21F6" w14:textId="47EC943E" w:rsidR="00B76104" w:rsidRPr="002635F5" w:rsidRDefault="002635F5" w:rsidP="002635F5">
      <w:pPr>
        <w:rPr>
          <w:b/>
          <w:bCs/>
        </w:rPr>
      </w:pPr>
      <w:r>
        <w:t xml:space="preserve">Late November, </w:t>
      </w:r>
      <w:r w:rsidR="00B76104">
        <w:t>1120–1123</w:t>
      </w:r>
      <w:r>
        <w:t>, probably December 1120 through early 1121</w:t>
      </w:r>
    </w:p>
    <w:p w14:paraId="690E3B70" w14:textId="77777777" w:rsidR="00B76104" w:rsidRPr="00B76104" w:rsidRDefault="00B76104" w:rsidP="00207FCC"/>
    <w:p w14:paraId="7EFE8E2A" w14:textId="215336B7" w:rsidR="00116E89" w:rsidRDefault="003E2473" w:rsidP="00116E89">
      <w:pPr>
        <w:ind w:firstLine="720"/>
      </w:pPr>
      <w:r>
        <w:t xml:space="preserve">This date </w:t>
      </w:r>
      <w:r w:rsidR="0042792D">
        <w:t>does not give any</w:t>
      </w:r>
      <w:r w:rsidR="00116E89">
        <w:t xml:space="preserve"> specific</w:t>
      </w:r>
      <w:r w:rsidR="0042792D">
        <w:t xml:space="preserve"> markers for </w:t>
      </w:r>
      <w:r w:rsidR="00AE43EB">
        <w:t>a date</w:t>
      </w:r>
      <w:r w:rsidR="00116E89">
        <w:t>, and t</w:t>
      </w:r>
      <w:r w:rsidR="00AE43EB">
        <w:t xml:space="preserve">hus, the date can only be narrowed down to a range </w:t>
      </w:r>
      <w:r w:rsidR="00116E89">
        <w:t xml:space="preserve">of time.  The time markers are that it took place during the reign of a king Henry, that it was when a </w:t>
      </w:r>
      <w:proofErr w:type="spellStart"/>
      <w:r w:rsidR="00116E89">
        <w:t>Ranulf</w:t>
      </w:r>
      <w:proofErr w:type="spellEnd"/>
      <w:r w:rsidR="00116E89">
        <w:t xml:space="preserve"> who had a living brother William was earl of Chester, that it was during the careers of a number of individuals including an earl David, and that it was after the death of Geoffrey </w:t>
      </w:r>
      <w:proofErr w:type="spellStart"/>
      <w:r w:rsidR="00116E89">
        <w:t>Ridel</w:t>
      </w:r>
      <w:proofErr w:type="spellEnd"/>
      <w:r w:rsidR="00116E89">
        <w:t xml:space="preserve"> but before the marriage of his daughter Matilda to Richard Basset.</w:t>
      </w:r>
    </w:p>
    <w:p w14:paraId="5049AC76" w14:textId="4CC444D5" w:rsidR="003930D6" w:rsidRDefault="00693157" w:rsidP="003930D6">
      <w:pPr>
        <w:ind w:firstLine="720"/>
      </w:pPr>
      <w:r>
        <w:t xml:space="preserve">The first thing is to find all the </w:t>
      </w:r>
      <w:proofErr w:type="spellStart"/>
      <w:r>
        <w:t>Ranulfs</w:t>
      </w:r>
      <w:proofErr w:type="spellEnd"/>
      <w:r>
        <w:t xml:space="preserve"> of Chester and see which one ha</w:t>
      </w:r>
      <w:r w:rsidR="00116E89">
        <w:t>d</w:t>
      </w:r>
      <w:r>
        <w:t xml:space="preserve"> a brother named William</w:t>
      </w:r>
      <w:r w:rsidR="006D746D">
        <w:t xml:space="preserve"> and who was earl during the reign of a king Henry</w:t>
      </w:r>
      <w:r>
        <w:t>.</w:t>
      </w:r>
      <w:r w:rsidR="003D62AE">
        <w:t xml:space="preserve">  This </w:t>
      </w:r>
      <w:r w:rsidR="00116E89">
        <w:t>wa</w:t>
      </w:r>
      <w:r w:rsidR="003D62AE">
        <w:t xml:space="preserve">s </w:t>
      </w:r>
      <w:proofErr w:type="spellStart"/>
      <w:r w:rsidR="003D62AE">
        <w:t>Ranulf</w:t>
      </w:r>
      <w:proofErr w:type="spellEnd"/>
      <w:r w:rsidR="003D62AE">
        <w:t xml:space="preserve"> le </w:t>
      </w:r>
      <w:proofErr w:type="spellStart"/>
      <w:r w:rsidR="003D62AE">
        <w:t>Meschin</w:t>
      </w:r>
      <w:proofErr w:type="spellEnd"/>
      <w:r w:rsidR="003D62AE">
        <w:t>.</w:t>
      </w:r>
      <w:r w:rsidR="004B76E5">
        <w:rPr>
          <w:rStyle w:val="FootnoteReference"/>
        </w:rPr>
        <w:footnoteReference w:id="8"/>
      </w:r>
      <w:r>
        <w:t xml:space="preserve">  He became earl of Chester 1120–1121 and died around 1129.</w:t>
      </w:r>
      <w:r w:rsidR="003D62AE">
        <w:rPr>
          <w:rStyle w:val="FootnoteReference"/>
        </w:rPr>
        <w:footnoteReference w:id="9"/>
      </w:r>
      <w:r w:rsidR="006D746D">
        <w:t xml:space="preserve">  The approximate dates for the </w:t>
      </w:r>
      <w:proofErr w:type="spellStart"/>
      <w:r w:rsidR="006D746D">
        <w:t>Ridel</w:t>
      </w:r>
      <w:proofErr w:type="spellEnd"/>
      <w:r w:rsidR="006D746D">
        <w:t xml:space="preserve"> family can narrow </w:t>
      </w:r>
      <w:r w:rsidR="00620A47">
        <w:t>the time range</w:t>
      </w:r>
      <w:r w:rsidR="006D746D">
        <w:t xml:space="preserve"> even further.</w:t>
      </w:r>
      <w:r w:rsidR="002635F5">
        <w:t xml:space="preserve">  Geoffrey </w:t>
      </w:r>
      <w:proofErr w:type="spellStart"/>
      <w:r w:rsidR="002635F5">
        <w:t>Ridel</w:t>
      </w:r>
      <w:proofErr w:type="spellEnd"/>
      <w:r w:rsidR="002635F5">
        <w:t xml:space="preserve"> died 25 November, 1120, and his daughter,</w:t>
      </w:r>
      <w:r w:rsidR="006D746D">
        <w:t xml:space="preserve"> Matilda, married Richard Basset in 1120–1123.</w:t>
      </w:r>
      <w:r w:rsidR="003D62AE">
        <w:rPr>
          <w:rStyle w:val="FootnoteReference"/>
        </w:rPr>
        <w:footnoteReference w:id="10"/>
      </w:r>
      <w:r w:rsidR="006D746D">
        <w:t xml:space="preserve">  Since this date must precede her marriage, it cannot be later </w:t>
      </w:r>
      <w:r w:rsidR="00116E89">
        <w:t xml:space="preserve">than </w:t>
      </w:r>
      <w:r w:rsidR="006D746D">
        <w:t xml:space="preserve">1123, and since it must follow </w:t>
      </w:r>
      <w:r w:rsidR="002635F5">
        <w:t xml:space="preserve">Geoffrey’s death and </w:t>
      </w:r>
      <w:proofErr w:type="spellStart"/>
      <w:r w:rsidR="006D746D">
        <w:t>Ranulf</w:t>
      </w:r>
      <w:proofErr w:type="spellEnd"/>
      <w:r w:rsidR="006D746D">
        <w:t xml:space="preserve"> becoming earl of Chester, it cannot be earlier than</w:t>
      </w:r>
      <w:r w:rsidR="002635F5">
        <w:t xml:space="preserve"> 25 November,</w:t>
      </w:r>
      <w:r w:rsidR="006D746D">
        <w:t xml:space="preserve"> 1120.  Thus this date falls somewhere between </w:t>
      </w:r>
      <w:r w:rsidR="002635F5">
        <w:t xml:space="preserve">26 November, </w:t>
      </w:r>
      <w:r w:rsidR="006D746D">
        <w:t>1120 and 1123.</w:t>
      </w:r>
      <w:r w:rsidR="002635F5">
        <w:t xml:space="preserve">  Since this date is concerned not only with Matilda’s marriage but also with the care of Geoffrey’s son and property, it is likely that this was written earlier rather than later.  However, since Geoffrey died in the same accident that killed Henry’s heir, it is likely that the king did not have the time or inclination to authorize it immediately after the accident.  Thus a likely </w:t>
      </w:r>
      <w:r w:rsidR="00501B89">
        <w:t>time range would be December 1120 through early 1121.</w:t>
      </w:r>
    </w:p>
    <w:p w14:paraId="710BC666" w14:textId="610BC5AE" w:rsidR="0042792D" w:rsidRDefault="006D746D" w:rsidP="00B76104">
      <w:pPr>
        <w:ind w:firstLine="720"/>
      </w:pPr>
      <w:r>
        <w:t xml:space="preserve">The other names </w:t>
      </w:r>
      <w:r w:rsidR="002635F5">
        <w:t>listed that I was able to find</w:t>
      </w:r>
      <w:r>
        <w:t xml:space="preserve"> do </w:t>
      </w:r>
      <w:r w:rsidR="00B76104">
        <w:t>not narrow the time range, but they confirm that the date would have occurred around that time.</w:t>
      </w:r>
      <w:r>
        <w:t xml:space="preserve">  The Henry who is mentioned was Henry I</w:t>
      </w:r>
      <w:r w:rsidR="00B76104">
        <w:t xml:space="preserve">, but he was king the entire time that </w:t>
      </w:r>
      <w:proofErr w:type="spellStart"/>
      <w:r w:rsidR="00B76104">
        <w:t>Ranulf</w:t>
      </w:r>
      <w:proofErr w:type="spellEnd"/>
      <w:r w:rsidR="00B76104">
        <w:t xml:space="preserve"> was earl of Chester.</w:t>
      </w:r>
      <w:r w:rsidR="003D62AE">
        <w:rPr>
          <w:rStyle w:val="FootnoteReference"/>
        </w:rPr>
        <w:footnoteReference w:id="11"/>
      </w:r>
      <w:r w:rsidR="00B76104">
        <w:t xml:space="preserve">  </w:t>
      </w:r>
      <w:proofErr w:type="spellStart"/>
      <w:r w:rsidR="00453919">
        <w:t>Ranulf’</w:t>
      </w:r>
      <w:r w:rsidR="00693157">
        <w:t>s</w:t>
      </w:r>
      <w:proofErr w:type="spellEnd"/>
      <w:r w:rsidR="00693157">
        <w:t xml:space="preserve"> brother</w:t>
      </w:r>
      <w:r w:rsidR="00453919">
        <w:t>, William,</w:t>
      </w:r>
      <w:r w:rsidR="00693157">
        <w:t xml:space="preserve"> went on the First Crusade, but this </w:t>
      </w:r>
      <w:r w:rsidR="00620A47">
        <w:t xml:space="preserve">date </w:t>
      </w:r>
      <w:r w:rsidR="00693157">
        <w:t>is significantly later, and he died 11</w:t>
      </w:r>
      <w:r w:rsidR="00AD2F97">
        <w:t>29</w:t>
      </w:r>
      <w:r w:rsidR="00693157">
        <w:t>–1135</w:t>
      </w:r>
      <w:r w:rsidR="00B76104">
        <w:t>.</w:t>
      </w:r>
      <w:r w:rsidR="003D62AE">
        <w:rPr>
          <w:rStyle w:val="FootnoteReference"/>
        </w:rPr>
        <w:footnoteReference w:id="12"/>
      </w:r>
      <w:r w:rsidR="00E661BA" w:rsidRPr="00E661BA">
        <w:t xml:space="preserve"> </w:t>
      </w:r>
      <w:r w:rsidR="00B76104">
        <w:t xml:space="preserve"> </w:t>
      </w:r>
      <w:r w:rsidR="00620A47">
        <w:lastRenderedPageBreak/>
        <w:t xml:space="preserve">A </w:t>
      </w:r>
      <w:r w:rsidR="00B76104">
        <w:t xml:space="preserve">Humphrey de </w:t>
      </w:r>
      <w:proofErr w:type="spellStart"/>
      <w:r w:rsidR="00B76104">
        <w:t>Bohun</w:t>
      </w:r>
      <w:proofErr w:type="spellEnd"/>
      <w:r w:rsidR="00B76104">
        <w:t xml:space="preserve"> died in 1123</w:t>
      </w:r>
      <w:r w:rsidR="00620A47">
        <w:t xml:space="preserve">, and his heir was another Humphrey de </w:t>
      </w:r>
      <w:proofErr w:type="spellStart"/>
      <w:r w:rsidR="00620A47">
        <w:t>Bohun</w:t>
      </w:r>
      <w:proofErr w:type="spellEnd"/>
      <w:r w:rsidR="00B76104">
        <w:t>.</w:t>
      </w:r>
      <w:r w:rsidR="003D62AE">
        <w:rPr>
          <w:rStyle w:val="FootnoteReference"/>
        </w:rPr>
        <w:footnoteReference w:id="13"/>
      </w:r>
      <w:r w:rsidR="00B76104">
        <w:t xml:space="preserve">  </w:t>
      </w:r>
      <w:r>
        <w:t>Then there is Earl David.  It is not said what he is earl of, but there is only one David who was earl at this time, and he was David I of Scotland and earl of Huntingdon.  He was given the title of earl of Huntingdon 1113–1114 and resigned February of 1136</w:t>
      </w:r>
      <w:r w:rsidR="00B76104">
        <w:t>.</w:t>
      </w:r>
      <w:r w:rsidR="003D62AE">
        <w:rPr>
          <w:rStyle w:val="FootnoteReference"/>
        </w:rPr>
        <w:footnoteReference w:id="14"/>
      </w:r>
    </w:p>
    <w:p w14:paraId="1ABD925D" w14:textId="0D8DFD78" w:rsidR="00207FCC" w:rsidRDefault="00207FCC" w:rsidP="00207FCC"/>
    <w:p w14:paraId="1B4199DF" w14:textId="3EB8B91C" w:rsidR="006305C2" w:rsidRDefault="006305C2" w:rsidP="00207FCC"/>
    <w:p w14:paraId="4FA22A62" w14:textId="1B40C8D2" w:rsidR="006305C2" w:rsidRDefault="006305C2" w:rsidP="00207FCC"/>
    <w:p w14:paraId="1F64E440" w14:textId="22143F8B" w:rsidR="006305C2" w:rsidRDefault="006305C2" w:rsidP="00207FCC"/>
    <w:p w14:paraId="7DD66F8A" w14:textId="2681FC3E" w:rsidR="0013620C" w:rsidRDefault="0013620C" w:rsidP="00207FCC"/>
    <w:p w14:paraId="63B69AC8" w14:textId="6F5CD6B3" w:rsidR="0013620C" w:rsidRDefault="0013620C" w:rsidP="00207FCC"/>
    <w:p w14:paraId="57A58E62" w14:textId="05541B19" w:rsidR="0013620C" w:rsidRDefault="0013620C" w:rsidP="00207FCC"/>
    <w:p w14:paraId="06A04B3A" w14:textId="77777777" w:rsidR="0013620C" w:rsidRDefault="0013620C" w:rsidP="00207FCC"/>
    <w:p w14:paraId="041585B7" w14:textId="48B76B1D" w:rsidR="006305C2" w:rsidRDefault="006305C2" w:rsidP="00207FCC"/>
    <w:p w14:paraId="3F9502C3" w14:textId="5297DAC4" w:rsidR="006305C2" w:rsidRDefault="006305C2" w:rsidP="00207FCC"/>
    <w:p w14:paraId="26B06892" w14:textId="58A87AEF" w:rsidR="006305C2" w:rsidRDefault="006305C2" w:rsidP="00207FCC"/>
    <w:p w14:paraId="5281111E" w14:textId="3C7A9420" w:rsidR="006305C2" w:rsidRDefault="006305C2" w:rsidP="00207FCC"/>
    <w:p w14:paraId="45915C80" w14:textId="74968246" w:rsidR="006305C2" w:rsidRDefault="006305C2" w:rsidP="00207FCC"/>
    <w:p w14:paraId="4D10A739" w14:textId="12EC0FD9" w:rsidR="006305C2" w:rsidRDefault="006305C2" w:rsidP="00207FCC"/>
    <w:p w14:paraId="0528BF05" w14:textId="0734C55D" w:rsidR="006305C2" w:rsidRDefault="006305C2" w:rsidP="00207FCC"/>
    <w:p w14:paraId="0E842A26" w14:textId="7F51B178" w:rsidR="006305C2" w:rsidRDefault="006305C2" w:rsidP="00207FCC"/>
    <w:p w14:paraId="7C12353D" w14:textId="61914DAF" w:rsidR="006305C2" w:rsidRDefault="006305C2" w:rsidP="00207FCC"/>
    <w:p w14:paraId="1E5E1B67" w14:textId="1B4DF651" w:rsidR="006305C2" w:rsidRDefault="006305C2" w:rsidP="00207FCC"/>
    <w:p w14:paraId="18EF483C" w14:textId="4E72ABF0" w:rsidR="006305C2" w:rsidRDefault="006305C2" w:rsidP="00207FCC"/>
    <w:p w14:paraId="203AF50D" w14:textId="10D7A58E" w:rsidR="0013620C" w:rsidRDefault="0013620C" w:rsidP="00207FCC"/>
    <w:p w14:paraId="3BF6E40C" w14:textId="09976153" w:rsidR="0013620C" w:rsidRDefault="0013620C" w:rsidP="00207FCC"/>
    <w:p w14:paraId="0F7D7323" w14:textId="0D329E00" w:rsidR="0013620C" w:rsidRDefault="0013620C" w:rsidP="00207FCC"/>
    <w:p w14:paraId="69E4161B" w14:textId="6E30EBCE" w:rsidR="003930D6" w:rsidRDefault="003930D6" w:rsidP="00207FCC"/>
    <w:p w14:paraId="65D31EDE" w14:textId="6F540D2D" w:rsidR="003930D6" w:rsidRDefault="003930D6" w:rsidP="00207FCC"/>
    <w:p w14:paraId="068A7216" w14:textId="0847577D" w:rsidR="003930D6" w:rsidRDefault="003930D6" w:rsidP="00207FCC"/>
    <w:p w14:paraId="33F4114E" w14:textId="3548AE56" w:rsidR="003930D6" w:rsidRDefault="003930D6" w:rsidP="00207FCC"/>
    <w:p w14:paraId="4054DA48" w14:textId="1246C91C" w:rsidR="003930D6" w:rsidRDefault="003930D6" w:rsidP="00207FCC"/>
    <w:p w14:paraId="409DFF8E" w14:textId="0861AFE6" w:rsidR="003930D6" w:rsidRDefault="003930D6" w:rsidP="00207FCC"/>
    <w:p w14:paraId="26A5BEB5" w14:textId="3F91E96A" w:rsidR="003930D6" w:rsidRDefault="003930D6" w:rsidP="00207FCC"/>
    <w:p w14:paraId="5BB4622B" w14:textId="32270395" w:rsidR="003930D6" w:rsidRDefault="003930D6" w:rsidP="00207FCC"/>
    <w:p w14:paraId="1DC13D8D" w14:textId="19631C92" w:rsidR="003930D6" w:rsidRDefault="003930D6" w:rsidP="00207FCC"/>
    <w:p w14:paraId="0A4BD86C" w14:textId="1ABA505F" w:rsidR="003930D6" w:rsidRDefault="003930D6" w:rsidP="00207FCC"/>
    <w:p w14:paraId="78AA1BA2" w14:textId="30F30EDD" w:rsidR="003930D6" w:rsidRDefault="003930D6" w:rsidP="00207FCC"/>
    <w:p w14:paraId="778DF53F" w14:textId="1C065E3C" w:rsidR="003930D6" w:rsidRDefault="003930D6" w:rsidP="00207FCC"/>
    <w:p w14:paraId="5A71D384" w14:textId="5BCC6198" w:rsidR="003930D6" w:rsidRDefault="003930D6" w:rsidP="00207FCC"/>
    <w:p w14:paraId="4AC8DA9C" w14:textId="16777D13" w:rsidR="003930D6" w:rsidRDefault="003930D6" w:rsidP="00207FCC"/>
    <w:p w14:paraId="0105F2AF" w14:textId="5C3BE091" w:rsidR="003930D6" w:rsidRDefault="003930D6" w:rsidP="00207FCC"/>
    <w:p w14:paraId="1960C549" w14:textId="307D3419" w:rsidR="0013620C" w:rsidRDefault="0013620C" w:rsidP="00207FCC"/>
    <w:p w14:paraId="4E446DDC" w14:textId="3450E84C" w:rsidR="0013620C" w:rsidRDefault="00620A47" w:rsidP="00620A47">
      <w:pPr>
        <w:jc w:val="center"/>
      </w:pPr>
      <w:r>
        <w:lastRenderedPageBreak/>
        <w:t>BIBLIOGRAPHY</w:t>
      </w:r>
    </w:p>
    <w:p w14:paraId="5B98BD0D" w14:textId="77777777" w:rsidR="00620A47" w:rsidRDefault="00620A47" w:rsidP="00620A47"/>
    <w:p w14:paraId="6DF92F29" w14:textId="77777777" w:rsidR="003930D6" w:rsidRDefault="00620A47" w:rsidP="00620A47">
      <w:proofErr w:type="spellStart"/>
      <w:r>
        <w:t>Cannadine</w:t>
      </w:r>
      <w:proofErr w:type="spellEnd"/>
      <w:r>
        <w:t xml:space="preserve">, David, ed., </w:t>
      </w:r>
      <w:r w:rsidRPr="003930D6">
        <w:rPr>
          <w:i/>
          <w:iCs/>
        </w:rPr>
        <w:t>Oxford Dictionary of National Biography</w:t>
      </w:r>
      <w:r>
        <w:t xml:space="preserve"> (Oxford University Press, </w:t>
      </w:r>
    </w:p>
    <w:p w14:paraId="05A6A0BC" w14:textId="14A08ACA" w:rsidR="00620A47" w:rsidRDefault="00620A47" w:rsidP="003930D6">
      <w:pPr>
        <w:ind w:firstLine="720"/>
      </w:pPr>
      <w:r>
        <w:t>2022</w:t>
      </w:r>
      <w:r w:rsidR="003930D6">
        <w:t>) [</w:t>
      </w:r>
      <w:r>
        <w:t>accessed 15 November, 2022</w:t>
      </w:r>
      <w:r w:rsidR="003930D6">
        <w:t>].</w:t>
      </w:r>
    </w:p>
    <w:p w14:paraId="641A5A00" w14:textId="7FD07D2E" w:rsidR="0013620C" w:rsidRDefault="0013620C" w:rsidP="00207FCC"/>
    <w:p w14:paraId="4AE35D2F" w14:textId="77777777" w:rsidR="00620A47" w:rsidRDefault="00620A47" w:rsidP="00207FCC">
      <w:r>
        <w:t xml:space="preserve">Cheney, C. R.  </w:t>
      </w:r>
      <w:r>
        <w:rPr>
          <w:i/>
          <w:iCs/>
        </w:rPr>
        <w:t>Handbook of Dates for Students of English History</w:t>
      </w:r>
      <w:r>
        <w:t xml:space="preserve"> (London: Royal Historical </w:t>
      </w:r>
    </w:p>
    <w:p w14:paraId="7C5F5780" w14:textId="45B8500A" w:rsidR="00620A47" w:rsidRPr="00620A47" w:rsidRDefault="00620A47" w:rsidP="00620A47">
      <w:pPr>
        <w:ind w:firstLine="720"/>
      </w:pPr>
      <w:r>
        <w:t>Society, 1961).</w:t>
      </w:r>
    </w:p>
    <w:p w14:paraId="2FFC4D8D" w14:textId="77777777" w:rsidR="00620A47" w:rsidRDefault="00620A47" w:rsidP="00207FCC"/>
    <w:p w14:paraId="6ABF3485" w14:textId="77777777" w:rsidR="003D62AE" w:rsidRDefault="00620A47" w:rsidP="00620A47">
      <w:proofErr w:type="spellStart"/>
      <w:r>
        <w:t>Fryde</w:t>
      </w:r>
      <w:proofErr w:type="spellEnd"/>
      <w:r>
        <w:t xml:space="preserve">, E. B., D. E. Greenway, S. Porter, and I. Roy, </w:t>
      </w:r>
      <w:r>
        <w:rPr>
          <w:i/>
          <w:iCs/>
        </w:rPr>
        <w:t>Handbook of British Chronology</w:t>
      </w:r>
      <w:r w:rsidR="003D62AE">
        <w:t>, 3</w:t>
      </w:r>
      <w:r w:rsidR="003D62AE" w:rsidRPr="003D62AE">
        <w:rPr>
          <w:vertAlign w:val="superscript"/>
        </w:rPr>
        <w:t>rd</w:t>
      </w:r>
      <w:r w:rsidR="003D62AE">
        <w:t xml:space="preserve"> </w:t>
      </w:r>
      <w:proofErr w:type="spellStart"/>
      <w:r w:rsidR="003D62AE">
        <w:t>edn</w:t>
      </w:r>
      <w:proofErr w:type="spellEnd"/>
      <w:r>
        <w:t xml:space="preserve"> </w:t>
      </w:r>
    </w:p>
    <w:p w14:paraId="56D1FDDC" w14:textId="0C33EF7C" w:rsidR="00620A47" w:rsidRPr="00620A47" w:rsidRDefault="00620A47" w:rsidP="003D62AE">
      <w:pPr>
        <w:ind w:firstLine="720"/>
      </w:pPr>
      <w:r>
        <w:t>(London: Royal Historical Society, 1986).</w:t>
      </w:r>
    </w:p>
    <w:p w14:paraId="3C80A7E5" w14:textId="77777777" w:rsidR="00620A47" w:rsidRDefault="00620A47" w:rsidP="00207FCC"/>
    <w:p w14:paraId="6FA94266" w14:textId="77777777" w:rsidR="00620A47" w:rsidRDefault="0013620C" w:rsidP="00207FCC">
      <w:pPr>
        <w:rPr>
          <w:i/>
          <w:iCs/>
        </w:rPr>
      </w:pPr>
      <w:r>
        <w:t xml:space="preserve">Keats-Rohan, K. S. B., </w:t>
      </w:r>
      <w:r>
        <w:rPr>
          <w:i/>
          <w:iCs/>
        </w:rPr>
        <w:t xml:space="preserve">Domesday Descendants: A Prosopography of Persons Occurring in </w:t>
      </w:r>
    </w:p>
    <w:p w14:paraId="3758B9B5" w14:textId="345AADE9" w:rsidR="00490390" w:rsidRDefault="0013620C" w:rsidP="003D62AE">
      <w:pPr>
        <w:ind w:firstLine="720"/>
      </w:pPr>
      <w:r>
        <w:rPr>
          <w:i/>
          <w:iCs/>
        </w:rPr>
        <w:t>English Documents 1066–1166</w:t>
      </w:r>
      <w:r>
        <w:t xml:space="preserve"> (Woodbridge: The Boydell Press, 2002).</w:t>
      </w:r>
    </w:p>
    <w:p w14:paraId="42245B41" w14:textId="77777777" w:rsidR="00465603" w:rsidRDefault="00465603"/>
    <w:sectPr w:rsidR="00465603" w:rsidSect="00F216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3E355" w14:textId="77777777" w:rsidR="00B345AD" w:rsidRDefault="00B345AD" w:rsidP="00FC73D8">
      <w:r>
        <w:separator/>
      </w:r>
    </w:p>
  </w:endnote>
  <w:endnote w:type="continuationSeparator" w:id="0">
    <w:p w14:paraId="76D8B0DC" w14:textId="77777777" w:rsidR="00B345AD" w:rsidRDefault="00B345AD" w:rsidP="00FC7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C4A46" w14:textId="77777777" w:rsidR="00B345AD" w:rsidRDefault="00B345AD" w:rsidP="00FC73D8">
      <w:r>
        <w:separator/>
      </w:r>
    </w:p>
  </w:footnote>
  <w:footnote w:type="continuationSeparator" w:id="0">
    <w:p w14:paraId="74C832BE" w14:textId="77777777" w:rsidR="00B345AD" w:rsidRDefault="00B345AD" w:rsidP="00FC73D8">
      <w:r>
        <w:continuationSeparator/>
      </w:r>
    </w:p>
  </w:footnote>
  <w:footnote w:id="1">
    <w:p w14:paraId="3660A56E" w14:textId="6645DA2A" w:rsidR="00FC73D8" w:rsidRDefault="00FC73D8">
      <w:pPr>
        <w:pStyle w:val="FootnoteText"/>
      </w:pPr>
      <w:r>
        <w:rPr>
          <w:rStyle w:val="FootnoteReference"/>
        </w:rPr>
        <w:footnoteRef/>
      </w:r>
      <w:r>
        <w:t xml:space="preserve"> </w:t>
      </w:r>
      <w:r w:rsidR="003930D6">
        <w:t xml:space="preserve">C. R. Cheney, </w:t>
      </w:r>
      <w:r w:rsidRPr="003930D6">
        <w:rPr>
          <w:i/>
          <w:iCs/>
        </w:rPr>
        <w:t>Handbook of Dates for Students of English History</w:t>
      </w:r>
      <w:r w:rsidR="003930D6">
        <w:t xml:space="preserve"> (London: Royal Historical Society, 1961)</w:t>
      </w:r>
      <w:r>
        <w:t>,</w:t>
      </w:r>
      <w:r w:rsidR="007A6FD4">
        <w:t xml:space="preserve"> p.</w:t>
      </w:r>
      <w:r>
        <w:t xml:space="preserve"> 21</w:t>
      </w:r>
      <w:r w:rsidR="003930D6">
        <w:t>.</w:t>
      </w:r>
    </w:p>
  </w:footnote>
  <w:footnote w:id="2">
    <w:p w14:paraId="3F57C121" w14:textId="745BD07B" w:rsidR="00592E4B" w:rsidRDefault="00592E4B">
      <w:pPr>
        <w:pStyle w:val="FootnoteText"/>
      </w:pPr>
      <w:r>
        <w:rPr>
          <w:rStyle w:val="FootnoteReference"/>
        </w:rPr>
        <w:footnoteRef/>
      </w:r>
      <w:r>
        <w:t xml:space="preserve"> Ibid., </w:t>
      </w:r>
      <w:r w:rsidR="007A6FD4">
        <w:t xml:space="preserve">p. </w:t>
      </w:r>
      <w:r>
        <w:t>55.</w:t>
      </w:r>
    </w:p>
  </w:footnote>
  <w:footnote w:id="3">
    <w:p w14:paraId="2076F96D" w14:textId="26953DA0" w:rsidR="00592E4B" w:rsidRDefault="00592E4B">
      <w:pPr>
        <w:pStyle w:val="FootnoteText"/>
      </w:pPr>
      <w:r>
        <w:rPr>
          <w:rStyle w:val="FootnoteReference"/>
        </w:rPr>
        <w:footnoteRef/>
      </w:r>
      <w:r>
        <w:t xml:space="preserve"> Ibid., </w:t>
      </w:r>
      <w:r w:rsidR="007A6FD4">
        <w:t xml:space="preserve">p. </w:t>
      </w:r>
      <w:r>
        <w:t>158.</w:t>
      </w:r>
    </w:p>
  </w:footnote>
  <w:footnote w:id="4">
    <w:p w14:paraId="0BFE6679" w14:textId="287ABA0B" w:rsidR="00592E4B" w:rsidRPr="003653E9" w:rsidRDefault="00592E4B" w:rsidP="003653E9">
      <w:pPr>
        <w:rPr>
          <w:sz w:val="20"/>
          <w:szCs w:val="20"/>
        </w:rPr>
      </w:pPr>
      <w:r w:rsidRPr="003653E9">
        <w:rPr>
          <w:rStyle w:val="FootnoteReference"/>
          <w:sz w:val="20"/>
          <w:szCs w:val="20"/>
        </w:rPr>
        <w:footnoteRef/>
      </w:r>
      <w:r w:rsidR="003653E9" w:rsidRPr="003653E9">
        <w:rPr>
          <w:sz w:val="20"/>
          <w:szCs w:val="20"/>
        </w:rPr>
        <w:t xml:space="preserve"> E. B. </w:t>
      </w:r>
      <w:proofErr w:type="spellStart"/>
      <w:r w:rsidR="003653E9" w:rsidRPr="003653E9">
        <w:rPr>
          <w:sz w:val="20"/>
          <w:szCs w:val="20"/>
        </w:rPr>
        <w:t>Fryde</w:t>
      </w:r>
      <w:proofErr w:type="spellEnd"/>
      <w:r w:rsidR="003653E9" w:rsidRPr="003653E9">
        <w:rPr>
          <w:sz w:val="20"/>
          <w:szCs w:val="20"/>
        </w:rPr>
        <w:t xml:space="preserve">, D. E. Greenway, S. Porter, and I. Roy, </w:t>
      </w:r>
      <w:r w:rsidR="003653E9" w:rsidRPr="003653E9">
        <w:rPr>
          <w:i/>
          <w:iCs/>
          <w:sz w:val="20"/>
          <w:szCs w:val="20"/>
        </w:rPr>
        <w:t>Handbook of British Chronology</w:t>
      </w:r>
      <w:r w:rsidR="003653E9" w:rsidRPr="003653E9">
        <w:rPr>
          <w:sz w:val="20"/>
          <w:szCs w:val="20"/>
        </w:rPr>
        <w:t>, 3</w:t>
      </w:r>
      <w:r w:rsidR="003653E9" w:rsidRPr="003653E9">
        <w:rPr>
          <w:sz w:val="20"/>
          <w:szCs w:val="20"/>
          <w:vertAlign w:val="superscript"/>
        </w:rPr>
        <w:t>rd</w:t>
      </w:r>
      <w:r w:rsidR="003653E9" w:rsidRPr="003653E9">
        <w:rPr>
          <w:sz w:val="20"/>
          <w:szCs w:val="20"/>
        </w:rPr>
        <w:t xml:space="preserve"> </w:t>
      </w:r>
      <w:proofErr w:type="spellStart"/>
      <w:r w:rsidR="003653E9" w:rsidRPr="003653E9">
        <w:rPr>
          <w:sz w:val="20"/>
          <w:szCs w:val="20"/>
        </w:rPr>
        <w:t>edn</w:t>
      </w:r>
      <w:proofErr w:type="spellEnd"/>
      <w:r w:rsidR="003653E9" w:rsidRPr="003653E9">
        <w:rPr>
          <w:sz w:val="20"/>
          <w:szCs w:val="20"/>
        </w:rPr>
        <w:t xml:space="preserve"> </w:t>
      </w:r>
      <w:r w:rsidR="003653E9" w:rsidRPr="003653E9">
        <w:rPr>
          <w:sz w:val="20"/>
          <w:szCs w:val="20"/>
        </w:rPr>
        <w:t>(London: Royal Historical Society, 1986)</w:t>
      </w:r>
      <w:r w:rsidR="003653E9" w:rsidRPr="003653E9">
        <w:rPr>
          <w:sz w:val="20"/>
          <w:szCs w:val="20"/>
        </w:rPr>
        <w:t>, p. 295</w:t>
      </w:r>
      <w:r w:rsidR="003653E9" w:rsidRPr="003653E9">
        <w:rPr>
          <w:sz w:val="20"/>
          <w:szCs w:val="20"/>
        </w:rPr>
        <w:t>.</w:t>
      </w:r>
    </w:p>
  </w:footnote>
  <w:footnote w:id="5">
    <w:p w14:paraId="0A99475B" w14:textId="6990C3A7" w:rsidR="00592E4B" w:rsidRDefault="00592E4B">
      <w:pPr>
        <w:pStyle w:val="FootnoteText"/>
      </w:pPr>
      <w:r w:rsidRPr="003653E9">
        <w:rPr>
          <w:rStyle w:val="FootnoteReference"/>
        </w:rPr>
        <w:footnoteRef/>
      </w:r>
      <w:r w:rsidRPr="003653E9">
        <w:t xml:space="preserve"> </w:t>
      </w:r>
      <w:r w:rsidR="007A6FD4" w:rsidRPr="003653E9">
        <w:t xml:space="preserve">Cheney, </w:t>
      </w:r>
      <w:r w:rsidRPr="003653E9">
        <w:rPr>
          <w:i/>
          <w:iCs/>
        </w:rPr>
        <w:t>Handbook of Dates</w:t>
      </w:r>
      <w:r w:rsidRPr="003653E9">
        <w:t xml:space="preserve">, </w:t>
      </w:r>
      <w:r w:rsidR="007A6FD4" w:rsidRPr="003653E9">
        <w:t xml:space="preserve">p. </w:t>
      </w:r>
      <w:r w:rsidRPr="003653E9">
        <w:t>55.</w:t>
      </w:r>
    </w:p>
  </w:footnote>
  <w:footnote w:id="6">
    <w:p w14:paraId="37B7846B" w14:textId="2A620666" w:rsidR="004B76E5" w:rsidRDefault="004B76E5" w:rsidP="004B76E5">
      <w:pPr>
        <w:pStyle w:val="FootnoteText"/>
      </w:pPr>
      <w:r>
        <w:rPr>
          <w:rStyle w:val="FootnoteReference"/>
        </w:rPr>
        <w:footnoteRef/>
      </w:r>
      <w:r w:rsidR="00592E4B">
        <w:rPr>
          <w:rStyle w:val="FootnoteReference"/>
        </w:rPr>
        <w:footnoteRef/>
      </w:r>
      <w:r w:rsidR="00592E4B">
        <w:t xml:space="preserve"> </w:t>
      </w:r>
      <w:proofErr w:type="spellStart"/>
      <w:r w:rsidR="007A6FD4">
        <w:t>Fryde</w:t>
      </w:r>
      <w:proofErr w:type="spellEnd"/>
      <w:r w:rsidR="007A6FD4">
        <w:t xml:space="preserve">, </w:t>
      </w:r>
      <w:r w:rsidRPr="007A6FD4">
        <w:rPr>
          <w:i/>
          <w:iCs/>
        </w:rPr>
        <w:t>Handbook of British Chronology</w:t>
      </w:r>
      <w:r>
        <w:t xml:space="preserve">, </w:t>
      </w:r>
      <w:r w:rsidR="007A6FD4">
        <w:t xml:space="preserve">p. </w:t>
      </w:r>
      <w:r>
        <w:t xml:space="preserve">244 and </w:t>
      </w:r>
      <w:r w:rsidR="007A6FD4">
        <w:t xml:space="preserve">Cheney, </w:t>
      </w:r>
      <w:r w:rsidRPr="007A6FD4">
        <w:rPr>
          <w:i/>
          <w:iCs/>
        </w:rPr>
        <w:t>Handbook of Dates</w:t>
      </w:r>
      <w:r>
        <w:t>,</w:t>
      </w:r>
      <w:r w:rsidR="007A6FD4">
        <w:t xml:space="preserve"> p.</w:t>
      </w:r>
      <w:r>
        <w:t xml:space="preserve"> 20.</w:t>
      </w:r>
    </w:p>
  </w:footnote>
  <w:footnote w:id="7">
    <w:p w14:paraId="771E41D2" w14:textId="5C5D38B6" w:rsidR="004B76E5" w:rsidRDefault="004B76E5">
      <w:pPr>
        <w:pStyle w:val="FootnoteText"/>
      </w:pPr>
      <w:r>
        <w:rPr>
          <w:rStyle w:val="FootnoteReference"/>
        </w:rPr>
        <w:footnoteRef/>
      </w:r>
      <w:r>
        <w:t xml:space="preserve"> </w:t>
      </w:r>
      <w:r w:rsidR="007A6FD4">
        <w:t xml:space="preserve">Cheney, </w:t>
      </w:r>
      <w:r w:rsidRPr="007A6FD4">
        <w:rPr>
          <w:i/>
          <w:iCs/>
        </w:rPr>
        <w:t>Handbook of Dates</w:t>
      </w:r>
      <w:r>
        <w:t xml:space="preserve">, </w:t>
      </w:r>
      <w:r w:rsidR="007A6FD4">
        <w:t xml:space="preserve">p. </w:t>
      </w:r>
      <w:r>
        <w:t>158.</w:t>
      </w:r>
    </w:p>
  </w:footnote>
  <w:footnote w:id="8">
    <w:p w14:paraId="55B9645C" w14:textId="5BF6245D" w:rsidR="004B76E5" w:rsidRDefault="004B76E5">
      <w:pPr>
        <w:pStyle w:val="FootnoteText"/>
      </w:pPr>
      <w:r>
        <w:rPr>
          <w:rStyle w:val="FootnoteReference"/>
        </w:rPr>
        <w:footnoteRef/>
      </w:r>
      <w:r>
        <w:t xml:space="preserve"> </w:t>
      </w:r>
      <w:proofErr w:type="spellStart"/>
      <w:r w:rsidR="007A6FD4">
        <w:t>Fryde</w:t>
      </w:r>
      <w:proofErr w:type="spellEnd"/>
      <w:r w:rsidR="007A6FD4">
        <w:t xml:space="preserve">, </w:t>
      </w:r>
      <w:r w:rsidRPr="007A6FD4">
        <w:rPr>
          <w:i/>
          <w:iCs/>
        </w:rPr>
        <w:t>Handbook of British Chronology</w:t>
      </w:r>
      <w:r>
        <w:t xml:space="preserve">, </w:t>
      </w:r>
      <w:r w:rsidR="007A6FD4">
        <w:t xml:space="preserve">p. </w:t>
      </w:r>
      <w:r>
        <w:t xml:space="preserve">454 and </w:t>
      </w:r>
      <w:r w:rsidR="007A6FD4">
        <w:t>Edmund King, ‘</w:t>
      </w:r>
      <w:proofErr w:type="spellStart"/>
      <w:r w:rsidR="007A6FD4">
        <w:t>Ranulf</w:t>
      </w:r>
      <w:proofErr w:type="spellEnd"/>
      <w:r w:rsidR="007A6FD4">
        <w:t xml:space="preserve"> (</w:t>
      </w:r>
      <w:r w:rsidR="003930D6">
        <w:t>I</w:t>
      </w:r>
      <w:r w:rsidR="007A6FD4">
        <w:t>) [</w:t>
      </w:r>
      <w:proofErr w:type="spellStart"/>
      <w:r w:rsidR="007A6FD4">
        <w:t>Ranulf</w:t>
      </w:r>
      <w:proofErr w:type="spellEnd"/>
      <w:r w:rsidR="007A6FD4">
        <w:t xml:space="preserve"> le </w:t>
      </w:r>
      <w:proofErr w:type="spellStart"/>
      <w:r w:rsidR="007A6FD4">
        <w:t>Meschin</w:t>
      </w:r>
      <w:proofErr w:type="spellEnd"/>
      <w:r w:rsidR="007A6FD4">
        <w:t xml:space="preserve">], Third Earl of Chester’, </w:t>
      </w:r>
      <w:r w:rsidR="007A6FD4" w:rsidRPr="007A6FD4">
        <w:rPr>
          <w:i/>
          <w:iCs/>
        </w:rPr>
        <w:t>Oxford Dictionary of National Biography</w:t>
      </w:r>
      <w:r w:rsidR="007A6FD4">
        <w:t xml:space="preserve"> &lt;</w:t>
      </w:r>
      <w:r w:rsidR="007A6FD4" w:rsidRPr="007A6FD4">
        <w:t>https://www.oxforddnb.com/view/10.1093/ref:odnb/9780198614128.001.0001/odnb-9780198614128-e-23127?rskey=jdrsfE&amp;result=1</w:t>
      </w:r>
      <w:r w:rsidR="007A6FD4">
        <w:t>&gt; [accessed 15 November, 2022].</w:t>
      </w:r>
    </w:p>
  </w:footnote>
  <w:footnote w:id="9">
    <w:p w14:paraId="136B39A7" w14:textId="55A20759" w:rsidR="003D62AE" w:rsidRDefault="003D62AE">
      <w:pPr>
        <w:pStyle w:val="FootnoteText"/>
      </w:pPr>
      <w:r>
        <w:rPr>
          <w:rStyle w:val="FootnoteReference"/>
        </w:rPr>
        <w:footnoteRef/>
      </w:r>
      <w:r>
        <w:t xml:space="preserve"> </w:t>
      </w:r>
      <w:proofErr w:type="spellStart"/>
      <w:r w:rsidR="007A6FD4">
        <w:t>Fryde</w:t>
      </w:r>
      <w:proofErr w:type="spellEnd"/>
      <w:r w:rsidR="007A6FD4">
        <w:t xml:space="preserve">, </w:t>
      </w:r>
      <w:r w:rsidRPr="007A6FD4">
        <w:rPr>
          <w:i/>
          <w:iCs/>
        </w:rPr>
        <w:t>Handbook of British Chronology</w:t>
      </w:r>
      <w:r>
        <w:t xml:space="preserve">, </w:t>
      </w:r>
      <w:r w:rsidR="007A6FD4">
        <w:t xml:space="preserve">p. </w:t>
      </w:r>
      <w:r>
        <w:t>454.</w:t>
      </w:r>
    </w:p>
  </w:footnote>
  <w:footnote w:id="10">
    <w:p w14:paraId="53CD8769" w14:textId="021F7E08" w:rsidR="003D62AE" w:rsidRDefault="003D62AE">
      <w:pPr>
        <w:pStyle w:val="FootnoteText"/>
      </w:pPr>
      <w:r>
        <w:rPr>
          <w:rStyle w:val="FootnoteReference"/>
        </w:rPr>
        <w:footnoteRef/>
      </w:r>
      <w:r>
        <w:t xml:space="preserve"> </w:t>
      </w:r>
      <w:r w:rsidR="003930D6">
        <w:t xml:space="preserve">K. S. B. Keats-Rohan, </w:t>
      </w:r>
      <w:r w:rsidRPr="003930D6">
        <w:rPr>
          <w:i/>
          <w:iCs/>
        </w:rPr>
        <w:t>Domesday Descendants</w:t>
      </w:r>
      <w:r w:rsidR="003930D6" w:rsidRPr="003930D6">
        <w:rPr>
          <w:i/>
          <w:iCs/>
        </w:rPr>
        <w:t>: A Prosopography of Person</w:t>
      </w:r>
      <w:r w:rsidR="003930D6">
        <w:rPr>
          <w:i/>
          <w:iCs/>
        </w:rPr>
        <w:t>s</w:t>
      </w:r>
      <w:r w:rsidR="003930D6" w:rsidRPr="003930D6">
        <w:rPr>
          <w:i/>
          <w:iCs/>
        </w:rPr>
        <w:t xml:space="preserve"> Occurring in English Documents 1066–1166</w:t>
      </w:r>
      <w:r w:rsidR="003930D6">
        <w:t xml:space="preserve"> (Woodbridge: The Boydell Press, 2002)</w:t>
      </w:r>
      <w:r>
        <w:t xml:space="preserve">, </w:t>
      </w:r>
      <w:r w:rsidR="007A6FD4">
        <w:t xml:space="preserve">p. </w:t>
      </w:r>
      <w:r>
        <w:t>1108.</w:t>
      </w:r>
    </w:p>
  </w:footnote>
  <w:footnote w:id="11">
    <w:p w14:paraId="37B02B0C" w14:textId="4707CB04" w:rsidR="003D62AE" w:rsidRDefault="003D62AE">
      <w:pPr>
        <w:pStyle w:val="FootnoteText"/>
      </w:pPr>
      <w:r>
        <w:rPr>
          <w:rStyle w:val="FootnoteReference"/>
        </w:rPr>
        <w:footnoteRef/>
      </w:r>
      <w:r>
        <w:t xml:space="preserve"> </w:t>
      </w:r>
      <w:r w:rsidR="007A6FD4">
        <w:t xml:space="preserve">Cheney, </w:t>
      </w:r>
      <w:r w:rsidRPr="007A6FD4">
        <w:rPr>
          <w:i/>
          <w:iCs/>
        </w:rPr>
        <w:t>Handbook of Dates</w:t>
      </w:r>
      <w:r>
        <w:t xml:space="preserve">, </w:t>
      </w:r>
      <w:r w:rsidR="007A6FD4">
        <w:t xml:space="preserve">p. </w:t>
      </w:r>
      <w:r>
        <w:t>18.</w:t>
      </w:r>
    </w:p>
  </w:footnote>
  <w:footnote w:id="12">
    <w:p w14:paraId="3CC6B483" w14:textId="0EC240EF" w:rsidR="003D62AE" w:rsidRDefault="003D62AE">
      <w:pPr>
        <w:pStyle w:val="FootnoteText"/>
      </w:pPr>
      <w:r>
        <w:rPr>
          <w:rStyle w:val="FootnoteReference"/>
        </w:rPr>
        <w:footnoteRef/>
      </w:r>
      <w:r>
        <w:t xml:space="preserve"> </w:t>
      </w:r>
      <w:r w:rsidR="007A6FD4">
        <w:t>King, ‘</w:t>
      </w:r>
      <w:proofErr w:type="spellStart"/>
      <w:r w:rsidR="007A6FD4">
        <w:t>Ranulf</w:t>
      </w:r>
      <w:proofErr w:type="spellEnd"/>
      <w:r w:rsidR="007A6FD4">
        <w:t xml:space="preserve"> le </w:t>
      </w:r>
      <w:proofErr w:type="spellStart"/>
      <w:r w:rsidR="007A6FD4">
        <w:t>Meschin</w:t>
      </w:r>
      <w:proofErr w:type="spellEnd"/>
      <w:r w:rsidR="003930D6">
        <w:t>’.</w:t>
      </w:r>
    </w:p>
  </w:footnote>
  <w:footnote w:id="13">
    <w:p w14:paraId="176EBDFF" w14:textId="539D2809" w:rsidR="003D62AE" w:rsidRPr="007A6FD4" w:rsidRDefault="003D62AE">
      <w:pPr>
        <w:pStyle w:val="FootnoteText"/>
      </w:pPr>
      <w:r>
        <w:rPr>
          <w:rStyle w:val="FootnoteReference"/>
        </w:rPr>
        <w:footnoteRef/>
      </w:r>
      <w:r>
        <w:t xml:space="preserve"> </w:t>
      </w:r>
      <w:r w:rsidR="007A6FD4">
        <w:t>Graeme White, ‘</w:t>
      </w:r>
      <w:proofErr w:type="spellStart"/>
      <w:r w:rsidR="007A6FD4">
        <w:t>Bohun</w:t>
      </w:r>
      <w:proofErr w:type="spellEnd"/>
      <w:r w:rsidR="007A6FD4">
        <w:t xml:space="preserve">, Humphrey de’, in </w:t>
      </w:r>
      <w:r w:rsidR="007A6FD4">
        <w:rPr>
          <w:i/>
          <w:iCs/>
        </w:rPr>
        <w:t>Oxford Dictionary of National Biography</w:t>
      </w:r>
      <w:r w:rsidR="007A6FD4">
        <w:t xml:space="preserve"> &lt;</w:t>
      </w:r>
      <w:r w:rsidR="007A6FD4" w:rsidRPr="007A6FD4">
        <w:t>https://www.oxforddnb.com/view/10.1093/ref:odnb/9780198614128.001.0001/odnb-9780198614128-e-2774?rskey=hPtIdR&amp;result=1</w:t>
      </w:r>
      <w:r w:rsidR="007A6FD4">
        <w:t>&gt; [accessed 15 November, 2022].</w:t>
      </w:r>
    </w:p>
  </w:footnote>
  <w:footnote w:id="14">
    <w:p w14:paraId="1BAB834C" w14:textId="57543172" w:rsidR="003D62AE" w:rsidRDefault="003D62AE">
      <w:pPr>
        <w:pStyle w:val="FootnoteText"/>
      </w:pPr>
      <w:r>
        <w:rPr>
          <w:rStyle w:val="FootnoteReference"/>
        </w:rPr>
        <w:footnoteRef/>
      </w:r>
      <w:r>
        <w:t xml:space="preserve"> </w:t>
      </w:r>
      <w:proofErr w:type="spellStart"/>
      <w:r w:rsidR="007A6FD4">
        <w:t>Fryde</w:t>
      </w:r>
      <w:proofErr w:type="spellEnd"/>
      <w:r w:rsidR="007A6FD4">
        <w:t xml:space="preserve">, </w:t>
      </w:r>
      <w:r w:rsidRPr="007A6FD4">
        <w:rPr>
          <w:i/>
          <w:iCs/>
        </w:rPr>
        <w:t>Handbook of British Chronology</w:t>
      </w:r>
      <w:r>
        <w:t xml:space="preserve">, </w:t>
      </w:r>
      <w:r w:rsidR="007A6FD4">
        <w:t xml:space="preserve">p. </w:t>
      </w:r>
      <w:r>
        <w:t>466.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46C30"/>
    <w:multiLevelType w:val="hybridMultilevel"/>
    <w:tmpl w:val="729AEF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8977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mirrorMargins/>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62F"/>
    <w:rsid w:val="0000115D"/>
    <w:rsid w:val="00011099"/>
    <w:rsid w:val="00016BBD"/>
    <w:rsid w:val="0003155C"/>
    <w:rsid w:val="0005146E"/>
    <w:rsid w:val="000614BB"/>
    <w:rsid w:val="000F0046"/>
    <w:rsid w:val="0010145B"/>
    <w:rsid w:val="00116E89"/>
    <w:rsid w:val="0013620C"/>
    <w:rsid w:val="0014695E"/>
    <w:rsid w:val="00177619"/>
    <w:rsid w:val="00186813"/>
    <w:rsid w:val="00192D13"/>
    <w:rsid w:val="00195E79"/>
    <w:rsid w:val="001A02F6"/>
    <w:rsid w:val="001C157E"/>
    <w:rsid w:val="001E0953"/>
    <w:rsid w:val="002071D6"/>
    <w:rsid w:val="00207FCC"/>
    <w:rsid w:val="00211530"/>
    <w:rsid w:val="0022194D"/>
    <w:rsid w:val="002635F5"/>
    <w:rsid w:val="0027632E"/>
    <w:rsid w:val="00282E22"/>
    <w:rsid w:val="002B1DA3"/>
    <w:rsid w:val="002C3829"/>
    <w:rsid w:val="002D4051"/>
    <w:rsid w:val="002E5104"/>
    <w:rsid w:val="002F35F9"/>
    <w:rsid w:val="002F3F62"/>
    <w:rsid w:val="00315A4B"/>
    <w:rsid w:val="003205A1"/>
    <w:rsid w:val="003233C1"/>
    <w:rsid w:val="00327025"/>
    <w:rsid w:val="00351CEE"/>
    <w:rsid w:val="003653E9"/>
    <w:rsid w:val="003930D6"/>
    <w:rsid w:val="003B022B"/>
    <w:rsid w:val="003B2D94"/>
    <w:rsid w:val="003C4B90"/>
    <w:rsid w:val="003C6AE4"/>
    <w:rsid w:val="003D62AE"/>
    <w:rsid w:val="003E2473"/>
    <w:rsid w:val="004064AA"/>
    <w:rsid w:val="0042792D"/>
    <w:rsid w:val="0043362F"/>
    <w:rsid w:val="00453919"/>
    <w:rsid w:val="00454CCD"/>
    <w:rsid w:val="00461258"/>
    <w:rsid w:val="00465603"/>
    <w:rsid w:val="00483715"/>
    <w:rsid w:val="00490390"/>
    <w:rsid w:val="004916F6"/>
    <w:rsid w:val="004A4F1E"/>
    <w:rsid w:val="004B76E5"/>
    <w:rsid w:val="004F29BD"/>
    <w:rsid w:val="00500C4C"/>
    <w:rsid w:val="00501B89"/>
    <w:rsid w:val="00503842"/>
    <w:rsid w:val="00505F8C"/>
    <w:rsid w:val="00544D1B"/>
    <w:rsid w:val="005515B9"/>
    <w:rsid w:val="00592E4B"/>
    <w:rsid w:val="005B0E3C"/>
    <w:rsid w:val="006159D9"/>
    <w:rsid w:val="00615A51"/>
    <w:rsid w:val="00617CFE"/>
    <w:rsid w:val="00620A47"/>
    <w:rsid w:val="00621DA2"/>
    <w:rsid w:val="006305C2"/>
    <w:rsid w:val="00640787"/>
    <w:rsid w:val="00652089"/>
    <w:rsid w:val="00693157"/>
    <w:rsid w:val="00693739"/>
    <w:rsid w:val="006B686C"/>
    <w:rsid w:val="006C1AE2"/>
    <w:rsid w:val="006C3564"/>
    <w:rsid w:val="006D5E46"/>
    <w:rsid w:val="006D644D"/>
    <w:rsid w:val="006D746D"/>
    <w:rsid w:val="006E3993"/>
    <w:rsid w:val="00750C7D"/>
    <w:rsid w:val="00753700"/>
    <w:rsid w:val="007A6FD4"/>
    <w:rsid w:val="00851DDF"/>
    <w:rsid w:val="0086331F"/>
    <w:rsid w:val="00891D70"/>
    <w:rsid w:val="0089605A"/>
    <w:rsid w:val="00896998"/>
    <w:rsid w:val="008C3177"/>
    <w:rsid w:val="008E4E2B"/>
    <w:rsid w:val="008E5675"/>
    <w:rsid w:val="008F1786"/>
    <w:rsid w:val="008F69C1"/>
    <w:rsid w:val="00935562"/>
    <w:rsid w:val="009401F8"/>
    <w:rsid w:val="00951512"/>
    <w:rsid w:val="009A6388"/>
    <w:rsid w:val="009B0142"/>
    <w:rsid w:val="009C2B8E"/>
    <w:rsid w:val="009C6DF0"/>
    <w:rsid w:val="009D213C"/>
    <w:rsid w:val="00A06755"/>
    <w:rsid w:val="00A106DE"/>
    <w:rsid w:val="00A337CB"/>
    <w:rsid w:val="00A71079"/>
    <w:rsid w:val="00A8242B"/>
    <w:rsid w:val="00A855C0"/>
    <w:rsid w:val="00A90A54"/>
    <w:rsid w:val="00A97643"/>
    <w:rsid w:val="00AD2F97"/>
    <w:rsid w:val="00AE43EB"/>
    <w:rsid w:val="00B024F2"/>
    <w:rsid w:val="00B0513F"/>
    <w:rsid w:val="00B16F13"/>
    <w:rsid w:val="00B345AD"/>
    <w:rsid w:val="00B45E58"/>
    <w:rsid w:val="00B464E0"/>
    <w:rsid w:val="00B73055"/>
    <w:rsid w:val="00B76104"/>
    <w:rsid w:val="00BA265B"/>
    <w:rsid w:val="00BA4112"/>
    <w:rsid w:val="00BB5272"/>
    <w:rsid w:val="00BC3E0E"/>
    <w:rsid w:val="00BD43B6"/>
    <w:rsid w:val="00BD569C"/>
    <w:rsid w:val="00C0792B"/>
    <w:rsid w:val="00C53138"/>
    <w:rsid w:val="00C751F7"/>
    <w:rsid w:val="00CA07DD"/>
    <w:rsid w:val="00CA2409"/>
    <w:rsid w:val="00CE3AEE"/>
    <w:rsid w:val="00CE4293"/>
    <w:rsid w:val="00CE4F01"/>
    <w:rsid w:val="00CE6ECF"/>
    <w:rsid w:val="00D0539C"/>
    <w:rsid w:val="00D23E30"/>
    <w:rsid w:val="00D44D93"/>
    <w:rsid w:val="00D50455"/>
    <w:rsid w:val="00D546EB"/>
    <w:rsid w:val="00D77108"/>
    <w:rsid w:val="00D90500"/>
    <w:rsid w:val="00D9562F"/>
    <w:rsid w:val="00DA16D7"/>
    <w:rsid w:val="00DC39D8"/>
    <w:rsid w:val="00DD24E9"/>
    <w:rsid w:val="00E346CF"/>
    <w:rsid w:val="00E661BA"/>
    <w:rsid w:val="00E86D47"/>
    <w:rsid w:val="00EA3581"/>
    <w:rsid w:val="00EB0FF9"/>
    <w:rsid w:val="00EB5A08"/>
    <w:rsid w:val="00F02188"/>
    <w:rsid w:val="00F216A1"/>
    <w:rsid w:val="00F74B5D"/>
    <w:rsid w:val="00FC47F3"/>
    <w:rsid w:val="00FC73D8"/>
    <w:rsid w:val="00FD24E4"/>
    <w:rsid w:val="00FD46EA"/>
    <w:rsid w:val="00FE57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210DEF7"/>
  <w15:chartTrackingRefBased/>
  <w15:docId w15:val="{8EE13762-EC97-204F-B052-F85B22D55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62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3993"/>
    <w:pPr>
      <w:ind w:left="720"/>
      <w:contextualSpacing/>
    </w:pPr>
  </w:style>
  <w:style w:type="paragraph" w:styleId="FootnoteText">
    <w:name w:val="footnote text"/>
    <w:basedOn w:val="Normal"/>
    <w:link w:val="FootnoteTextChar"/>
    <w:uiPriority w:val="99"/>
    <w:semiHidden/>
    <w:unhideWhenUsed/>
    <w:rsid w:val="00FC73D8"/>
    <w:rPr>
      <w:sz w:val="20"/>
      <w:szCs w:val="20"/>
    </w:rPr>
  </w:style>
  <w:style w:type="character" w:customStyle="1" w:styleId="FootnoteTextChar">
    <w:name w:val="Footnote Text Char"/>
    <w:basedOn w:val="DefaultParagraphFont"/>
    <w:link w:val="FootnoteText"/>
    <w:uiPriority w:val="99"/>
    <w:semiHidden/>
    <w:rsid w:val="00FC73D8"/>
    <w:rPr>
      <w:rFonts w:eastAsiaTheme="minorEastAsia"/>
      <w:sz w:val="20"/>
      <w:szCs w:val="20"/>
    </w:rPr>
  </w:style>
  <w:style w:type="character" w:styleId="FootnoteReference">
    <w:name w:val="footnote reference"/>
    <w:basedOn w:val="DefaultParagraphFont"/>
    <w:uiPriority w:val="99"/>
    <w:semiHidden/>
    <w:unhideWhenUsed/>
    <w:rsid w:val="00FC73D8"/>
    <w:rPr>
      <w:vertAlign w:val="superscript"/>
    </w:rPr>
  </w:style>
  <w:style w:type="paragraph" w:styleId="Footer">
    <w:name w:val="footer"/>
    <w:basedOn w:val="Normal"/>
    <w:link w:val="FooterChar"/>
    <w:uiPriority w:val="99"/>
    <w:unhideWhenUsed/>
    <w:rsid w:val="00592E4B"/>
    <w:pPr>
      <w:tabs>
        <w:tab w:val="center" w:pos="4680"/>
        <w:tab w:val="right" w:pos="9360"/>
      </w:tabs>
    </w:pPr>
  </w:style>
  <w:style w:type="character" w:customStyle="1" w:styleId="FooterChar">
    <w:name w:val="Footer Char"/>
    <w:basedOn w:val="DefaultParagraphFont"/>
    <w:link w:val="Footer"/>
    <w:uiPriority w:val="99"/>
    <w:rsid w:val="00592E4B"/>
    <w:rPr>
      <w:rFonts w:eastAsiaTheme="minorEastAsia"/>
    </w:rPr>
  </w:style>
  <w:style w:type="character" w:styleId="PageNumber">
    <w:name w:val="page number"/>
    <w:basedOn w:val="DefaultParagraphFont"/>
    <w:uiPriority w:val="99"/>
    <w:semiHidden/>
    <w:unhideWhenUsed/>
    <w:rsid w:val="00592E4B"/>
  </w:style>
  <w:style w:type="character" w:styleId="Hyperlink">
    <w:name w:val="Hyperlink"/>
    <w:basedOn w:val="DefaultParagraphFont"/>
    <w:uiPriority w:val="99"/>
    <w:unhideWhenUsed/>
    <w:rsid w:val="007A6FD4"/>
    <w:rPr>
      <w:color w:val="0563C1" w:themeColor="hyperlink"/>
      <w:u w:val="single"/>
    </w:rPr>
  </w:style>
  <w:style w:type="character" w:styleId="UnresolvedMention">
    <w:name w:val="Unresolved Mention"/>
    <w:basedOn w:val="DefaultParagraphFont"/>
    <w:uiPriority w:val="99"/>
    <w:semiHidden/>
    <w:unhideWhenUsed/>
    <w:rsid w:val="007A6FD4"/>
    <w:rPr>
      <w:color w:val="605E5C"/>
      <w:shd w:val="clear" w:color="auto" w:fill="E1DFDD"/>
    </w:rPr>
  </w:style>
  <w:style w:type="character" w:styleId="FollowedHyperlink">
    <w:name w:val="FollowedHyperlink"/>
    <w:basedOn w:val="DefaultParagraphFont"/>
    <w:uiPriority w:val="99"/>
    <w:semiHidden/>
    <w:unhideWhenUsed/>
    <w:rsid w:val="007A6F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4</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Ferguson</dc:creator>
  <cp:keywords/>
  <dc:description/>
  <cp:lastModifiedBy>Michelle Ferguson</cp:lastModifiedBy>
  <cp:revision>18</cp:revision>
  <dcterms:created xsi:type="dcterms:W3CDTF">2022-10-25T11:42:00Z</dcterms:created>
  <dcterms:modified xsi:type="dcterms:W3CDTF">2022-11-16T22:03:00Z</dcterms:modified>
</cp:coreProperties>
</file>