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rFonts w:ascii="Arial" w:cs="Arial" w:eastAsia="Arial" w:hAnsi="Arial"/>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292100</wp:posOffset>
            </wp:positionV>
            <wp:extent cx="1809750" cy="723900"/>
            <wp:effectExtent b="0" l="0" r="0" t="0"/>
            <wp:wrapSquare wrapText="bothSides" distB="0" distT="0" distL="114300" distR="114300"/>
            <wp:docPr descr="Discover University of Wales Trinity Saint David" id="1027" name="image1.png"/>
            <a:graphic>
              <a:graphicData uri="http://schemas.openxmlformats.org/drawingml/2006/picture">
                <pic:pic>
                  <pic:nvPicPr>
                    <pic:cNvPr descr="Discover University of Wales Trinity Saint David" id="0" name="image1.png"/>
                    <pic:cNvPicPr preferRelativeResize="0"/>
                  </pic:nvPicPr>
                  <pic:blipFill>
                    <a:blip r:embed="rId7"/>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3">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4">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5">
      <w:pPr>
        <w:tabs>
          <w:tab w:val="left" w:pos="6540"/>
        </w:tabs>
        <w:spacing w:line="360" w:lineRule="auto"/>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6">
      <w:pPr>
        <w:tabs>
          <w:tab w:val="left" w:pos="6540"/>
        </w:tabs>
        <w:spacing w:line="360" w:lineRule="auto"/>
        <w:jc w:val="both"/>
        <w:rPr>
          <w:rFonts w:ascii="Arial" w:cs="Arial" w:eastAsia="Arial" w:hAnsi="Arial"/>
          <w:sz w:val="28"/>
          <w:szCs w:val="28"/>
        </w:rPr>
      </w:pPr>
      <w:r w:rsidDel="00000000" w:rsidR="00000000" w:rsidRPr="00000000">
        <w:rPr>
          <w:rFonts w:ascii="Arial" w:cs="Arial" w:eastAsia="Arial" w:hAnsi="Arial"/>
          <w:b w:val="1"/>
          <w:sz w:val="28"/>
          <w:szCs w:val="28"/>
          <w:rtl w:val="0"/>
        </w:rPr>
        <w:t xml:space="preserve">Student name</w:t>
      </w:r>
      <w:r w:rsidDel="00000000" w:rsidR="00000000" w:rsidRPr="00000000">
        <w:rPr>
          <w:rFonts w:ascii="Arial" w:cs="Arial" w:eastAsia="Arial" w:hAnsi="Arial"/>
          <w:sz w:val="28"/>
          <w:szCs w:val="28"/>
          <w:rtl w:val="0"/>
        </w:rPr>
        <w:t xml:space="preserve">:  Benah Nasande</w:t>
      </w:r>
    </w:p>
    <w:p w:rsidR="00000000" w:rsidDel="00000000" w:rsidP="00000000" w:rsidRDefault="00000000" w:rsidRPr="00000000" w14:paraId="00000007">
      <w:pPr>
        <w:tabs>
          <w:tab w:val="left" w:pos="6540"/>
        </w:tabs>
        <w:spacing w:line="360" w:lineRule="auto"/>
        <w:jc w:val="both"/>
        <w:rPr>
          <w:rFonts w:ascii="Arial" w:cs="Arial" w:eastAsia="Arial" w:hAnsi="Arial"/>
          <w:sz w:val="28"/>
          <w:szCs w:val="28"/>
        </w:rPr>
      </w:pPr>
      <w:r w:rsidDel="00000000" w:rsidR="00000000" w:rsidRPr="00000000">
        <w:rPr>
          <w:rFonts w:ascii="Arial" w:cs="Arial" w:eastAsia="Arial" w:hAnsi="Arial"/>
          <w:b w:val="1"/>
          <w:sz w:val="28"/>
          <w:szCs w:val="28"/>
          <w:rtl w:val="0"/>
        </w:rPr>
        <w:t xml:space="preserve">Student ID</w:t>
      </w:r>
      <w:r w:rsidDel="00000000" w:rsidR="00000000" w:rsidRPr="00000000">
        <w:rPr>
          <w:rFonts w:ascii="Arial" w:cs="Arial" w:eastAsia="Arial" w:hAnsi="Arial"/>
          <w:sz w:val="28"/>
          <w:szCs w:val="28"/>
          <w:rtl w:val="0"/>
        </w:rPr>
        <w:t xml:space="preserve">:       1917243</w:t>
      </w:r>
    </w:p>
    <w:p w:rsidR="00000000" w:rsidDel="00000000" w:rsidP="00000000" w:rsidRDefault="00000000" w:rsidRPr="00000000" w14:paraId="00000008">
      <w:pPr>
        <w:tabs>
          <w:tab w:val="left" w:pos="6540"/>
        </w:tabs>
        <w:spacing w:line="360" w:lineRule="auto"/>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9">
      <w:pPr>
        <w:tabs>
          <w:tab w:val="left" w:pos="6540"/>
        </w:tabs>
        <w:spacing w:line="360" w:lineRule="auto"/>
        <w:jc w:val="both"/>
        <w:rPr>
          <w:rFonts w:ascii="Arial" w:cs="Arial" w:eastAsia="Arial" w:hAnsi="Arial"/>
          <w:sz w:val="28"/>
          <w:szCs w:val="28"/>
        </w:rPr>
      </w:pPr>
      <w:r w:rsidDel="00000000" w:rsidR="00000000" w:rsidRPr="00000000">
        <w:rPr>
          <w:rFonts w:ascii="Arial" w:cs="Arial" w:eastAsia="Arial" w:hAnsi="Arial"/>
          <w:b w:val="1"/>
          <w:sz w:val="28"/>
          <w:szCs w:val="28"/>
          <w:rtl w:val="0"/>
        </w:rPr>
        <w:t xml:space="preserve">Module name</w:t>
      </w:r>
      <w:r w:rsidDel="00000000" w:rsidR="00000000" w:rsidRPr="00000000">
        <w:rPr>
          <w:rFonts w:ascii="Arial" w:cs="Arial" w:eastAsia="Arial" w:hAnsi="Arial"/>
          <w:sz w:val="28"/>
          <w:szCs w:val="28"/>
          <w:rtl w:val="0"/>
        </w:rPr>
        <w:t xml:space="preserve">: Public Health Policy</w:t>
      </w:r>
    </w:p>
    <w:p w:rsidR="00000000" w:rsidDel="00000000" w:rsidP="00000000" w:rsidRDefault="00000000" w:rsidRPr="00000000" w14:paraId="0000000A">
      <w:pPr>
        <w:tabs>
          <w:tab w:val="left" w:pos="6540"/>
        </w:tabs>
        <w:spacing w:line="360" w:lineRule="auto"/>
        <w:jc w:val="both"/>
        <w:rPr>
          <w:rFonts w:ascii="Arial" w:cs="Arial" w:eastAsia="Arial" w:hAnsi="Arial"/>
          <w:sz w:val="28"/>
          <w:szCs w:val="28"/>
        </w:rPr>
      </w:pPr>
      <w:r w:rsidDel="00000000" w:rsidR="00000000" w:rsidRPr="00000000">
        <w:rPr>
          <w:rFonts w:ascii="Arial" w:cs="Arial" w:eastAsia="Arial" w:hAnsi="Arial"/>
          <w:b w:val="1"/>
          <w:sz w:val="28"/>
          <w:szCs w:val="28"/>
          <w:rtl w:val="0"/>
        </w:rPr>
        <w:t xml:space="preserve">Module code</w:t>
      </w:r>
      <w:r w:rsidDel="00000000" w:rsidR="00000000" w:rsidRPr="00000000">
        <w:rPr>
          <w:rFonts w:ascii="Arial" w:cs="Arial" w:eastAsia="Arial" w:hAnsi="Arial"/>
          <w:sz w:val="28"/>
          <w:szCs w:val="28"/>
          <w:rtl w:val="0"/>
        </w:rPr>
        <w:t xml:space="preserve">: BMHP5013</w:t>
      </w:r>
    </w:p>
    <w:p w:rsidR="00000000" w:rsidDel="00000000" w:rsidP="00000000" w:rsidRDefault="00000000" w:rsidRPr="00000000" w14:paraId="0000000B">
      <w:pPr>
        <w:tabs>
          <w:tab w:val="left" w:pos="6540"/>
        </w:tabs>
        <w:spacing w:line="360" w:lineRule="auto"/>
        <w:jc w:val="both"/>
        <w:rPr>
          <w:rFonts w:ascii="Arial" w:cs="Arial" w:eastAsia="Arial" w:hAnsi="Arial"/>
          <w:sz w:val="28"/>
          <w:szCs w:val="28"/>
        </w:rPr>
      </w:pPr>
      <w:r w:rsidDel="00000000" w:rsidR="00000000" w:rsidRPr="00000000">
        <w:rPr>
          <w:rFonts w:ascii="Arial" w:cs="Arial" w:eastAsia="Arial" w:hAnsi="Arial"/>
          <w:b w:val="1"/>
          <w:sz w:val="28"/>
          <w:szCs w:val="28"/>
          <w:rtl w:val="0"/>
        </w:rPr>
        <w:t xml:space="preserve">Lecturer name</w:t>
      </w:r>
      <w:r w:rsidDel="00000000" w:rsidR="00000000" w:rsidRPr="00000000">
        <w:rPr>
          <w:rFonts w:ascii="Arial" w:cs="Arial" w:eastAsia="Arial" w:hAnsi="Arial"/>
          <w:sz w:val="28"/>
          <w:szCs w:val="28"/>
          <w:rtl w:val="0"/>
        </w:rPr>
        <w:t xml:space="preserve">: Laila Surani</w:t>
      </w:r>
    </w:p>
    <w:p w:rsidR="00000000" w:rsidDel="00000000" w:rsidP="00000000" w:rsidRDefault="00000000" w:rsidRPr="00000000" w14:paraId="0000000C">
      <w:pPr>
        <w:tabs>
          <w:tab w:val="left" w:pos="6540"/>
        </w:tabs>
        <w:spacing w:line="360" w:lineRule="auto"/>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D">
      <w:pPr>
        <w:tabs>
          <w:tab w:val="left" w:pos="6540"/>
        </w:tabs>
        <w:spacing w:line="360" w:lineRule="auto"/>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E">
      <w:pPr>
        <w:tabs>
          <w:tab w:val="left" w:pos="6540"/>
        </w:tabs>
        <w:spacing w:line="360" w:lineRule="auto"/>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F">
      <w:pPr>
        <w:tabs>
          <w:tab w:val="left" w:pos="6540"/>
        </w:tabs>
        <w:spacing w:line="360" w:lineRule="auto"/>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10">
      <w:pPr>
        <w:spacing w:line="360" w:lineRule="auto"/>
        <w:jc w:val="both"/>
        <w:rPr>
          <w:rFonts w:ascii="Arial" w:cs="Arial" w:eastAsia="Arial" w:hAnsi="Arial"/>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1">
      <w:pPr>
        <w:pStyle w:val="Heading1"/>
        <w:jc w:val="both"/>
        <w:rPr/>
      </w:pPr>
      <w:bookmarkStart w:colFirst="0" w:colLast="0" w:name="_heading=h.gjdgxs" w:id="0"/>
      <w:bookmarkEnd w:id="0"/>
      <w:r w:rsidDel="00000000" w:rsidR="00000000" w:rsidRPr="00000000">
        <w:rPr>
          <w:rtl w:val="0"/>
        </w:rPr>
        <w:t xml:space="preserve">Table of contents</w:t>
      </w:r>
    </w:p>
    <w:p w:rsidR="00000000" w:rsidDel="00000000" w:rsidP="00000000" w:rsidRDefault="00000000" w:rsidRPr="00000000" w14:paraId="00000012">
      <w:pPr>
        <w:jc w:val="both"/>
        <w:rPr>
          <w:rFonts w:ascii="Arial" w:cs="Arial" w:eastAsia="Arial" w:hAnsi="Arial"/>
        </w:rPr>
      </w:pPr>
      <w:r w:rsidDel="00000000" w:rsidR="00000000" w:rsidRPr="00000000">
        <w:rPr>
          <w:rtl w:val="0"/>
        </w:rPr>
      </w:r>
    </w:p>
    <w:p w:rsidR="00000000" w:rsidDel="00000000" w:rsidP="00000000" w:rsidRDefault="00000000" w:rsidRPr="00000000" w14:paraId="00000013">
      <w:pPr>
        <w:jc w:val="both"/>
        <w:rPr>
          <w:rFonts w:ascii="Arial" w:cs="Arial" w:eastAsia="Arial" w:hAnsi="Arial"/>
        </w:rPr>
      </w:pPr>
      <w:r w:rsidDel="00000000" w:rsidR="00000000" w:rsidRPr="00000000">
        <w:rPr>
          <w:rtl w:val="0"/>
        </w:rPr>
      </w:r>
    </w:p>
    <w:p w:rsidR="00000000" w:rsidDel="00000000" w:rsidP="00000000" w:rsidRDefault="00000000" w:rsidRPr="00000000" w14:paraId="0000001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mbria" w:cs="Cambria" w:eastAsia="Cambria" w:hAnsi="Cambria"/>
          <w:b w:val="0"/>
          <w:i w:val="0"/>
          <w:smallCaps w:val="0"/>
          <w:strike w:val="0"/>
          <w:color w:val="366091"/>
          <w:sz w:val="32"/>
          <w:szCs w:val="32"/>
          <w:u w:val="none"/>
          <w:shd w:fill="auto" w:val="clear"/>
          <w:vertAlign w:val="baseline"/>
        </w:rPr>
      </w:pPr>
      <w:r w:rsidDel="00000000" w:rsidR="00000000" w:rsidRPr="00000000">
        <w:rPr>
          <w:rFonts w:ascii="Cambria" w:cs="Cambria" w:eastAsia="Cambria" w:hAnsi="Cambria"/>
          <w:b w:val="0"/>
          <w:i w:val="0"/>
          <w:smallCaps w:val="0"/>
          <w:strike w:val="0"/>
          <w:color w:val="366091"/>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Table of contents</w:t>
              <w:tab/>
              <w:t xml:space="preserve">2</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 Introduction/ Background</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 Strategies</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 Public health policy</w:t>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40" w:right="0" w:firstLine="0"/>
            <w:jc w:val="left"/>
            <w:rPr>
              <w:rFonts w:ascii="Arial" w:cs="Arial" w:eastAsia="Arial" w:hAnsi="Arial"/>
              <w:b w:val="0"/>
              <w:i w:val="0"/>
              <w:smallCaps w:val="0"/>
              <w:strike w:val="0"/>
              <w:color w:val="000000"/>
              <w:sz w:val="24"/>
              <w:szCs w:val="24"/>
              <w:u w:val="none"/>
              <w:shd w:fill="auto" w:val="clear"/>
              <w:vertAlign w:val="baseline"/>
            </w:rPr>
          </w:pPr>
          <w:bookmarkStart w:colFirst="0" w:colLast="0" w:name="_heading=h.30j0zll" w:id="1"/>
          <w:bookmarkEnd w:id="1"/>
          <w:hyperlink w:anchor="_heading=h.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Containment Policy</w:t>
              <w:tab/>
              <w:t xml:space="preserve">5</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4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delay Policy</w:t>
              <w:tab/>
              <w:t xml:space="preserve">5</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4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Mitigation Policy</w:t>
              <w:tab/>
              <w:t xml:space="preserve">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4d34og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 Models/Theories</w:t>
              <w:tab/>
              <w:t xml:space="preserve">6</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4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2s8eyo1">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Health Belief Model</w:t>
              <w:tab/>
              <w:t xml:space="preserve">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4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17dp8vu">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Social Cognitive Theory (S.C.T)</w:t>
              <w:tab/>
              <w:t xml:space="preserve">7</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3rdcrjn">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6. Ethical considerations</w:t>
              <w:tab/>
              <w:t xml:space="preserve">8</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26in1rg">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7. Recommendations</w:t>
              <w:tab/>
              <w:t xml:space="preserve">8</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lnxbz9">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22">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jc w:val="both"/>
        <w:rPr>
          <w:rFonts w:ascii="Arial" w:cs="Arial" w:eastAsia="Arial" w:hAnsi="Arial"/>
        </w:rPr>
      </w:pPr>
      <w:r w:rsidDel="00000000" w:rsidR="00000000" w:rsidRPr="00000000">
        <w:rPr>
          <w:rtl w:val="0"/>
        </w:rPr>
      </w:r>
    </w:p>
    <w:p w:rsidR="00000000" w:rsidDel="00000000" w:rsidP="00000000" w:rsidRDefault="00000000" w:rsidRPr="00000000" w14:paraId="00000024">
      <w:pPr>
        <w:spacing w:line="360" w:lineRule="auto"/>
        <w:jc w:val="both"/>
        <w:rPr>
          <w:rFonts w:ascii="Arial" w:cs="Arial" w:eastAsia="Arial" w:hAnsi="Arial"/>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5">
      <w:pPr>
        <w:pStyle w:val="Heading1"/>
        <w:spacing w:line="360" w:lineRule="auto"/>
        <w:jc w:val="both"/>
        <w:rPr/>
      </w:pPr>
      <w:r w:rsidDel="00000000" w:rsidR="00000000" w:rsidRPr="00000000">
        <w:rPr>
          <w:rtl w:val="0"/>
        </w:rPr>
      </w:r>
    </w:p>
    <w:p w:rsidR="00000000" w:rsidDel="00000000" w:rsidP="00000000" w:rsidRDefault="00000000" w:rsidRPr="00000000" w14:paraId="00000026">
      <w:pPr>
        <w:pStyle w:val="Heading1"/>
        <w:spacing w:line="360" w:lineRule="auto"/>
        <w:jc w:val="both"/>
        <w:rPr/>
      </w:pPr>
      <w:bookmarkStart w:colFirst="0" w:colLast="0" w:name="_heading=h.1fob9te" w:id="2"/>
      <w:bookmarkEnd w:id="2"/>
      <w:r w:rsidDel="00000000" w:rsidR="00000000" w:rsidRPr="00000000">
        <w:rPr>
          <w:rtl w:val="0"/>
        </w:rPr>
        <w:t xml:space="preserve">1. Introduction/ Background</w:t>
      </w:r>
    </w:p>
    <w:p w:rsidR="00000000" w:rsidDel="00000000" w:rsidP="00000000" w:rsidRDefault="00000000" w:rsidRPr="00000000" w14:paraId="00000027">
      <w:pPr>
        <w:tabs>
          <w:tab w:val="left" w:pos="6540"/>
        </w:tabs>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Covid-19 is a communicable respiratory disease that is believed to have been first identified in China in December 2019 (Lau et al., 2020). The infectious disease was named “Severe acute respiratory syndrome coronavirus 2” (SARS-COV-2) and was later declared a global public health pandemic by the World Health Organization Director General on 11</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rtl w:val="0"/>
        </w:rPr>
        <w:t xml:space="preserve"> march 2020 as an International concern as per International Health Regulation (2005).  According to the World Health Organization (2020), the infectious disease has various symptoms which include; fever, loss of smell and/or taste, dry cough especially at early stages, fatigue, severe infection for the older patients, and dyspnoea among the hospitalised patients among others. The source of this viral transmission is unclear and there is no clear proven treatment yet, but different scientists from different countries have carried out research about the various and have been involved in manufacturing of vaccines and medicines that could help in the fighting, reduction, and mitigating the spread of the disease. (Geldsetzer, 2020). </w:t>
      </w:r>
    </w:p>
    <w:p w:rsidR="00000000" w:rsidDel="00000000" w:rsidP="00000000" w:rsidRDefault="00000000" w:rsidRPr="00000000" w14:paraId="00000028">
      <w:pPr>
        <w:tabs>
          <w:tab w:val="left" w:pos="6540"/>
        </w:tabs>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purpose of this research is to explore the various strategies applied by the UK and the U.S.A in measuring, monitoring, and controlling the incidence of coronavirus by identifying the similarities and differences in these strategies. The research also seeks to explore various public health policy approaches used in these countries to reduce the spread of the disease, and getting an insight of how these policies and legislations impact on the health and social well-being of people in these two countries as well relating to the models and theories of health behaviour change. </w:t>
      </w:r>
    </w:p>
    <w:p w:rsidR="00000000" w:rsidDel="00000000" w:rsidP="00000000" w:rsidRDefault="00000000" w:rsidRPr="00000000" w14:paraId="00000029">
      <w:pPr>
        <w:pStyle w:val="Heading1"/>
        <w:spacing w:line="360" w:lineRule="auto"/>
        <w:jc w:val="both"/>
        <w:rPr/>
      </w:pPr>
      <w:bookmarkStart w:colFirst="0" w:colLast="0" w:name="_heading=h.3znysh7" w:id="3"/>
      <w:bookmarkEnd w:id="3"/>
      <w:r w:rsidDel="00000000" w:rsidR="00000000" w:rsidRPr="00000000">
        <w:rPr>
          <w:rtl w:val="0"/>
        </w:rPr>
        <w:t xml:space="preserve">2. Strategies</w:t>
      </w:r>
    </w:p>
    <w:p w:rsidR="00000000" w:rsidDel="00000000" w:rsidP="00000000" w:rsidRDefault="00000000" w:rsidRPr="00000000" w14:paraId="0000002A">
      <w:pPr>
        <w:tabs>
          <w:tab w:val="left" w:pos="6540"/>
        </w:tabs>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According to Geldsetzer (2020), both the UK and U.S.A were caught unaware by this pandemic and they both responded differently to WHO guidelines and preventive measures which included; washing hands properly with soap basing on the scientific belief that soap kills the virus, wearing a face mask while in public to prevent people from transmitting and contracting the infectious disease, physical social distancing while in public, and staying at home if possible (UK, 2020). Initially, both countries had little or no information on the infectious disease and the strategies adopted aimed at preventing the transmission through the containment policy (Watkins, 2020) </w:t>
      </w:r>
    </w:p>
    <w:p w:rsidR="00000000" w:rsidDel="00000000" w:rsidP="00000000" w:rsidRDefault="00000000" w:rsidRPr="00000000" w14:paraId="0000002B">
      <w:pPr>
        <w:tabs>
          <w:tab w:val="left" w:pos="6540"/>
        </w:tabs>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the UK, the Scientific Advisory Group for Emergencies (SAGE) advised government and the Department of Health and Social Care to embark on prioritised testing by putting the focus on the symptomatic individuals, the travellers from red zone countries like China, and the high risk groups of people in the UK (Shaw, 2020).  However, as time went by, testing in the UK became overwhelming to the government and it was shifted and restricted to high risk groups including; the health workers, individuals who got close contact to those infected, and those with chronic conditions (Anderson et al., 2020). The UK’s testing process is more uniform compared to that of the USA, and is majorly done at regional testing centres, at mobile units as well as at home through self-administered home testing.</w:t>
      </w:r>
    </w:p>
    <w:p w:rsidR="00000000" w:rsidDel="00000000" w:rsidP="00000000" w:rsidRDefault="00000000" w:rsidRPr="00000000" w14:paraId="0000002C">
      <w:pPr>
        <w:tabs>
          <w:tab w:val="left" w:pos="6540"/>
        </w:tabs>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According to American Oversight (2020), the US government headed by President Trump had no clear strategies of combating the pandemic because the president himself down played Covid-19 as a regular flu and was fond of making misleading public statements about the disease which escalated the situation in America compared to UK.</w:t>
      </w:r>
    </w:p>
    <w:p w:rsidR="00000000" w:rsidDel="00000000" w:rsidP="00000000" w:rsidRDefault="00000000" w:rsidRPr="00000000" w14:paraId="0000002D">
      <w:pPr>
        <w:tabs>
          <w:tab w:val="left" w:pos="6540"/>
        </w:tabs>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UK started with the containment strategy and responded to the pandemic by locking down when the cases cumulatively escalated at a high speed compared to the USA which did not mandate the Lockdown of several sectors (Bollyky, 2020). On the hand, Trump’s administration did not take the pandemic very seriously like the UK government because US lagged the testing process in the early days of the pandemic, had inadequate resources, the government kept feeding citizens with misleading information, blatant misinformation by the government as well as poorly scaling up the testing process (Bollyky, 2020).</w:t>
      </w:r>
    </w:p>
    <w:p w:rsidR="00000000" w:rsidDel="00000000" w:rsidP="00000000" w:rsidRDefault="00000000" w:rsidRPr="00000000" w14:paraId="0000002E">
      <w:pPr>
        <w:tabs>
          <w:tab w:val="left" w:pos="6540"/>
        </w:tabs>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addition, the UK government also adopted mandatory Provision of Personal Protective Equipment to frontline health workers, and also procured enough ICU beds to respond to critical cases, as well as opening up a new hospital facility in just 9 days called “Nightingale” which was temporary put to combat the infectious diseases unlike the US Federal government that did not give assistance to states in form of Personal Protective Equipment as well as delaying the testing process without clear procedures of contact tracing (Geldsetzer, 2020).</w:t>
      </w:r>
    </w:p>
    <w:p w:rsidR="00000000" w:rsidDel="00000000" w:rsidP="00000000" w:rsidRDefault="00000000" w:rsidRPr="00000000" w14:paraId="0000002F">
      <w:pPr>
        <w:tabs>
          <w:tab w:val="left" w:pos="6540"/>
        </w:tabs>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UK moved to shut down schools in England, and banned public gathering to stop the transmission and even introduced emergency legal powers to enforce these guidelines by charging fines to those in non-compliance through the Police. On the other hand, the USA government did not put a mandatory lockdown but advised the people to limit gatherings and to work from home if possible but this was not enforced by law or police (Bollyky, 2020). The centres for Disease Control and Prevention issued guidelines to which some states followed and others did not amidst the rising cases of transmissions and deaths. </w:t>
      </w:r>
    </w:p>
    <w:p w:rsidR="00000000" w:rsidDel="00000000" w:rsidP="00000000" w:rsidRDefault="00000000" w:rsidRPr="00000000" w14:paraId="00000030">
      <w:pPr>
        <w:tabs>
          <w:tab w:val="left" w:pos="6540"/>
        </w:tabs>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Finally, the UK government also moved to vaccine development and encouraged all the people to get vaccinated as a way of fighting the disease. For example, the UK started with AstraZeneca which majority of the people in the UK got. </w:t>
      </w:r>
    </w:p>
    <w:p w:rsidR="00000000" w:rsidDel="00000000" w:rsidP="00000000" w:rsidRDefault="00000000" w:rsidRPr="00000000" w14:paraId="00000031">
      <w:pPr>
        <w:pStyle w:val="Heading1"/>
        <w:spacing w:line="360" w:lineRule="auto"/>
        <w:jc w:val="both"/>
        <w:rPr/>
      </w:pPr>
      <w:bookmarkStart w:colFirst="0" w:colLast="0" w:name="_heading=h.2et92p0" w:id="4"/>
      <w:bookmarkEnd w:id="4"/>
      <w:r w:rsidDel="00000000" w:rsidR="00000000" w:rsidRPr="00000000">
        <w:rPr>
          <w:rtl w:val="0"/>
        </w:rPr>
        <w:t xml:space="preserve">3. Public health policy</w:t>
      </w:r>
    </w:p>
    <w:p w:rsidR="00000000" w:rsidDel="00000000" w:rsidP="00000000" w:rsidRDefault="00000000" w:rsidRPr="00000000" w14:paraId="00000032">
      <w:pPr>
        <w:pStyle w:val="Heading2"/>
        <w:rPr/>
      </w:pPr>
      <w:bookmarkStart w:colFirst="0" w:colLast="0" w:name="_heading=h.tyjcwt" w:id="5"/>
      <w:bookmarkEnd w:id="5"/>
      <w:r w:rsidDel="00000000" w:rsidR="00000000" w:rsidRPr="00000000">
        <w:rPr>
          <w:rtl w:val="0"/>
        </w:rPr>
        <w:t xml:space="preserve">Containment Policy</w:t>
      </w:r>
    </w:p>
    <w:p w:rsidR="00000000" w:rsidDel="00000000" w:rsidP="00000000" w:rsidRDefault="00000000" w:rsidRPr="00000000" w14:paraId="00000033">
      <w:pPr>
        <w:tabs>
          <w:tab w:val="left" w:pos="6540"/>
        </w:tabs>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According to Hargreaves et al. (2020), the first policy in response to COVID-19 in the UK was the containment policy that was case based focusing on detection, contact tracing, and isolation. </w:t>
      </w:r>
    </w:p>
    <w:p w:rsidR="00000000" w:rsidDel="00000000" w:rsidP="00000000" w:rsidRDefault="00000000" w:rsidRPr="00000000" w14:paraId="00000034">
      <w:pPr>
        <w:tabs>
          <w:tab w:val="left" w:pos="6540"/>
        </w:tabs>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containment policy aimed at educating and sensitising the people in the UK about the preventive measures to control the spread of Covid-19 transmission by using the population based approach (Iacobucci, 2020). The preventive measures under this policy included washing hands with soap and clean water, using alcohol content hand sanitizer, social distancing and wearing masks whenever in a public place as initially advised by WHO, 2020. However, the USA government did take this seriously and had no clear containment policy because the president thought that it was a mere flu, and the government kept misinforming people that the situation was under control (American Oversight, 2020).</w:t>
      </w:r>
    </w:p>
    <w:p w:rsidR="00000000" w:rsidDel="00000000" w:rsidP="00000000" w:rsidRDefault="00000000" w:rsidRPr="00000000" w14:paraId="00000035">
      <w:pPr>
        <w:tabs>
          <w:tab w:val="left" w:pos="6540"/>
        </w:tabs>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addition, the containment policy was initially put in place to enable in the contact tracing process. Through this, the government through the department of health and social care and the National Health Service (NHS) directed the policy to contact tracing in order to break the chain of the disease transmission among the masses. This helped in identifying those with symptoms of the infection, isolating those people with confirmed cases and those with symptoms, as well as tracing contacts of those people suspected to be infected for quarantine unlike the USA that was reluctant (Iacobucci, 2020).</w:t>
      </w:r>
    </w:p>
    <w:p w:rsidR="00000000" w:rsidDel="00000000" w:rsidP="00000000" w:rsidRDefault="00000000" w:rsidRPr="00000000" w14:paraId="00000036">
      <w:pPr>
        <w:pStyle w:val="Heading2"/>
        <w:rPr/>
      </w:pPr>
      <w:bookmarkStart w:colFirst="0" w:colLast="0" w:name="_heading=h.3dy6vkm" w:id="6"/>
      <w:bookmarkEnd w:id="6"/>
      <w:r w:rsidDel="00000000" w:rsidR="00000000" w:rsidRPr="00000000">
        <w:rPr>
          <w:rtl w:val="0"/>
        </w:rPr>
        <w:t xml:space="preserve">The delay Policy </w:t>
      </w:r>
    </w:p>
    <w:p w:rsidR="00000000" w:rsidDel="00000000" w:rsidP="00000000" w:rsidRDefault="00000000" w:rsidRPr="00000000" w14:paraId="00000037">
      <w:pPr>
        <w:tabs>
          <w:tab w:val="left" w:pos="6540"/>
        </w:tabs>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addition to the containment policy, the UK government also applied the “Delay policy” that was recommended by the Scientific Advisory Group for Emergencies (SAGE). This policy was basically used to buy time in order to carry out research about the infectious disease and to flatten the peak of the outbreak (Cairney, 2020). The UK government thought it wise to use this policy because the pandemic came as a surprise and the delay policy would help since the UK had limited laboratory capacity and limited knowledge about the virus before the pandemic (Cairney, 2020). This policy was applied because the containment policy did not stop the transmission and people were dying continuously due to the pandemic, hence prompting the government through the scientists to look for a scientific solution (Migone, 2020).</w:t>
      </w:r>
    </w:p>
    <w:p w:rsidR="00000000" w:rsidDel="00000000" w:rsidP="00000000" w:rsidRDefault="00000000" w:rsidRPr="00000000" w14:paraId="00000038">
      <w:pPr>
        <w:tabs>
          <w:tab w:val="left" w:pos="6540"/>
        </w:tabs>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USA federal government also did not make serious interventions and waited on the World Health Organization to make recommendations, of which the USA government was forced to adapt to the overwhelming rate of transmission of the virus and deaths of US citizens to the virus. </w:t>
      </w:r>
    </w:p>
    <w:p w:rsidR="00000000" w:rsidDel="00000000" w:rsidP="00000000" w:rsidRDefault="00000000" w:rsidRPr="00000000" w14:paraId="00000039">
      <w:pPr>
        <w:pStyle w:val="Heading2"/>
        <w:rPr/>
      </w:pPr>
      <w:bookmarkStart w:colFirst="0" w:colLast="0" w:name="_heading=h.1t3h5sf" w:id="7"/>
      <w:bookmarkEnd w:id="7"/>
      <w:r w:rsidDel="00000000" w:rsidR="00000000" w:rsidRPr="00000000">
        <w:rPr>
          <w:rtl w:val="0"/>
        </w:rPr>
        <w:t xml:space="preserve">Mitigation Policy </w:t>
      </w:r>
    </w:p>
    <w:p w:rsidR="00000000" w:rsidDel="00000000" w:rsidP="00000000" w:rsidRDefault="00000000" w:rsidRPr="00000000" w14:paraId="0000003A">
      <w:pPr>
        <w:tabs>
          <w:tab w:val="left" w:pos="6540"/>
        </w:tabs>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Under the mitigation Policy, the UK government moved from containing the disease but to building resilience among those people of the UK, and to protect the most vulnerable groups of people in the country. (McConalogue &amp; Knox, 2020). The government used the mitigation policy because of the rapid escalation of the pandemic on the vulnerable groups of people in the population, hence there was need to minimise the effects of the pandemic on the vulnerable population, and to prevent overwhelming the health care system by controlling the deadly transmission (Haldane et al., 2021). Therefore, the government moved to stricter and broader control measures that included; international travel restrictions from countries classified as “red zones”, closing of schools and other public institutions, banning public gatherings, and quarantine requirements among others (Kooistra et al., 2020). </w:t>
      </w:r>
    </w:p>
    <w:p w:rsidR="00000000" w:rsidDel="00000000" w:rsidP="00000000" w:rsidRDefault="00000000" w:rsidRPr="00000000" w14:paraId="0000003B">
      <w:pPr>
        <w:pStyle w:val="Heading1"/>
        <w:spacing w:line="360" w:lineRule="auto"/>
        <w:jc w:val="both"/>
        <w:rPr>
          <w:sz w:val="28"/>
          <w:szCs w:val="28"/>
        </w:rPr>
      </w:pPr>
      <w:bookmarkStart w:colFirst="0" w:colLast="0" w:name="_heading=h.4d34og8" w:id="8"/>
      <w:bookmarkEnd w:id="8"/>
      <w:r w:rsidDel="00000000" w:rsidR="00000000" w:rsidRPr="00000000">
        <w:rPr>
          <w:sz w:val="28"/>
          <w:szCs w:val="28"/>
          <w:rtl w:val="0"/>
        </w:rPr>
        <w:t xml:space="preserve">4. Models/Theories</w:t>
      </w:r>
    </w:p>
    <w:p w:rsidR="00000000" w:rsidDel="00000000" w:rsidP="00000000" w:rsidRDefault="00000000" w:rsidRPr="00000000" w14:paraId="0000003C">
      <w:pPr>
        <w:pStyle w:val="Heading2"/>
        <w:rPr/>
      </w:pPr>
      <w:bookmarkStart w:colFirst="0" w:colLast="0" w:name="_heading=h.2s8eyo1" w:id="9"/>
      <w:bookmarkEnd w:id="9"/>
      <w:r w:rsidDel="00000000" w:rsidR="00000000" w:rsidRPr="00000000">
        <w:rPr>
          <w:rtl w:val="0"/>
        </w:rPr>
        <w:t xml:space="preserve">Health Belief Model</w:t>
      </w:r>
    </w:p>
    <w:p w:rsidR="00000000" w:rsidDel="00000000" w:rsidP="00000000" w:rsidRDefault="00000000" w:rsidRPr="00000000" w14:paraId="0000003D">
      <w:pPr>
        <w:tabs>
          <w:tab w:val="left" w:pos="6540"/>
        </w:tabs>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Under this model, Champion and Skinner (2008) asserted that people’s belief about the health conditions at hand directly determines how they will behave in response to that health condition, usually the disease. The model looks at the perceived seriousness of the health condition, individuals perceived susceptibility by considering how the individuals perceive the threat of the disease on their lives and the surrounding environment (Green, Murphy &amp; Gryboski, 2020). In response to COVID-19, the people all over the world perceived the infectious disease to be of great threat to public health which led to positive response by adopting to World Health Organization recommended preventive measures like; testing, washing hands regularly, wearing masks in public places, social distancing, vaccinating against the disease among others (WHO, 2020). </w:t>
      </w:r>
    </w:p>
    <w:p w:rsidR="00000000" w:rsidDel="00000000" w:rsidP="00000000" w:rsidRDefault="00000000" w:rsidRPr="00000000" w14:paraId="0000003E">
      <w:pPr>
        <w:tabs>
          <w:tab w:val="left" w:pos="6540"/>
        </w:tabs>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Health Brief Model (HBM), also talks about perceived severity of the health condition, perceived benefits of actions taken, and the perceived barrier to the actions as well as the self-efficacy to make the actions succeed all which will determine who one responds to the condition at hand (Champion &amp; Skinner, 2008). For example, the severe deaths and the acute illness caused by COVID-19 led to a belief among the people that the disease is dangerous thereby thinking of actions to be taken in order to protect themselves from the consequences of contracting the disease, with a strong belief that the actions in form of preventive measures will protect them from getting the deadly virus. Through self-efficacy, some people who contracted the disease became resilient enough and got the ability to fight it by taking medication, and having a healthy lifestyle and they manage to succeed by healing fully from the disease. </w:t>
      </w:r>
    </w:p>
    <w:p w:rsidR="00000000" w:rsidDel="00000000" w:rsidP="00000000" w:rsidRDefault="00000000" w:rsidRPr="00000000" w14:paraId="0000003F">
      <w:pPr>
        <w:pStyle w:val="Heading2"/>
        <w:rPr/>
      </w:pPr>
      <w:bookmarkStart w:colFirst="0" w:colLast="0" w:name="_heading=h.17dp8vu" w:id="10"/>
      <w:bookmarkEnd w:id="10"/>
      <w:r w:rsidDel="00000000" w:rsidR="00000000" w:rsidRPr="00000000">
        <w:rPr>
          <w:rtl w:val="0"/>
        </w:rPr>
        <w:t xml:space="preserve">Social Cognitive Theory (S.C.T)</w:t>
      </w:r>
    </w:p>
    <w:p w:rsidR="00000000" w:rsidDel="00000000" w:rsidP="00000000" w:rsidRDefault="00000000" w:rsidRPr="00000000" w14:paraId="00000040">
      <w:pPr>
        <w:tabs>
          <w:tab w:val="left" w:pos="6540"/>
        </w:tabs>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According to Riley et al. (2016), the Social Cognitive Theory explains that individual knowledge acquisition on the health conditions is determined by what people observe from others in their surrounding environments. Away from the surrounding environments, the theory and behaviour and personal facts also determine how the individual will respond to the health conditions at hand (Baranowski, Perry &amp; Parcel, 2002). These factors are explained through personal and behaviour elements like; self-efficacy, behavioural capacity, expectations, self-control, observational learning, and reinforcements (Riley et al., 2016).</w:t>
      </w:r>
    </w:p>
    <w:p w:rsidR="00000000" w:rsidDel="00000000" w:rsidP="00000000" w:rsidRDefault="00000000" w:rsidRPr="00000000" w14:paraId="00000041">
      <w:pPr>
        <w:tabs>
          <w:tab w:val="left" w:pos="6540"/>
        </w:tabs>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response to Covid-19 pandemic, the influence of social interaction and the experiences of Covid-19 has greatly influenced how people all over the world reacted to the pandemic. Because of cumulative deaths and severity of the illness, people developed awareness, fear and panic which made them respond quickly by protecting themselves from the disease (WHO, 2020). Their self-efficacy and behavioural capacity to understand the impact of the disease on their lives led to a belief that if they do not adhere to WHO guidelines, they will die from the disease. The influence of outside media created a belief among the masses that once an individual gets the disease, they will die, and this created a desire to avoid contracting the disease and a belief that protecting themselves will save them. </w:t>
      </w:r>
    </w:p>
    <w:p w:rsidR="00000000" w:rsidDel="00000000" w:rsidP="00000000" w:rsidRDefault="00000000" w:rsidRPr="00000000" w14:paraId="00000042">
      <w:pPr>
        <w:tabs>
          <w:tab w:val="left" w:pos="6540"/>
        </w:tabs>
        <w:spacing w:line="360" w:lineRule="auto"/>
        <w:jc w:val="both"/>
        <w:rPr>
          <w:rFonts w:ascii="Arial" w:cs="Arial" w:eastAsia="Arial" w:hAnsi="Arial"/>
        </w:rPr>
      </w:pPr>
      <w:r w:rsidDel="00000000" w:rsidR="00000000" w:rsidRPr="00000000">
        <w:rPr>
          <w:rFonts w:ascii="Arial" w:cs="Arial" w:eastAsia="Arial" w:hAnsi="Arial"/>
          <w:b w:val="1"/>
          <w:sz w:val="28"/>
          <w:szCs w:val="28"/>
          <w:rtl w:val="0"/>
        </w:rPr>
        <w:t xml:space="preserve">5. </w:t>
      </w:r>
      <w:r w:rsidDel="00000000" w:rsidR="00000000" w:rsidRPr="00000000">
        <w:rPr>
          <w:rFonts w:ascii="Arial" w:cs="Arial" w:eastAsia="Arial" w:hAnsi="Arial"/>
          <w:b w:val="1"/>
          <w:sz w:val="32"/>
          <w:szCs w:val="32"/>
          <w:rtl w:val="0"/>
        </w:rPr>
        <w:t xml:space="preserve">Impact of legislation and policies</w:t>
      </w:r>
      <w:r w:rsidDel="00000000" w:rsidR="00000000" w:rsidRPr="00000000">
        <w:rPr>
          <w:rFonts w:ascii="Arial" w:cs="Arial" w:eastAsia="Arial" w:hAnsi="Arial"/>
          <w:rtl w:val="0"/>
        </w:rPr>
        <w:t xml:space="preserve"> </w:t>
      </w:r>
    </w:p>
    <w:p w:rsidR="00000000" w:rsidDel="00000000" w:rsidP="00000000" w:rsidRDefault="00000000" w:rsidRPr="00000000" w14:paraId="00000043">
      <w:pPr>
        <w:tabs>
          <w:tab w:val="left" w:pos="6540"/>
        </w:tabs>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Among the public policies adopted to fight the Covid-19 incidence by the government, Health and social care workers were excluded from the restrictions since they were classified as essential workers, and they have worked throughout the pandemic to support the National Health Service and social care system. (Shaw, 2020). </w:t>
      </w:r>
    </w:p>
    <w:p w:rsidR="00000000" w:rsidDel="00000000" w:rsidP="00000000" w:rsidRDefault="00000000" w:rsidRPr="00000000" w14:paraId="00000044">
      <w:pPr>
        <w:tabs>
          <w:tab w:val="left" w:pos="6540"/>
        </w:tabs>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government put efforts and policies where the health workers are prioritized when making decisions in regards to procurement of and supply of PPE and medical equipment as well as prioritising them for testing and vaccination. This showed how important health workers are, and how they should be protected hence saving their lives yet they are directly in contact with sick patients.</w:t>
      </w:r>
    </w:p>
    <w:p w:rsidR="00000000" w:rsidDel="00000000" w:rsidP="00000000" w:rsidRDefault="00000000" w:rsidRPr="00000000" w14:paraId="00000045">
      <w:pPr>
        <w:tabs>
          <w:tab w:val="left" w:pos="6540"/>
        </w:tabs>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lockdown policies altered health workers’ working patterns since the health workers are expected to adjust to the overwhelming situation on the health care sector due to the pandemic. This led to health risks on the side of health workers including getting infected by the virus, deaths due to the virus, burnout and mental health disorders among others (Migone, 2020). </w:t>
      </w:r>
    </w:p>
    <w:p w:rsidR="00000000" w:rsidDel="00000000" w:rsidP="00000000" w:rsidRDefault="00000000" w:rsidRPr="00000000" w14:paraId="00000046">
      <w:pPr>
        <w:tabs>
          <w:tab w:val="left" w:pos="6540"/>
        </w:tabs>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Government is acting in solidarity with all health workers by giving lump sum payments to family members of frontline health workers who die of Covid-19 as a result of getting infected by the patients. This money comes in the form of compensation to assist the families in absence of their lives even though it does not replace them, but is necessary and shows how the government cares about its people. </w:t>
      </w:r>
    </w:p>
    <w:p w:rsidR="00000000" w:rsidDel="00000000" w:rsidP="00000000" w:rsidRDefault="00000000" w:rsidRPr="00000000" w14:paraId="00000047">
      <w:pPr>
        <w:tabs>
          <w:tab w:val="left" w:pos="6540"/>
        </w:tabs>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policies to keep health workers at work during the pandemic affected their social and wellbeing because there reports of stigmatization among the health workers, discrimination from society since they are in contact with sick people, and lack of time to spend with their family members or to cater for their personal activities. (Pierce et al., 2021). This is why the government is ensuring child care services, free transport and accommodation to ensure safety of the health workers and their families. </w:t>
      </w:r>
    </w:p>
    <w:p w:rsidR="00000000" w:rsidDel="00000000" w:rsidP="00000000" w:rsidRDefault="00000000" w:rsidRPr="00000000" w14:paraId="00000048">
      <w:pPr>
        <w:pStyle w:val="Heading1"/>
        <w:spacing w:line="360" w:lineRule="auto"/>
        <w:jc w:val="both"/>
        <w:rPr>
          <w:sz w:val="28"/>
          <w:szCs w:val="28"/>
        </w:rPr>
      </w:pPr>
      <w:bookmarkStart w:colFirst="0" w:colLast="0" w:name="_heading=h.3rdcrjn" w:id="11"/>
      <w:bookmarkEnd w:id="11"/>
      <w:r w:rsidDel="00000000" w:rsidR="00000000" w:rsidRPr="00000000">
        <w:rPr>
          <w:sz w:val="28"/>
          <w:szCs w:val="28"/>
          <w:rtl w:val="0"/>
        </w:rPr>
        <w:t xml:space="preserve">6. Ethical considerations </w:t>
      </w:r>
    </w:p>
    <w:p w:rsidR="00000000" w:rsidDel="00000000" w:rsidP="00000000" w:rsidRDefault="00000000" w:rsidRPr="00000000" w14:paraId="00000049">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According to Jowett (2020), the implementation of policies, measures and strategies somehow was unethical because people were denied access to basic needs. For example, the closure of schools denied school going children a right of education, closure of supermarkets and shopping malls denied people access to goods and services which negatively affected their wellbeing. </w:t>
      </w:r>
    </w:p>
    <w:p w:rsidR="00000000" w:rsidDel="00000000" w:rsidP="00000000" w:rsidRDefault="00000000" w:rsidRPr="00000000" w14:paraId="0000004A">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Additionally, people were denied a right of free movement through closure orders and policies which is unethical.</w:t>
      </w:r>
    </w:p>
    <w:p w:rsidR="00000000" w:rsidDel="00000000" w:rsidP="00000000" w:rsidRDefault="00000000" w:rsidRPr="00000000" w14:paraId="0000004B">
      <w:pPr>
        <w:spacing w:line="360" w:lineRule="auto"/>
        <w:jc w:val="both"/>
        <w:rPr>
          <w:sz w:val="22"/>
          <w:szCs w:val="22"/>
        </w:rPr>
      </w:pPr>
      <w:r w:rsidDel="00000000" w:rsidR="00000000" w:rsidRPr="00000000">
        <w:rPr>
          <w:rFonts w:ascii="Arial" w:cs="Arial" w:eastAsia="Arial" w:hAnsi="Arial"/>
          <w:sz w:val="22"/>
          <w:szCs w:val="22"/>
          <w:rtl w:val="0"/>
        </w:rPr>
        <w:t xml:space="preserve">Travellers are forced to book and pay for PCR testing before even travelling to the UK which is unethical because people are tested and verified from their particular departure countries before travelling (Wang et al., 2020). </w:t>
      </w:r>
      <w:r w:rsidDel="00000000" w:rsidR="00000000" w:rsidRPr="00000000">
        <w:rPr>
          <w:rtl w:val="0"/>
        </w:rPr>
      </w:r>
    </w:p>
    <w:p w:rsidR="00000000" w:rsidDel="00000000" w:rsidP="00000000" w:rsidRDefault="00000000" w:rsidRPr="00000000" w14:paraId="0000004C">
      <w:pPr>
        <w:pStyle w:val="Heading1"/>
        <w:spacing w:line="360" w:lineRule="auto"/>
        <w:jc w:val="both"/>
        <w:rPr/>
      </w:pPr>
      <w:bookmarkStart w:colFirst="0" w:colLast="0" w:name="_heading=h.26in1rg" w:id="12"/>
      <w:bookmarkEnd w:id="12"/>
      <w:r w:rsidDel="00000000" w:rsidR="00000000" w:rsidRPr="00000000">
        <w:rPr>
          <w:rtl w:val="0"/>
        </w:rPr>
        <w:t xml:space="preserve">7. Recommendations </w:t>
      </w:r>
    </w:p>
    <w:p w:rsidR="00000000" w:rsidDel="00000000" w:rsidP="00000000" w:rsidRDefault="00000000" w:rsidRPr="00000000" w14:paraId="0000004D">
      <w:pPr>
        <w:tabs>
          <w:tab w:val="left" w:pos="6540"/>
        </w:tabs>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UK and USA governments have all been hit by the pandemic as a threat to public health even though the impact in terms of infections, deaths, and illness has been different in these countries. The records show that America declared Covid-19 a national state of emergency, and the government is expected to have responded in a better way following banning travels from China as a first response. However, it turns out that Trump’s government did not put more serious efforts following the travel restriction, because president Trump underplayed the virus as a simple flu. This put American lives at risk, and it is evident that the pandemic hit the USA badly compared to the UK. More importantly, both the UK and USA have been able to follow the general WHO guidelines like; washing hands, avoiding crowds, wearing face masks while in public, postponing international travels, and getting vaccinated among others which has saved many lives even though some people were not able to pull through. </w:t>
      </w:r>
    </w:p>
    <w:p w:rsidR="00000000" w:rsidDel="00000000" w:rsidP="00000000" w:rsidRDefault="00000000" w:rsidRPr="00000000" w14:paraId="0000004E">
      <w:pPr>
        <w:tabs>
          <w:tab w:val="left" w:pos="6540"/>
        </w:tabs>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Therefore, both governments are commended for the measures, strategies and policies applied, and are recommended to keep all these measures in place until the situation is put under control and people have stopped dying.</w:t>
      </w:r>
    </w:p>
    <w:p w:rsidR="00000000" w:rsidDel="00000000" w:rsidP="00000000" w:rsidRDefault="00000000" w:rsidRPr="00000000" w14:paraId="0000004F">
      <w:pPr>
        <w:tabs>
          <w:tab w:val="left" w:pos="6540"/>
        </w:tabs>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governments through their scientists in partnership with the World Health Organization and Centres for Disease Control and Prevention are recommended to invest more in research and development to understand the kind and nature of this virus that keeps reappearing in different variants which are more strong and deadly compared to the former variants. This will help governments to get knowledge on what exact vaccine or treatment should be taken to kill the virus once for all. </w:t>
      </w:r>
    </w:p>
    <w:p w:rsidR="00000000" w:rsidDel="00000000" w:rsidP="00000000" w:rsidRDefault="00000000" w:rsidRPr="00000000" w14:paraId="00000050">
      <w:pPr>
        <w:pStyle w:val="Heading1"/>
        <w:spacing w:line="360" w:lineRule="auto"/>
        <w:jc w:val="both"/>
        <w:rPr/>
      </w:pPr>
      <w:bookmarkStart w:colFirst="0" w:colLast="0" w:name="_heading=h.lnxbz9" w:id="13"/>
      <w:bookmarkEnd w:id="13"/>
      <w:r w:rsidDel="00000000" w:rsidR="00000000" w:rsidRPr="00000000">
        <w:rPr>
          <w:rtl w:val="0"/>
        </w:rPr>
        <w:t xml:space="preserve">References</w:t>
      </w:r>
    </w:p>
    <w:p w:rsidR="00000000" w:rsidDel="00000000" w:rsidP="00000000" w:rsidRDefault="00000000" w:rsidRPr="00000000" w14:paraId="00000051">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Alana Grech, L.A., Alzoughool, F. and Atoum, M., 2020. The human coronavirus disease COVID-19: its origin, characteristics, and insights into potential drugs and its mechanisms. Pathogens, 9(5), p.331.</w:t>
      </w:r>
    </w:p>
    <w:p w:rsidR="00000000" w:rsidDel="00000000" w:rsidP="00000000" w:rsidRDefault="00000000" w:rsidRPr="00000000" w14:paraId="00000052">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Anderson, R.M., Heesterbeek, H., Klinkenberg, D. and Hollingsworth, T.D., 2020. How will country-based mitigation measures influence the course of the COVID-19 epidemic? The Lancet, 395(10228), pp.931-934.</w:t>
      </w:r>
    </w:p>
    <w:p w:rsidR="00000000" w:rsidDel="00000000" w:rsidP="00000000" w:rsidRDefault="00000000" w:rsidRPr="00000000" w14:paraId="00000053">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Baranowski, T., Perry, C.L. and Parcel, G.S., 2002. How individuals, environments, and health behaviour interact. Health behaviour and health education: Theory, research, and practice, 3, pp.165-184.</w:t>
      </w:r>
    </w:p>
    <w:p w:rsidR="00000000" w:rsidDel="00000000" w:rsidP="00000000" w:rsidRDefault="00000000" w:rsidRPr="00000000" w14:paraId="00000054">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Bollyky, T.J., 2020. Trump’s early travel bans were not early, weren’t bans and did not work.</w:t>
      </w:r>
    </w:p>
    <w:p w:rsidR="00000000" w:rsidDel="00000000" w:rsidP="00000000" w:rsidRDefault="00000000" w:rsidRPr="00000000" w14:paraId="00000055">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Cairney, P. (2020). COVID-19 Policy in the UK: The role of SAGE and Science advice to the government. Pau; Cairney: Politics and Public Policy.</w:t>
      </w:r>
    </w:p>
    <w:p w:rsidR="00000000" w:rsidDel="00000000" w:rsidP="00000000" w:rsidRDefault="00000000" w:rsidRPr="00000000" w14:paraId="00000056">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Champion, V.L. and Skinner, C.S., 2008. The health belief model. Health behaviour and health education: Theory, research, and practice, 4, pp.45-65.</w:t>
      </w:r>
    </w:p>
    <w:p w:rsidR="00000000" w:rsidDel="00000000" w:rsidP="00000000" w:rsidRDefault="00000000" w:rsidRPr="00000000" w14:paraId="00000057">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Geldsetzer, P., 2020. Knowledge and perceptions of COVID-19 among the general public in the United States and the United Kingdom: a cross-sectional online survey. Annals of internal medicine, 173(2), pp.157-160.</w:t>
      </w:r>
    </w:p>
    <w:p w:rsidR="00000000" w:rsidDel="00000000" w:rsidP="00000000" w:rsidRDefault="00000000" w:rsidRPr="00000000" w14:paraId="00000058">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Green, E.C., Murphy, E.M. and Gryboski, K., 2020. The health belief model. The Wiley Encyclopaedia of Health Psychology, pp.211-214 </w:t>
      </w:r>
    </w:p>
    <w:p w:rsidR="00000000" w:rsidDel="00000000" w:rsidP="00000000" w:rsidRDefault="00000000" w:rsidRPr="00000000" w14:paraId="00000059">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Hargreaves, S., Kumar, B.N., McKee, M., Jones, L. and Veizis, A., 2020. Europe’s migrant containment policies threaten the response to covid-19. BMJ, 368.</w:t>
      </w:r>
    </w:p>
    <w:p w:rsidR="00000000" w:rsidDel="00000000" w:rsidP="00000000" w:rsidRDefault="00000000" w:rsidRPr="00000000" w14:paraId="0000005A">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Iacobucci, G., 2020. Covid-19: UK pledges to reintroduce contact tracing to fight virus. </w:t>
      </w:r>
    </w:p>
    <w:p w:rsidR="00000000" w:rsidDel="00000000" w:rsidP="00000000" w:rsidRDefault="00000000" w:rsidRPr="00000000" w14:paraId="0000005B">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Jowett, A., 2020. Carrying out qualitative research under lockdown-practical and ethical considerations. Impact of Social Sciences Blog.</w:t>
      </w:r>
    </w:p>
    <w:p w:rsidR="00000000" w:rsidDel="00000000" w:rsidP="00000000" w:rsidRDefault="00000000" w:rsidRPr="00000000" w14:paraId="0000005C">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Kooistra, E.B., Reinders Folmer, C., Kuiper, M.E., Olthuis, E., Brownlee, M., Fine, A. and Van Rooij, B., 2020. Mitigating covid-19 in a nationally representative uk sample: Personal abilities and obligation to obey the law shape compliance with mitigation measures. Amsterdam Law School Research Paper, (2020-19).</w:t>
      </w:r>
    </w:p>
    <w:p w:rsidR="00000000" w:rsidDel="00000000" w:rsidP="00000000" w:rsidRDefault="00000000" w:rsidRPr="00000000" w14:paraId="0000005D">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Krick, M.J.A. and Reese, M.T.R., 2021. Mandating the COVID-19 vaccine for US service members: An exploration of ethical arguments. Military medicine.</w:t>
      </w:r>
    </w:p>
    <w:p w:rsidR="00000000" w:rsidDel="00000000" w:rsidP="00000000" w:rsidRDefault="00000000" w:rsidRPr="00000000" w14:paraId="0000005E">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Lau, S.K., Luk, H.K., Wong, A.C., Li, K.S., Zhu, L., He, Z., Fung, J., Chan, T.T., Fung, K.S. and Woo, P.C., 2020. Possible bat origin of severe acute respiratory syndrome coronavirus 2. Emerging infectious diseases, 26(7), p.1542.</w:t>
      </w:r>
    </w:p>
    <w:p w:rsidR="00000000" w:rsidDel="00000000" w:rsidP="00000000" w:rsidRDefault="00000000" w:rsidRPr="00000000" w14:paraId="0000005F">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Migone, A.R., 2020. The influence of national policy characteristics on COVID-19 containment policies: A comparative analysis. Policy Design and Practice, 3(3), pp.259-276.</w:t>
      </w:r>
    </w:p>
    <w:p w:rsidR="00000000" w:rsidDel="00000000" w:rsidP="00000000" w:rsidRDefault="00000000" w:rsidRPr="00000000" w14:paraId="00000060">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Riley, W.T., Martin, C.A., Rivera, D.E., Hekler, E.B., Adams, M.A., Buman, M.P., Pavel, M. and King, A.C., 2016. Development of a dynamic computational model of social cognitive theory. Translational behavioral medicine, 6(4), pp.483-495. Watkins, J., 2020. Preventing a covid-19 pandemic. BMJ, 368.</w:t>
      </w:r>
    </w:p>
    <w:p w:rsidR="00000000" w:rsidDel="00000000" w:rsidP="00000000" w:rsidRDefault="00000000" w:rsidRPr="00000000" w14:paraId="00000061">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Shaw, S.C.K (2020). Hopelessness, helplessness and resilience: the importance of Safe guarding our trainee’s mental wellbeing during the COVID-19 Pandemic: Nursing Education Practice 2020: 44</w:t>
      </w:r>
    </w:p>
    <w:p w:rsidR="00000000" w:rsidDel="00000000" w:rsidP="00000000" w:rsidRDefault="00000000" w:rsidRPr="00000000" w14:paraId="00000062">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UK, G., 2020. Coronavirus (COVID-19) in the UK. </w:t>
      </w:r>
    </w:p>
    <w:p w:rsidR="00000000" w:rsidDel="00000000" w:rsidP="00000000" w:rsidRDefault="00000000" w:rsidRPr="00000000" w14:paraId="00000063">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Wang, E.A., Zenilman, J. and Brinkley-Rubinstein, L., 2020. Ethical considerations for COVID-19 vaccine trials in correctional facilities. Jama, 324(11), pp.1031-1032.</w:t>
      </w:r>
    </w:p>
    <w:p w:rsidR="00000000" w:rsidDel="00000000" w:rsidP="00000000" w:rsidRDefault="00000000" w:rsidRPr="00000000" w14:paraId="00000064">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5">
      <w:pPr>
        <w:tabs>
          <w:tab w:val="left" w:pos="6540"/>
        </w:tabs>
        <w:spacing w:line="360" w:lineRule="auto"/>
        <w:jc w:val="both"/>
        <w:rPr>
          <w:rFonts w:ascii="Arial" w:cs="Arial" w:eastAsia="Arial" w:hAnsi="Arial"/>
          <w:sz w:val="22"/>
          <w:szCs w:val="22"/>
        </w:rPr>
      </w:pPr>
      <w:r w:rsidDel="00000000" w:rsidR="00000000" w:rsidRPr="00000000">
        <w:rPr>
          <w:rtl w:val="0"/>
        </w:rPr>
      </w:r>
    </w:p>
    <w:sectPr>
      <w:footerReference r:id="rId8"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mbria"/>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Arial" w:cs="Arial" w:eastAsia="Arial" w:hAnsi="Arial"/>
      <w:b w:val="1"/>
      <w:sz w:val="32"/>
      <w:szCs w:val="32"/>
    </w:rPr>
  </w:style>
  <w:style w:type="paragraph" w:styleId="Heading2">
    <w:name w:val="heading 2"/>
    <w:basedOn w:val="Normal"/>
    <w:next w:val="Normal"/>
    <w:pPr>
      <w:keepNext w:val="1"/>
      <w:keepLines w:val="1"/>
      <w:spacing w:after="0" w:before="40" w:lineRule="auto"/>
    </w:pPr>
    <w:rPr>
      <w:rFonts w:ascii="Arial" w:cs="Arial" w:eastAsia="Arial" w:hAnsi="Arial"/>
      <w:b w:val="1"/>
      <w:i w:val="1"/>
      <w:color w:val="2f5496"/>
      <w:sz w:val="26"/>
      <w:szCs w:val="26"/>
    </w:rPr>
  </w:style>
  <w:style w:type="paragraph" w:styleId="Heading3">
    <w:name w:val="heading 3"/>
    <w:basedOn w:val="Normal"/>
    <w:next w:val="Normal"/>
    <w:pPr>
      <w:spacing w:line="240" w:lineRule="auto"/>
    </w:pPr>
    <w:rPr>
      <w:rFonts w:ascii="Arial" w:cs="Arial" w:eastAsia="Arial" w:hAnsi="Arial"/>
      <w:b w:val="1"/>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240" w:lineRule="auto"/>
    </w:pPr>
    <w:rPr>
      <w:rFonts w:ascii="Cambria" w:cs="Cambria" w:eastAsia="Cambria" w:hAnsi="Cambria"/>
      <w:sz w:val="56"/>
      <w:szCs w:val="56"/>
    </w:rPr>
  </w:style>
  <w:style w:type="paragraph" w:styleId="Normal" w:default="1">
    <w:name w:val="Normal"/>
    <w:qFormat w:val="1"/>
  </w:style>
  <w:style w:type="paragraph" w:styleId="Heading1">
    <w:name w:val="heading 1"/>
    <w:basedOn w:val="Normal"/>
    <w:next w:val="Normal"/>
    <w:link w:val="Heading1Char"/>
    <w:uiPriority w:val="9"/>
    <w:qFormat w:val="1"/>
    <w:pPr>
      <w:keepNext w:val="1"/>
      <w:keepLines w:val="1"/>
      <w:spacing w:after="0" w:before="240"/>
      <w:outlineLvl w:val="0"/>
    </w:pPr>
    <w:rPr>
      <w:rFonts w:ascii="Arial" w:eastAsia="SimSun" w:hAnsi="Arial"/>
      <w:b w:val="1"/>
      <w:sz w:val="32"/>
      <w:szCs w:val="32"/>
    </w:rPr>
  </w:style>
  <w:style w:type="paragraph" w:styleId="Heading2">
    <w:name w:val="heading 2"/>
    <w:basedOn w:val="Normal"/>
    <w:next w:val="Normal"/>
    <w:link w:val="Heading2Char"/>
    <w:uiPriority w:val="9"/>
    <w:qFormat w:val="1"/>
    <w:pPr>
      <w:keepNext w:val="1"/>
      <w:keepLines w:val="1"/>
      <w:spacing w:after="0" w:before="40"/>
      <w:outlineLvl w:val="1"/>
    </w:pPr>
    <w:rPr>
      <w:rFonts w:ascii="Arial" w:eastAsia="SimSun" w:hAnsi="Arial"/>
      <w:b w:val="1"/>
      <w:i w:val="1"/>
      <w:color w:val="2f5496"/>
      <w:sz w:val="26"/>
      <w:szCs w:val="26"/>
    </w:rPr>
  </w:style>
  <w:style w:type="paragraph" w:styleId="Heading3">
    <w:name w:val="heading 3"/>
    <w:basedOn w:val="Normal"/>
    <w:link w:val="Heading3Char"/>
    <w:uiPriority w:val="9"/>
    <w:qFormat w:val="1"/>
    <w:pPr>
      <w:spacing w:after="100" w:afterAutospacing="1" w:before="100" w:beforeAutospacing="1" w:line="240" w:lineRule="auto"/>
      <w:outlineLvl w:val="2"/>
    </w:pPr>
    <w:rPr>
      <w:rFonts w:ascii="Arial" w:cs="Times New Roman" w:eastAsia="Times New Roman" w:hAnsi="Arial"/>
      <w:b w:val="1"/>
      <w:bCs w:val="1"/>
      <w:szCs w:val="27"/>
      <w:lang w:eastAsia="en-GB"/>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Pr>
      <w:rFonts w:ascii="Arial" w:cs="SimSun" w:eastAsia="SimSun" w:hAnsi="Arial"/>
      <w:b w:val="1"/>
      <w:sz w:val="32"/>
      <w:szCs w:val="32"/>
    </w:rPr>
  </w:style>
  <w:style w:type="character" w:styleId="Heading2Char" w:customStyle="1">
    <w:name w:val="Heading 2 Char"/>
    <w:basedOn w:val="DefaultParagraphFont"/>
    <w:link w:val="Heading2"/>
    <w:uiPriority w:val="9"/>
    <w:rPr>
      <w:rFonts w:ascii="Arial" w:cs="SimSun" w:eastAsia="SimSun" w:hAnsi="Arial"/>
      <w:b w:val="1"/>
      <w:i w:val="1"/>
      <w:color w:val="2f5496"/>
      <w:sz w:val="26"/>
      <w:szCs w:val="26"/>
    </w:rPr>
  </w:style>
  <w:style w:type="character" w:styleId="Heading3Char" w:customStyle="1">
    <w:name w:val="Heading 3 Char"/>
    <w:basedOn w:val="DefaultParagraphFont"/>
    <w:link w:val="Heading3"/>
    <w:uiPriority w:val="9"/>
    <w:rPr>
      <w:rFonts w:ascii="Arial" w:cs="Times New Roman" w:eastAsia="Times New Roman" w:hAnsi="Arial"/>
      <w:b w:val="1"/>
      <w:bCs w:val="1"/>
      <w:szCs w:val="27"/>
      <w:lang w:eastAsia="en-GB"/>
    </w:rPr>
  </w:style>
  <w:style w:type="paragraph" w:styleId="Header">
    <w:name w:val="header"/>
    <w:basedOn w:val="Normal"/>
    <w:link w:val="HeaderChar"/>
    <w:uiPriority w:val="99"/>
    <w:pPr>
      <w:tabs>
        <w:tab w:val="center" w:pos="4513"/>
        <w:tab w:val="right" w:pos="9026"/>
      </w:tabs>
      <w:spacing w:after="0" w:line="240" w:lineRule="auto"/>
    </w:pPr>
  </w:style>
  <w:style w:type="character" w:styleId="HeaderChar" w:customStyle="1">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after="0" w:line="240" w:lineRule="auto"/>
    </w:pPr>
  </w:style>
  <w:style w:type="character" w:styleId="FooterChar" w:customStyle="1">
    <w:name w:val="Footer Char"/>
    <w:basedOn w:val="DefaultParagraphFont"/>
    <w:link w:val="Footer"/>
    <w:uiPriority w:val="99"/>
  </w:style>
  <w:style w:type="paragraph" w:styleId="Default" w:customStyle="1">
    <w:name w:val="Default"/>
    <w:pPr>
      <w:autoSpaceDE w:val="0"/>
      <w:autoSpaceDN w:val="0"/>
      <w:adjustRightInd w:val="0"/>
      <w:spacing w:after="0" w:line="240" w:lineRule="auto"/>
    </w:pPr>
    <w:rPr>
      <w:rFonts w:ascii="Arial" w:cs="Arial" w:hAnsi="Arial"/>
      <w:color w:val="000000"/>
      <w:szCs w:val="24"/>
    </w:rPr>
  </w:style>
  <w:style w:type="paragraph" w:styleId="Title">
    <w:name w:val="Title"/>
    <w:basedOn w:val="Normal"/>
    <w:next w:val="Normal"/>
    <w:link w:val="TitleChar"/>
    <w:uiPriority w:val="10"/>
    <w:qFormat w:val="1"/>
    <w:rsid w:val="00040A6A"/>
    <w:pPr>
      <w:spacing w:after="0" w:line="240" w:lineRule="auto"/>
      <w:contextualSpacing w:val="1"/>
    </w:pPr>
    <w:rPr>
      <w:rFonts w:asciiTheme="majorHAnsi" w:cstheme="majorBidi" w:eastAsiaTheme="majorEastAsia" w:hAnsiTheme="majorHAnsi"/>
      <w:spacing w:val="-10"/>
      <w:kern w:val="28"/>
      <w:sz w:val="56"/>
      <w:szCs w:val="56"/>
    </w:rPr>
  </w:style>
  <w:style w:type="character" w:styleId="TitleChar" w:customStyle="1">
    <w:name w:val="Title Char"/>
    <w:basedOn w:val="DefaultParagraphFont"/>
    <w:link w:val="Title"/>
    <w:uiPriority w:val="10"/>
    <w:rsid w:val="00040A6A"/>
    <w:rPr>
      <w:rFonts w:asciiTheme="majorHAnsi" w:cstheme="majorBidi" w:eastAsiaTheme="majorEastAsia" w:hAnsiTheme="majorHAnsi"/>
      <w:spacing w:val="-10"/>
      <w:kern w:val="28"/>
      <w:sz w:val="56"/>
      <w:szCs w:val="56"/>
    </w:rPr>
  </w:style>
  <w:style w:type="paragraph" w:styleId="TOCHeading">
    <w:name w:val="TOC Heading"/>
    <w:basedOn w:val="Heading1"/>
    <w:next w:val="Normal"/>
    <w:uiPriority w:val="39"/>
    <w:unhideWhenUsed w:val="1"/>
    <w:qFormat w:val="1"/>
    <w:rsid w:val="00040A6A"/>
    <w:pPr>
      <w:outlineLvl w:val="9"/>
    </w:pPr>
    <w:rPr>
      <w:rFonts w:asciiTheme="majorHAnsi" w:cstheme="majorBidi" w:eastAsiaTheme="majorEastAsia" w:hAnsiTheme="majorHAnsi"/>
      <w:b w:val="0"/>
      <w:color w:val="365f91" w:themeColor="accent1" w:themeShade="0000BF"/>
      <w:lang w:val="en-US"/>
    </w:rPr>
  </w:style>
  <w:style w:type="paragraph" w:styleId="TOC1">
    <w:name w:val="toc 1"/>
    <w:basedOn w:val="Normal"/>
    <w:next w:val="Normal"/>
    <w:autoRedefine w:val="1"/>
    <w:uiPriority w:val="39"/>
    <w:unhideWhenUsed w:val="1"/>
    <w:rsid w:val="00040A6A"/>
    <w:pPr>
      <w:spacing w:after="100"/>
    </w:pPr>
  </w:style>
  <w:style w:type="paragraph" w:styleId="TOC2">
    <w:name w:val="toc 2"/>
    <w:basedOn w:val="Normal"/>
    <w:next w:val="Normal"/>
    <w:autoRedefine w:val="1"/>
    <w:uiPriority w:val="39"/>
    <w:unhideWhenUsed w:val="1"/>
    <w:rsid w:val="00040A6A"/>
    <w:pPr>
      <w:spacing w:after="100"/>
      <w:ind w:left="240"/>
    </w:pPr>
  </w:style>
  <w:style w:type="character" w:styleId="Hyperlink">
    <w:name w:val="Hyperlink"/>
    <w:basedOn w:val="DefaultParagraphFont"/>
    <w:uiPriority w:val="99"/>
    <w:unhideWhenUsed w:val="1"/>
    <w:rsid w:val="00040A6A"/>
    <w:rPr>
      <w:color w:val="0000ff" w:themeColor="hyperlink"/>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jGAzoZ5mjgtO8jSrWD5zr0XoYeQ==">AMUW2mX8DPuqhZHmr+CoNeAAie8eBX/jVsWQ53MdqIrJkUiWhAYnkvOYLty1YzjO6WPAQ494/efILr9c2JBH/Y3uYrNzjflTYNQMEs3w2RxD1si2Mkgp06EGR98dygndJz+LDHj0091qWoOrWduc4xN5qRucjkEV2eYAY8sOkjqxOloz6w97aaTIHRUWhCHRz0XEWz+y5Bv9bOL4V27S5E2x3+mRO9tGJElUF6AL69gyBweQCW5gFj9UFNmln6X+11KKnfmO/g9CbPpCCQB3BCoqR8mgpTFgkCAmgFgRA+dU+HFTBBiKf4azWTwW6UwbFCZ32Zd4K+z+</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2021-12-15T15:51:00Z</dcterms:created>
  <dc:creator>Eleni Koutsogeorgou</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a728c56b088949cab2189267a92cec9a</vt:lpwstr>
  </property>
</Properties>
</file>