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0A04C7D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F203A">
              <w:rPr>
                <w:rFonts w:ascii="Times New Roman" w:hAnsi="Times New Roman" w:cs="Times New Roman"/>
                <w:b/>
                <w:color w:val="auto"/>
                <w:sz w:val="48"/>
              </w:rPr>
              <w:t>Adam Finn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AA5B4B5"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5F203A">
              <w:rPr>
                <w:rFonts w:ascii="Times New Roman" w:hAnsi="Times New Roman" w:cs="Times New Roman"/>
                <w:b/>
                <w:color w:val="auto"/>
                <w:sz w:val="48"/>
              </w:rPr>
              <w:t xml:space="preserve"> Finnly99@me.com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1AF4F29" w14:textId="004DB9CE" w:rsidR="005F203A" w:rsidRPr="005D3F07" w:rsidRDefault="005F203A"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2329653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6E7609FC" w14:textId="77777777" w:rsidR="00435006" w:rsidRPr="00435006" w:rsidRDefault="00435006" w:rsidP="00435006">
            <w:pPr>
              <w:spacing w:line="360" w:lineRule="auto"/>
              <w:rPr>
                <w:sz w:val="24"/>
                <w:szCs w:val="24"/>
              </w:rPr>
            </w:pPr>
            <w:r w:rsidRPr="00435006">
              <w:rPr>
                <w:sz w:val="24"/>
                <w:szCs w:val="24"/>
              </w:rPr>
              <w:t xml:space="preserve">Within this critical reflection I will consider my experience and practice while undertaking an assessment within an adult disability team. I will reflect on the theories, models and communication methods I employed during this assessment, whilst also demonstrating my knowledge of legislation, policies and procedures related to safeguarding. To structure my report to ensure I maintain a continuous level of critical reflection I will be using Borton’s Model of Reflection (1970). This model will enable me to separate my experiences into three key categories ‘What’, ‘So What’ and ‘What Now’. </w:t>
            </w:r>
          </w:p>
          <w:p w14:paraId="4169EA1B" w14:textId="77777777" w:rsidR="00435006" w:rsidRPr="00435006" w:rsidRDefault="00435006" w:rsidP="00435006">
            <w:pPr>
              <w:spacing w:line="360" w:lineRule="auto"/>
              <w:rPr>
                <w:sz w:val="24"/>
                <w:szCs w:val="24"/>
              </w:rPr>
            </w:pPr>
            <w:r w:rsidRPr="00435006">
              <w:rPr>
                <w:sz w:val="24"/>
                <w:szCs w:val="24"/>
              </w:rPr>
              <w:t xml:space="preserve">The gentleman at the focus of this critical reflection, referred to throughout as ‘4’, is 55 years old with a diagnosis of paranoid schizophrenia and a mild intellectual disability. 4 has good verbal communication, however, does not have many community links or an informal support network. 4 lived in a retirement complex with staff available sporadically throughout the week, within a town situated in a rural area. 4 has been known to social care and local community mental health teams throughout his life, due to adverse childhood experiences and previous admissions into hospital under section 3 of the Mental Health Act (1983).  </w:t>
            </w:r>
            <w:r w:rsidRPr="00435006">
              <w:rPr>
                <w:sz w:val="24"/>
                <w:szCs w:val="24"/>
              </w:rPr>
              <w:lastRenderedPageBreak/>
              <w:t xml:space="preserve">Since 4’s first admission into hospital, it raised considerable doubt over his capacity to manage his finances due to reoccurring incidences of neglect and abuse. This led to an assessment of his mental capacity to manage his finances and property affairs under the Mental Capacity Act (2005), which outlined that 4 lacked the mental capacity to manage overarching decisions related to his finances. Consequently, in order to safeguard him from financial abuse, the Court of Protection granted a Deputyship Order for the local authority to manage his finances on his behalf. </w:t>
            </w:r>
          </w:p>
          <w:p w14:paraId="1746D478" w14:textId="77777777" w:rsidR="00435006" w:rsidRPr="00435006" w:rsidRDefault="00435006" w:rsidP="00435006">
            <w:pPr>
              <w:spacing w:line="360" w:lineRule="auto"/>
              <w:rPr>
                <w:sz w:val="24"/>
                <w:szCs w:val="24"/>
              </w:rPr>
            </w:pPr>
            <w:r w:rsidRPr="00435006">
              <w:rPr>
                <w:sz w:val="24"/>
                <w:szCs w:val="24"/>
              </w:rPr>
              <w:t xml:space="preserve">Difficulties began to rise for 4 following his separation from his partner. Initial reports were raised by staff at the accommodation that people were regularly coming and going from 4’s flat, staff had conversations with 4 regarding this but he dismissed any concerns and suggested that he had been making more friends since his separation. Staff reminded 4 of his obligations to his tenancy agreement and being respectful towards other residents, as well as raising concerns about what they have witnessed to myself as 4’s social worker. </w:t>
            </w:r>
          </w:p>
          <w:p w14:paraId="1351BE16" w14:textId="77777777" w:rsidR="00435006" w:rsidRPr="00435006" w:rsidRDefault="00435006" w:rsidP="00435006">
            <w:pPr>
              <w:spacing w:line="360" w:lineRule="auto"/>
              <w:rPr>
                <w:sz w:val="24"/>
                <w:szCs w:val="24"/>
              </w:rPr>
            </w:pPr>
            <w:r w:rsidRPr="00435006">
              <w:rPr>
                <w:sz w:val="24"/>
                <w:szCs w:val="24"/>
              </w:rPr>
              <w:t xml:space="preserve">From my initial interaction with 4 there were signs that he was neglecting himself regarding his personal care. It was noticeable that 4 hadn’t washed and looked underweight. However, more concerning to me was that I had noticed he had items missing, including his kettle, toaster and a few other smaller items. When I raised these issues with 4, he did not accept that he had lost weight and suggested that he was showering regularly. Furthermore, 4 explained the missing items by reporting that he had sold them to his friends but could not remember the amount he sold them for or other details such as when they were sold and who to, when I explored this further with him, which may have likely been a means to shut the conversation down. Being open and honest with 4, I outlined my concerns with what I felt was signs of financial abuse and exploitation and asked for his consent to make a referral to the local authorities safeguarding team. Although 4 was dismissive of my concerns, I was able to help him understand the benefits of the referral which included him having access to a wider support network and help him meet his needs and outcomes in a healthier way, leading to him granting me consent for the referral.  </w:t>
            </w:r>
          </w:p>
          <w:p w14:paraId="41F61833" w14:textId="77777777" w:rsidR="00435006" w:rsidRPr="00435006" w:rsidRDefault="00435006" w:rsidP="00435006">
            <w:pPr>
              <w:spacing w:line="360" w:lineRule="auto"/>
              <w:rPr>
                <w:sz w:val="24"/>
                <w:szCs w:val="24"/>
              </w:rPr>
            </w:pPr>
            <w:r w:rsidRPr="00435006">
              <w:rPr>
                <w:sz w:val="24"/>
                <w:szCs w:val="24"/>
              </w:rPr>
              <w:t xml:space="preserve">Before submitting a Multi-Agency Referral Form (MARF) I discussed 4’s financial situation with his deputy and familiarised myself with my Local Safeguarding Boards Threshold Guidance. This enabled me to fully consider the three aspects that define an adult at risk, ensuring that I complete a detailed and salient referral. Within the Social Services and </w:t>
            </w:r>
            <w:r w:rsidRPr="00435006">
              <w:rPr>
                <w:sz w:val="24"/>
                <w:szCs w:val="24"/>
              </w:rPr>
              <w:lastRenderedPageBreak/>
              <w:t xml:space="preserve">Wellbeing Act (Wales) 2014, part 7 outlines my duty as a social worker for the local authority, to consider whether 4 is an adult at risk of or currently experiencing harm or abuse. The SSWBA defines an adult at risk as, (1) is experiencing or is at risk of abuse or neglect, (2) has needs for care and support (whether or not the authority is meeting any of those needs), and (3) as a result of those needs is unable to protect himself or herself against the abuse or neglect or the risk of it. Within the SSWBA early intervention is a core principle to prevent the onset of abuse or neglect, the decision to act does not require actual abuse. </w:t>
            </w:r>
          </w:p>
          <w:p w14:paraId="190B3DF0" w14:textId="77777777" w:rsidR="00435006" w:rsidRPr="00435006" w:rsidRDefault="00435006" w:rsidP="00435006">
            <w:pPr>
              <w:spacing w:line="360" w:lineRule="auto"/>
              <w:rPr>
                <w:sz w:val="24"/>
                <w:szCs w:val="24"/>
              </w:rPr>
            </w:pPr>
            <w:r w:rsidRPr="00435006">
              <w:rPr>
                <w:sz w:val="24"/>
                <w:szCs w:val="24"/>
              </w:rPr>
              <w:t xml:space="preserve">The main aim is to work collaboratively with an individual, like 4, to recognise the risks in front of them and the strengths they have to mitigate these risks. My conclusion following my discussion and research was that 4 was an adult at risk, as he was potentially experiencing abuse in the form of being financially exploited and there were signs that he was neglecting himself. I considered that he did have needs for care and support in relation to his poor independence skills being exposed which may have previously been masked while living with his partner. Finally, due to 4’s diagnosis of an intellectual disability and paranoid schizophrenia, this made him vulnerable to exploitation from others </w:t>
            </w:r>
          </w:p>
          <w:p w14:paraId="5F53D8C2" w14:textId="77777777" w:rsidR="00435006" w:rsidRPr="00435006" w:rsidRDefault="00435006" w:rsidP="00435006">
            <w:pPr>
              <w:spacing w:line="360" w:lineRule="auto"/>
              <w:rPr>
                <w:sz w:val="24"/>
                <w:szCs w:val="24"/>
              </w:rPr>
            </w:pPr>
            <w:r w:rsidRPr="00435006">
              <w:rPr>
                <w:sz w:val="24"/>
                <w:szCs w:val="24"/>
              </w:rPr>
              <w:t xml:space="preserve">The safeguarding team agreed with my analysis of the situation and felt that 4 was an adult at risk. Therefore, as outlined in section 126 of the SSWBA (2014), where a local authority has reasonable cause to suspect that a person within its area (whether or not ordinarily resident there) is an adult at risk, it must; (1) make whatever enquiries it thinks necessary to enable it to decide whether any action should be taken (whether under this Act or otherwise) and, if so, what and by whom, and (2) decide whether any such action should be taken. It was also decided that within the enquiry process I would be lead practitioner and the designated lead co-ordinator (DLC) being my team manager. My role within this enquiry as the lead practitioner was to actively engage 4 within the safeguarding process, maintaining regular catch ups with him, ensuring that he understands decisions being made, and being the link between 4 and the multi-disciplinary team that made up the strategy group (s35, SSWBA, 2014). </w:t>
            </w:r>
          </w:p>
          <w:p w14:paraId="2EAF69A3" w14:textId="77777777" w:rsidR="00435006" w:rsidRPr="00435006" w:rsidRDefault="00435006" w:rsidP="00435006">
            <w:pPr>
              <w:spacing w:line="360" w:lineRule="auto"/>
              <w:rPr>
                <w:sz w:val="24"/>
                <w:szCs w:val="24"/>
              </w:rPr>
            </w:pPr>
            <w:r w:rsidRPr="00435006">
              <w:rPr>
                <w:sz w:val="24"/>
                <w:szCs w:val="24"/>
              </w:rPr>
              <w:t xml:space="preserve">Within the first strategy meeting, which was attended by myself, the designated lead coordinator, 4’s advocate and the manager of the local authorities safeguarding team. It was deemed not suitable for 4 to attend this initial meeting due to the potential confronting </w:t>
            </w:r>
            <w:r w:rsidRPr="00435006">
              <w:rPr>
                <w:sz w:val="24"/>
                <w:szCs w:val="24"/>
              </w:rPr>
              <w:lastRenderedPageBreak/>
              <w:t xml:space="preserve">information that was to be discussed. We initially outlined the main risks and considered if 4 was at immediate risk, as well as establishing how the enquiry should proceed and the roles each member of the group has to achieve the objectives ensuring 4’s safety and collecting more information to better understand 4’s needs and what his life looks like currently. My initial role was to collect all the information I could related to the ongoing situation 4 is in. This includes interviewing 4 to understand his first-hand experience of what he feels is happening to him, his outcomes, his needs and to gain a greater knowledge of his mental capacity in relation to his finances and his insight into social relationships. </w:t>
            </w:r>
          </w:p>
          <w:p w14:paraId="1A745FEB" w14:textId="77777777" w:rsidR="00435006" w:rsidRPr="00435006" w:rsidRDefault="00435006" w:rsidP="00435006">
            <w:pPr>
              <w:spacing w:line="360" w:lineRule="auto"/>
              <w:rPr>
                <w:sz w:val="24"/>
                <w:szCs w:val="24"/>
              </w:rPr>
            </w:pPr>
            <w:r w:rsidRPr="00435006">
              <w:rPr>
                <w:sz w:val="24"/>
                <w:szCs w:val="24"/>
              </w:rPr>
              <w:t xml:space="preserve">Leaning on knowledge and skills I had developed from previous safeguarding training, I chose to utilise the PEACE model of interviewing, an acronym based on the five components of the model, Planning and Preparation, Engage and Explain, Account, Closure and Evaluation. For the planning and preparation stage of the model, my first job was to establish what I felt were the salient pieces of information that I wanted to gather from the interview. In relation to this, I wanted to discover his thoughts on the new friendships he has sought out since his separation, and how he is feeling since transitioning to his new property and living independently. However, I also had to keep in mind that I respected 4’s right to privacy, by ensuring that the information I gathered was proportionate and appropriate for the purpose of the safeguarding enquiry, in line with article 8 of the human rights act (1998) and the Wales Safeguarding Procedures (WSP). </w:t>
            </w:r>
            <w:r w:rsidRPr="00435006">
              <w:rPr>
                <w:rStyle w:val="CommentReference"/>
                <w:sz w:val="28"/>
                <w:szCs w:val="28"/>
              </w:rPr>
              <w:t>T</w:t>
            </w:r>
            <w:r w:rsidRPr="00435006">
              <w:rPr>
                <w:sz w:val="24"/>
                <w:szCs w:val="24"/>
              </w:rPr>
              <w:t xml:space="preserve">his raised an ethical dilemma for me, as the very nature of my intervention invaded on multiple of 4’s human rights. I reflected on my professional ethics and values in the context of 4’s situation, the classical liberalistic approach where the correct action is one that creates freedom from constraint or barriers while preventing harm, seemed to reinforce the contradiction of duty of care versus promoting autonomy. In this aspect, the more autonomous positive liberalistic approach that seeks to maximise positive freedom and choice would uphold 4’s human rights but also may cause greater harm due to the current risk of exploitation (BASW, 2019). However, the balance I kept in my mind throughout the process was the thought that when risks are considered without the consideration of rights, decisions being made are often risk adverse and overly restrictive. </w:t>
            </w:r>
          </w:p>
          <w:p w14:paraId="7D907BB5" w14:textId="77777777" w:rsidR="00435006" w:rsidRPr="00435006" w:rsidRDefault="00435006" w:rsidP="00435006">
            <w:pPr>
              <w:spacing w:line="360" w:lineRule="auto"/>
              <w:rPr>
                <w:sz w:val="24"/>
                <w:szCs w:val="24"/>
              </w:rPr>
            </w:pPr>
            <w:r w:rsidRPr="00435006">
              <w:rPr>
                <w:sz w:val="24"/>
                <w:szCs w:val="24"/>
              </w:rPr>
              <w:t xml:space="preserve">Due to the nature of the risks presented and 4’s historic lack of capacity in relation to the management of his finances, I needed to consider his capacity to ensure I work within the </w:t>
            </w:r>
            <w:r w:rsidRPr="00435006">
              <w:rPr>
                <w:sz w:val="24"/>
                <w:szCs w:val="24"/>
              </w:rPr>
              <w:lastRenderedPageBreak/>
              <w:t>core principles of the mental capacity act (2005). The act dictates that all assessments of capacity should be both time and decision specific, therefore I was unable to rely on previous assessments and felt there was enough doubt to supersede the assumption of his capacity and review his financial capacity in relation the personal allowance he receives each week. As 4 has the right to make unwise decisions, it was important that I clarified</w:t>
            </w:r>
            <w:r w:rsidRPr="00435006">
              <w:rPr>
                <w:rStyle w:val="CommentReference"/>
                <w:sz w:val="20"/>
                <w:szCs w:val="20"/>
              </w:rPr>
              <w:t xml:space="preserve"> </w:t>
            </w:r>
            <w:r w:rsidRPr="00435006">
              <w:rPr>
                <w:rStyle w:val="CommentReference"/>
                <w:sz w:val="28"/>
                <w:szCs w:val="28"/>
              </w:rPr>
              <w:t>i</w:t>
            </w:r>
            <w:r w:rsidRPr="00435006">
              <w:rPr>
                <w:sz w:val="24"/>
                <w:szCs w:val="24"/>
              </w:rPr>
              <w:t xml:space="preserve">f 4 understood the consequences of his actions and accepted the risk of if he was unable to understand and weigh up all the information to make an informed decision due to an impairment to the functioning of his mind or brain (MCA, 2005).  Having known 4 for some time I did not doubt his capacity to engage within the interview and offered him advocacy to support him with the process, 4 declined this opportunity. I did, however, request that 4’s deputy be present as someone who has worked with him for longer than any other practitioner and has a good working relationship with him, 4 agreed to this. </w:t>
            </w:r>
          </w:p>
          <w:p w14:paraId="2AE6B795" w14:textId="77777777" w:rsidR="00435006" w:rsidRPr="00435006" w:rsidRDefault="00435006" w:rsidP="00435006">
            <w:pPr>
              <w:spacing w:line="360" w:lineRule="auto"/>
              <w:rPr>
                <w:sz w:val="24"/>
                <w:szCs w:val="24"/>
              </w:rPr>
            </w:pPr>
            <w:r w:rsidRPr="00435006">
              <w:rPr>
                <w:sz w:val="24"/>
                <w:szCs w:val="24"/>
              </w:rPr>
              <w:t xml:space="preserve">Now that I had planned the purpose of the interview and the people involved, I focussed on my own approach to gathering the information. Within the SSWBA and the Wales Safeguarding Procedures, there is a strong ethos of person-centred care. Prior to the interview, I worked with 4 to ensure that I was open and honest about the purpose of the meeting, including my concerns, discussions had by the strategy group and the information I wanted to find out, including exploring his mental capacity around the financial decisions he has been making. I found this helped to reduce 4’s anxiety in the lead up to this meeting as he wasn’t surprised with the conversations that were going to happen. Additionally, I wanted 4 to have as much control of the meeting as possible, we worked together to choose the most appropriate venue, time and people present. Furthermore, working as a social worker in Wales I have a responsibility to consider 4’s preferred language, culture and beliefs under the policies related to the ‘Active Offer’ outlined with the ‘More than just words’ incentive underpinned by the SSWBA. By 4 choosing to have the meeting in his flat I hoped it would give him greater confidence resulting in more active engagement. I also felt that having the meeting in the area where potential abuse was occurring enabled me to refer to objects that were missing or support available to him, to better communicate my concerns. </w:t>
            </w:r>
          </w:p>
          <w:p w14:paraId="701D8719" w14:textId="77777777" w:rsidR="00435006" w:rsidRPr="00435006" w:rsidRDefault="00435006" w:rsidP="00435006">
            <w:pPr>
              <w:spacing w:line="360" w:lineRule="auto"/>
              <w:rPr>
                <w:sz w:val="24"/>
                <w:szCs w:val="24"/>
              </w:rPr>
            </w:pPr>
            <w:r w:rsidRPr="00435006">
              <w:rPr>
                <w:sz w:val="24"/>
                <w:szCs w:val="24"/>
              </w:rPr>
              <w:t xml:space="preserve">Prior to the interview I also considered the environmental and social context that 4 is in. A rural Welsh village may have been contributing to 4’s isolation and deprivation but may also offer solutions to meet his outcomes. Geographically, economically and demographically are </w:t>
            </w:r>
            <w:r w:rsidRPr="00435006">
              <w:rPr>
                <w:sz w:val="24"/>
                <w:szCs w:val="24"/>
              </w:rPr>
              <w:lastRenderedPageBreak/>
              <w:t xml:space="preserve">all precipitating barriers which may prevent 4 from thriving and engaging in meaningful activities. The geography of where 4 lives is very rural, an isolated market town that is situated in a remote part of Wales many miles from opportunities to explore a variety of social activities and engagement in personal interests. This remoteness is further compounded by the lack of consistent transport links between cities or larger towns and these rural communities. From an economical perspective, agricultural is the leading industry, a field where the demand for hard physical work is high and not accessible for all. The economic status of where 4 lives limit his access to job opportunities, voluntary organisations and other public services including education and digital investment (Norris, 2020). This is only further compounded by the ageing demographic of the area, which often leads to smaller investment and centralised funding due to the decreased availability of work force (Wentworth, 2024). </w:t>
            </w:r>
          </w:p>
          <w:p w14:paraId="37D4BE39" w14:textId="77777777" w:rsidR="00435006" w:rsidRPr="00435006" w:rsidRDefault="00435006" w:rsidP="00435006">
            <w:pPr>
              <w:spacing w:line="360" w:lineRule="auto"/>
              <w:rPr>
                <w:sz w:val="24"/>
                <w:szCs w:val="24"/>
              </w:rPr>
            </w:pPr>
            <w:r w:rsidRPr="00435006">
              <w:rPr>
                <w:sz w:val="24"/>
                <w:szCs w:val="24"/>
              </w:rPr>
              <w:t xml:space="preserve">Carrying out the interview itself leads me into both the engagement stage of the PEACE model and the ‘So What’ reflective stage of Borton’s model. As I already knew 4 well and had developed this rapport from previous work, I focussed on reducing any anxiety he may have to establish free flowing engagement from the onset. Utilising research gathered by Ruch, et. Al (2018), I refrained from offering 4 the legal footing of my intervention or the concerns I have at the start of our conversation, I found it more beneficial to keep the conversation about him, his likes, what he has been busy with or how he was using any free time. Ruch et. Al, argues that facilitating engagement within the social work process centres around the first impression the individual receives. I felt starting with an objectively negative outlook on his situation would have created tension and put 4 in a defensive position which would have been very difficult to redeem to get the detailed information I needed. Although, reflecting on the situation, my reluctance in outlining my concerns at the beginning may have come from my own anxiety in feeling the pressure of leading a safeguarding enquiry, and having empathy for 4 considering what he has recently been through. </w:t>
            </w:r>
          </w:p>
          <w:p w14:paraId="77925929" w14:textId="77777777" w:rsidR="00435006" w:rsidRPr="00435006" w:rsidRDefault="00435006" w:rsidP="00435006">
            <w:pPr>
              <w:spacing w:line="360" w:lineRule="auto"/>
              <w:rPr>
                <w:sz w:val="24"/>
                <w:szCs w:val="24"/>
              </w:rPr>
            </w:pPr>
            <w:r w:rsidRPr="00435006">
              <w:rPr>
                <w:sz w:val="24"/>
                <w:szCs w:val="24"/>
              </w:rPr>
              <w:t xml:space="preserve">Whereas the engagement stage of the model prepared 4 for the interview, it was within the Account phase of the model where the primary information was gathered. As the SSWBA and the Wales Safeguarding Procedures advocated highly for a person-centred approach, I felt the communication theory of motivational interviewing was a good fit. This theory also lent itself to 4 due to its ability to empower individuals to recognise their own strengths and </w:t>
            </w:r>
            <w:r w:rsidRPr="00435006">
              <w:rPr>
                <w:sz w:val="24"/>
                <w:szCs w:val="24"/>
              </w:rPr>
              <w:lastRenderedPageBreak/>
              <w:t xml:space="preserve">create an open opportunity for 4 to express himself without fear of judgement. The identification of strengths is a core component of the Strengths Based approach, this theory centres around the ability for individuals to recognise the issues they face and set outcomes to resolve these by utilising their strengths (Caiels </w:t>
            </w:r>
            <w:r w:rsidRPr="00435006">
              <w:rPr>
                <w:i/>
                <w:iCs/>
                <w:sz w:val="24"/>
                <w:szCs w:val="24"/>
              </w:rPr>
              <w:t>et al.</w:t>
            </w:r>
            <w:r w:rsidRPr="00435006">
              <w:rPr>
                <w:sz w:val="24"/>
                <w:szCs w:val="24"/>
              </w:rPr>
              <w:t xml:space="preserve"> 2024). The theory relies on effective communication to facilitate the identification of strengths and focuses on OARS, the term first coined by Milner &amp; Rolnick in the 1980s and adapted by Teater (2014), comprised of Open-ended questions, Affirmations, Reflections and Summarisation, I found it to be an excellent way of keeping out of 4’s way and allowing him to share his story. </w:t>
            </w:r>
          </w:p>
          <w:p w14:paraId="44736C89" w14:textId="77777777" w:rsidR="00435006" w:rsidRPr="00435006" w:rsidRDefault="00435006" w:rsidP="00435006">
            <w:pPr>
              <w:spacing w:line="360" w:lineRule="auto"/>
              <w:rPr>
                <w:sz w:val="24"/>
                <w:szCs w:val="24"/>
              </w:rPr>
            </w:pPr>
            <w:r w:rsidRPr="00435006">
              <w:rPr>
                <w:sz w:val="24"/>
                <w:szCs w:val="24"/>
              </w:rPr>
              <w:t xml:space="preserve">The use of open-ended questions proved to be an excellent way to encourage 4 to be detailed in his responses and share information from his perception. Including how he saw the people around him, and what was important to him. Greeno </w:t>
            </w:r>
            <w:r w:rsidRPr="00435006">
              <w:rPr>
                <w:i/>
                <w:iCs/>
                <w:sz w:val="24"/>
                <w:szCs w:val="24"/>
              </w:rPr>
              <w:t xml:space="preserve">et al. </w:t>
            </w:r>
            <w:r w:rsidRPr="00435006">
              <w:rPr>
                <w:sz w:val="24"/>
                <w:szCs w:val="24"/>
              </w:rPr>
              <w:t xml:space="preserve">(2017) outlines the importance of control and patience during communication, using the tool of silence as a prompt for more information to be shared. I also found this pattern of questioning kept 4 focussed and engaged, by refraining from filling in periods of silence it seemed to encourage 4 to fill the silences with more detail, prompting him to consider his interpretation of the situation he was in. While the use of strategic silences was effective, affirmations proved to be the means that sustained 4’s confidence in sharing and recognising the abuse he was subject to. By raising 4’s awareness to the strengths offering him examples such as his ability to share his experiences and managing the isolation he had felt, it seemed to instil a greater level of trust in the safeguarding process. 4 commented that when I first explained the process, he felt he was in some form of trouble, however, during the interview he felt more at ease as he understood we were there to support him. </w:t>
            </w:r>
          </w:p>
          <w:p w14:paraId="1B179A50" w14:textId="77777777" w:rsidR="00435006" w:rsidRPr="00435006" w:rsidRDefault="00435006" w:rsidP="00435006">
            <w:pPr>
              <w:spacing w:line="360" w:lineRule="auto"/>
              <w:rPr>
                <w:sz w:val="24"/>
                <w:szCs w:val="24"/>
              </w:rPr>
            </w:pPr>
            <w:r w:rsidRPr="00435006">
              <w:rPr>
                <w:sz w:val="24"/>
                <w:szCs w:val="24"/>
              </w:rPr>
              <w:t xml:space="preserve">Schwalbe er. Al (2014) argues that reflection is the most important stage of the motivational interviewing practice. Effective reflection can illicit continued thinking and elaboration of information being provided by 4. This stage in many ways gave me the greatest difficulty, as my reflections proved to be more opposing to 4 than my aim of being aligned with 4’s interpretation. I found the inconsistency of what 4 considered to be the problem and whether he believed he was being abused, difficult in forming an accurate reflection to offer 4. Although this didn’t damage the rapport I had developed with 4, it may have caused him to become more defensive. However, Magil et. Al (2014), explains the purpose of reflection is not to get the right answer immediately, but rather to show empathy and show attempts to </w:t>
            </w:r>
            <w:r w:rsidRPr="00435006">
              <w:rPr>
                <w:sz w:val="24"/>
                <w:szCs w:val="24"/>
              </w:rPr>
              <w:lastRenderedPageBreak/>
              <w:t xml:space="preserve">find that shared thinking. As the reflection was not aligned, it enabled 4 to further explain his perceptions to create a more cohesive understanding. </w:t>
            </w:r>
          </w:p>
          <w:p w14:paraId="7387C108" w14:textId="77777777" w:rsidR="00435006" w:rsidRPr="00435006" w:rsidRDefault="00435006" w:rsidP="00435006">
            <w:pPr>
              <w:spacing w:line="360" w:lineRule="auto"/>
              <w:rPr>
                <w:sz w:val="24"/>
                <w:szCs w:val="24"/>
              </w:rPr>
            </w:pPr>
            <w:r w:rsidRPr="00435006">
              <w:rPr>
                <w:sz w:val="24"/>
                <w:szCs w:val="24"/>
              </w:rPr>
              <w:t xml:space="preserve">The final aspect of the OARS is summaries, which coincides with the next stage of the PEACE model ‘closure’. A chance to formally end the meeting with a recap of what was discussed and an outline of what will happen next. Although summaries and reflections are often intertwined, I found their use especially beneficial in offering 4 clarity in what has been said and the outcomes he had made. I found 4 resonated closely with the work from Holloway (2012), who describes the mixture of change talk, reasons to purse change, and sustain talk, reasons to keep the status quo. 4 would often recognise the need for change and see how this can be done, but also reverted back to what he perceives as the benefits he receives from the abusive behaviour. Therefore, summaries enabled me to present the information back to 4 in a more organised way, that highlighted key aspects of his motivation to change, leaving this as one of the final points of conversation I hoped this would give him a chance to reflect on its significance. </w:t>
            </w:r>
          </w:p>
          <w:p w14:paraId="3A05452B" w14:textId="77777777" w:rsidR="00435006" w:rsidRPr="00435006" w:rsidRDefault="00435006" w:rsidP="00435006">
            <w:pPr>
              <w:spacing w:line="360" w:lineRule="auto"/>
              <w:rPr>
                <w:sz w:val="24"/>
                <w:szCs w:val="24"/>
              </w:rPr>
            </w:pPr>
            <w:r w:rsidRPr="00435006">
              <w:rPr>
                <w:sz w:val="24"/>
                <w:szCs w:val="24"/>
              </w:rPr>
              <w:t xml:space="preserve">The more information I gathered the clearer the concept of social exchange theory influenced 4’s executive functioning. Developed in 1958 by George Homans, social exchange theory within a social work context explores the dynamic between how social relationships are formed through the weighing up of costs and benefits. When discussing with 4 the relationships he had developed since his separation, he focussed on what he considered to be the benefits. The information he gave us made it clear that he was being taken advantage of, things often went missing following having visitors and 4 was repeatedly lending people money, without security that it would be repaid. 4’s interpretation dismissed the idea that he was being abused, preferring to focus on what he felt he gained from the relationships he obtained since his separation. Foa (2023) describes two key aspects of social exchange theory, comparison levels and reciprocity. This related to 4 in the sense that he was searching for the companionship that he had from his previous relationship, he was offering his home and objects in the hope to be reciprocated with friendship, a cost benefit analysis for 4 seemed to centre around stopping his loneliness at a financial cost. However, due to 4’s impairments, his ability to make rationale choices was obscured by his lack of insight due his intellectual disabilities and his desire to get his needs met. </w:t>
            </w:r>
          </w:p>
          <w:p w14:paraId="773B66CC" w14:textId="77777777" w:rsidR="00435006" w:rsidRPr="00435006" w:rsidRDefault="00435006" w:rsidP="00435006">
            <w:pPr>
              <w:spacing w:line="360" w:lineRule="auto"/>
              <w:rPr>
                <w:sz w:val="24"/>
                <w:szCs w:val="24"/>
              </w:rPr>
            </w:pPr>
            <w:r w:rsidRPr="00435006">
              <w:rPr>
                <w:sz w:val="24"/>
                <w:szCs w:val="24"/>
              </w:rPr>
              <w:lastRenderedPageBreak/>
              <w:t>However, I also considered if the motivation behind this behaviour was not because of a lack of insight, but rather adverse childhood experiences or environment factors. The way in which 4 prioritises a sense of connection, often at the detriment of his security, led me to consider the relationship between attachment theory and Maslow’s Hierarchy of Needs. It seemed that 4’s willingness to sacrifice a safety need for a greater sense of belonging, may have indicated to a number of reasons. One that he had no connection to the environment and community he lived in, therefore seeking some way to fit in. As discussed previously, the rurality in which 4 lives mean there is a lack of social resources and opportunities for 4 to get this need met from his community. Alternatively, what I consider to be more likely, is the combination between 4’s feelings of abandonment, from his ex-partner and his community and the impact childhood attachment has had on his psychology. As Oved (2020) suggests that Maslow’s theory is not linear, people feel pulls and pushes to meet various needs at different stages of their lives depending on the context they are in. My knowledge of 4’s past is restricted but I do know he was neglected as a child from his parents, these past experiences joined by a sudden period of loneliness may have resonated with feelings 4 had as a child, leading him to override the need for safety in search of intimacy and belonging (Holmes, 2014).</w:t>
            </w:r>
          </w:p>
          <w:p w14:paraId="3CE39AB1" w14:textId="77777777" w:rsidR="00435006" w:rsidRPr="00435006" w:rsidRDefault="00435006" w:rsidP="00435006">
            <w:pPr>
              <w:spacing w:line="360" w:lineRule="auto"/>
              <w:rPr>
                <w:sz w:val="24"/>
                <w:szCs w:val="24"/>
              </w:rPr>
            </w:pPr>
            <w:r w:rsidRPr="00435006">
              <w:rPr>
                <w:sz w:val="24"/>
                <w:szCs w:val="24"/>
              </w:rPr>
              <w:t xml:space="preserve">The final part of the PEACE model is the evaluation phase, a chance to critically reflect on my practice gathering the information and an analysis of the information gain within a final strategy meeting. Within the strategy meeting it was discussed that the outcome of the interview was that firstly, 4 had capacity to manage his finances on a daily basis, using smaller amounts of money to meet his daily and weekly needs. However, from completing the function and diagnostic test of the Mental Capacity Act (2005) with 4, it showed that he continued to lack the mental capacity manage his larger financial decisions including bills, rent, savings and expensive purchases and thus still required the deputyship order from the COP as a measure to safeguard him. In relation to the choices being made when lending his new acquaintances money or giving some of his possessions away. The discussion centred around one of the key principles of the MCA, the right to make unwise decisions. Although the relationships 4 had developed were clearly unhealthy, 4 made no doubt in the fact that in his perception he was gaining a break from the isolation and loneliness he previously felt. In his eyes he had accepted the financial cost that came with friendship. Through my </w:t>
            </w:r>
            <w:r w:rsidRPr="00435006">
              <w:rPr>
                <w:sz w:val="24"/>
                <w:szCs w:val="24"/>
              </w:rPr>
              <w:lastRenderedPageBreak/>
              <w:t>conversations with 4 I was assured that he had the capacity to make these unwise decisions due to his ability to the justification he presented as to why he is making these decisions, his behaviour was not felt to be a lack of capacity but rather a lack of education and with support and guidance it was felt 4 could develop these social and financial skills to make safer choices. Therefore, he was still deemed to be vulnerable while he developed these skills and further safeguarding precautions were needed to prevent further financial loss. Therefore, it was agreed that 4 fell into the category of determination 2 of the WSP, the outcomes could be achieved by adjustments to the logistics of his personal allowance, and with further exploration of his care and support needs interventions and services could be implemented to mitigate the associated risks.</w:t>
            </w:r>
          </w:p>
          <w:p w14:paraId="02B25870" w14:textId="77777777" w:rsidR="00435006" w:rsidRPr="00435006" w:rsidRDefault="00435006" w:rsidP="00435006">
            <w:pPr>
              <w:spacing w:line="360" w:lineRule="auto"/>
              <w:rPr>
                <w:sz w:val="24"/>
                <w:szCs w:val="24"/>
              </w:rPr>
            </w:pPr>
            <w:r w:rsidRPr="00435006">
              <w:rPr>
                <w:sz w:val="24"/>
                <w:szCs w:val="24"/>
              </w:rPr>
              <w:t xml:space="preserve">An MDT was held with 4 present and key people of support around him, to discuss a plan on how best to support him that was also as least restrictive as possible. Following a discussion with his deputy, it was agreed that instead of 4 receiving his personal cash allowance 2 days per week this would be increased and moved to daily collections. This would serve two purposes, firstly, he would have smaller amounts of cash on him and secondly, it gave either myself or his deputy an opportunity to check in with him. Additionally, when focussing on the driving motivators behind 4’s risky behaviour, it was clear that he was attempting to meet his needs of social inclusion and involvement. A key outcome from the strategy meeting was to reassess 4’s care and support and manage ways this outcome can be met in a more appropriate and healthy way, by exploring networks, groups and activities 4 can get take part in within his local community to alleviate his loneliness. With the added support from direct payments, we were able to help 4 attend these activities and offer him guidance or reassurance in social situations through the support of a personal assistant, this also managed risks related to self-neglect, as the PA would develop 4’s daily living tasks through cooking and cleaning support. Finally, 4 suggested that an extra level of protection could be gained from the building staff, it was agreed that staff would be more present at the property to better regulate the visitors entering the property and to be more available for any advice required. </w:t>
            </w:r>
          </w:p>
          <w:p w14:paraId="0EF775E4" w14:textId="77777777" w:rsidR="00435006" w:rsidRPr="00435006" w:rsidRDefault="00435006" w:rsidP="00435006">
            <w:pPr>
              <w:spacing w:line="360" w:lineRule="auto"/>
              <w:rPr>
                <w:sz w:val="24"/>
                <w:szCs w:val="24"/>
              </w:rPr>
            </w:pPr>
            <w:r w:rsidRPr="00435006">
              <w:rPr>
                <w:sz w:val="24"/>
                <w:szCs w:val="24"/>
              </w:rPr>
              <w:t xml:space="preserve">The final stage of Borton’s model encourages me to explore what learning I can gain from this experience and how I can develop moving forward. Although I felt confident communicating with 4 and believe one of my strengths of the process was supporting him to </w:t>
            </w:r>
            <w:r w:rsidRPr="00435006">
              <w:rPr>
                <w:sz w:val="24"/>
                <w:szCs w:val="24"/>
              </w:rPr>
              <w:lastRenderedPageBreak/>
              <w:t xml:space="preserve">feel reassured when discussing sensitive topics, I believe the anxiety I felt when needing to come to a decision or final analysis, showed my lack of experience in this specific situation. Although, it is good practice to utilise the expertise and judgement of experienced practitioners, I know that with more opportunities to be involved in safeguarding processes I will feel more familiar with the balance of risk and have greater confidence in my professional judgement. To facilitate this, I intend to liaise with the safeguarding team for opportunities to shadow cases and speak to my line manager to be given more cases that require safeguarding involvement. </w:t>
            </w:r>
          </w:p>
          <w:p w14:paraId="46725DF5" w14:textId="77777777" w:rsidR="00435006" w:rsidRPr="00B54096" w:rsidRDefault="00435006" w:rsidP="00435006">
            <w:pPr>
              <w:rPr>
                <w:b/>
                <w:bCs/>
                <w:u w:val="single"/>
              </w:rPr>
            </w:pPr>
            <w:r w:rsidRPr="00B54096">
              <w:rPr>
                <w:b/>
                <w:bCs/>
                <w:u w:val="single"/>
              </w:rPr>
              <w:t>4381</w:t>
            </w:r>
          </w:p>
          <w:p w14:paraId="12DC2F24" w14:textId="24094196" w:rsidR="00D3203C" w:rsidRPr="00435006" w:rsidRDefault="00D3203C" w:rsidP="00FF7EBB">
            <w:pPr>
              <w:jc w:val="both"/>
              <w:rPr>
                <w:iCs/>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71BF5" w14:textId="77777777" w:rsidR="001A5549" w:rsidRDefault="001A5549">
      <w:r>
        <w:separator/>
      </w:r>
    </w:p>
  </w:endnote>
  <w:endnote w:type="continuationSeparator" w:id="0">
    <w:p w14:paraId="1EAA2925" w14:textId="77777777" w:rsidR="001A5549" w:rsidRDefault="001A55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E0F85" w14:textId="77777777" w:rsidR="001A5549" w:rsidRDefault="001A5549">
      <w:r>
        <w:separator/>
      </w:r>
    </w:p>
  </w:footnote>
  <w:footnote w:type="continuationSeparator" w:id="0">
    <w:p w14:paraId="3AAB2B60" w14:textId="77777777" w:rsidR="001A5549" w:rsidRDefault="001A55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549"/>
    <w:rsid w:val="001A59BB"/>
    <w:rsid w:val="001A607E"/>
    <w:rsid w:val="001A6A51"/>
    <w:rsid w:val="001A79C4"/>
    <w:rsid w:val="001B331A"/>
    <w:rsid w:val="001C0237"/>
    <w:rsid w:val="001C0E74"/>
    <w:rsid w:val="001C3E71"/>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6737C"/>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5006"/>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2363"/>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203A"/>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2AB8"/>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4120</Words>
  <Characters>23490</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Adam Finn</cp:lastModifiedBy>
  <cp:revision>5</cp:revision>
  <cp:lastPrinted>2020-02-11T19:20:00Z</cp:lastPrinted>
  <dcterms:created xsi:type="dcterms:W3CDTF">2025-02-14T14:03:00Z</dcterms:created>
  <dcterms:modified xsi:type="dcterms:W3CDTF">2025-02-14T14:06:00Z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