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sz w:val="24"/>
          <w:szCs w:val="24"/>
          <w:lang w:val="en-GB" w:eastAsia="en-US"/>
        </w:rPr>
        <w:id w:val="-783724210"/>
        <w:docPartObj>
          <w:docPartGallery w:val="Cover Pages"/>
          <w:docPartUnique/>
        </w:docPartObj>
      </w:sdtPr>
      <w:sdtEndPr>
        <w:rPr>
          <w:rFonts w:eastAsia="Times New Roman"/>
          <w:b/>
          <w:bCs/>
          <w:lang w:eastAsia="en-GB"/>
        </w:rPr>
      </w:sdtEndPr>
      <w:sdtContent>
        <w:p w14:paraId="47D7D3D3" w14:textId="030AA217" w:rsidR="00E31354" w:rsidRPr="00ED4E01" w:rsidRDefault="00E31354">
          <w:pPr>
            <w:pStyle w:val="NoSpacing"/>
            <w:rPr>
              <w:rFonts w:ascii="Arial" w:hAnsi="Arial" w:cs="Arial"/>
              <w:sz w:val="24"/>
              <w:szCs w:val="24"/>
            </w:rPr>
          </w:pPr>
          <w:r w:rsidRPr="00ED4E01">
            <w:rPr>
              <w:rFonts w:ascii="Arial" w:hAnsi="Arial" w:cs="Arial"/>
              <w:noProof/>
              <w:sz w:val="24"/>
              <w:szCs w:val="24"/>
            </w:rPr>
            <mc:AlternateContent>
              <mc:Choice Requires="wpg">
                <w:drawing>
                  <wp:anchor distT="0" distB="0" distL="114300" distR="114300" simplePos="0" relativeHeight="251659264" behindDoc="1" locked="0" layoutInCell="1" allowOverlap="1" wp14:anchorId="3DE61321" wp14:editId="2818FA83">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33600" cy="9125712"/>
                    <wp:effectExtent l="0" t="0" r="12700" b="762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749CB26E" id="Group 2"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group id="Group 5" o:spid="_x0000_s1028"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29"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0"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3"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9BA3952" w14:textId="49F8F08C" w:rsidR="00E31354" w:rsidRPr="00ED4E01" w:rsidRDefault="00E31354">
          <w:pPr>
            <w:rPr>
              <w:rFonts w:ascii="Arial" w:hAnsi="Arial" w:cs="Arial"/>
              <w:b/>
              <w:bCs/>
            </w:rPr>
          </w:pPr>
          <w:r w:rsidRPr="00ED4E01">
            <w:rPr>
              <w:rFonts w:ascii="Arial" w:hAnsi="Arial" w:cs="Arial"/>
              <w:noProof/>
            </w:rPr>
            <mc:AlternateContent>
              <mc:Choice Requires="wps">
                <w:drawing>
                  <wp:anchor distT="0" distB="0" distL="114300" distR="114300" simplePos="0" relativeHeight="251660288" behindDoc="0" locked="0" layoutInCell="1" allowOverlap="1" wp14:anchorId="78F4E6AD" wp14:editId="76E8127A">
                    <wp:simplePos x="0" y="0"/>
                    <wp:positionH relativeFrom="page">
                      <wp:posOffset>2991791</wp:posOffset>
                    </wp:positionH>
                    <wp:positionV relativeFrom="page">
                      <wp:posOffset>1780482</wp:posOffset>
                    </wp:positionV>
                    <wp:extent cx="4417390" cy="4619501"/>
                    <wp:effectExtent l="0" t="0" r="2540" b="3810"/>
                    <wp:wrapNone/>
                    <wp:docPr id="1" name="Text Box 1"/>
                    <wp:cNvGraphicFramePr/>
                    <a:graphic xmlns:a="http://schemas.openxmlformats.org/drawingml/2006/main">
                      <a:graphicData uri="http://schemas.microsoft.com/office/word/2010/wordprocessingShape">
                        <wps:wsp>
                          <wps:cNvSpPr txBox="1"/>
                          <wps:spPr>
                            <a:xfrm>
                              <a:off x="0" y="0"/>
                              <a:ext cx="4417390" cy="461950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A1F085" w14:textId="26E6ECA5" w:rsidR="00E31354" w:rsidRDefault="007B47C4" w:rsidP="003B32AC">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6131C">
                                      <w:rPr>
                                        <w:rFonts w:asciiTheme="majorHAnsi" w:eastAsiaTheme="majorEastAsia" w:hAnsiTheme="majorHAnsi" w:cstheme="majorBidi"/>
                                        <w:color w:val="262626" w:themeColor="text1" w:themeTint="D9"/>
                                        <w:sz w:val="72"/>
                                        <w:szCs w:val="72"/>
                                      </w:rPr>
                                      <w:t>Multidisciplinary Telehealth Solution to Manage Swallowing Difficulties of Residents in Care Homes</w:t>
                                    </w:r>
                                  </w:sdtContent>
                                </w:sdt>
                              </w:p>
                              <w:p w14:paraId="6B95154D" w14:textId="69F4D1BE" w:rsidR="00E31354" w:rsidRDefault="007B47C4" w:rsidP="003B32AC">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1354">
                                      <w:rPr>
                                        <w:color w:val="404040" w:themeColor="text1" w:themeTint="BF"/>
                                        <w:sz w:val="36"/>
                                        <w:szCs w:val="36"/>
                                      </w:rPr>
                                      <w:t>System Improvement Programme Assignment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8F4E6AD" id="_x0000_t202" coordsize="21600,21600" o:spt="202" path="m,l,21600r21600,l21600,xe">
                    <v:stroke joinstyle="miter"/>
                    <v:path gradientshapeok="t" o:connecttype="rect"/>
                  </v:shapetype>
                  <v:shape id="Text Box 1" o:spid="_x0000_s1026" type="#_x0000_t202" style="position:absolute;margin-left:235.55pt;margin-top:140.2pt;width:347.85pt;height:363.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" filled="f" stroked="f" strokeweight=".5pt">
                    <v:textbox inset="0,0,0,0">
                      <w:txbxContent>
                        <w:p w14:paraId="7CA1F085" w14:textId="26E6ECA5" w:rsidR="00E31354" w:rsidRDefault="007B47C4" w:rsidP="003B32AC">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6131C">
                                <w:rPr>
                                  <w:rFonts w:asciiTheme="majorHAnsi" w:eastAsiaTheme="majorEastAsia" w:hAnsiTheme="majorHAnsi" w:cstheme="majorBidi"/>
                                  <w:color w:val="262626" w:themeColor="text1" w:themeTint="D9"/>
                                  <w:sz w:val="72"/>
                                  <w:szCs w:val="72"/>
                                </w:rPr>
                                <w:t>Multidisciplinary Telehealth Solution to Manage Swallowing Difficulties of Residents in Care Homes</w:t>
                              </w:r>
                            </w:sdtContent>
                          </w:sdt>
                        </w:p>
                        <w:p w14:paraId="6B95154D" w14:textId="69F4D1BE" w:rsidR="00E31354" w:rsidRDefault="007B47C4" w:rsidP="003B32AC">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1354">
                                <w:rPr>
                                  <w:color w:val="404040" w:themeColor="text1" w:themeTint="BF"/>
                                  <w:sz w:val="36"/>
                                  <w:szCs w:val="36"/>
                                </w:rPr>
                                <w:t>System Improvement Programme Assignment</w:t>
                              </w:r>
                            </w:sdtContent>
                          </w:sdt>
                        </w:p>
                      </w:txbxContent>
                    </v:textbox>
                    <w10:wrap anchorx="page" anchory="page"/>
                  </v:shape>
                </w:pict>
              </mc:Fallback>
            </mc:AlternateContent>
          </w:r>
          <w:r w:rsidRPr="00ED4E01">
            <w:rPr>
              <w:rFonts w:ascii="Arial" w:hAnsi="Arial" w:cs="Arial"/>
              <w:noProof/>
            </w:rPr>
            <mc:AlternateContent>
              <mc:Choice Requires="wps">
                <w:drawing>
                  <wp:anchor distT="0" distB="0" distL="114300" distR="114300" simplePos="0" relativeHeight="251661312" behindDoc="0" locked="0" layoutInCell="1" allowOverlap="1" wp14:anchorId="36630CD8" wp14:editId="0DAA0079">
                    <wp:simplePos x="0" y="0"/>
                    <wp:positionH relativeFrom="page">
                      <wp:posOffset>3265714</wp:posOffset>
                    </wp:positionH>
                    <wp:positionV relativeFrom="page">
                      <wp:posOffset>8265226</wp:posOffset>
                    </wp:positionV>
                    <wp:extent cx="3657600" cy="945111"/>
                    <wp:effectExtent l="0" t="0" r="7620" b="7620"/>
                    <wp:wrapNone/>
                    <wp:docPr id="32" name="Text Box 32"/>
                    <wp:cNvGraphicFramePr/>
                    <a:graphic xmlns:a="http://schemas.openxmlformats.org/drawingml/2006/main">
                      <a:graphicData uri="http://schemas.microsoft.com/office/word/2010/wordprocessingShape">
                        <wps:wsp>
                          <wps:cNvSpPr txBox="1"/>
                          <wps:spPr>
                            <a:xfrm>
                              <a:off x="0" y="0"/>
                              <a:ext cx="3657600" cy="9451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5BEA77" w14:textId="7D71104C" w:rsidR="00E31354" w:rsidRPr="00E31354" w:rsidRDefault="007B47C4" w:rsidP="00E31354">
                                <w:pPr>
                                  <w:pStyle w:val="NoSpacing"/>
                                  <w:jc w:val="center"/>
                                  <w:rPr>
                                    <w:color w:val="4472C4" w:themeColor="accent1"/>
                                    <w:sz w:val="52"/>
                                    <w:szCs w:val="52"/>
                                  </w:rPr>
                                </w:pPr>
                                <w:sdt>
                                  <w:sdtPr>
                                    <w:rPr>
                                      <w:color w:val="4472C4" w:themeColor="accent1"/>
                                      <w:sz w:val="52"/>
                                      <w:szCs w:val="5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1354" w:rsidRPr="00E31354">
                                      <w:rPr>
                                        <w:color w:val="4472C4" w:themeColor="accent1"/>
                                        <w:sz w:val="52"/>
                                        <w:szCs w:val="52"/>
                                      </w:rPr>
                                      <w:t>Sheiladen Aquino</w:t>
                                    </w:r>
                                  </w:sdtContent>
                                </w:sdt>
                              </w:p>
                              <w:p w14:paraId="643ED03D" w14:textId="76B431ED" w:rsidR="00E31354" w:rsidRPr="00E31354" w:rsidRDefault="007B47C4" w:rsidP="00E31354">
                                <w:pPr>
                                  <w:pStyle w:val="NoSpacing"/>
                                  <w:jc w:val="center"/>
                                  <w:rPr>
                                    <w:color w:val="595959" w:themeColor="text1" w:themeTint="A6"/>
                                    <w:sz w:val="52"/>
                                    <w:szCs w:val="52"/>
                                  </w:rPr>
                                </w:pPr>
                                <w:sdt>
                                  <w:sdtPr>
                                    <w:rPr>
                                      <w:caps/>
                                      <w:color w:val="595959" w:themeColor="text1" w:themeTint="A6"/>
                                      <w:sz w:val="52"/>
                                      <w:szCs w:val="52"/>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1354" w:rsidRPr="00E31354">
                                      <w:rPr>
                                        <w:caps/>
                                        <w:color w:val="595959" w:themeColor="text1" w:themeTint="A6"/>
                                        <w:sz w:val="52"/>
                                        <w:szCs w:val="52"/>
                                      </w:rPr>
                                      <w:t>2115317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36630CD8" id="Text Box 32" o:spid="_x0000_s1027" type="#_x0000_t202" style="position:absolute;margin-left:257.15pt;margin-top:650.8pt;width:4in;height:74.4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" filled="f" stroked="f" strokeweight=".5pt">
                    <v:textbox inset="0,0,0,0">
                      <w:txbxContent>
                        <w:p w14:paraId="5F5BEA77" w14:textId="7D71104C" w:rsidR="00E31354" w:rsidRPr="00E31354" w:rsidRDefault="007B47C4" w:rsidP="00E31354">
                          <w:pPr>
                            <w:pStyle w:val="NoSpacing"/>
                            <w:jc w:val="center"/>
                            <w:rPr>
                              <w:color w:val="4472C4" w:themeColor="accent1"/>
                              <w:sz w:val="52"/>
                              <w:szCs w:val="52"/>
                            </w:rPr>
                          </w:pPr>
                          <w:sdt>
                            <w:sdtPr>
                              <w:rPr>
                                <w:color w:val="4472C4" w:themeColor="accent1"/>
                                <w:sz w:val="52"/>
                                <w:szCs w:val="5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1354" w:rsidRPr="00E31354">
                                <w:rPr>
                                  <w:color w:val="4472C4" w:themeColor="accent1"/>
                                  <w:sz w:val="52"/>
                                  <w:szCs w:val="52"/>
                                </w:rPr>
                                <w:t>Sheiladen Aquino</w:t>
                              </w:r>
                            </w:sdtContent>
                          </w:sdt>
                        </w:p>
                        <w:p w14:paraId="643ED03D" w14:textId="76B431ED" w:rsidR="00E31354" w:rsidRPr="00E31354" w:rsidRDefault="007B47C4" w:rsidP="00E31354">
                          <w:pPr>
                            <w:pStyle w:val="NoSpacing"/>
                            <w:jc w:val="center"/>
                            <w:rPr>
                              <w:color w:val="595959" w:themeColor="text1" w:themeTint="A6"/>
                              <w:sz w:val="52"/>
                              <w:szCs w:val="52"/>
                            </w:rPr>
                          </w:pPr>
                          <w:sdt>
                            <w:sdtPr>
                              <w:rPr>
                                <w:caps/>
                                <w:color w:val="595959" w:themeColor="text1" w:themeTint="A6"/>
                                <w:sz w:val="52"/>
                                <w:szCs w:val="52"/>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1354" w:rsidRPr="00E31354">
                                <w:rPr>
                                  <w:caps/>
                                  <w:color w:val="595959" w:themeColor="text1" w:themeTint="A6"/>
                                  <w:sz w:val="52"/>
                                  <w:szCs w:val="52"/>
                                </w:rPr>
                                <w:t>2115317</w:t>
                              </w:r>
                            </w:sdtContent>
                          </w:sdt>
                        </w:p>
                      </w:txbxContent>
                    </v:textbox>
                    <w10:wrap anchorx="page" anchory="page"/>
                  </v:shape>
                </w:pict>
              </mc:Fallback>
            </mc:AlternateContent>
          </w:r>
          <w:r w:rsidRPr="00ED4E01">
            <w:rPr>
              <w:rFonts w:ascii="Arial" w:hAnsi="Arial" w:cs="Arial"/>
              <w:b/>
              <w:bCs/>
            </w:rPr>
            <w:br w:type="page"/>
          </w:r>
        </w:p>
      </w:sdtContent>
    </w:sdt>
    <w:p w14:paraId="2857E865" w14:textId="06C7FD38" w:rsidR="0077435B" w:rsidRPr="00ED4E01" w:rsidRDefault="0077435B">
      <w:pPr>
        <w:rPr>
          <w:rFonts w:ascii="Arial" w:hAnsi="Arial" w:cs="Arial"/>
          <w:b/>
          <w:bCs/>
          <w:u w:val="single"/>
        </w:rPr>
      </w:pPr>
      <w:r w:rsidRPr="00ED4E01">
        <w:rPr>
          <w:rFonts w:ascii="Arial" w:hAnsi="Arial" w:cs="Arial"/>
          <w:b/>
          <w:bCs/>
          <w:u w:val="single"/>
        </w:rPr>
        <w:lastRenderedPageBreak/>
        <w:t>Problem Domain</w:t>
      </w:r>
    </w:p>
    <w:p w14:paraId="4149F5CE" w14:textId="4D67BCF9" w:rsidR="005151A6" w:rsidRPr="00ED4E01" w:rsidRDefault="005151A6">
      <w:pPr>
        <w:rPr>
          <w:rFonts w:ascii="Arial" w:hAnsi="Arial" w:cs="Arial"/>
          <w:b/>
          <w:bCs/>
          <w:u w:val="single"/>
        </w:rPr>
      </w:pPr>
    </w:p>
    <w:p w14:paraId="1FC96DD5" w14:textId="77777777" w:rsidR="005151A6" w:rsidRPr="00ED4E01" w:rsidRDefault="005151A6">
      <w:pPr>
        <w:rPr>
          <w:rFonts w:ascii="Arial" w:hAnsi="Arial" w:cs="Arial"/>
        </w:rPr>
      </w:pPr>
    </w:p>
    <w:p w14:paraId="53FDFBFE" w14:textId="450AFEF3" w:rsidR="008C7C24" w:rsidRPr="00ED4E01" w:rsidRDefault="008C7C24" w:rsidP="00741D0E">
      <w:pPr>
        <w:jc w:val="both"/>
        <w:rPr>
          <w:rFonts w:ascii="Arial" w:hAnsi="Arial" w:cs="Arial"/>
          <w:b/>
          <w:bCs/>
          <w:i/>
          <w:iCs/>
          <w:color w:val="FF0000"/>
        </w:rPr>
      </w:pPr>
      <w:r>
        <w:rPr>
          <w:rFonts w:ascii="Arial" w:hAnsi="Arial" w:cs="Arial"/>
        </w:rPr>
        <w:t xml:space="preserve">The aging population in increasing faster than in the past. </w:t>
      </w:r>
      <w:r w:rsidR="005151A6" w:rsidRPr="00ED4E01">
        <w:rPr>
          <w:rFonts w:ascii="Arial" w:hAnsi="Arial" w:cs="Arial"/>
        </w:rPr>
        <w:t xml:space="preserve">Globally, there are 703 million people aged 65 years old and older in 2019 </w:t>
      </w:r>
      <w:r w:rsidR="005151A6" w:rsidRPr="00ED4E01">
        <w:rPr>
          <w:rFonts w:ascii="Arial" w:hAnsi="Arial" w:cs="Arial"/>
        </w:rPr>
        <w:fldChar w:fldCharType="begin" w:fldLock="1"/>
      </w:r>
      <w:r w:rsidR="002A3E61" w:rsidRPr="00ED4E01">
        <w:rPr>
          <w:rFonts w:ascii="Arial" w:hAnsi="Arial" w:cs="Arial"/>
        </w:rPr>
        <w:instrText>ADDIN CSL_CITATION {"citationItems":[{"id":"ITEM-1","itemData":{"ISBN":"9789211483260","abstract":"United Nations, Department of Economic and Social Affairs, Population Division (2017). World Population Ageing 2017. ST/ESA/SER.A/348.","author":[{"dropping-particle":"","family":"World Bank","given":"","non-dropping-particle":"","parse-names":false,"suffix":""}],"container-title":"World Population Ageing 2019","id":"ITEM-1","issued":{"date-parts":[["2019"]]},"number-of-pages":"64","title":"World Population Ageing 2019","type":"book"},"uris":["http://www.mendeley.com/documents/?uuid=75e234d9-d4ed-4b1d-97bb-9e90d9a582c8"]}],"mendeley":{"formattedCitation":"(World Bank, 2019)","plainTextFormattedCitation":"(World Bank, 2019)","previouslyFormattedCitation":"(World Bank, 2019)"},"properties":{"noteIndex":0},"schema":"https://github.com/citation-style-language/schema/raw/master/csl-citation.json"}</w:instrText>
      </w:r>
      <w:r w:rsidR="005151A6" w:rsidRPr="00ED4E01">
        <w:rPr>
          <w:rFonts w:ascii="Arial" w:hAnsi="Arial" w:cs="Arial"/>
        </w:rPr>
        <w:fldChar w:fldCharType="separate"/>
      </w:r>
      <w:r w:rsidR="005151A6" w:rsidRPr="00ED4E01">
        <w:rPr>
          <w:rFonts w:ascii="Arial" w:hAnsi="Arial" w:cs="Arial"/>
          <w:noProof/>
        </w:rPr>
        <w:t>(World Bank, 2019)</w:t>
      </w:r>
      <w:r w:rsidR="005151A6" w:rsidRPr="00ED4E01">
        <w:rPr>
          <w:rFonts w:ascii="Arial" w:hAnsi="Arial" w:cs="Arial"/>
        </w:rPr>
        <w:fldChar w:fldCharType="end"/>
      </w:r>
      <w:r w:rsidR="005151A6" w:rsidRPr="00ED4E01">
        <w:rPr>
          <w:rFonts w:ascii="Arial" w:hAnsi="Arial" w:cs="Arial"/>
        </w:rPr>
        <w:t xml:space="preserve">. </w:t>
      </w:r>
      <w:r w:rsidR="004C4E2C" w:rsidRPr="00ED4E01">
        <w:rPr>
          <w:rFonts w:ascii="Arial" w:hAnsi="Arial" w:cs="Arial"/>
        </w:rPr>
        <w:t xml:space="preserve">It is predicted that by </w:t>
      </w:r>
      <w:r w:rsidR="005151A6" w:rsidRPr="00ED4E01">
        <w:rPr>
          <w:rFonts w:ascii="Arial" w:hAnsi="Arial" w:cs="Arial"/>
        </w:rPr>
        <w:t>2050, this is to increase to 1.5 million. In the UK,</w:t>
      </w:r>
      <w:r w:rsidR="002A3E61" w:rsidRPr="00ED4E01">
        <w:rPr>
          <w:rFonts w:ascii="Arial" w:hAnsi="Arial" w:cs="Arial"/>
        </w:rPr>
        <w:t xml:space="preserve"> around 19% of the population</w:t>
      </w:r>
      <w:r w:rsidR="005151A6" w:rsidRPr="00ED4E01">
        <w:rPr>
          <w:rFonts w:ascii="Arial" w:hAnsi="Arial" w:cs="Arial"/>
        </w:rPr>
        <w:t xml:space="preserve"> </w:t>
      </w:r>
      <w:r w:rsidR="002A3E61" w:rsidRPr="00ED4E01">
        <w:rPr>
          <w:rFonts w:ascii="Arial" w:hAnsi="Arial" w:cs="Arial"/>
        </w:rPr>
        <w:t>or</w:t>
      </w:r>
      <w:r w:rsidR="005151A6" w:rsidRPr="00ED4E01">
        <w:rPr>
          <w:rFonts w:ascii="Arial" w:hAnsi="Arial" w:cs="Arial"/>
        </w:rPr>
        <w:t xml:space="preserve"> nearly 12 million</w:t>
      </w:r>
      <w:r w:rsidR="002A3E61" w:rsidRPr="00ED4E01">
        <w:rPr>
          <w:rFonts w:ascii="Arial" w:hAnsi="Arial" w:cs="Arial"/>
        </w:rPr>
        <w:t xml:space="preserve"> are aged 65 and above </w:t>
      </w:r>
      <w:r w:rsidR="002A3E61" w:rsidRPr="00ED4E01">
        <w:rPr>
          <w:rFonts w:ascii="Arial" w:hAnsi="Arial" w:cs="Arial"/>
        </w:rPr>
        <w:fldChar w:fldCharType="begin" w:fldLock="1"/>
      </w:r>
      <w:r w:rsidR="002A3E61" w:rsidRPr="00ED4E01">
        <w:rPr>
          <w:rFonts w:ascii="Arial" w:hAnsi="Arial" w:cs="Arial"/>
        </w:rPr>
        <w:instrText>ADDIN CSL_CITATION {"citationItems":[{"id":"ITEM-1","itemData":{"abstract":"Note: this fact sheet is becoming out of date. We will endeavour a revamp of this document in the near future. Wherever possible, figures for the whole UK are quoted. For ease of reading and unless otherwise stated, the term \"older\" is used here for people aged 65 and over.","author":[{"dropping-particle":"","family":"Age UK","given":"","non-dropping-particle":"","parse-names":false,"suffix":""}],"id":"ITEM-1","issue":"May","issued":{"date-parts":[["2019"]]},"page":"27","title":"Later life in the United Kingdom 2019 - Factsheet","type":"article-journal"},"uris":["http://www.mendeley.com/documents/?uuid=f3741b16-02c9-4092-9e19-53e340b4d79e"]}],"mendeley":{"formattedCitation":"(Age UK, 2019)","plainTextFormattedCitation":"(Age UK, 2019)","previouslyFormattedCitation":"(Age UK, 2019)"},"properties":{"noteIndex":0},"schema":"https://github.com/citation-style-language/schema/raw/master/csl-citation.json"}</w:instrText>
      </w:r>
      <w:r w:rsidR="002A3E61" w:rsidRPr="00ED4E01">
        <w:rPr>
          <w:rFonts w:ascii="Arial" w:hAnsi="Arial" w:cs="Arial"/>
        </w:rPr>
        <w:fldChar w:fldCharType="separate"/>
      </w:r>
      <w:r w:rsidR="002A3E61" w:rsidRPr="00ED4E01">
        <w:rPr>
          <w:rFonts w:ascii="Arial" w:hAnsi="Arial" w:cs="Arial"/>
          <w:noProof/>
        </w:rPr>
        <w:t>(Age UK, 2019)</w:t>
      </w:r>
      <w:r w:rsidR="002A3E61" w:rsidRPr="00ED4E01">
        <w:rPr>
          <w:rFonts w:ascii="Arial" w:hAnsi="Arial" w:cs="Arial"/>
        </w:rPr>
        <w:fldChar w:fldCharType="end"/>
      </w:r>
      <w:r w:rsidR="002A3E61" w:rsidRPr="00ED4E01">
        <w:rPr>
          <w:rFonts w:ascii="Arial" w:hAnsi="Arial" w:cs="Arial"/>
        </w:rPr>
        <w:t xml:space="preserve">. This is also expected to double by 2035. </w:t>
      </w:r>
      <w:r w:rsidR="004C4E2C" w:rsidRPr="00ED4E01">
        <w:rPr>
          <w:rFonts w:ascii="Arial" w:hAnsi="Arial" w:cs="Arial"/>
        </w:rPr>
        <w:t xml:space="preserve">Wales has the highest proportion of older people compared to other nations in the UK </w:t>
      </w:r>
      <w:r w:rsidR="004C4E2C" w:rsidRPr="00ED4E01">
        <w:rPr>
          <w:rFonts w:ascii="Arial" w:hAnsi="Arial" w:cs="Arial"/>
        </w:rPr>
        <w:fldChar w:fldCharType="begin" w:fldLock="1"/>
      </w:r>
      <w:r w:rsidR="004C4E2C" w:rsidRPr="00ED4E01">
        <w:rPr>
          <w:rFonts w:ascii="Arial" w:hAnsi="Arial" w:cs="Arial"/>
        </w:rPr>
        <w:instrText>ADDIN CSL_CITATION {"citationItems":[{"id":"ITEM-1","itemData":{"author":[{"dropping-particle":"","family":"Age Cymru","given":"","non-dropping-particle":"","parse-names":false,"suffix":""}],"id":"ITEM-1","issued":{"date-parts":[["2021"]]},"title":"Senedd Elections 2021","type":"webpage"},"uris":["http://www.mendeley.com/documents/?uuid=4f878e4e-46f4-4f32-85c3-ceeada313329"]}],"mendeley":{"formattedCitation":"(Age Cymru, 2021)","plainTextFormattedCitation":"(Age Cymru, 2021)","previouslyFormattedCitation":"(Age Cymru, 2021)"},"properties":{"noteIndex":0},"schema":"https://github.com/citation-style-language/schema/raw/master/csl-citation.json"}</w:instrText>
      </w:r>
      <w:r w:rsidR="004C4E2C" w:rsidRPr="00ED4E01">
        <w:rPr>
          <w:rFonts w:ascii="Arial" w:hAnsi="Arial" w:cs="Arial"/>
        </w:rPr>
        <w:fldChar w:fldCharType="separate"/>
      </w:r>
      <w:r w:rsidR="004C4E2C" w:rsidRPr="00ED4E01">
        <w:rPr>
          <w:rFonts w:ascii="Arial" w:hAnsi="Arial" w:cs="Arial"/>
          <w:noProof/>
        </w:rPr>
        <w:t>(Age Cymru, 2021)</w:t>
      </w:r>
      <w:r w:rsidR="004C4E2C" w:rsidRPr="00ED4E01">
        <w:rPr>
          <w:rFonts w:ascii="Arial" w:hAnsi="Arial" w:cs="Arial"/>
        </w:rPr>
        <w:fldChar w:fldCharType="end"/>
      </w:r>
      <w:r w:rsidR="004C4E2C" w:rsidRPr="00ED4E01">
        <w:rPr>
          <w:rFonts w:ascii="Arial" w:hAnsi="Arial" w:cs="Arial"/>
        </w:rPr>
        <w:t xml:space="preserve">. It is projected that by 2038, 1 in 4 of the Welsh population will be over </w:t>
      </w:r>
      <w:r w:rsidR="004C4E2C" w:rsidRPr="008C7C24">
        <w:rPr>
          <w:rFonts w:ascii="Arial" w:hAnsi="Arial" w:cs="Arial"/>
        </w:rPr>
        <w:t>65</w:t>
      </w:r>
      <w:r w:rsidR="00054348" w:rsidRPr="008C7C24">
        <w:rPr>
          <w:rFonts w:ascii="Arial" w:hAnsi="Arial" w:cs="Arial"/>
        </w:rPr>
        <w:t>. In addition, people aged 75 and over are projected to increase from 9.3% to 13.7% in 2038</w:t>
      </w:r>
      <w:r w:rsidR="004C4E2C" w:rsidRPr="008C7C24">
        <w:rPr>
          <w:rFonts w:ascii="Arial" w:hAnsi="Arial" w:cs="Arial"/>
        </w:rPr>
        <w:t xml:space="preserve"> </w:t>
      </w:r>
      <w:r w:rsidR="004C4E2C" w:rsidRPr="008C7C24">
        <w:rPr>
          <w:rFonts w:ascii="Arial" w:hAnsi="Arial" w:cs="Arial"/>
        </w:rPr>
        <w:fldChar w:fldCharType="begin" w:fldLock="1"/>
      </w:r>
      <w:r w:rsidR="00ED4E01" w:rsidRPr="008C7C24">
        <w:rPr>
          <w:rFonts w:ascii="Arial" w:hAnsi="Arial" w:cs="Arial"/>
        </w:rPr>
        <w:instrText>ADDIN CSL_CITATION {"citationItems":[{"id":"ITEM-1","itemData":{"abstract":"Mae'r ddogfen yma hefyd ar gael yn Gymraeg. This document is also available in Welsh.","author":[{"dropping-particle":"","family":"Welsh Government","given":"","non-dropping-particle":"","parse-names":false,"suffix":""}],"id":"ITEM-1","issue":"March","issued":{"date-parts":[["2020"]]},"title":"Age Friendly Wales: Our Strategy for an Ageing Society Consultation Document","type":"article-journal"},"uris":["http://www.mendeley.com/documents/?uuid=69d34287-7749-4bdf-9fcf-a8eb627c7d98"]}],"mendeley":{"formattedCitation":"(Welsh Government, 2020)","plainTextFormattedCitation":"(Welsh Government, 2020)","previouslyFormattedCitation":"(Welsh Government, 2020)"},"properties":{"noteIndex":0},"schema":"https://github.com/citation-style-language/schema/raw/master/csl-citation.json"}</w:instrText>
      </w:r>
      <w:r w:rsidR="004C4E2C" w:rsidRPr="008C7C24">
        <w:rPr>
          <w:rFonts w:ascii="Arial" w:hAnsi="Arial" w:cs="Arial"/>
        </w:rPr>
        <w:fldChar w:fldCharType="separate"/>
      </w:r>
      <w:r w:rsidR="004C4E2C" w:rsidRPr="008C7C24">
        <w:rPr>
          <w:rFonts w:ascii="Arial" w:hAnsi="Arial" w:cs="Arial"/>
          <w:noProof/>
        </w:rPr>
        <w:t>(Welsh Government, 2020)</w:t>
      </w:r>
      <w:r w:rsidR="004C4E2C" w:rsidRPr="008C7C24">
        <w:rPr>
          <w:rFonts w:ascii="Arial" w:hAnsi="Arial" w:cs="Arial"/>
        </w:rPr>
        <w:fldChar w:fldCharType="end"/>
      </w:r>
      <w:r w:rsidR="004C4E2C" w:rsidRPr="008C7C24">
        <w:rPr>
          <w:rFonts w:ascii="Arial" w:hAnsi="Arial" w:cs="Arial"/>
        </w:rPr>
        <w:t>.</w:t>
      </w:r>
      <w:r>
        <w:rPr>
          <w:rFonts w:ascii="Arial" w:hAnsi="Arial" w:cs="Arial"/>
        </w:rPr>
        <w:t xml:space="preserve"> </w:t>
      </w:r>
    </w:p>
    <w:p w14:paraId="4EAF1D50" w14:textId="51B91943" w:rsidR="004C4E2C" w:rsidRPr="008C7C24" w:rsidRDefault="004C4E2C" w:rsidP="00741D0E">
      <w:pPr>
        <w:jc w:val="both"/>
        <w:rPr>
          <w:rFonts w:ascii="Arial" w:hAnsi="Arial" w:cs="Arial"/>
        </w:rPr>
      </w:pPr>
    </w:p>
    <w:p w14:paraId="7D7F423E" w14:textId="77777777" w:rsidR="00054348" w:rsidRPr="008C7C24" w:rsidRDefault="00054348" w:rsidP="00741D0E">
      <w:pPr>
        <w:jc w:val="both"/>
        <w:rPr>
          <w:rFonts w:ascii="Arial" w:hAnsi="Arial" w:cs="Arial"/>
          <w:b/>
          <w:bCs/>
          <w:i/>
          <w:iCs/>
          <w:color w:val="FF0000"/>
          <w:shd w:val="clear" w:color="auto" w:fill="FFFFFF"/>
        </w:rPr>
      </w:pPr>
    </w:p>
    <w:p w14:paraId="66BE5E55" w14:textId="614E31A3" w:rsidR="00A02A35" w:rsidRPr="00ED4E01" w:rsidRDefault="002A3E61" w:rsidP="00741D0E">
      <w:pPr>
        <w:jc w:val="both"/>
        <w:rPr>
          <w:rFonts w:ascii="Arial" w:hAnsi="Arial" w:cs="Arial"/>
        </w:rPr>
      </w:pPr>
      <w:r w:rsidRPr="008C7C24">
        <w:rPr>
          <w:rFonts w:ascii="Arial" w:hAnsi="Arial" w:cs="Arial"/>
        </w:rPr>
        <w:t xml:space="preserve">The implications of having an aging population </w:t>
      </w:r>
      <w:r w:rsidR="00054348" w:rsidRPr="008C7C24">
        <w:rPr>
          <w:rFonts w:ascii="Arial" w:hAnsi="Arial" w:cs="Arial"/>
        </w:rPr>
        <w:t xml:space="preserve">suggests that the </w:t>
      </w:r>
      <w:r w:rsidR="004C4E2C" w:rsidRPr="008C7C24">
        <w:rPr>
          <w:rFonts w:ascii="Arial" w:hAnsi="Arial" w:cs="Arial"/>
        </w:rPr>
        <w:t>number</w:t>
      </w:r>
      <w:r w:rsidRPr="008C7C24">
        <w:rPr>
          <w:rFonts w:ascii="Arial" w:hAnsi="Arial" w:cs="Arial"/>
        </w:rPr>
        <w:t xml:space="preserve"> of both </w:t>
      </w:r>
      <w:r w:rsidR="00BF5C2A" w:rsidRPr="008C7C24">
        <w:rPr>
          <w:rFonts w:ascii="Arial" w:hAnsi="Arial" w:cs="Arial"/>
        </w:rPr>
        <w:t>chronic and</w:t>
      </w:r>
      <w:r w:rsidRPr="008C7C24">
        <w:rPr>
          <w:rFonts w:ascii="Arial" w:hAnsi="Arial" w:cs="Arial"/>
        </w:rPr>
        <w:t xml:space="preserve"> l</w:t>
      </w:r>
      <w:r w:rsidR="00BF5C2A" w:rsidRPr="008C7C24">
        <w:rPr>
          <w:rFonts w:ascii="Arial" w:hAnsi="Arial" w:cs="Arial"/>
        </w:rPr>
        <w:t>ong-term illnesses</w:t>
      </w:r>
      <w:r w:rsidR="004C4E2C" w:rsidRPr="008C7C24">
        <w:rPr>
          <w:rFonts w:ascii="Arial" w:hAnsi="Arial" w:cs="Arial"/>
        </w:rPr>
        <w:t xml:space="preserve"> will </w:t>
      </w:r>
      <w:r w:rsidR="00054348" w:rsidRPr="008C7C24">
        <w:rPr>
          <w:rFonts w:ascii="Arial" w:hAnsi="Arial" w:cs="Arial"/>
        </w:rPr>
        <w:t>increase</w:t>
      </w:r>
      <w:r w:rsidRPr="008C7C24">
        <w:rPr>
          <w:rFonts w:ascii="Arial" w:hAnsi="Arial" w:cs="Arial"/>
        </w:rPr>
        <w:t>.</w:t>
      </w:r>
      <w:r w:rsidR="004C4E2C" w:rsidRPr="008C7C24">
        <w:rPr>
          <w:rFonts w:ascii="Arial" w:hAnsi="Arial" w:cs="Arial"/>
        </w:rPr>
        <w:t xml:space="preserve"> 58% of people over 60 have long term conditions or chronic diseases that places them in the vulnerable category </w:t>
      </w:r>
      <w:r w:rsidRPr="008C7C24">
        <w:rPr>
          <w:rFonts w:ascii="Arial" w:hAnsi="Arial" w:cs="Arial"/>
        </w:rPr>
        <w:t xml:space="preserve"> </w:t>
      </w:r>
      <w:r w:rsidRPr="008C7C24">
        <w:rPr>
          <w:rFonts w:ascii="Arial" w:hAnsi="Arial" w:cs="Arial"/>
        </w:rPr>
        <w:fldChar w:fldCharType="begin" w:fldLock="1"/>
      </w:r>
      <w:r w:rsidR="004C4E2C" w:rsidRPr="008C7C24">
        <w:rPr>
          <w:rFonts w:ascii="Arial" w:hAnsi="Arial" w:cs="Arial"/>
        </w:rPr>
        <w:instrText>ADDIN CSL_CITATION {"citationItems":[{"id":"ITEM-1","itemData":{"DOI":"10.1016/S0140-6736(12)60240-2","ISSN":"1474547X","PMID":"22579043","abstract":"Background Long-term disorders are the main challenge facing health-care systems worldwide, but health systems are largely configured for individual diseases rather than multimorbidity. We examined the distribution of multimorbidity, and of comorbidity of physical and mental health disorders, in relation to age and socioeconomic deprivation. Methods In a cross-sectional study we extracted data on 40 morbidities from a database of 1 751 841 people registered with 314 medical practices in Scotland as of March, 2007. We analysed the data according to the number of morbidities, disorder type (physical or mental), sex, age, and socioeconomic status. We defined multimorbidity as the presence of two or more disorders. Findings 42.2% (95% CI 42.1-42.3) of all patients had one or more morbidities, and 23.2% (23.08-23.21) were multimorbid. Although the prevalence of multimorbidity increased substantially with age and was present in most people aged 65 years and older, the absolute number of people with multimorbidity was higher in those younger than 65 years (210 500 vs 194 996). Onset of multimorbidity occurred 10-15 years earlier in people living in the most deprived areas compared with the most affluent, with socioeconomic deprivation particularly associated with multimorbidity that included mental health disorders (prevalence of both physical and mental health disorder 11.0%, 95% CI 10.9-11.2% in most deprived area vs 5.9%, 5.8%-6.0% in least deprived). The presence of a mental health disorder increased as the number of physical morbidities increased (adjusted odds ratio 6.74, 95% CI 6.59-6.90 for five or more disorders vs 1.95, 1.93-1.98 for one disorder), and was much greater in more deprived than in less deprived people (2.28, 2.21-2.32 vs 1.08, 1.05-1.11). Interpretation Our findings challenge the single-disease framework by which most health care, medical research, and medical education is configured. A complementary strategy is needed, supporting generalist clinicians to provide personalised, comprehensive continuity of care, especially in socioeconomically deprived areas. Funding Scottish Government Chief Scientist Office.","author":[{"dropping-particle":"","family":"Barnett","given":"Karen","non-dropping-particle":"","parse-names":false,"suffix":""},{"dropping-particle":"","family":"Mercer","given":"Stewart W.","non-dropping-particle":"","parse-names":false,"suffix":""},{"dropping-particle":"","family":"Norbury","given":"Michael","non-dropping-particle":"","parse-names":false,"suffix":""},{"dropping-particle":"","family":"Watt","given":"Graham","non-dropping-particle":"","parse-names":false,"suffix":""},{"dropping-particle":"","family":"Wyke","given":"Sally","non-dropping-particle":"","parse-names":false,"suffix":""},{"dropping-particle":"","family":"Guthrie","given":"Bruce","non-dropping-particle":"","parse-names":false,"suffix":""}],"container-title":"The Lancet","id":"ITEM-1","issue":"9836","issued":{"date-parts":[["2012"]]},"page":"37-43","title":"Epidemiology of multimorbidity and implications for health care, research, and medical education: A cross-sectional study","type":"article","volume":"380"},"uris":["http://www.mendeley.com/documents/?uuid=c8d9f5ee-1935-4e91-9a00-3e1994001690"]}],"mendeley":{"formattedCitation":"(Barnett &lt;i&gt;et al.&lt;/i&gt;, 2012)","plainTextFormattedCitation":"(Barnett et al., 2012)","previouslyFormattedCitation":"(Barnett &lt;i&gt;et al.&lt;/i&gt;, 2012)"},"properties":{"noteIndex":0},"schema":"https://github.com/citation-style-language/schema/raw/master/csl-citation.json"}</w:instrText>
      </w:r>
      <w:r w:rsidRPr="008C7C24">
        <w:rPr>
          <w:rFonts w:ascii="Arial" w:hAnsi="Arial" w:cs="Arial"/>
        </w:rPr>
        <w:fldChar w:fldCharType="separate"/>
      </w:r>
      <w:r w:rsidRPr="008C7C24">
        <w:rPr>
          <w:rFonts w:ascii="Arial" w:hAnsi="Arial" w:cs="Arial"/>
          <w:noProof/>
        </w:rPr>
        <w:t xml:space="preserve">(Barnett </w:t>
      </w:r>
      <w:r w:rsidRPr="008C7C24">
        <w:rPr>
          <w:rFonts w:ascii="Arial" w:hAnsi="Arial" w:cs="Arial"/>
          <w:i/>
          <w:noProof/>
        </w:rPr>
        <w:t>et al.</w:t>
      </w:r>
      <w:r w:rsidRPr="008C7C24">
        <w:rPr>
          <w:rFonts w:ascii="Arial" w:hAnsi="Arial" w:cs="Arial"/>
          <w:noProof/>
        </w:rPr>
        <w:t>, 2012)</w:t>
      </w:r>
      <w:r w:rsidRPr="008C7C24">
        <w:rPr>
          <w:rFonts w:ascii="Arial" w:hAnsi="Arial" w:cs="Arial"/>
        </w:rPr>
        <w:fldChar w:fldCharType="end"/>
      </w:r>
      <w:r w:rsidR="004C4E2C" w:rsidRPr="008C7C24">
        <w:rPr>
          <w:rFonts w:ascii="Arial" w:hAnsi="Arial" w:cs="Arial"/>
        </w:rPr>
        <w:t>.</w:t>
      </w:r>
      <w:r w:rsidR="00BF5C2A" w:rsidRPr="008C7C24">
        <w:rPr>
          <w:rFonts w:ascii="Arial" w:hAnsi="Arial" w:cs="Arial"/>
        </w:rPr>
        <w:t xml:space="preserve"> </w:t>
      </w:r>
      <w:r w:rsidR="008C7C24">
        <w:rPr>
          <w:rFonts w:ascii="Arial" w:hAnsi="Arial" w:cs="Arial"/>
        </w:rPr>
        <w:t xml:space="preserve">The elderly population </w:t>
      </w:r>
      <w:r w:rsidR="005F6EF8" w:rsidRPr="008C7C24">
        <w:rPr>
          <w:rFonts w:ascii="Arial" w:hAnsi="Arial" w:cs="Arial"/>
        </w:rPr>
        <w:t xml:space="preserve">are more likely to experience several </w:t>
      </w:r>
      <w:r w:rsidR="00ED4E01" w:rsidRPr="008C7C24">
        <w:rPr>
          <w:rFonts w:ascii="Arial" w:hAnsi="Arial" w:cs="Arial"/>
        </w:rPr>
        <w:t xml:space="preserve">complicated medical </w:t>
      </w:r>
      <w:r w:rsidR="005F6EF8" w:rsidRPr="008C7C24">
        <w:rPr>
          <w:rFonts w:ascii="Arial" w:hAnsi="Arial" w:cs="Arial"/>
        </w:rPr>
        <w:t xml:space="preserve">conditions at the same time </w:t>
      </w:r>
      <w:r w:rsidR="008C7C24">
        <w:rPr>
          <w:rFonts w:ascii="Arial" w:hAnsi="Arial" w:cs="Arial"/>
        </w:rPr>
        <w:t xml:space="preserve">which is </w:t>
      </w:r>
      <w:r w:rsidR="005F6EF8" w:rsidRPr="008C7C24">
        <w:rPr>
          <w:rFonts w:ascii="Arial" w:hAnsi="Arial" w:cs="Arial"/>
        </w:rPr>
        <w:t>commonly called geriatric syndromes</w:t>
      </w:r>
      <w:r w:rsidR="00ED4E01" w:rsidRPr="008C7C24">
        <w:rPr>
          <w:rFonts w:ascii="Arial" w:hAnsi="Arial" w:cs="Arial"/>
        </w:rPr>
        <w:t xml:space="preserve"> </w:t>
      </w:r>
      <w:r w:rsidR="00ED4E01" w:rsidRPr="008C7C24">
        <w:rPr>
          <w:rFonts w:ascii="Arial" w:hAnsi="Arial" w:cs="Arial"/>
        </w:rPr>
        <w:fldChar w:fldCharType="begin" w:fldLock="1"/>
      </w:r>
      <w:r w:rsidR="00ED4E01" w:rsidRPr="008C7C24">
        <w:rPr>
          <w:rFonts w:ascii="Arial" w:hAnsi="Arial" w:cs="Arial"/>
        </w:rPr>
        <w:instrText>ADDIN CSL_CITATION {"citationItems":[{"id":"ITEM-1","itemData":{"DOI":"10.1111/j.1532-5415.2007.01156.x","ISSN":"00028614","PMID":"17493201","abstract":"Geriatricians have embraced the term \"geriatric syndrome,\" using it extensively to highlight the unique features of common health conditions in older people. Geriatric syndromes, such as delirium, falls, incontinence, and frailty, are highly prevalent, multifactorial, and associated with substantial morbidity and poor outcomes. Nevertheless, this central geriatric concept has remained poorly defined. This article reviews criteria for defining geriatric syndromes and proposes a balanced approach of developing preliminary criteria based on peer-reviewed evidence. Based on a review of the literature, four shared risk factors - older age, baseline cognitive impairment, baseline functional impairment, and impaired mobility - were identified across five common geriatric syndromes (pressure ulcers, incontinence, falls, functional decline, and delirium). Understanding basic mechanisms involved in geriatric syndromes will be critical to advancing research and developing targeted therapeutic options, although given the complexity of these multifactorial conditions, attempts to define relevant mechanisms will need to incorporate more-complex models, including a focus on synergistic interactions between different risk factors. Finally, major barriers have been identified in translating research advances, such as preventive strategies of proven effectiveness for delirium and falls, into clinical practice and policy initiatives. National strategic initiatives are required to overcome barriers and to achieve clinical, research, and policy advances that will improve quality of life for older persons. © 2007, The American Geriatrics Society.","author":[{"dropping-particle":"","family":"Inouye","given":"Sharon K.","non-dropping-particle":"","parse-names":false,"suffix":""},{"dropping-particle":"","family":"Studenski","given":"Stephanie","non-dropping-particle":"","parse-names":false,"suffix":""},{"dropping-particle":"","family":"Tinetti","given":"Mary E.","non-dropping-particle":"","parse-names":false,"suffix":""},{"dropping-particle":"","family":"Kuchel","given":"George A.","non-dropping-particle":"","parse-names":false,"suffix":""}],"container-title":"Journal of the American Geriatrics Society","id":"ITEM-1","issue":"5","issued":{"date-parts":[["2007"]]},"page":"780-791","title":"Geriatric syndromes: Clinical, research, and policy implications of a core geriatric concept","type":"article-journal","volume":"55"},"uris":["http://www.mendeley.com/documents/?uuid=0b8888eb-59c0-41a0-b303-cabfe1c14751"]}],"mendeley":{"formattedCitation":"(Inouye &lt;i&gt;et al.&lt;/i&gt;, 2007)","plainTextFormattedCitation":"(Inouye et al., 2007)","previouslyFormattedCitation":"(Inouye &lt;i&gt;et al.&lt;/i&gt;, 2007)"},"properties":{"noteIndex":0},"schema":"https://github.com/citation-style-language/schema/raw/master/csl-citation.json"}</w:instrText>
      </w:r>
      <w:r w:rsidR="00ED4E01" w:rsidRPr="008C7C24">
        <w:rPr>
          <w:rFonts w:ascii="Arial" w:hAnsi="Arial" w:cs="Arial"/>
        </w:rPr>
        <w:fldChar w:fldCharType="separate"/>
      </w:r>
      <w:r w:rsidR="00ED4E01" w:rsidRPr="008C7C24">
        <w:rPr>
          <w:rFonts w:ascii="Arial" w:hAnsi="Arial" w:cs="Arial"/>
          <w:noProof/>
        </w:rPr>
        <w:t>(Inouye et al., 2007)</w:t>
      </w:r>
      <w:r w:rsidR="00ED4E01" w:rsidRPr="008C7C24">
        <w:rPr>
          <w:rFonts w:ascii="Arial" w:hAnsi="Arial" w:cs="Arial"/>
        </w:rPr>
        <w:fldChar w:fldCharType="end"/>
      </w:r>
      <w:r w:rsidR="005F6EF8" w:rsidRPr="008C7C24">
        <w:rPr>
          <w:rFonts w:ascii="Arial" w:hAnsi="Arial" w:cs="Arial"/>
        </w:rPr>
        <w:t xml:space="preserve">. They often </w:t>
      </w:r>
      <w:r w:rsidR="008C7C24">
        <w:rPr>
          <w:rFonts w:ascii="Arial" w:hAnsi="Arial" w:cs="Arial"/>
        </w:rPr>
        <w:t xml:space="preserve">result from </w:t>
      </w:r>
      <w:r w:rsidR="005F6EF8" w:rsidRPr="008C7C24">
        <w:rPr>
          <w:rFonts w:ascii="Arial" w:hAnsi="Arial" w:cs="Arial"/>
        </w:rPr>
        <w:t xml:space="preserve">multiple underlying factors </w:t>
      </w:r>
      <w:r w:rsidR="008C7C24">
        <w:rPr>
          <w:rFonts w:ascii="Arial" w:hAnsi="Arial" w:cs="Arial"/>
        </w:rPr>
        <w:t>that</w:t>
      </w:r>
      <w:r w:rsidR="005F6EF8" w:rsidRPr="008C7C24">
        <w:rPr>
          <w:rFonts w:ascii="Arial" w:hAnsi="Arial" w:cs="Arial"/>
        </w:rPr>
        <w:t xml:space="preserve"> include</w:t>
      </w:r>
      <w:r w:rsidR="008C7C24">
        <w:rPr>
          <w:rFonts w:ascii="Arial" w:hAnsi="Arial" w:cs="Arial"/>
        </w:rPr>
        <w:t>s</w:t>
      </w:r>
      <w:r w:rsidR="005F6EF8" w:rsidRPr="008C7C24">
        <w:rPr>
          <w:rFonts w:ascii="Arial" w:hAnsi="Arial" w:cs="Arial"/>
        </w:rPr>
        <w:t xml:space="preserve"> frailty, urinary incontinence, falls, </w:t>
      </w:r>
      <w:r w:rsidR="008C7C24">
        <w:rPr>
          <w:rFonts w:ascii="Arial" w:hAnsi="Arial" w:cs="Arial"/>
        </w:rPr>
        <w:t xml:space="preserve">functional decline, cognitive impairment, </w:t>
      </w:r>
      <w:proofErr w:type="gramStart"/>
      <w:r w:rsidR="005F6EF8" w:rsidRPr="008C7C24">
        <w:rPr>
          <w:rFonts w:ascii="Arial" w:hAnsi="Arial" w:cs="Arial"/>
        </w:rPr>
        <w:t>delirium</w:t>
      </w:r>
      <w:proofErr w:type="gramEnd"/>
      <w:r w:rsidR="005F6EF8" w:rsidRPr="008C7C24">
        <w:rPr>
          <w:rFonts w:ascii="Arial" w:hAnsi="Arial" w:cs="Arial"/>
        </w:rPr>
        <w:t xml:space="preserve"> and pressure ulcers. Common conditions in older age include hearing loss, cataracts, back and neck pain </w:t>
      </w:r>
      <w:r w:rsidR="008C7C24">
        <w:rPr>
          <w:rFonts w:ascii="Arial" w:hAnsi="Arial" w:cs="Arial"/>
        </w:rPr>
        <w:t>resulting from</w:t>
      </w:r>
      <w:r w:rsidR="005F6EF8" w:rsidRPr="008C7C24">
        <w:rPr>
          <w:rFonts w:ascii="Arial" w:hAnsi="Arial" w:cs="Arial"/>
        </w:rPr>
        <w:t xml:space="preserve"> osteoarthritis, chronic obstructive pulmonary disease, diabetes, depression, dementia and </w:t>
      </w:r>
      <w:r w:rsidR="00A02A35">
        <w:rPr>
          <w:rFonts w:ascii="Arial" w:hAnsi="Arial" w:cs="Arial"/>
        </w:rPr>
        <w:t xml:space="preserve">oropharyngeal </w:t>
      </w:r>
      <w:r w:rsidR="005F6EF8" w:rsidRPr="008C7C24">
        <w:rPr>
          <w:rFonts w:ascii="Arial" w:hAnsi="Arial" w:cs="Arial"/>
        </w:rPr>
        <w:t>dysphagia or difficulties with swallowing</w:t>
      </w:r>
      <w:r w:rsidR="00ED4E01" w:rsidRPr="008C7C24">
        <w:rPr>
          <w:rFonts w:ascii="Arial" w:hAnsi="Arial" w:cs="Arial"/>
        </w:rPr>
        <w:t xml:space="preserve"> </w:t>
      </w:r>
      <w:r w:rsidR="00ED4E01" w:rsidRPr="008C7C24">
        <w:rPr>
          <w:rFonts w:ascii="Arial" w:hAnsi="Arial" w:cs="Arial"/>
        </w:rPr>
        <w:fldChar w:fldCharType="begin" w:fldLock="1"/>
      </w:r>
      <w:r w:rsidR="004C2906">
        <w:rPr>
          <w:rFonts w:ascii="Arial" w:hAnsi="Arial" w:cs="Arial"/>
        </w:rPr>
        <w:instrText>ADDIN CSL_CITATION {"citationItems":[{"id":"ITEM-1","itemData":{"author":[{"dropping-particle":"","family":"World Helath Organisation","given":"","non-dropping-particle":"","parse-names":false,"suffix":""}],"id":"ITEM-1","issued":{"date-parts":[["2021"]]},"title":"Ageing and Health","type":"webpage"},"uris":["http://www.mendeley.com/documents/?uuid=a95c906c-4122-46f7-9f15-3002f3b2db40"]}],"mendeley":{"formattedCitation":"(World Helath Organisation, 2021)","plainTextFormattedCitation":"(World Helath Organisation, 2021)","previouslyFormattedCitation":"(World Helath Organisation, 2021)"},"properties":{"noteIndex":0},"schema":"https://github.com/citation-style-language/schema/raw/master/csl-citation.json"}</w:instrText>
      </w:r>
      <w:r w:rsidR="00ED4E01" w:rsidRPr="008C7C24">
        <w:rPr>
          <w:rFonts w:ascii="Arial" w:hAnsi="Arial" w:cs="Arial"/>
        </w:rPr>
        <w:fldChar w:fldCharType="separate"/>
      </w:r>
      <w:r w:rsidR="00ED4E01" w:rsidRPr="008C7C24">
        <w:rPr>
          <w:rFonts w:ascii="Arial" w:hAnsi="Arial" w:cs="Arial"/>
          <w:noProof/>
        </w:rPr>
        <w:t>(World Helath Organisation, 2021)</w:t>
      </w:r>
      <w:r w:rsidR="00ED4E01" w:rsidRPr="008C7C24">
        <w:rPr>
          <w:rFonts w:ascii="Arial" w:hAnsi="Arial" w:cs="Arial"/>
        </w:rPr>
        <w:fldChar w:fldCharType="end"/>
      </w:r>
      <w:r w:rsidR="008C7C24">
        <w:rPr>
          <w:rFonts w:ascii="Arial" w:hAnsi="Arial" w:cs="Arial"/>
        </w:rPr>
        <w:t>.</w:t>
      </w:r>
      <w:r w:rsidR="00A02A35">
        <w:rPr>
          <w:rFonts w:ascii="Arial" w:hAnsi="Arial" w:cs="Arial"/>
        </w:rPr>
        <w:t xml:space="preserve"> </w:t>
      </w:r>
    </w:p>
    <w:p w14:paraId="37C4AFE9" w14:textId="3035C736" w:rsidR="005F6EF8" w:rsidRPr="008C7C24" w:rsidRDefault="005F6EF8" w:rsidP="00741D0E">
      <w:pPr>
        <w:jc w:val="both"/>
        <w:rPr>
          <w:rFonts w:ascii="Arial" w:hAnsi="Arial" w:cs="Arial"/>
        </w:rPr>
      </w:pPr>
    </w:p>
    <w:p w14:paraId="230EDDDC" w14:textId="5ACBA902" w:rsidR="00A42F28" w:rsidRPr="00ED4E01" w:rsidRDefault="00A42F28" w:rsidP="00741D0E">
      <w:pPr>
        <w:jc w:val="both"/>
        <w:rPr>
          <w:rFonts w:ascii="Arial" w:hAnsi="Arial" w:cs="Arial"/>
        </w:rPr>
      </w:pPr>
    </w:p>
    <w:p w14:paraId="6F54F00F" w14:textId="5A2E66F4" w:rsidR="00A941EB" w:rsidRDefault="00E750C8" w:rsidP="00741D0E">
      <w:pPr>
        <w:jc w:val="both"/>
        <w:rPr>
          <w:rFonts w:ascii="Arial" w:hAnsi="Arial" w:cs="Arial"/>
          <w:b/>
          <w:bCs/>
          <w:i/>
          <w:iCs/>
        </w:rPr>
      </w:pPr>
      <w:r w:rsidRPr="00A02A35">
        <w:rPr>
          <w:rFonts w:ascii="Arial" w:hAnsi="Arial" w:cs="Arial"/>
        </w:rPr>
        <w:t xml:space="preserve">The European Union Geriatric Medicine Society, recognized </w:t>
      </w:r>
      <w:r w:rsidR="008C7C24" w:rsidRPr="00A02A35">
        <w:rPr>
          <w:rFonts w:ascii="Arial" w:hAnsi="Arial" w:cs="Arial"/>
        </w:rPr>
        <w:t xml:space="preserve">oropharyngeal </w:t>
      </w:r>
      <w:r w:rsidRPr="00A02A35">
        <w:rPr>
          <w:rFonts w:ascii="Arial" w:hAnsi="Arial" w:cs="Arial"/>
        </w:rPr>
        <w:t xml:space="preserve">dysphagia as a geriatric syndrome </w:t>
      </w:r>
      <w:r w:rsidR="008C7C24" w:rsidRPr="00A02A35">
        <w:rPr>
          <w:rFonts w:ascii="Arial" w:hAnsi="Arial" w:cs="Arial"/>
        </w:rPr>
        <w:t>in the</w:t>
      </w:r>
      <w:r w:rsidRPr="00A02A35">
        <w:rPr>
          <w:rFonts w:ascii="Arial" w:hAnsi="Arial" w:cs="Arial"/>
        </w:rPr>
        <w:t xml:space="preserve"> European Union Geriatric Medicine Society</w:t>
      </w:r>
      <w:r w:rsidR="008C7C24" w:rsidRPr="00A02A35">
        <w:rPr>
          <w:rFonts w:ascii="Arial" w:hAnsi="Arial" w:cs="Arial"/>
        </w:rPr>
        <w:t xml:space="preserve"> </w:t>
      </w:r>
      <w:r w:rsidR="008C7C24" w:rsidRPr="00A02A35">
        <w:rPr>
          <w:rFonts w:ascii="Arial" w:hAnsi="Arial" w:cs="Arial"/>
        </w:rPr>
        <w:fldChar w:fldCharType="begin" w:fldLock="1"/>
      </w:r>
      <w:r w:rsidR="008C7C24" w:rsidRPr="00A02A35">
        <w:rPr>
          <w:rFonts w:ascii="Arial" w:hAnsi="Arial" w:cs="Arial"/>
        </w:rPr>
        <w:instrText>ADDIN CSL_CITATION {"citationItems":[{"id":"ITEM-1","itemData":{"DOI":"10.2147/CIA.S107750","ISSN":"11781998","PMID":"27785002","abstract":"This position document has been developed by the Dysphagia Working Group, a committee of members from the European Society for Swallowing Disorders and the European Union Geriatric Medicine Society, and invited experts. It consists of 12 sections that cover all aspects of clinical management of oropharyngeal dysphagia (OD) related to geriatric medicine and discusses prevalence, quality of life, and legal and ethical issues, as well as health economics and social burden. OD constitutes impaired or uncomfortable transit of food or liquids from the oral cavity to the esophagus, and it is included in the World Health Organization’s classification of diseases. It can cause severe complications such as malnutrition, dehydration, respiratory infections, aspiration pneumonia, and increased readmissions, institutionalization, and morbimortality. OD is a prevalent and serious problem among all phenotypes of older patients as oropharyngeal swallow response is impaired in older people and can cause aspiration. Despite its prevalence and severity, OD is still underdiagnosed and untreated in many medical centers. There are several validated clinical and instrumental methods (videofluoroscopy and fiberoptic endoscopic evaluation of swallowing) to diagnose OD, and treatment is mainly based on compensatory measures, although new treatments to stimulate the oropharyngeal swallow response are under research. OD matches the definition of a geriatric syndrome as it is highly prevalent among older people, is caused by multiple factors, is associated with several comorbidities and poor prognosis, and needs a multidimensional approach to be treated. OD should be given more importance and attention and thus be included in all standard screening protocols, treated, and regularly monitored to prevent its main complications. More research is needed to develop and standardize new treatments and management protocols for older patients with OD, which is a challenging mission for our societies.","author":[{"dropping-particle":"","family":"Baijens","given":"Laura W.J.","non-dropping-particle":"","parse-names":false,"suffix":""},{"dropping-particle":"","family":"Clavé","given":"Pere","non-dropping-particle":"","parse-names":false,"suffix":""},{"dropping-particle":"","family":"Cras","given":"Patrick","non-dropping-particle":"","parse-names":false,"suffix":""},{"dropping-particle":"","family":"Ekberg","given":"Olle","non-dropping-particle":"","parse-names":false,"suffix":""},{"dropping-particle":"","family":"Forster","given":"Alexandre","non-dropping-particle":"","parse-names":false,"suffix":""},{"dropping-particle":"","family":"Kolb","given":"Gerald F.","non-dropping-particle":"","parse-names":false,"suffix":""},{"dropping-particle":"","family":"Leners","given":"Jean Claude","non-dropping-particle":"","parse-names":false,"suffix":""},{"dropping-particle":"","family":"Masiero","given":"Stefano","non-dropping-particle":"","parse-names":false,"suffix":""},{"dropping-particle":"","family":"Mateos-Nozal","given":"Jesús","non-dropping-particle":"","parse-names":false,"suffix":""},{"dropping-particle":"","family":"Ortega","given":"Omar","non-dropping-particle":"","parse-names":false,"suffix":""},{"dropping-particle":"","family":"Smithard","given":"David G.","non-dropping-particle":"","parse-names":false,"suffix":""},{"dropping-particle":"","family":"Speyer","given":"Renée","non-dropping-particle":"","parse-names":false,"suffix":""},{"dropping-particle":"","family":"Walshe","given":"Margaret","non-dropping-particle":"","parse-names":false,"suffix":""}],"container-title":"Clinical Interventions in Aging","id":"ITEM-1","issued":{"date-parts":[["2016"]]},"page":"1403-1428","title":"European society for swallowing disorders - European union geriatric medicine society white paper: Oropharyngeal dysphagia as a geriatric syndrome","type":"article-journal","volume":"11"},"uris":["http://www.mendeley.com/documents/?uuid=dabfc3ef-e10d-41d4-b4a7-7e52e012ce14"]}],"mendeley":{"formattedCitation":"(Baijens &lt;i&gt;et al.&lt;/i&gt;, 2016)","plainTextFormattedCitation":"(Baijens et al., 2016)","previouslyFormattedCitation":"(Baijens &lt;i&gt;et al.&lt;/i&gt;, 2016)"},"properties":{"noteIndex":0},"schema":"https://github.com/citation-style-language/schema/raw/master/csl-citation.json"}</w:instrText>
      </w:r>
      <w:r w:rsidR="008C7C24" w:rsidRPr="00A02A35">
        <w:rPr>
          <w:rFonts w:ascii="Arial" w:hAnsi="Arial" w:cs="Arial"/>
        </w:rPr>
        <w:fldChar w:fldCharType="separate"/>
      </w:r>
      <w:r w:rsidR="008C7C24" w:rsidRPr="00A02A35">
        <w:rPr>
          <w:rFonts w:ascii="Arial" w:hAnsi="Arial" w:cs="Arial"/>
          <w:noProof/>
        </w:rPr>
        <w:t>(Baijens et al., 2016)</w:t>
      </w:r>
      <w:r w:rsidR="008C7C24" w:rsidRPr="00A02A35">
        <w:rPr>
          <w:rFonts w:ascii="Arial" w:hAnsi="Arial" w:cs="Arial"/>
        </w:rPr>
        <w:fldChar w:fldCharType="end"/>
      </w:r>
      <w:r w:rsidR="008C7C24" w:rsidRPr="00A02A35">
        <w:rPr>
          <w:rFonts w:ascii="Arial" w:hAnsi="Arial" w:cs="Arial"/>
        </w:rPr>
        <w:t xml:space="preserve">. Oropharyngeal dysphagia pertains to </w:t>
      </w:r>
      <w:r w:rsidR="004C2906" w:rsidRPr="00A02A35">
        <w:rPr>
          <w:rFonts w:ascii="Arial" w:hAnsi="Arial" w:cs="Arial"/>
        </w:rPr>
        <w:t xml:space="preserve">any disruption of the swallowing process that leads to </w:t>
      </w:r>
      <w:r w:rsidR="008C7C24" w:rsidRPr="00A02A35">
        <w:rPr>
          <w:rFonts w:ascii="Arial" w:hAnsi="Arial" w:cs="Arial"/>
        </w:rPr>
        <w:t xml:space="preserve">difficulties with eating and drinking. It is characterised by impaired </w:t>
      </w:r>
      <w:r w:rsidR="004C2906" w:rsidRPr="00A02A35">
        <w:rPr>
          <w:rFonts w:ascii="Arial" w:hAnsi="Arial" w:cs="Arial"/>
        </w:rPr>
        <w:t xml:space="preserve">preparation and </w:t>
      </w:r>
      <w:r w:rsidR="008C7C24" w:rsidRPr="00A02A35">
        <w:rPr>
          <w:rFonts w:ascii="Arial" w:hAnsi="Arial" w:cs="Arial"/>
        </w:rPr>
        <w:t xml:space="preserve">transit of food or liquid from the mouth to the stomach. </w:t>
      </w:r>
      <w:r w:rsidR="00A941EB">
        <w:rPr>
          <w:rFonts w:ascii="Arial" w:hAnsi="Arial" w:cs="Arial"/>
        </w:rPr>
        <w:t>It can be due to</w:t>
      </w:r>
      <w:r w:rsidR="00A941EB" w:rsidRPr="00A941EB">
        <w:rPr>
          <w:rFonts w:ascii="Arial" w:hAnsi="Arial" w:cs="Arial"/>
        </w:rPr>
        <w:t xml:space="preserve"> </w:t>
      </w:r>
      <w:r w:rsidR="00A941EB" w:rsidRPr="00A02A35">
        <w:rPr>
          <w:rFonts w:ascii="Arial" w:hAnsi="Arial" w:cs="Arial"/>
        </w:rPr>
        <w:t xml:space="preserve">age-related changes in the swallowing mechanism due to loss of muscle mass and strength. </w:t>
      </w:r>
      <w:r w:rsidR="006F2E74" w:rsidRPr="006F2E74">
        <w:rPr>
          <w:rFonts w:ascii="Arial" w:hAnsi="Arial" w:cs="Arial"/>
        </w:rPr>
        <w:t xml:space="preserve">It </w:t>
      </w:r>
      <w:r w:rsidR="006F2E74" w:rsidRPr="006F2E74">
        <w:rPr>
          <w:rFonts w:ascii="Arial" w:hAnsi="Arial" w:cs="Arial"/>
        </w:rPr>
        <w:t>is known to precipitate malnutrition and affect compliance with medication that can significantly reduce quality of life</w:t>
      </w:r>
      <w:r w:rsidR="006F2E74">
        <w:rPr>
          <w:rFonts w:ascii="Arial" w:hAnsi="Arial" w:cs="Arial"/>
        </w:rPr>
        <w:t>.</w:t>
      </w:r>
      <w:r w:rsidR="006F2E74" w:rsidRPr="006F2E74">
        <w:rPr>
          <w:rFonts w:ascii="Arial" w:hAnsi="Arial" w:cs="Arial"/>
        </w:rPr>
        <w:t xml:space="preserve"> </w:t>
      </w:r>
      <w:r w:rsidR="008C7C24" w:rsidRPr="006F2E74">
        <w:rPr>
          <w:rFonts w:ascii="Arial" w:hAnsi="Arial" w:cs="Arial"/>
        </w:rPr>
        <w:t xml:space="preserve">It can cause severe </w:t>
      </w:r>
      <w:r w:rsidR="004C2906" w:rsidRPr="006F2E74">
        <w:rPr>
          <w:rFonts w:ascii="Arial" w:hAnsi="Arial" w:cs="Arial"/>
        </w:rPr>
        <w:t>malnutrition, respiratory infection, increased</w:t>
      </w:r>
      <w:r w:rsidR="004C2906" w:rsidRPr="00A02A35">
        <w:rPr>
          <w:rFonts w:ascii="Arial" w:hAnsi="Arial" w:cs="Arial"/>
        </w:rPr>
        <w:t xml:space="preserve"> readmissions, dehydration, institutionalization, aspiration pneumonia and potential death </w:t>
      </w:r>
      <w:r w:rsidR="004C2906" w:rsidRPr="00A02A35">
        <w:rPr>
          <w:rFonts w:ascii="Arial" w:hAnsi="Arial" w:cs="Arial"/>
          <w:b/>
          <w:bCs/>
          <w:i/>
          <w:iCs/>
        </w:rPr>
        <w:fldChar w:fldCharType="begin" w:fldLock="1"/>
      </w:r>
      <w:r w:rsidR="00A941EB">
        <w:rPr>
          <w:rFonts w:ascii="Arial" w:hAnsi="Arial" w:cs="Arial"/>
          <w:b/>
          <w:bCs/>
          <w:i/>
          <w:iCs/>
        </w:rPr>
        <w:instrText>ADDIN CSL_CITATION {"citationItems":[{"id":"ITEM-1","itemData":{"author":[{"dropping-particle":"","family":"Cichero","given":"J.","non-dropping-particle":"","parse-names":false,"suffix":""},{"dropping-particle":"","family":"Altman","given":"K.W.","non-dropping-particle":"","parse-names":false,"suffix":""}],"container-title":"72nd Nestlé Nutrition Institute Workshop","editor":[{"dropping-particle":"","family":"Cichero","given":"J.","non-dropping-particle":"","parse-names":false,"suffix":""},{"dropping-particle":"","family":"Clavé","given":"P.","non-dropping-particle":"","parse-names":false,"suffix":""}],"id":"ITEM-1","issued":{"date-parts":[["2011"]]},"page":"12","publisher-place":"Barcelona","title":"Definition, Prevalence and Burden of Oropharyngeal Dysphagia: A Serious Problem among Older Adults Worldwide and the Impact on Prognosis and Hospital Resources","type":"paper-conference"},"uris":["http://www.mendeley.com/documents/?uuid=15551775-5faf-4246-a9dd-f2680cc249b6"]}],"mendeley":{"formattedCitation":"(Cichero and Altman, 2011)","plainTextFormattedCitation":"(Cichero and Altman, 2011)","previouslyFormattedCitation":"(Cichero and Altman, 2011)"},"properties":{"noteIndex":0},"schema":"https://github.com/citation-style-language/schema/raw/master/csl-citation.json"}</w:instrText>
      </w:r>
      <w:r w:rsidR="004C2906" w:rsidRPr="00A02A35">
        <w:rPr>
          <w:rFonts w:ascii="Arial" w:hAnsi="Arial" w:cs="Arial"/>
          <w:b/>
          <w:bCs/>
          <w:i/>
          <w:iCs/>
        </w:rPr>
        <w:fldChar w:fldCharType="separate"/>
      </w:r>
      <w:r w:rsidR="004C2906" w:rsidRPr="00A02A35">
        <w:rPr>
          <w:rFonts w:ascii="Arial" w:hAnsi="Arial" w:cs="Arial"/>
          <w:bCs/>
          <w:iCs/>
          <w:noProof/>
        </w:rPr>
        <w:t>(Cichero and Altman, 2011)</w:t>
      </w:r>
      <w:r w:rsidR="004C2906" w:rsidRPr="00A02A35">
        <w:rPr>
          <w:rFonts w:ascii="Arial" w:hAnsi="Arial" w:cs="Arial"/>
          <w:b/>
          <w:bCs/>
          <w:i/>
          <w:iCs/>
        </w:rPr>
        <w:fldChar w:fldCharType="end"/>
      </w:r>
      <w:r w:rsidR="004C2906" w:rsidRPr="00A02A35">
        <w:rPr>
          <w:rFonts w:ascii="Arial" w:hAnsi="Arial" w:cs="Arial"/>
          <w:b/>
          <w:bCs/>
          <w:i/>
          <w:iCs/>
        </w:rPr>
        <w:t>.</w:t>
      </w:r>
    </w:p>
    <w:p w14:paraId="610155F7" w14:textId="77777777" w:rsidR="00A941EB" w:rsidRDefault="00A941EB" w:rsidP="00741D0E">
      <w:pPr>
        <w:jc w:val="both"/>
        <w:rPr>
          <w:rFonts w:ascii="Arial" w:hAnsi="Arial" w:cs="Arial"/>
          <w:b/>
          <w:bCs/>
          <w:i/>
          <w:iCs/>
        </w:rPr>
      </w:pPr>
    </w:p>
    <w:p w14:paraId="4DB99ED7" w14:textId="23CBB749" w:rsidR="00A02A35" w:rsidRPr="00E60269" w:rsidRDefault="00A02A35" w:rsidP="00E60269">
      <w:pPr>
        <w:pStyle w:val="NormalWeb"/>
        <w:jc w:val="both"/>
        <w:rPr>
          <w:rFonts w:ascii="Arial" w:hAnsi="Arial" w:cs="Arial"/>
        </w:rPr>
      </w:pPr>
      <w:r w:rsidRPr="00A02A35">
        <w:rPr>
          <w:rFonts w:ascii="Arial" w:hAnsi="Arial" w:cs="Arial"/>
        </w:rPr>
        <w:t xml:space="preserve">Oropharyngeal dysphagia </w:t>
      </w:r>
      <w:r>
        <w:rPr>
          <w:rFonts w:ascii="Arial" w:hAnsi="Arial" w:cs="Arial"/>
        </w:rPr>
        <w:t xml:space="preserve">is an important health concern for elderly populations as this is </w:t>
      </w:r>
      <w:r w:rsidRPr="00ED4E01">
        <w:rPr>
          <w:rFonts w:ascii="Arial" w:hAnsi="Arial" w:cs="Arial"/>
        </w:rPr>
        <w:t>it is highly prevalent among older people</w:t>
      </w:r>
      <w:r w:rsidR="00A941EB">
        <w:rPr>
          <w:rFonts w:ascii="Arial" w:hAnsi="Arial" w:cs="Arial"/>
        </w:rPr>
        <w:t xml:space="preserve">. </w:t>
      </w:r>
      <w:r w:rsidR="00A941EB" w:rsidRPr="00A02A35">
        <w:rPr>
          <w:rFonts w:ascii="Arial" w:hAnsi="Arial" w:cs="Arial"/>
        </w:rPr>
        <w:t xml:space="preserve">It </w:t>
      </w:r>
      <w:r w:rsidR="00A941EB" w:rsidRPr="00A02A35">
        <w:rPr>
          <w:rFonts w:ascii="Arial" w:hAnsi="Arial" w:cs="Arial"/>
          <w:shd w:val="clear" w:color="auto" w:fill="FFFFFF"/>
        </w:rPr>
        <w:t xml:space="preserve">is estimated that it affects </w:t>
      </w:r>
      <w:r w:rsidR="00A941EB" w:rsidRPr="00A02A35">
        <w:rPr>
          <w:rFonts w:ascii="Arial" w:hAnsi="Arial" w:cs="Arial"/>
        </w:rPr>
        <w:t>up to 13% of adults aged 65 and 11.4% of ‘healthy’ community dwelling older population</w:t>
      </w:r>
      <w:r w:rsidR="00741D0E">
        <w:rPr>
          <w:rFonts w:ascii="Arial" w:hAnsi="Arial" w:cs="Arial"/>
          <w:color w:val="FF0000"/>
        </w:rPr>
        <w:t xml:space="preserve"> </w:t>
      </w:r>
      <w:r w:rsidR="00741D0E">
        <w:rPr>
          <w:rFonts w:ascii="Arial" w:hAnsi="Arial" w:cs="Arial"/>
        </w:rPr>
        <w:fldChar w:fldCharType="begin" w:fldLock="1"/>
      </w:r>
      <w:r w:rsidR="00C264CA">
        <w:rPr>
          <w:rFonts w:ascii="Arial" w:hAnsi="Arial" w:cs="Arial"/>
        </w:rPr>
        <w:instrText>ADDIN CSL_CITATION {"citationItems":[{"id":"ITEM-1","itemData":{"DOI":"10.1007/s12603-016-0712-3","ISSN":"17604788","PMID":"27709229","abstract":"Objectives: This review clarifies current information regarding the prevalence of and risk factors associated with dysphagia (swallowing disorders) in the community dwelling elderly (CDE). A better understanding of prevalence and characteristics of dysphagia in the CDE will help to determine the scope of this problem. Understanding the scope of dysphagia is a critical first step towards early identification, management, and prevention of dysphagia related morbidities in the CDE. Methods: Studies identified from multiple electronic databases (MEDLINE (Pubmed), PsychInfo, Google Scholar, EBSCO, PROQUEST, Web of Science and WorldCat dissertations and theses) evaluating prevalence and risk factors for dysphagia in the CDE were reviewed. Data from all eligible studies were abstracted by the first author and independently reviewed by two raters, using the Newcastle-Ottawa scale (NOS). Results: 15 studies (n = 9947 participants) were eligible for inclusion. Studies included were all observational: 14 cross-sectional and 1 prospective cohort. Significant heterogeneity was observed in methodology among studies of dysphagia in the CDE. The average NOS study quality rating was 4.54 points (SD: 0.9), with a mode of 4 points (range 3-6). Only 6 of the 15 studies were identified as high quality research studies, with a mean of 5.33 points (SD: 0.47). Among reviewed studies, the prevalence of swallowing difficulty in the CDE ranged from 5% to 72%. However, the average prevalence of dysphagia estimated from the 6 high quality studies was 15%. Reported risk factors associated with dysphagia include advancing age; history of clinical disease; and physical frailty, including reduced ability to carry out activities of daily living. Conclusion: Research on dysphagia in CDE is modest and consists mostly of observational studies with diverse methodology. However, prevalence rate of 15% from the high quality research suggests a significant public health impact of this impairment. Identification of specific risk factors that cause dysphagia in the CDE is premature, given the rigor of published studies. Future research efforts should focus on developing a valid definition and assessment of dysphagia in this population before clarifying causative risk factors.","author":[{"dropping-particle":"","family":"Madhavan","given":"Aarthi","non-dropping-particle":"","parse-names":false,"suffix":""},{"dropping-particle":"","family":"Lagorio","given":"L. A.","non-dropping-particle":"","parse-names":false,"suffix":""},{"dropping-particle":"","family":"Crary","given":"M. A.","non-dropping-particle":"","parse-names":false,"suffix":""},{"dropping-particle":"","family":"Dahl","given":"W. J.","non-dropping-particle":"","parse-names":false,"suffix":""},{"dropping-particle":"","family":"Carnaby","given":"G. D.","non-dropping-particle":"","parse-names":false,"suffix":""}],"container-title":"Journal of Nutrition, Health and Aging","id":"ITEM-1","issue":"8","issued":{"date-parts":[["2016"]]},"page":"806-815","title":"Prevalence of and risk factors for dysphagia in the community dwelling elderly: A systematic review","type":"article-journal","volume":"20"},"uris":["http://www.mendeley.com/documents/?uuid=fddb8f93-0bba-490e-9f51-9af88942936b"]}],"mendeley":{"formattedCitation":"(Madhavan &lt;i&gt;et al.&lt;/i&gt;, 2016)","plainTextFormattedCitation":"(Madhavan et al., 2016)","previouslyFormattedCitation":"(Madhavan &lt;i&gt;et al.&lt;/i&gt;, 2016)"},"properties":{"noteIndex":0},"schema":"https://github.com/citation-style-language/schema/raw/master/csl-citation.json"}</w:instrText>
      </w:r>
      <w:r w:rsidR="00741D0E">
        <w:rPr>
          <w:rFonts w:ascii="Arial" w:hAnsi="Arial" w:cs="Arial"/>
        </w:rPr>
        <w:fldChar w:fldCharType="separate"/>
      </w:r>
      <w:r w:rsidR="00741D0E" w:rsidRPr="00741D0E">
        <w:rPr>
          <w:rFonts w:ascii="Arial" w:hAnsi="Arial" w:cs="Arial"/>
          <w:noProof/>
        </w:rPr>
        <w:t xml:space="preserve">(Madhavan </w:t>
      </w:r>
      <w:r w:rsidR="00741D0E" w:rsidRPr="00741D0E">
        <w:rPr>
          <w:rFonts w:ascii="Arial" w:hAnsi="Arial" w:cs="Arial"/>
          <w:i/>
          <w:noProof/>
        </w:rPr>
        <w:t>et al.</w:t>
      </w:r>
      <w:r w:rsidR="00741D0E" w:rsidRPr="00741D0E">
        <w:rPr>
          <w:rFonts w:ascii="Arial" w:hAnsi="Arial" w:cs="Arial"/>
          <w:noProof/>
        </w:rPr>
        <w:t>, 2016)</w:t>
      </w:r>
      <w:r w:rsidR="00741D0E">
        <w:rPr>
          <w:rFonts w:ascii="Arial" w:hAnsi="Arial" w:cs="Arial"/>
        </w:rPr>
        <w:fldChar w:fldCharType="end"/>
      </w:r>
      <w:r w:rsidR="00741D0E">
        <w:rPr>
          <w:rFonts w:ascii="Arial" w:hAnsi="Arial" w:cs="Arial"/>
        </w:rPr>
        <w:t xml:space="preserve">. </w:t>
      </w:r>
      <w:r w:rsidR="00A941EB">
        <w:rPr>
          <w:rFonts w:ascii="Arial" w:hAnsi="Arial" w:cs="Arial"/>
        </w:rPr>
        <w:t>Particularly vulnerable to dysphagia are individuals with cognitive</w:t>
      </w:r>
      <w:r w:rsidR="006F2E74">
        <w:rPr>
          <w:rFonts w:ascii="Arial" w:hAnsi="Arial" w:cs="Arial"/>
        </w:rPr>
        <w:t xml:space="preserve"> </w:t>
      </w:r>
      <w:r w:rsidR="00A941EB">
        <w:rPr>
          <w:rFonts w:ascii="Arial" w:hAnsi="Arial" w:cs="Arial"/>
        </w:rPr>
        <w:t xml:space="preserve">impairment and those residing in assisted-living facilities, of which </w:t>
      </w:r>
      <w:r w:rsidR="00741D0E">
        <w:rPr>
          <w:rFonts w:ascii="Arial" w:hAnsi="Arial" w:cs="Arial"/>
        </w:rPr>
        <w:t xml:space="preserve">at least </w:t>
      </w:r>
      <w:r w:rsidR="00A941EB">
        <w:rPr>
          <w:rFonts w:ascii="Arial" w:hAnsi="Arial" w:cs="Arial"/>
        </w:rPr>
        <w:t xml:space="preserve">50% </w:t>
      </w:r>
      <w:r w:rsidR="00A941EB">
        <w:rPr>
          <w:rFonts w:ascii="Arial" w:hAnsi="Arial" w:cs="Arial"/>
        </w:rPr>
        <w:lastRenderedPageBreak/>
        <w:t>experience swallowing</w:t>
      </w:r>
      <w:r w:rsidR="00741D0E">
        <w:rPr>
          <w:rFonts w:ascii="Arial" w:hAnsi="Arial" w:cs="Arial"/>
        </w:rPr>
        <w:t xml:space="preserve"> </w:t>
      </w:r>
      <w:r w:rsidR="00A941EB">
        <w:rPr>
          <w:rFonts w:ascii="Arial" w:hAnsi="Arial" w:cs="Arial"/>
        </w:rPr>
        <w:t xml:space="preserve">difficulties on a daily basis </w:t>
      </w:r>
      <w:r w:rsidR="00C264CA">
        <w:rPr>
          <w:rFonts w:ascii="Arial" w:hAnsi="Arial" w:cs="Arial"/>
        </w:rPr>
        <w:fldChar w:fldCharType="begin" w:fldLock="1"/>
      </w:r>
      <w:r w:rsidR="00C264CA">
        <w:rPr>
          <w:rFonts w:ascii="Arial" w:hAnsi="Arial" w:cs="Arial"/>
        </w:rPr>
        <w:instrText>ADDIN CSL_CITATION {"citationItems":[{"id":"ITEM-1","itemData":{"ISSN":"0030-6665","author":[{"dropping-particle":"","family":"Nawaz","given":"Samia","non-dropping-particle":"","parse-names":false,"suffix":""},{"dropping-particle":"","family":"Tulunay-Ugur","given":"Ozlem E","non-dropping-particle":"","parse-names":false,"suffix":""}],"container-title":"Otolaryngologic Clinics of North America","id":"ITEM-1","issue":"4","issued":{"date-parts":[["2018"]]},"note":"multidisciplinary approach to dysphagia in the elderly","page":"769-777","publisher":"Elsevier","title":"Dysphagia in the older patient","type":"article-journal","volume":"51"},"uris":["http://www.mendeley.com/documents/?uuid=b694df64-8f04-4cbe-b5a5-e8b8e4da112e"]},{"id":"ITEM-2","itemData":{"DOI":"10.1111/1747-0080.12619","ISSN":"17470080","PMID":"32596950","abstract":"It is the position of Dietitians Australia that clients can receive high-quality and effective dietetic services such as Medical Nutrition Therapy (MNT) delivered via telehealth. Outcomes of telehealth-delivered dietetic consultations are comparable to those delivered in-person, without requiring higher levels of additional training nor compromising quality of service provision. Dietitians Australia recommends that policy makers and healthcare funders broaden the recognition for telehealth-delivered dietetic consultations as a responsive and cost-effective alternative or complement to traditional in-person delivery of dietetic services. The successful implementation of telehealth can help to address health and service inequalities, improve access to effective nutrition services, and support people with chronic disease to optimise their diet-related health and well-being, regardless of their location, income or literacy level, thereby addressing current inequities.","author":[{"dropping-particle":"","family":"Kelly","given":"Jaimon T.","non-dropping-particle":"","parse-names":false,"suffix":""},{"dropping-particle":"","family":"Allman-Farinelli","given":"Margaret","non-dropping-particle":"","parse-names":false,"suffix":""},{"dropping-particle":"","family":"Chen","given":"Juliana","non-dropping-particle":"","parse-names":false,"suffix":""},{"dropping-particle":"","family":"Partridge","given":"Stephanie R.","non-dropping-particle":"","parse-names":false,"suffix":""},{"dropping-particle":"","family":"Collins","given":"Clare","non-dropping-particle":"","parse-names":false,"suffix":""},{"dropping-particle":"","family":"Rollo","given":"Megan","non-dropping-particle":"","parse-names":false,"suffix":""},{"dropping-particle":"","family":"Haslam","given":"Rebecca","non-dropping-particle":"","parse-names":false,"suffix":""},{"dropping-particle":"","family":"Diversi","given":"Tara","non-dropping-particle":"","parse-names":false,"suffix":""},{"dropping-particle":"","family":"Campbell","given":"Katrina L.","non-dropping-particle":"","parse-names":false,"suffix":""}],"container-title":"Nutrition and Dietetics","id":"ITEM-2","issue":"4","issued":{"date-parts":[["2020"]]},"page":"406-415","title":"Dietitians Australia position statement on telehealth","type":"article-journal","volume":"77"},"uris":["http://www.mendeley.com/documents/?uuid=b75a3541-44f5-40ee-a0df-89bfa255d18c"]},{"id":"ITEM-3","itemData":{"DOI":"10.1186/s12877-020-01752-z","ISSN":"14712318","PMID":"32943011","abstract":"Background: Dysphagia is a common health care problem and poses significant risks including mortality and hospitalization. China has many unsolved long-term care problems, as it is a developing country with the largest ageing population in the world. The present study aimed to identify the prevalence and risk factors of dysphagia among nursing home residents in China to direct caregivers towards preventative and corrective actions. Methods: Data were collected from 18 public or private nursing homes in 9 districts of Nanjing, China. A total of 775 older adults (aged 60 ~ 105 years old; 60.6% female) were recruited. Each participant underwent a standardized face-to-face interview by at least 2 investigators. The presence of risk of dysphagia was assessed using the Chinese version of the EAT-10 scale. The Barthel Index (BI) was used to evaluate functional status. Additionally, demographic and health-related characteristics were collected from the participants and their medical files. Univariate analyses were first used to find out candidate risk factors, followed by binary logistic regression analyses to determine reliable impact factors after adjusting for confounders. Results: Out of 775 older adults, the prevalence of dysphagia risk was calculated to be 31.1%. A total of 85.0% of the older adults reported at least one chronic disease, and diseases with the highest prevalence were hypertension (49.5%), stroke (40.4%), diabetes (25.5%) and dementia (18.2%). Approximately 11.9% of participants received tube feeding. The mean BI score was 56.2 (SD = 38.3). Risk factors for dysphagia were texture of diet (OR = 2.978, p ≤ 0.01), BI level (OR = 1.418, p ≤ 0.01), history of aspiration, pneumonia and heart attack (OR = 22.962, 4.909, 3.804, respectively, p ≤ 0.01), types of oral medication (OR = 1.723, p ≤ 0.05) and Parkinson disease (OR = 2.566, p ≤ 0.05). Conclusions: A serious risk of dysphagia was observed among Chinese nursing home residents. Overall, nursing home residents were moderately dependent, according to the BI level. The risk for dysphagia increased with thinner diet texture, worse functional status, history of aspiration, pneumonia and heart attack, more oral medications and Parkinson disease. The findings of our study may serve to urge nursing home staff to pay more attention to the swallowing function of all residents and to take more actions in advance to prevent or reduce dysphagia.","author":[{"dropping-particle":"","family":"Chen","given":"Shen","non-dropping-particle":"","parse-names":false,"suffix":""},{"dropping-particle":"","family":"Cui","given":"Yan","non-dropping-particle":"","parse-names":false,"suffix":""},{"dropping-particle":"","family":"Ding","given":"Yaping","non-dropping-particle":"","parse-names":false,"suffix":""},{"dropping-particle":"","family":"Sun","given":"Changxian","non-dropping-particle":"","parse-names":false,"suffix":""},{"dropping-particle":"","family":"Xing","given":"Ying","non-dropping-particle":"","parse-names":false,"suffix":""},{"dropping-particle":"","family":"Zhou","given":"Rong","non-dropping-particle":"","parse-names":false,"suffix":""},{"dropping-particle":"","family":"Liu","given":"Guohua","non-dropping-particle":"","parse-names":false,"suffix":""}],"container-title":"BMC Geriatrics","id":"ITEM-3","issue":"1","issued":{"date-parts":[["2020"]]},"page":"1-11","publisher":"BMC Geriatrics","title":"Prevalence and risk factors of dysphagia among nursing home residents in eastern China: a cross-sectional study","type":"article-journal","volume":"20"},"uris":["http://www.mendeley.com/documents/?uuid=020461a1-439a-4581-895e-1dc73e6fc0e1"]},{"id":"ITEM-4","itemData":{"DOI":"10.1186/s12877-021-02366-9","ISSN":"14712318","PMID":"34273953","abstract":"Background: Dysphagia is highly prevalent condition in older adults living in nursing homes. There is also evidence indicating that aspiration is one of the major health risks for these older adults, which is more likely to result in respiratory infections, aspiration pneumonia and sudden bolus death. Evidence syntheses have demonstrated the effectiveness of interventions for prevention of aspiration among hospitalized older people. The aim of this scoping review is to describe the current spread of interventions to prevent or reduce aspiration in older adults with dysphagia with a specific focus on those who reside in nursing homes. Methods: The Joanna Briggs Institute methods and PRISMA-ScR guidelines were used to inform this review. MEDLINE, CINAHL, EMBASE, Cochrane Library, Joanna Briggs Institute EBP Database and Web of Science were searched for related articles from 2010 to 2020 as well as Chinese databases (CNKI, WANFANG DATA and VIP) and databases for unpublished material. A three-step search strategy was utilized, including the use of citation software to manage search results and de-duplication, abstract review and full-text review by two reviewers. Details of included studies were then extracted using a prepared data extraction tool. The resulting map was displayed in tabular form along with a narrative summary. Results: Although 637 articles were located, 19 papers were included in the final analysis. Interventions to prevent aspiration in older adults with dysphagia living in nursing homes included: more bedside evaluation, modification of dietary, creating an appropriate environment for swallowing, providing appropriate feeding assistance, appropriate posture or maneuver for swallowing, appropriate rehabilitation program, medication treatment, and stimulation treatment. Conclusion: Nursing homes, particularly those in developing countries, require more support for staff training and necessary equipment. Professional interventions provided by speech and language therapists are still limited in the setting of nursing homes. Modification of dietary was the most frequently used intervention to prevent or reduce aspiration. Multi-disciplinary interventions had the best results for aspiration management, but for many nursing homes, access to such teams is limited. Nursing home residents respond well to person-centered interventions that have a comprehensive consideration of their degree of aspiration risk, health condition, individual feelings a…","author":[{"dropping-particle":"","family":"Chen","given":"Shen","non-dropping-particle":"","parse-names":false,"suffix":""},{"dropping-particle":"","family":"Kent","given":"Bridie","non-dropping-particle":"","parse-names":false,"suffix":""},{"dropping-particle":"","family":"Cui","given":"Yan","non-dropping-particle":"","parse-names":false,"suffix":""}],"container-title":"BMC Geriatrics","id":"ITEM-4","issue":"1","issued":{"date-parts":[["2021"]]},"page":"1-14","publisher":"BMC Geriatrics","title":"Interventions to prevent aspiration in older adults with dysphagia living in nursing homes: a scoping review","type":"article-journal","volume":"21"},"uris":["http://www.mendeley.com/documents/?uuid=5ea78adf-aa15-4731-958a-9840d2b4c0c4"]}],"mendeley":{"formattedCitation":"(Nawaz and Tulunay-Ugur, 2018; Chen &lt;i&gt;et al.&lt;/i&gt;, 2020; Kelly &lt;i&gt;et al.&lt;/i&gt;, 2020; Chen, Kent and Cui, 2021)","plainTextFormattedCitation":"(Nawaz and Tulunay-Ugur, 2018; Chen et al., 2020; Kelly et al., 2020; Chen, Kent and Cui, 2021)","previouslyFormattedCitation":"(Nawaz and Tulunay-Ugur, 2018; Chen &lt;i&gt;et al.&lt;/i&gt;, 2020; Kelly &lt;i&gt;et al.&lt;/i&gt;, 2020; Chen, Kent and Cui, 2021)"},"properties":{"noteIndex":0},"schema":"https://github.com/citation-style-language/schema/raw/master/csl-citation.json"}</w:instrText>
      </w:r>
      <w:r w:rsidR="00C264CA">
        <w:rPr>
          <w:rFonts w:ascii="Arial" w:hAnsi="Arial" w:cs="Arial"/>
        </w:rPr>
        <w:fldChar w:fldCharType="separate"/>
      </w:r>
      <w:r w:rsidR="00C264CA" w:rsidRPr="00C264CA">
        <w:rPr>
          <w:rFonts w:ascii="Arial" w:hAnsi="Arial" w:cs="Arial"/>
          <w:noProof/>
        </w:rPr>
        <w:t xml:space="preserve">(Nawaz and Tulunay-Ugur, 2018; Chen </w:t>
      </w:r>
      <w:r w:rsidR="00C264CA" w:rsidRPr="00C264CA">
        <w:rPr>
          <w:rFonts w:ascii="Arial" w:hAnsi="Arial" w:cs="Arial"/>
          <w:i/>
          <w:noProof/>
        </w:rPr>
        <w:t>et al.</w:t>
      </w:r>
      <w:r w:rsidR="00C264CA" w:rsidRPr="00C264CA">
        <w:rPr>
          <w:rFonts w:ascii="Arial" w:hAnsi="Arial" w:cs="Arial"/>
          <w:noProof/>
        </w:rPr>
        <w:t xml:space="preserve">, 2020; Kelly </w:t>
      </w:r>
      <w:r w:rsidR="00C264CA" w:rsidRPr="00C264CA">
        <w:rPr>
          <w:rFonts w:ascii="Arial" w:hAnsi="Arial" w:cs="Arial"/>
          <w:i/>
          <w:noProof/>
        </w:rPr>
        <w:t>et al.</w:t>
      </w:r>
      <w:r w:rsidR="00C264CA" w:rsidRPr="00C264CA">
        <w:rPr>
          <w:rFonts w:ascii="Arial" w:hAnsi="Arial" w:cs="Arial"/>
          <w:noProof/>
        </w:rPr>
        <w:t>, 2020; Chen, Kent and Cui, 2021)</w:t>
      </w:r>
      <w:r w:rsidR="00C264CA">
        <w:rPr>
          <w:rFonts w:ascii="Arial" w:hAnsi="Arial" w:cs="Arial"/>
        </w:rPr>
        <w:fldChar w:fldCharType="end"/>
      </w:r>
    </w:p>
    <w:p w14:paraId="490470D7" w14:textId="75A52762" w:rsidR="00C264CA" w:rsidRPr="00E60269" w:rsidRDefault="00A02A35" w:rsidP="00E60269">
      <w:pPr>
        <w:jc w:val="both"/>
        <w:rPr>
          <w:rFonts w:ascii="Arial" w:hAnsi="Arial" w:cs="Arial"/>
        </w:rPr>
      </w:pPr>
      <w:r>
        <w:rPr>
          <w:rFonts w:ascii="Arial" w:hAnsi="Arial" w:cs="Arial"/>
        </w:rPr>
        <w:t xml:space="preserve">Oropharyngeal dysphagia </w:t>
      </w:r>
      <w:r w:rsidRPr="00ED4E01">
        <w:rPr>
          <w:rFonts w:ascii="Arial" w:hAnsi="Arial" w:cs="Arial"/>
        </w:rPr>
        <w:t xml:space="preserve">matches the definition of a geriatric syndrome as </w:t>
      </w:r>
      <w:r w:rsidR="00A941EB">
        <w:rPr>
          <w:rFonts w:ascii="Arial" w:hAnsi="Arial" w:cs="Arial"/>
        </w:rPr>
        <w:t>it is a complex</w:t>
      </w:r>
      <w:r w:rsidR="00741D0E">
        <w:rPr>
          <w:rFonts w:ascii="Arial" w:hAnsi="Arial" w:cs="Arial"/>
        </w:rPr>
        <w:t xml:space="preserve"> condition that significantly affect quality of life, with social and psychological consequences. It is crucial to detect dysphagia early and requires a </w:t>
      </w:r>
      <w:r w:rsidR="00A941EB" w:rsidRPr="00741D0E">
        <w:rPr>
          <w:rFonts w:ascii="Arial" w:hAnsi="Arial" w:cs="Arial"/>
        </w:rPr>
        <w:t xml:space="preserve">multi- disciplinary approach with involvement </w:t>
      </w:r>
      <w:r w:rsidR="00741D0E" w:rsidRPr="00741D0E">
        <w:rPr>
          <w:rFonts w:ascii="Arial" w:hAnsi="Arial" w:cs="Arial"/>
        </w:rPr>
        <w:t xml:space="preserve">from at least the </w:t>
      </w:r>
      <w:r w:rsidR="00A941EB" w:rsidRPr="00741D0E">
        <w:rPr>
          <w:rFonts w:ascii="Arial" w:hAnsi="Arial" w:cs="Arial"/>
        </w:rPr>
        <w:t>primary care physicians, geriatricians</w:t>
      </w:r>
      <w:r w:rsidR="00A941EB" w:rsidRPr="00741D0E">
        <w:rPr>
          <w:rFonts w:ascii="Arial" w:hAnsi="Arial" w:cs="Arial"/>
          <w:b/>
          <w:bCs/>
          <w:i/>
          <w:iCs/>
        </w:rPr>
        <w:t>,</w:t>
      </w:r>
      <w:r w:rsidR="00741D0E" w:rsidRPr="00741D0E">
        <w:rPr>
          <w:rFonts w:ascii="Arial" w:hAnsi="Arial" w:cs="Arial"/>
          <w:b/>
          <w:bCs/>
          <w:i/>
          <w:iCs/>
        </w:rPr>
        <w:t xml:space="preserve"> </w:t>
      </w:r>
      <w:r w:rsidR="00741D0E" w:rsidRPr="00741D0E">
        <w:rPr>
          <w:rFonts w:ascii="Arial" w:hAnsi="Arial" w:cs="Arial"/>
        </w:rPr>
        <w:t xml:space="preserve">carers, nurses, speech and language therapists, dietitians and pharmacists </w:t>
      </w:r>
      <w:r w:rsidR="00741D0E" w:rsidRPr="00741D0E">
        <w:rPr>
          <w:rFonts w:ascii="Arial" w:hAnsi="Arial" w:cs="Arial"/>
        </w:rPr>
        <w:fldChar w:fldCharType="begin" w:fldLock="1"/>
      </w:r>
      <w:r w:rsidR="00741D0E" w:rsidRPr="00741D0E">
        <w:rPr>
          <w:rFonts w:ascii="Arial" w:hAnsi="Arial" w:cs="Arial"/>
        </w:rPr>
        <w:instrText>ADDIN CSL_CITATION {"citationItems":[{"id":"ITEM-1","itemData":{"DOI":"10.1002/ncp.10239","ISSN":"19412452","PMID":"30580461","abstract":"Dysphagia affects a multitude of people worldwide with tremendous impact on the affected individual, families, and caregivers. Understanding dysphagia, as well as the status of screening, evaluation, and treatment, aids in the knowledge required by a interprofessional team to holistically care for patients with dysphagia and their caregivers. The impact of dysphagia includes potential associated risk and a cascade of effects. Conversations regarding meeting nutrition and fluid needs with consideration for quality of life need to be integrated into the plan of care for individuals with dysphagia.","author":[{"dropping-particle":"","family":"McGinnis","given":"Carol Marie","non-dropping-particle":"","parse-names":false,"suffix":""},{"dropping-particle":"","family":"Homan","given":"Kimberly","non-dropping-particle":"","parse-names":false,"suffix":""},{"dropping-particle":"","family":"Solomon","given":"Meghan","non-dropping-particle":"","parse-names":false,"suffix":""},{"dropping-particle":"","family":"Taylor","given":"Julia","non-dropping-particle":"","parse-names":false,"suffix":""},{"dropping-particle":"","family":"Staebell","given":"Kimberly","non-dropping-particle":"","parse-names":false,"suffix":""},{"dropping-particle":"","family":"Erger","given":"Denise","non-dropping-particle":"","parse-names":false,"suffix":""},{"dropping-particle":"","family":"Raut","given":"Namrata","non-dropping-particle":"","parse-names":false,"suffix":""}],"container-title":"Nutrition in Clinical Practice","id":"ITEM-1","issue":"1","issued":{"date-parts":[["2019"]]},"page":"80-95","title":"Dysphagia: Interprofessional Management, Impact, and Patient-Centered Care","type":"article-journal","volume":"34"},"uris":["http://www.mendeley.com/documents/?uuid=aab2afeb-b822-43a5-aaab-7a9496037336"]},{"id":"ITEM-2","itemData":{"DOI":"10.1038/nrgastro.2016.127","ISSN":"17595053","PMID":"27625188","abstract":"Oropharyngeal dysphagia is a frequent consequence of several medical aetiologies, and even considered part of the normal ageing process. Early and accurate identification provides the opportunity for early implementation of dysphagia treatments. This Review describes the current state of the evidence related to dysphagia therapies-focusing on treatments most clinically utilized and of current interest to researchers. Despite successes in select studies, the level of evidence to support the efficacy of these treatments remains limited. Heterogeneity exists across studies in both how interventions are administered and how their therapeutic value is assessed, thereby making it difficult to establish external validation. Future work needs to address these caveats. Also, to be most efficacious, dysphagia therapies need to account for influences from pre-morbid patient characteristics as these factors have potential to increase the risk of dysphagia and the resulting complications of aspiration, malnutrition and psychological burden. Dysphagia therapies therefore need to incorporate the medical aetiology that is at its root, the resulting swallow physiology captured from comprehensive clinical and/or instrumental assessments, and the existing needs and supports of patients.","author":[{"dropping-particle":"","family":"Martino","given":"Rosemary","non-dropping-particle":"","parse-names":false,"suffix":""},{"dropping-particle":"","family":"McCulloch","given":"Timothy","non-dropping-particle":"","parse-names":false,"suffix":""}],"container-title":"Nature Reviews Gastroenterology and Hepatology","id":"ITEM-2","issue":"11","issued":{"date-parts":[["2016"]]},"page":"665-679","publisher":"Nature Publishing Group","title":"Therapeutic intervention in oropharyngeal dysphagia","type":"article-journal","volume":"13"},"uris":["http://www.mendeley.com/documents/?uuid=bd983c6d-4a13-470e-a463-120fc88d91c7"]}],"mendeley":{"formattedCitation":"(Martino and McCulloch, 2016; McGinnis &lt;i&gt;et al.&lt;/i&gt;, 2019)","plainTextFormattedCitation":"(Martino and McCulloch, 2016; McGinnis et al., 2019)","previouslyFormattedCitation":"(Martino and McCulloch, 2016; McGinnis &lt;i&gt;et al.&lt;/i&gt;, 2019)"},"properties":{"noteIndex":0},"schema":"https://github.com/citation-style-language/schema/raw/master/csl-citation.json"}</w:instrText>
      </w:r>
      <w:r w:rsidR="00741D0E" w:rsidRPr="00741D0E">
        <w:rPr>
          <w:rFonts w:ascii="Arial" w:hAnsi="Arial" w:cs="Arial"/>
        </w:rPr>
        <w:fldChar w:fldCharType="separate"/>
      </w:r>
      <w:r w:rsidR="00741D0E" w:rsidRPr="00741D0E">
        <w:rPr>
          <w:rFonts w:ascii="Arial" w:hAnsi="Arial" w:cs="Arial"/>
          <w:noProof/>
        </w:rPr>
        <w:t xml:space="preserve">(Martino and McCulloch, 2016; McGinnis </w:t>
      </w:r>
      <w:r w:rsidR="00741D0E" w:rsidRPr="00741D0E">
        <w:rPr>
          <w:rFonts w:ascii="Arial" w:hAnsi="Arial" w:cs="Arial"/>
          <w:i/>
          <w:noProof/>
        </w:rPr>
        <w:t>et al.</w:t>
      </w:r>
      <w:r w:rsidR="00741D0E" w:rsidRPr="00741D0E">
        <w:rPr>
          <w:rFonts w:ascii="Arial" w:hAnsi="Arial" w:cs="Arial"/>
          <w:noProof/>
        </w:rPr>
        <w:t>, 2019)</w:t>
      </w:r>
      <w:r w:rsidR="00741D0E" w:rsidRPr="00741D0E">
        <w:rPr>
          <w:rFonts w:ascii="Arial" w:hAnsi="Arial" w:cs="Arial"/>
        </w:rPr>
        <w:fldChar w:fldCharType="end"/>
      </w:r>
      <w:r w:rsidR="00741D0E" w:rsidRPr="00741D0E">
        <w:rPr>
          <w:rFonts w:ascii="Arial" w:hAnsi="Arial" w:cs="Arial"/>
        </w:rPr>
        <w:t xml:space="preserve">. </w:t>
      </w:r>
    </w:p>
    <w:p w14:paraId="2FFE8F42" w14:textId="6D24B44C" w:rsidR="00B1207A" w:rsidRDefault="00A02A35" w:rsidP="00E60269">
      <w:pPr>
        <w:pStyle w:val="NormalWeb"/>
        <w:jc w:val="both"/>
        <w:rPr>
          <w:rFonts w:ascii="Arial" w:hAnsi="Arial" w:cs="Arial"/>
        </w:rPr>
      </w:pPr>
      <w:r w:rsidRPr="00A02A35">
        <w:rPr>
          <w:rFonts w:ascii="Arial" w:hAnsi="Arial" w:cs="Arial"/>
        </w:rPr>
        <w:t>It is</w:t>
      </w:r>
      <w:r w:rsidR="00C264CA" w:rsidRPr="00C264CA">
        <w:rPr>
          <w:rFonts w:ascii="Arial" w:hAnsi="Arial" w:cs="Arial"/>
        </w:rPr>
        <w:t xml:space="preserve"> </w:t>
      </w:r>
      <w:r w:rsidRPr="00A02A35">
        <w:rPr>
          <w:rFonts w:ascii="Arial" w:hAnsi="Arial" w:cs="Arial"/>
        </w:rPr>
        <w:t xml:space="preserve">therefore, important that care home staff should be </w:t>
      </w:r>
      <w:r w:rsidR="00E60269">
        <w:rPr>
          <w:rFonts w:ascii="Arial" w:hAnsi="Arial" w:cs="Arial"/>
        </w:rPr>
        <w:t xml:space="preserve">trained to identify presence of dysphagia, provide immediate care </w:t>
      </w:r>
      <w:r w:rsidRPr="00A02A35">
        <w:rPr>
          <w:rFonts w:ascii="Arial" w:hAnsi="Arial" w:cs="Arial"/>
        </w:rPr>
        <w:t xml:space="preserve">and </w:t>
      </w:r>
      <w:r w:rsidR="00C264CA" w:rsidRPr="00C264CA">
        <w:rPr>
          <w:rFonts w:ascii="Arial" w:hAnsi="Arial" w:cs="Arial"/>
        </w:rPr>
        <w:t>refer to</w:t>
      </w:r>
      <w:r w:rsidRPr="00A02A35">
        <w:rPr>
          <w:rFonts w:ascii="Arial" w:hAnsi="Arial" w:cs="Arial"/>
        </w:rPr>
        <w:t xml:space="preserve"> specialist </w:t>
      </w:r>
      <w:proofErr w:type="spellStart"/>
      <w:r w:rsidR="00741D0E" w:rsidRPr="00C264CA">
        <w:rPr>
          <w:rFonts w:ascii="Arial" w:hAnsi="Arial" w:cs="Arial"/>
        </w:rPr>
        <w:t>multi disciplinary</w:t>
      </w:r>
      <w:proofErr w:type="spellEnd"/>
      <w:r w:rsidR="00741D0E" w:rsidRPr="00C264CA">
        <w:rPr>
          <w:rFonts w:ascii="Arial" w:hAnsi="Arial" w:cs="Arial"/>
        </w:rPr>
        <w:t xml:space="preserve"> </w:t>
      </w:r>
      <w:r w:rsidR="00C264CA" w:rsidRPr="00C264CA">
        <w:rPr>
          <w:rFonts w:ascii="Arial" w:hAnsi="Arial" w:cs="Arial"/>
        </w:rPr>
        <w:t>input</w:t>
      </w:r>
      <w:r w:rsidR="00E60269">
        <w:rPr>
          <w:rFonts w:ascii="Arial" w:hAnsi="Arial" w:cs="Arial"/>
        </w:rPr>
        <w:t xml:space="preserve"> </w:t>
      </w:r>
      <w:r w:rsidR="00E60269">
        <w:rPr>
          <w:rFonts w:ascii="Arial" w:hAnsi="Arial" w:cs="Arial"/>
        </w:rPr>
        <w:fldChar w:fldCharType="begin" w:fldLock="1"/>
      </w:r>
      <w:r w:rsidR="00AB769A">
        <w:rPr>
          <w:rFonts w:ascii="Arial" w:hAnsi="Arial" w:cs="Arial"/>
        </w:rPr>
        <w:instrText>ADDIN CSL_CITATION {"citationItems":[{"id":"ITEM-1","itemData":{"DOI":"10.1002/ncp.10239","ISSN":"19412452","PMID":"30580461","abstract":"Dysphagia affects a multitude of people worldwide with tremendous impact on the affected individual, families, and caregivers. Understanding dysphagia, as well as the status of screening, evaluation, and treatment, aids in the knowledge required by a interprofessional team to holistically care for patients with dysphagia and their caregivers. The impact of dysphagia includes potential associated risk and a cascade of effects. Conversations regarding meeting nutrition and fluid needs with consideration for quality of life need to be integrated into the plan of care for individuals with dysphagia.","author":[{"dropping-particle":"","family":"McGinnis","given":"Carol Marie","non-dropping-particle":"","parse-names":false,"suffix":""},{"dropping-particle":"","family":"Homan","given":"Kimberly","non-dropping-particle":"","parse-names":false,"suffix":""},{"dropping-particle":"","family":"Solomon","given":"Meghan","non-dropping-particle":"","parse-names":false,"suffix":""},{"dropping-particle":"","family":"Taylor","given":"Julia","non-dropping-particle":"","parse-names":false,"suffix":""},{"dropping-particle":"","family":"Staebell","given":"Kimberly","non-dropping-particle":"","parse-names":false,"suffix":""},{"dropping-particle":"","family":"Erger","given":"Denise","non-dropping-particle":"","parse-names":false,"suffix":""},{"dropping-particle":"","family":"Raut","given":"Namrata","non-dropping-particle":"","parse-names":false,"suffix":""}],"container-title":"Nutrition in Clinical Practice","id":"ITEM-1","issue":"1","issued":{"date-parts":[["2019"]]},"page":"80-95","title":"Dysphagia: Interprofessional Management, Impact, and Patient-Centered Care","type":"article-journal","volume":"34"},"uris":["http://www.mendeley.com/documents/?uuid=aab2afeb-b822-43a5-aaab-7a9496037336"]},{"id":"ITEM-2","itemData":{"ISSN":"0266-8130","abstract":"Patients with dysphagia are often inappropriately managed. However, nurses can be trained to screen for swallowing difficulties and the introduction of an interdisciplinary dysphagia management model can improve both the initial management of dysphagic patients and the appropriateness of referrals to speech and language therapists.","author":[{"dropping-particle":"","family":"Davies","given":"Steve","non-dropping-particle":"","parse-names":false,"suffix":""}],"container-title":"Professional nurse (London, England)","id":"ITEM-2","issue":"1","issued":{"date-parts":[["2002"]]},"language":"eng","page":"22-25","publisher-place":"Queen Elizabeth Hospital, Gateshead.","title":"An interdisciplinary approach to the management of dysphagia","type":"article-journal","volume":"18"},"uris":["http://www.mendeley.com/documents/?uuid=f51c8d71-2952-4a29-b678-9c616bd729c0"]}],"mendeley":{"formattedCitation":"(Davies, 2002; McGinnis &lt;i&gt;et al.&lt;/i&gt;, 2019)","plainTextFormattedCitation":"(Davies, 2002; McGinnis et al., 2019)","previouslyFormattedCitation":"(Davies, 2002; McGinnis &lt;i&gt;et al.&lt;/i&gt;, 2019)"},"properties":{"noteIndex":0},"schema":"https://github.com/citation-style-language/schema/raw/master/csl-citation.json"}</w:instrText>
      </w:r>
      <w:r w:rsidR="00E60269">
        <w:rPr>
          <w:rFonts w:ascii="Arial" w:hAnsi="Arial" w:cs="Arial"/>
        </w:rPr>
        <w:fldChar w:fldCharType="separate"/>
      </w:r>
      <w:r w:rsidR="00E60269" w:rsidRPr="00E60269">
        <w:rPr>
          <w:rFonts w:ascii="Arial" w:hAnsi="Arial" w:cs="Arial"/>
          <w:noProof/>
        </w:rPr>
        <w:t xml:space="preserve">(Davies, 2002; McGinnis </w:t>
      </w:r>
      <w:r w:rsidR="00E60269" w:rsidRPr="00E60269">
        <w:rPr>
          <w:rFonts w:ascii="Arial" w:hAnsi="Arial" w:cs="Arial"/>
          <w:i/>
          <w:noProof/>
        </w:rPr>
        <w:t>et al.</w:t>
      </w:r>
      <w:r w:rsidR="00E60269" w:rsidRPr="00E60269">
        <w:rPr>
          <w:rFonts w:ascii="Arial" w:hAnsi="Arial" w:cs="Arial"/>
          <w:noProof/>
        </w:rPr>
        <w:t>, 2019)</w:t>
      </w:r>
      <w:r w:rsidR="00E60269">
        <w:rPr>
          <w:rFonts w:ascii="Arial" w:hAnsi="Arial" w:cs="Arial"/>
        </w:rPr>
        <w:fldChar w:fldCharType="end"/>
      </w:r>
      <w:r w:rsidRPr="00A02A35">
        <w:rPr>
          <w:rFonts w:ascii="Arial" w:hAnsi="Arial" w:cs="Arial"/>
        </w:rPr>
        <w:t xml:space="preserve">. </w:t>
      </w:r>
      <w:r w:rsidR="00C264CA" w:rsidRPr="00C264CA">
        <w:rPr>
          <w:rFonts w:ascii="Arial" w:hAnsi="Arial" w:cs="Arial"/>
        </w:rPr>
        <w:t xml:space="preserve">To prevent complications from dysphagia in nursing home residents, </w:t>
      </w:r>
      <w:r w:rsidR="00C264CA" w:rsidRPr="00C264CA">
        <w:rPr>
          <w:rFonts w:ascii="Arial" w:hAnsi="Arial" w:cs="Arial"/>
        </w:rPr>
        <w:fldChar w:fldCharType="begin" w:fldLock="1"/>
      </w:r>
      <w:r w:rsidR="00C264CA">
        <w:rPr>
          <w:rFonts w:ascii="Arial" w:hAnsi="Arial" w:cs="Arial"/>
        </w:rPr>
        <w:instrText>ADDIN CSL_CITATION {"citationItems":[{"id":"ITEM-1","itemData":{"DOI":"10.1016/j.gerinurse.2013.02.014","ISSN":"01974572","PMID":"23528180","abstract":"Dysphagia is a major health care problem in nursing homes. It can lead to fatal complications including aspiration pneumonia and even death. The aims of this study were to evaluate the prevalence of dysphagia in nursing home residents in South Korea and to identify factors associated with dysphagia. The study was conducted in two urban nursing homes and a total of 395 older adults (aged 65-103 years old, 76.5% female) were enrolled. The presence of dysphagia was evaluated using the Gugging Swallowing Screen (GUSS) test. Out of 395 older adults, the prevalence of dysphagia was 52.7%. The following were all risk factors associated with dysphagia: Aged 75 years or older, male gender, history of dementia, feeding time longer than 20 min, severe dependent functional status, solid meal type, high nutritional risk, and underweight. To prevent complications from dysphagia in nursing home residents, systematic screening and evaluation programs for dysphagia are needed. © 2013 Mosby, Inc.","author":[{"dropping-particle":"","family":"Park","given":"Yeon Hwan","non-dropping-particle":"","parse-names":false,"suffix":""},{"dropping-particle":"","family":"Han","given":"Hae Ra","non-dropping-particle":"","parse-names":false,"suffix":""},{"dropping-particle":"","family":"Oh","given":"Byung Mo","non-dropping-particle":"","parse-names":false,"suffix":""},{"dropping-particle":"","family":"Lee","given":"Jinyi","non-dropping-particle":"","parse-names":false,"suffix":""},{"dropping-particle":"","family":"Park","given":"Ji ae","non-dropping-particle":"","parse-names":false,"suffix":""},{"dropping-particle":"","family":"Yu","given":"Su Jeong","non-dropping-particle":"","parse-names":false,"suffix":""},{"dropping-particle":"","family":"Chang","given":"Hee Kyung","non-dropping-particle":"","parse-names":false,"suffix":""}],"container-title":"Geriatric Nursing","id":"ITEM-1","issue":"3","issued":{"date-parts":[["2013"]]},"page":"212-217","publisher":"Elsevier Ltd","title":"Prevalence and associated factors of dysphagia in nursing home residents","type":"article-journal","volume":"34"},"uris":["http://www.mendeley.com/documents/?uuid=42a53137-6741-479c-aaae-c2be77257a24"]}],"mendeley":{"formattedCitation":"(Park &lt;i&gt;et al.&lt;/i&gt;, 2013)","manualFormatting":"Park et al., (2013)","plainTextFormattedCitation":"(Park et al., 2013)","previouslyFormattedCitation":"(Park &lt;i&gt;et al.&lt;/i&gt;, 2013)"},"properties":{"noteIndex":0},"schema":"https://github.com/citation-style-language/schema/raw/master/csl-citation.json"}</w:instrText>
      </w:r>
      <w:r w:rsidR="00C264CA" w:rsidRPr="00C264CA">
        <w:rPr>
          <w:rFonts w:ascii="Arial" w:hAnsi="Arial" w:cs="Arial"/>
        </w:rPr>
        <w:fldChar w:fldCharType="separate"/>
      </w:r>
      <w:r w:rsidR="00C264CA" w:rsidRPr="00C264CA">
        <w:rPr>
          <w:rFonts w:ascii="Arial" w:hAnsi="Arial" w:cs="Arial"/>
          <w:noProof/>
        </w:rPr>
        <w:t xml:space="preserve">Park et al., </w:t>
      </w:r>
      <w:r w:rsidR="00C264CA">
        <w:rPr>
          <w:rFonts w:ascii="Arial" w:hAnsi="Arial" w:cs="Arial"/>
          <w:noProof/>
        </w:rPr>
        <w:t>(</w:t>
      </w:r>
      <w:r w:rsidR="00C264CA" w:rsidRPr="00C264CA">
        <w:rPr>
          <w:rFonts w:ascii="Arial" w:hAnsi="Arial" w:cs="Arial"/>
          <w:noProof/>
        </w:rPr>
        <w:t>2013)</w:t>
      </w:r>
      <w:r w:rsidR="00C264CA" w:rsidRPr="00C264CA">
        <w:rPr>
          <w:rFonts w:ascii="Arial" w:hAnsi="Arial" w:cs="Arial"/>
        </w:rPr>
        <w:fldChar w:fldCharType="end"/>
      </w:r>
      <w:r w:rsidR="00C264CA">
        <w:rPr>
          <w:rFonts w:ascii="Arial" w:hAnsi="Arial" w:cs="Arial"/>
        </w:rPr>
        <w:t xml:space="preserve"> recommended </w:t>
      </w:r>
      <w:r w:rsidR="00C264CA" w:rsidRPr="00C264CA">
        <w:rPr>
          <w:rFonts w:ascii="Arial" w:hAnsi="Arial" w:cs="Arial"/>
        </w:rPr>
        <w:t xml:space="preserve">systematic screening and evaluation programs for </w:t>
      </w:r>
      <w:r w:rsidR="00C264CA">
        <w:rPr>
          <w:rFonts w:ascii="Arial" w:hAnsi="Arial" w:cs="Arial"/>
        </w:rPr>
        <w:t xml:space="preserve">care home residents with </w:t>
      </w:r>
      <w:r w:rsidR="00C264CA" w:rsidRPr="00C264CA">
        <w:rPr>
          <w:rFonts w:ascii="Arial" w:hAnsi="Arial" w:cs="Arial"/>
        </w:rPr>
        <w:t>dysphagia</w:t>
      </w:r>
      <w:r w:rsidR="00042CF5">
        <w:rPr>
          <w:rFonts w:ascii="Arial" w:hAnsi="Arial" w:cs="Arial"/>
        </w:rPr>
        <w:t xml:space="preserve"> by multidisciplinary teams</w:t>
      </w:r>
      <w:r w:rsidR="00C264CA">
        <w:rPr>
          <w:rFonts w:ascii="Arial" w:hAnsi="Arial" w:cs="Arial"/>
        </w:rPr>
        <w:t xml:space="preserve">. </w:t>
      </w:r>
      <w:r w:rsidR="00E60269">
        <w:rPr>
          <w:rFonts w:ascii="Arial" w:hAnsi="Arial" w:cs="Arial"/>
        </w:rPr>
        <w:t xml:space="preserve">However only a few care home staff are trained to provide current </w:t>
      </w:r>
      <w:proofErr w:type="gramStart"/>
      <w:r w:rsidR="00E60269">
        <w:rPr>
          <w:rFonts w:ascii="Arial" w:hAnsi="Arial" w:cs="Arial"/>
        </w:rPr>
        <w:t>evidence based</w:t>
      </w:r>
      <w:proofErr w:type="gramEnd"/>
      <w:r w:rsidR="00E60269">
        <w:rPr>
          <w:rFonts w:ascii="Arial" w:hAnsi="Arial" w:cs="Arial"/>
        </w:rPr>
        <w:t xml:space="preserve"> dysphagia management.</w:t>
      </w:r>
    </w:p>
    <w:p w14:paraId="13F2586B" w14:textId="4F593F4B" w:rsidR="00E60269" w:rsidRDefault="00A02A35" w:rsidP="00E60269">
      <w:pPr>
        <w:pStyle w:val="NormalWeb"/>
        <w:jc w:val="both"/>
        <w:rPr>
          <w:rFonts w:ascii="Arial" w:hAnsi="Arial" w:cs="Arial"/>
        </w:rPr>
      </w:pPr>
      <w:r w:rsidRPr="00A02A35">
        <w:rPr>
          <w:rFonts w:ascii="Arial" w:hAnsi="Arial" w:cs="Arial"/>
        </w:rPr>
        <w:t>As the number of people aged 65 and over in Wales is projected to increase by 232,000 (36.6 per cent) between 2016 and 2041, this is one of the increasing issues in the region that can put high financial costs for the patient &amp; the health</w:t>
      </w:r>
      <w:r w:rsidR="00741D0E" w:rsidRPr="00741D0E">
        <w:rPr>
          <w:rFonts w:ascii="Arial" w:hAnsi="Arial" w:cs="Arial"/>
        </w:rPr>
        <w:t xml:space="preserve"> </w:t>
      </w:r>
      <w:r w:rsidRPr="00A02A35">
        <w:rPr>
          <w:rFonts w:ascii="Arial" w:hAnsi="Arial" w:cs="Arial"/>
        </w:rPr>
        <w:t>service</w:t>
      </w:r>
      <w:r w:rsidR="00741D0E" w:rsidRPr="00741D0E">
        <w:rPr>
          <w:rFonts w:ascii="Arial" w:hAnsi="Arial" w:cs="Arial"/>
        </w:rPr>
        <w:t xml:space="preserve"> </w:t>
      </w:r>
      <w:r w:rsidR="00741D0E" w:rsidRPr="00741D0E">
        <w:rPr>
          <w:rFonts w:ascii="Arial" w:hAnsi="Arial" w:cs="Arial"/>
        </w:rPr>
        <w:t xml:space="preserve"> </w:t>
      </w:r>
      <w:r w:rsidR="00741D0E" w:rsidRPr="00741D0E">
        <w:rPr>
          <w:rFonts w:ascii="Arial" w:hAnsi="Arial" w:cs="Arial"/>
        </w:rPr>
        <w:fldChar w:fldCharType="begin" w:fldLock="1"/>
      </w:r>
      <w:r w:rsidR="00741D0E">
        <w:rPr>
          <w:rFonts w:ascii="Arial" w:hAnsi="Arial" w:cs="Arial"/>
        </w:rPr>
        <w:instrText>ADDIN CSL_CITATION {"citationItems":[{"id":"ITEM-1","itemData":{"abstract":"his article examines trends in mortality over the Twentieth Century, using data from the ONS Twentieth Century Mortality CD- ROM. Firstly, we update analyses published in the Health of Adult Britain – changes in all-cause mortality rates, and rates for broad cause groups. These have been updated with new population estimates for 1982– 2000, which take into account the results of the 2001 Census, and the analyses have been brought up to the end of the century.The ninth revision of the International Classification of Diseases was last used in England and Wales in 2000, so this article covers all the years in which the first to ninth revisions were in use.We have also extended analyses of specific diseases, focusing on diseases which were major causes of death, either at the beginning or the end of the century; diseases which had relatively comparable definitions over time; and on new analyses of ill-defined causes of mortality, which are currently of particular interest.","author":[{"dropping-particle":"","family":"Griffiths","given":"Clare","non-dropping-particle":"","parse-names":false,"suffix":""},{"dropping-particle":"","family":"Brock","given":"A","non-dropping-particle":"","parse-names":false,"suffix":""}],"container-title":"Health Statistics Quarterly","id":"ITEM-1","issued":{"date-parts":[["2003"]]},"note":"TOPIC: summary of disease trends since the early 20th century","page":"5-16","title":"Twentieth century mortality trends in England and Wales.","type":"article-journal","volume":"18"},"uris":["http://www.mendeley.com/documents/?uuid=80e97b5f-cff5-419f-b6f5-f6e1c102f97b"]}],"mendeley":{"formattedCitation":"(Griffiths and Brock, 2003)","plainTextFormattedCitation":"(Griffiths and Brock, 2003)","previouslyFormattedCitation":"(Griffiths and Brock, 2003)"},"properties":{"noteIndex":0},"schema":"https://github.com/citation-style-language/schema/raw/master/csl-citation.json"}</w:instrText>
      </w:r>
      <w:r w:rsidR="00741D0E" w:rsidRPr="00741D0E">
        <w:rPr>
          <w:rFonts w:ascii="Arial" w:hAnsi="Arial" w:cs="Arial"/>
        </w:rPr>
        <w:fldChar w:fldCharType="separate"/>
      </w:r>
      <w:r w:rsidR="00741D0E" w:rsidRPr="00741D0E">
        <w:rPr>
          <w:rFonts w:ascii="Arial" w:hAnsi="Arial" w:cs="Arial"/>
          <w:noProof/>
        </w:rPr>
        <w:t>(Griffiths and Brock, 2003)</w:t>
      </w:r>
      <w:r w:rsidR="00741D0E" w:rsidRPr="00741D0E">
        <w:rPr>
          <w:rFonts w:ascii="Arial" w:hAnsi="Arial" w:cs="Arial"/>
        </w:rPr>
        <w:fldChar w:fldCharType="end"/>
      </w:r>
      <w:r w:rsidRPr="00A02A35">
        <w:rPr>
          <w:rFonts w:ascii="Arial" w:hAnsi="Arial" w:cs="Arial"/>
        </w:rPr>
        <w:t>.</w:t>
      </w:r>
      <w:r w:rsidR="00042CF5">
        <w:rPr>
          <w:rFonts w:ascii="Arial" w:hAnsi="Arial" w:cs="Arial"/>
        </w:rPr>
        <w:t xml:space="preserve"> </w:t>
      </w:r>
      <w:r w:rsidR="006F2E74">
        <w:rPr>
          <w:rFonts w:ascii="Arial" w:hAnsi="Arial" w:cs="Arial"/>
        </w:rPr>
        <w:t xml:space="preserve">This trend is already being seen </w:t>
      </w:r>
      <w:r w:rsidR="009A170A">
        <w:rPr>
          <w:rFonts w:ascii="Arial" w:hAnsi="Arial" w:cs="Arial"/>
        </w:rPr>
        <w:t xml:space="preserve">as the referrals for specialist dysphagia assessments has almost doubled in the Bridgend areas in the last few years for Speech and Language Therapists, Dietitian and Pharmacy.  </w:t>
      </w:r>
      <w:r w:rsidR="006F2E74" w:rsidRPr="006F2E74">
        <w:rPr>
          <w:rFonts w:ascii="Arial" w:hAnsi="Arial" w:cs="Arial"/>
        </w:rPr>
        <w:t xml:space="preserve">Speech and Language Therapists (SLTs) diagnose dysphagia, provide </w:t>
      </w:r>
      <w:proofErr w:type="gramStart"/>
      <w:r w:rsidR="006F2E74" w:rsidRPr="006F2E74">
        <w:rPr>
          <w:rFonts w:ascii="Arial" w:hAnsi="Arial" w:cs="Arial"/>
        </w:rPr>
        <w:t>treatment</w:t>
      </w:r>
      <w:proofErr w:type="gramEnd"/>
      <w:r w:rsidR="006F2E74" w:rsidRPr="006F2E74">
        <w:rPr>
          <w:rFonts w:ascii="Arial" w:hAnsi="Arial" w:cs="Arial"/>
        </w:rPr>
        <w:t xml:space="preserve"> and recommend safest diet &amp; fluids to reduce risk. Dietitians assess</w:t>
      </w:r>
      <w:r w:rsidR="006F2E74" w:rsidRPr="00633031">
        <w:rPr>
          <w:rFonts w:ascii="Arial" w:hAnsi="Arial" w:cs="Arial"/>
        </w:rPr>
        <w:t xml:space="preserve">, </w:t>
      </w:r>
      <w:proofErr w:type="gramStart"/>
      <w:r w:rsidR="006F2E74" w:rsidRPr="00633031">
        <w:rPr>
          <w:rFonts w:ascii="Arial" w:hAnsi="Arial" w:cs="Arial"/>
        </w:rPr>
        <w:t>diagnose</w:t>
      </w:r>
      <w:proofErr w:type="gramEnd"/>
      <w:r w:rsidR="006F2E74" w:rsidRPr="00633031">
        <w:rPr>
          <w:rFonts w:ascii="Arial" w:hAnsi="Arial" w:cs="Arial"/>
        </w:rPr>
        <w:t xml:space="preserve"> and treat dietary and nutritional-related problems to promote good health.</w:t>
      </w:r>
      <w:r w:rsidR="00633031" w:rsidRPr="00633031">
        <w:rPr>
          <w:rFonts w:ascii="Arial" w:hAnsi="Arial" w:cs="Arial"/>
        </w:rPr>
        <w:t xml:space="preserve"> N</w:t>
      </w:r>
      <w:r w:rsidR="00633031" w:rsidRPr="00633031">
        <w:rPr>
          <w:rFonts w:ascii="Arial" w:hAnsi="Arial" w:cs="Arial"/>
        </w:rPr>
        <w:t xml:space="preserve">utrition assessments  may aid in decreasing </w:t>
      </w:r>
      <w:r w:rsidR="00633031" w:rsidRPr="00E60269">
        <w:rPr>
          <w:rFonts w:ascii="Arial" w:hAnsi="Arial" w:cs="Arial"/>
        </w:rPr>
        <w:t>dysphagia-related complications</w:t>
      </w:r>
      <w:r w:rsidR="00633031" w:rsidRPr="00E60269">
        <w:rPr>
          <w:rFonts w:ascii="Arial" w:hAnsi="Arial" w:cs="Arial"/>
        </w:rPr>
        <w:t xml:space="preserve"> </w:t>
      </w:r>
      <w:r w:rsidR="00633031" w:rsidRPr="00E60269">
        <w:rPr>
          <w:rFonts w:ascii="Arial" w:hAnsi="Arial" w:cs="Arial"/>
        </w:rPr>
        <w:fldChar w:fldCharType="begin" w:fldLock="1"/>
      </w:r>
      <w:r w:rsidR="00633031" w:rsidRPr="00E60269">
        <w:rPr>
          <w:rFonts w:ascii="Arial" w:hAnsi="Arial" w:cs="Arial"/>
        </w:rPr>
        <w:instrText>ADDIN CSL_CITATION {"citationItems":[{"id":"ITEM-1","itemData":{"DOI":"10.1007/s00520-015-2912-5","ISSN":"14337339","PMID":"26304158","abstract":"Purpose: Dysphagia is a common and debilitating side effect for head and neck cancer (HNC) patients undergoing radiotherapy (RT) with or without chemotherapy ([C]RT) and is associated with nutritional and emotional comorbidities. Emotional sequelae and distress are also known to affect carers of HNC patients. A weekly, joint speech pathology/dietetic (SP/DN) service-delivery model has been employed to manage swallowing/nutritional and associated emotional issues during (C)RT. This study aimed to conduct a service evaluation of the weekly SP/DN clinical model. Methods: Cross-sectional sampling of core service metrics and perceptions of key stakeholders (70 HNC patients, 30 carers, and 10 clinicians) were collated from the Metro South Radiation Oncology Service in Brisbane, Australia. Data from each source was examined separately and then triangulated. Results: An average of 28 patients (SD = 5.54) attended SP/DN appointments per week, with 58 % reporting swallowing and/or nutritional issues. Distress was reported by 27 % of patients and 30 % of carers. Clinicians felt able to adequately identify and manage swallowing and nutrition 90 % of the time but only 10 % of the time for distress. Seventy-six percent of scheduled SP/DN sessions were perceived as necessary by either patients, clinicians or both. Conclusions: Findings demonstrated a third of patients and their carers had a high level of distress during HNC [C]RT, supporting need for the provision of a weekly SP/DN service in a select cohort. However, the routine weekly SP/DN assessment model for all patients undergoing HNC treatment demonstrates the potential for over-servicing. Alternative service-delivery models warrant further evaluation.","author":[{"dropping-particle":"","family":"Wall","given":"Laurelie R.","non-dropping-particle":"","parse-names":false,"suffix":""},{"dropping-particle":"","family":"Cartmill","given":"Bena","non-dropping-particle":"","parse-names":false,"suffix":""},{"dropping-particle":"","family":"Ward","given":"Elizabeth C.","non-dropping-particle":"","parse-names":false,"suffix":""},{"dropping-particle":"","family":"Hill","given":"Anne J.","non-dropping-particle":"","parse-names":false,"suffix":""},{"dropping-particle":"","family":"Isenring","given":"Elizabeth","non-dropping-particle":"","parse-names":false,"suffix":""},{"dropping-particle":"V.","family":"Porceddu","given":"Sandro","non-dropping-particle":"","parse-names":false,"suffix":""}],"container-title":"Supportive Care in Cancer","id":"ITEM-1","issue":"3","issued":{"date-parts":[["2016"]]},"page":"1227-1234","publisher":"Supportive Care in Cancer","title":"Evaluation of a weekly speech pathology/dietetic service model for providing supportive care intervention to head and neck cancer patients and their carers during (chemo)radiotherapy","type":"article-journal","volume":"24"},"uris":["http://www.mendeley.com/documents/?uuid=96196c80-987b-4d68-a67d-a1f98fbac156"]}],"mendeley":{"formattedCitation":"(Wall &lt;i&gt;et al.&lt;/i&gt;, 2016)","plainTextFormattedCitation":"(Wall et al., 2016)","previouslyFormattedCitation":"(Wall &lt;i&gt;et al.&lt;/i&gt;, 2016)"},"properties":{"noteIndex":0},"schema":"https://github.com/citation-style-language/schema/raw/master/csl-citation.json"}</w:instrText>
      </w:r>
      <w:r w:rsidR="00633031" w:rsidRPr="00E60269">
        <w:rPr>
          <w:rFonts w:ascii="Arial" w:hAnsi="Arial" w:cs="Arial"/>
        </w:rPr>
        <w:fldChar w:fldCharType="separate"/>
      </w:r>
      <w:r w:rsidR="00633031" w:rsidRPr="00E60269">
        <w:rPr>
          <w:rFonts w:ascii="Arial" w:hAnsi="Arial" w:cs="Arial"/>
          <w:noProof/>
        </w:rPr>
        <w:t>(Wall et al., 2016)</w:t>
      </w:r>
      <w:r w:rsidR="00633031" w:rsidRPr="00E60269">
        <w:rPr>
          <w:rFonts w:ascii="Arial" w:hAnsi="Arial" w:cs="Arial"/>
        </w:rPr>
        <w:fldChar w:fldCharType="end"/>
      </w:r>
      <w:r w:rsidR="00633031" w:rsidRPr="00E60269">
        <w:rPr>
          <w:rFonts w:ascii="Arial" w:hAnsi="Arial" w:cs="Arial"/>
        </w:rPr>
        <w:t xml:space="preserve">. </w:t>
      </w:r>
      <w:r w:rsidR="00E60269" w:rsidRPr="00E60269">
        <w:rPr>
          <w:rFonts w:ascii="Arial" w:hAnsi="Arial" w:cs="Arial"/>
          <w:shd w:val="clear" w:color="auto" w:fill="FFFFFF"/>
        </w:rPr>
        <w:t xml:space="preserve">Swallowing difficulties are common and can affect patients' ability to take </w:t>
      </w:r>
      <w:r w:rsidR="00E60269" w:rsidRPr="00E60269">
        <w:rPr>
          <w:rFonts w:ascii="Arial" w:hAnsi="Arial" w:cs="Arial"/>
          <w:shd w:val="clear" w:color="auto" w:fill="FFFFFF"/>
        </w:rPr>
        <w:t>oral medications</w:t>
      </w:r>
      <w:r w:rsidR="00E60269" w:rsidRPr="00E60269">
        <w:rPr>
          <w:rFonts w:ascii="Arial" w:hAnsi="Arial" w:cs="Arial"/>
          <w:shd w:val="clear" w:color="auto" w:fill="FFFFFF"/>
        </w:rPr>
        <w:t>, thus compromising medication adherence.</w:t>
      </w:r>
      <w:r w:rsidR="00AB769A">
        <w:rPr>
          <w:rFonts w:ascii="Arial" w:hAnsi="Arial" w:cs="Arial"/>
          <w:shd w:val="clear" w:color="auto" w:fill="FFFFFF"/>
        </w:rPr>
        <w:t xml:space="preserve"> </w:t>
      </w:r>
      <w:r w:rsidR="00E60269" w:rsidRPr="00E60269">
        <w:rPr>
          <w:rFonts w:ascii="Arial" w:hAnsi="Arial" w:cs="Arial"/>
        </w:rPr>
        <w:fldChar w:fldCharType="begin" w:fldLock="1"/>
      </w:r>
      <w:r w:rsidR="00E60269" w:rsidRPr="00E60269">
        <w:rPr>
          <w:rFonts w:ascii="Arial" w:hAnsi="Arial" w:cs="Arial"/>
        </w:rPr>
        <w:instrText>ADDIN CSL_CITATION {"citationItems":[{"id":"ITEM-1","itemData":{"DOI":"10.1007/s11096-013-9836-2","ISSN":"22107703","PMID":"23963541","abstract":"Background Swallowing difficulties are common and can affect patients' ability to take solid oral dosage forms, thus compromising medication adherence. Strategies developed by patients to overcome such difficulties while taking medicines have seldom been described. Objective To determine prevalence and characteristics of swallowing difficulties among primary care patients attending their community pharmacies; to explore strategies developed by patients to overcome their difficulties, and health professionals' awareness of these problems. Setting Prospective study with a semi-structured questionnaire in random community pharmacies located in two Swiss regions. Method In each pharmacy, an interviewer asked 16 questions to each consecutive patient (18 years and older) with a prescription for at least 3 different solid oral forms. Main outcome measure Quantification of number of patients with swallowing difficulties and detailed description of difficulties. Results Among 122 pharmacies, 59 (48 %) accepted to join the study and 410 patients were enrolled. Thirty-seven patients (9.0 %) reported ongoing swallowing difficulties, while 55 patients (13.4 %) reported past difficulties. For the majority of patients, difficulties occurred at each single dose (83.7 %), with a single medication (59.8 %) and lasted for less than 12 months (53.8 %). Number of tablets was not the main trigger. Swallowing difficulties impaired extremely daily life in 12 % of the patients. Intentional non adherence (23 % of patients) and altering the oral dose formulation were the most common and potentially harmful strategies used by patients to overcome their swallowing difficulties. According to the patients, pharmacists and physicians rarely inquired about their swallowing difficulties. Conclusion We report a fairly high prevalence of swallowing difficulties in polypharmacy patients attending their community pharmacies. Pharmacists have to interview patients on their swallowing difficulties in a more systematic way, support patients in finding solutions and refer them to their physician if necessary to ensure continuity in care. © Koninklijke Nederlandse Maatschappij ter bevordering der Pharmacie 2013.","author":[{"dropping-particle":"","family":"Marquis","given":"Julien","non-dropping-particle":"","parse-names":false,"suffix":""},{"dropping-particle":"","family":"Schneider","given":"Marie Paule","non-dropping-particle":"","parse-names":false,"suffix":""},{"dropping-particle":"","family":"Payot","given":"Valerie","non-dropping-particle":"","parse-names":false,"suffix":""},{"dropping-particle":"","family":"Cordonier","given":"Anne Christine","non-dropping-particle":"","parse-names":false,"suffix":""},{"dropping-particle":"","family":"Bugnon","given":"Olivier","non-dropping-particle":"","parse-names":false,"suffix":""},{"dropping-particle":"","family":"Hersberger","given":"Kurt E.","non-dropping-particle":"","parse-names":false,"suffix":""},{"dropping-particle":"","family":"Arnet","given":"Isabelle","non-dropping-particle":"","parse-names":false,"suffix":""}],"container-title":"International Journal of Clinical Pharmacy","id":"ITEM-1","issue":"6","issued":{"date-parts":[["2013"]]},"page":"1130-1136","title":"Swallowing difficulties with oral drugs among polypharmacy patients attending community pharmacies","type":"article-journal","volume":"35"},"uris":["http://www.mendeley.com/documents/?uuid=7d0e7a0f-c528-4434-a4f3-0c9f9ad13dc5"]}],"mendeley":{"formattedCitation":"(Marquis &lt;i&gt;et al.&lt;/i&gt;, 2013)","manualFormatting":"Marquis et al., (2013)","plainTextFormattedCitation":"(Marquis et al., 2013)","previouslyFormattedCitation":"(Marquis &lt;i&gt;et al.&lt;/i&gt;, 2013)"},"properties":{"noteIndex":0},"schema":"https://github.com/citation-style-language/schema/raw/master/csl-citation.json"}</w:instrText>
      </w:r>
      <w:r w:rsidR="00E60269" w:rsidRPr="00E60269">
        <w:rPr>
          <w:rFonts w:ascii="Arial" w:hAnsi="Arial" w:cs="Arial"/>
        </w:rPr>
        <w:fldChar w:fldCharType="separate"/>
      </w:r>
      <w:r w:rsidR="00E60269" w:rsidRPr="00E60269">
        <w:rPr>
          <w:rFonts w:ascii="Arial" w:hAnsi="Arial" w:cs="Arial"/>
          <w:noProof/>
        </w:rPr>
        <w:t xml:space="preserve">Marquis et al., </w:t>
      </w:r>
      <w:r w:rsidR="00E60269" w:rsidRPr="00E60269">
        <w:rPr>
          <w:rFonts w:ascii="Arial" w:hAnsi="Arial" w:cs="Arial"/>
          <w:noProof/>
        </w:rPr>
        <w:t>(</w:t>
      </w:r>
      <w:r w:rsidR="00E60269" w:rsidRPr="00E60269">
        <w:rPr>
          <w:rFonts w:ascii="Arial" w:hAnsi="Arial" w:cs="Arial"/>
          <w:noProof/>
        </w:rPr>
        <w:t>2013)</w:t>
      </w:r>
      <w:r w:rsidR="00E60269" w:rsidRPr="00E60269">
        <w:rPr>
          <w:rFonts w:ascii="Arial" w:hAnsi="Arial" w:cs="Arial"/>
        </w:rPr>
        <w:fldChar w:fldCharType="end"/>
      </w:r>
      <w:r w:rsidR="00E60269" w:rsidRPr="00E60269">
        <w:rPr>
          <w:rFonts w:ascii="Arial" w:hAnsi="Arial" w:cs="Arial"/>
        </w:rPr>
        <w:t xml:space="preserve"> </w:t>
      </w:r>
      <w:r w:rsidR="00E60269" w:rsidRPr="00E60269">
        <w:rPr>
          <w:rFonts w:ascii="Arial" w:hAnsi="Arial" w:cs="Arial"/>
          <w:shd w:val="clear" w:color="auto" w:fill="FFFFFF"/>
        </w:rPr>
        <w:t xml:space="preserve">report a </w:t>
      </w:r>
      <w:proofErr w:type="gramStart"/>
      <w:r w:rsidR="00E60269" w:rsidRPr="00E60269">
        <w:rPr>
          <w:rFonts w:ascii="Arial" w:hAnsi="Arial" w:cs="Arial"/>
          <w:shd w:val="clear" w:color="auto" w:fill="FFFFFF"/>
        </w:rPr>
        <w:t>fairly high</w:t>
      </w:r>
      <w:proofErr w:type="gramEnd"/>
      <w:r w:rsidR="00E60269" w:rsidRPr="00E60269">
        <w:rPr>
          <w:rFonts w:ascii="Arial" w:hAnsi="Arial" w:cs="Arial"/>
          <w:shd w:val="clear" w:color="auto" w:fill="FFFFFF"/>
        </w:rPr>
        <w:t xml:space="preserve"> prevalence of swallowing difficulties in polypharmacy patients. </w:t>
      </w:r>
      <w:r w:rsidR="00E60269" w:rsidRPr="00E60269">
        <w:rPr>
          <w:rFonts w:ascii="Arial" w:hAnsi="Arial" w:cs="Arial"/>
        </w:rPr>
        <w:t xml:space="preserve">Pharmacists advise nursing staff, </w:t>
      </w:r>
      <w:proofErr w:type="gramStart"/>
      <w:r w:rsidR="00E60269" w:rsidRPr="00E60269">
        <w:rPr>
          <w:rFonts w:ascii="Arial" w:hAnsi="Arial" w:cs="Arial"/>
        </w:rPr>
        <w:t>carers</w:t>
      </w:r>
      <w:proofErr w:type="gramEnd"/>
      <w:r w:rsidR="00E60269" w:rsidRPr="00E60269">
        <w:rPr>
          <w:rFonts w:ascii="Arial" w:hAnsi="Arial" w:cs="Arial"/>
        </w:rPr>
        <w:t xml:space="preserve"> and other healthcare professionals on how to prepare medicines for residents to swallow safely.</w:t>
      </w:r>
      <w:r w:rsidR="00E60269" w:rsidRPr="00E60269">
        <w:rPr>
          <w:rStyle w:val="acopre1"/>
          <w:rFonts w:ascii="Arial" w:hAnsi="Arial" w:cs="Arial"/>
        </w:rPr>
        <w:t xml:space="preserve"> </w:t>
      </w:r>
    </w:p>
    <w:p w14:paraId="2D336C2D" w14:textId="33B2C454" w:rsidR="009A170A" w:rsidRDefault="003071E1" w:rsidP="00B1207A">
      <w:pPr>
        <w:pStyle w:val="NormalWeb"/>
        <w:jc w:val="both"/>
        <w:rPr>
          <w:rFonts w:ascii="Arial" w:hAnsi="Arial" w:cs="Arial"/>
        </w:rPr>
      </w:pPr>
      <w:r>
        <w:rPr>
          <w:rFonts w:ascii="Arial" w:hAnsi="Arial" w:cs="Arial"/>
        </w:rPr>
        <w:t>C</w:t>
      </w:r>
      <w:r w:rsidR="009A170A" w:rsidRPr="009A170A">
        <w:rPr>
          <w:rFonts w:ascii="Arial" w:hAnsi="Arial" w:cs="Arial"/>
        </w:rPr>
        <w:t xml:space="preserve">are home </w:t>
      </w:r>
      <w:proofErr w:type="gramStart"/>
      <w:r w:rsidR="009A170A" w:rsidRPr="009A170A">
        <w:rPr>
          <w:rFonts w:ascii="Arial" w:hAnsi="Arial" w:cs="Arial"/>
        </w:rPr>
        <w:t xml:space="preserve">residents </w:t>
      </w:r>
      <w:r w:rsidR="006F2E74" w:rsidRPr="009A170A">
        <w:rPr>
          <w:rFonts w:ascii="Arial" w:hAnsi="Arial" w:cs="Arial"/>
          <w:shd w:val="clear" w:color="auto" w:fill="FFFFFF"/>
        </w:rPr>
        <w:t xml:space="preserve"> are</w:t>
      </w:r>
      <w:proofErr w:type="gramEnd"/>
      <w:r w:rsidR="006F2E74" w:rsidRPr="009A170A">
        <w:rPr>
          <w:rFonts w:ascii="Arial" w:hAnsi="Arial" w:cs="Arial"/>
          <w:shd w:val="clear" w:color="auto" w:fill="FFFFFF"/>
        </w:rPr>
        <w:t xml:space="preserve"> often unable to access timely integrated specialist services required to effectively manage their eating and drinking difficulties; potentially causing more distress in the longer-term</w:t>
      </w:r>
      <w:r w:rsidR="009A170A" w:rsidRPr="009A170A">
        <w:rPr>
          <w:rFonts w:ascii="Arial" w:hAnsi="Arial" w:cs="Arial"/>
          <w:shd w:val="clear" w:color="auto" w:fill="FFFFFF"/>
        </w:rPr>
        <w:t>.</w:t>
      </w:r>
      <w:r w:rsidR="006F2E74" w:rsidRPr="009A170A">
        <w:rPr>
          <w:rFonts w:ascii="Arial" w:hAnsi="Arial" w:cs="Arial"/>
        </w:rPr>
        <w:t xml:space="preserve"> </w:t>
      </w:r>
      <w:r w:rsidR="006F2E74">
        <w:rPr>
          <w:rFonts w:ascii="Arial" w:hAnsi="Arial" w:cs="Arial"/>
        </w:rPr>
        <w:t>C</w:t>
      </w:r>
      <w:r w:rsidR="00B1207A">
        <w:rPr>
          <w:rFonts w:ascii="Arial" w:hAnsi="Arial" w:cs="Arial"/>
        </w:rPr>
        <w:t xml:space="preserve">are home staff </w:t>
      </w:r>
      <w:r w:rsidR="006F2E74">
        <w:rPr>
          <w:rFonts w:ascii="Arial" w:hAnsi="Arial" w:cs="Arial"/>
        </w:rPr>
        <w:t xml:space="preserve">need approval from the patient’s Primary Care Physician to make </w:t>
      </w:r>
      <w:r w:rsidR="009A170A">
        <w:rPr>
          <w:rFonts w:ascii="Arial" w:hAnsi="Arial" w:cs="Arial"/>
        </w:rPr>
        <w:t xml:space="preserve">any </w:t>
      </w:r>
      <w:r w:rsidR="006F2E74">
        <w:rPr>
          <w:rFonts w:ascii="Arial" w:hAnsi="Arial" w:cs="Arial"/>
        </w:rPr>
        <w:t>dysphagia referrals. They would then need to make separate</w:t>
      </w:r>
      <w:r w:rsidR="00B1207A">
        <w:rPr>
          <w:rFonts w:ascii="Arial" w:hAnsi="Arial" w:cs="Arial"/>
        </w:rPr>
        <w:t xml:space="preserve"> referral</w:t>
      </w:r>
      <w:r w:rsidR="006F2E74">
        <w:rPr>
          <w:rFonts w:ascii="Arial" w:hAnsi="Arial" w:cs="Arial"/>
        </w:rPr>
        <w:t xml:space="preserve">s for speech and language therapy, </w:t>
      </w:r>
      <w:proofErr w:type="gramStart"/>
      <w:r w:rsidR="006F2E74">
        <w:rPr>
          <w:rFonts w:ascii="Arial" w:hAnsi="Arial" w:cs="Arial"/>
        </w:rPr>
        <w:t>dietetics</w:t>
      </w:r>
      <w:proofErr w:type="gramEnd"/>
      <w:r w:rsidR="006F2E74">
        <w:rPr>
          <w:rFonts w:ascii="Arial" w:hAnsi="Arial" w:cs="Arial"/>
        </w:rPr>
        <w:t xml:space="preserve"> and pharmacy</w:t>
      </w:r>
      <w:r w:rsidR="009A170A">
        <w:rPr>
          <w:rFonts w:ascii="Arial" w:hAnsi="Arial" w:cs="Arial"/>
        </w:rPr>
        <w:t xml:space="preserve">. This </w:t>
      </w:r>
      <w:r w:rsidR="006F2E74">
        <w:rPr>
          <w:rFonts w:ascii="Arial" w:hAnsi="Arial" w:cs="Arial"/>
        </w:rPr>
        <w:t>increas</w:t>
      </w:r>
      <w:r w:rsidR="009A170A">
        <w:rPr>
          <w:rFonts w:ascii="Arial" w:hAnsi="Arial" w:cs="Arial"/>
        </w:rPr>
        <w:t xml:space="preserve">e </w:t>
      </w:r>
      <w:r w:rsidR="006F2E74">
        <w:rPr>
          <w:rFonts w:ascii="Arial" w:hAnsi="Arial" w:cs="Arial"/>
        </w:rPr>
        <w:t xml:space="preserve">waiting times and residents </w:t>
      </w:r>
      <w:r w:rsidR="009A170A">
        <w:rPr>
          <w:rFonts w:ascii="Arial" w:hAnsi="Arial" w:cs="Arial"/>
        </w:rPr>
        <w:t xml:space="preserve">at times </w:t>
      </w:r>
      <w:r w:rsidR="006F2E74">
        <w:rPr>
          <w:rFonts w:ascii="Arial" w:hAnsi="Arial" w:cs="Arial"/>
        </w:rPr>
        <w:t xml:space="preserve">need to be on </w:t>
      </w:r>
      <w:r w:rsidR="00B1207A">
        <w:rPr>
          <w:rFonts w:ascii="Arial" w:hAnsi="Arial" w:cs="Arial"/>
        </w:rPr>
        <w:t>multiple waitlists before the</w:t>
      </w:r>
      <w:r w:rsidR="006F2E74">
        <w:rPr>
          <w:rFonts w:ascii="Arial" w:hAnsi="Arial" w:cs="Arial"/>
        </w:rPr>
        <w:t>y</w:t>
      </w:r>
      <w:r w:rsidR="00B1207A">
        <w:rPr>
          <w:rFonts w:ascii="Arial" w:hAnsi="Arial" w:cs="Arial"/>
        </w:rPr>
        <w:t xml:space="preserve"> can be seen. </w:t>
      </w:r>
      <w:r>
        <w:rPr>
          <w:rFonts w:ascii="Arial" w:hAnsi="Arial" w:cs="Arial"/>
        </w:rPr>
        <w:t>Figure 1 shows a current pathway diagram of multiple referrals and reduplications of tasks by the three allied health professionals.</w:t>
      </w:r>
    </w:p>
    <w:p w14:paraId="17D373AA" w14:textId="77777777" w:rsidR="00633031" w:rsidRDefault="00633031">
      <w:pPr>
        <w:rPr>
          <w:rFonts w:ascii="Arial" w:hAnsi="Arial" w:cs="Arial"/>
        </w:rPr>
      </w:pPr>
      <w:r>
        <w:rPr>
          <w:rFonts w:ascii="Arial" w:hAnsi="Arial" w:cs="Arial"/>
        </w:rPr>
        <w:br w:type="page"/>
      </w:r>
    </w:p>
    <w:p w14:paraId="777C6FA5" w14:textId="1AED2C91" w:rsidR="00633031" w:rsidRDefault="00633031" w:rsidP="00B1207A">
      <w:pPr>
        <w:pStyle w:val="NormalWeb"/>
        <w:jc w:val="both"/>
        <w:rPr>
          <w:rFonts w:ascii="Arial" w:hAnsi="Arial" w:cs="Arial"/>
        </w:rPr>
      </w:pPr>
      <w:r>
        <w:rPr>
          <w:rFonts w:ascii="Arial" w:hAnsi="Arial" w:cs="Arial"/>
        </w:rPr>
        <w:lastRenderedPageBreak/>
        <w:t>Figure 1 Current Pathway for Multiple Dysphagia Related Referrals in Care Homes</w:t>
      </w:r>
    </w:p>
    <w:p w14:paraId="703E51DA" w14:textId="6380BE29" w:rsidR="003071E1" w:rsidRDefault="00633031" w:rsidP="00633031">
      <w:pPr>
        <w:pStyle w:val="NormalWeb"/>
        <w:jc w:val="center"/>
        <w:rPr>
          <w:rFonts w:ascii="Arial" w:hAnsi="Arial" w:cs="Arial"/>
        </w:rPr>
      </w:pPr>
      <w:r w:rsidRPr="00633031">
        <w:rPr>
          <w:rFonts w:ascii="Arial" w:hAnsi="Arial" w:cs="Arial"/>
        </w:rPr>
        <w:drawing>
          <wp:inline distT="0" distB="0" distL="0" distR="0" wp14:anchorId="659EA05F" wp14:editId="19214580">
            <wp:extent cx="5943600" cy="1721485"/>
            <wp:effectExtent l="0" t="0" r="0" b="5715"/>
            <wp:docPr id="4" name="Picture 4" descr="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pplication&#10;&#10;Description automatically generated with medium confidence"/>
                    <pic:cNvPicPr/>
                  </pic:nvPicPr>
                  <pic:blipFill>
                    <a:blip r:embed="rId9"/>
                    <a:stretch>
                      <a:fillRect/>
                    </a:stretch>
                  </pic:blipFill>
                  <pic:spPr>
                    <a:xfrm>
                      <a:off x="0" y="0"/>
                      <a:ext cx="5943600" cy="1721485"/>
                    </a:xfrm>
                    <a:prstGeom prst="rect">
                      <a:avLst/>
                    </a:prstGeom>
                  </pic:spPr>
                </pic:pic>
              </a:graphicData>
            </a:graphic>
          </wp:inline>
        </w:drawing>
      </w:r>
      <w:r w:rsidRPr="00633031">
        <w:rPr>
          <w:noProof/>
        </w:rPr>
        <w:drawing>
          <wp:inline distT="0" distB="0" distL="0" distR="0" wp14:anchorId="75F5E320" wp14:editId="0438BE94">
            <wp:extent cx="5943600" cy="2217420"/>
            <wp:effectExtent l="0" t="0" r="0" b="5080"/>
            <wp:docPr id="38" name="Picture 38"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imeline&#10;&#10;Description automatically generated with medium confidence"/>
                    <pic:cNvPicPr/>
                  </pic:nvPicPr>
                  <pic:blipFill>
                    <a:blip r:embed="rId10"/>
                    <a:stretch>
                      <a:fillRect/>
                    </a:stretch>
                  </pic:blipFill>
                  <pic:spPr>
                    <a:xfrm>
                      <a:off x="0" y="0"/>
                      <a:ext cx="5943600" cy="2217420"/>
                    </a:xfrm>
                    <a:prstGeom prst="rect">
                      <a:avLst/>
                    </a:prstGeom>
                  </pic:spPr>
                </pic:pic>
              </a:graphicData>
            </a:graphic>
          </wp:inline>
        </w:drawing>
      </w:r>
      <w:r w:rsidRPr="00633031">
        <w:rPr>
          <w:noProof/>
        </w:rPr>
        <w:drawing>
          <wp:inline distT="0" distB="0" distL="0" distR="0" wp14:anchorId="66488373" wp14:editId="142DD1F3">
            <wp:extent cx="1258784" cy="1046190"/>
            <wp:effectExtent l="0" t="0" r="0" b="0"/>
            <wp:docPr id="39" name="Picture 39">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a:extLst>
                        <a:ext uri="{C183D7F6-B498-43B3-948B-1728B52AA6E4}">
                          <adec:decorative xmlns:adec="http://schemas.microsoft.com/office/drawing/2017/decorative" val="0"/>
                        </a:ext>
                      </a:extLst>
                    </pic:cNvPr>
                    <pic:cNvPicPr/>
                  </pic:nvPicPr>
                  <pic:blipFill>
                    <a:blip r:embed="rId11"/>
                    <a:stretch>
                      <a:fillRect/>
                    </a:stretch>
                  </pic:blipFill>
                  <pic:spPr>
                    <a:xfrm>
                      <a:off x="0" y="0"/>
                      <a:ext cx="1277966" cy="1062132"/>
                    </a:xfrm>
                    <a:prstGeom prst="rect">
                      <a:avLst/>
                    </a:prstGeom>
                  </pic:spPr>
                </pic:pic>
              </a:graphicData>
            </a:graphic>
          </wp:inline>
        </w:drawing>
      </w:r>
    </w:p>
    <w:p w14:paraId="513D907E" w14:textId="392C450C" w:rsidR="003071E1" w:rsidRDefault="003071E1" w:rsidP="00B1207A">
      <w:pPr>
        <w:pStyle w:val="NormalWeb"/>
        <w:jc w:val="both"/>
        <w:rPr>
          <w:rFonts w:ascii="Arial" w:hAnsi="Arial" w:cs="Arial"/>
        </w:rPr>
      </w:pPr>
    </w:p>
    <w:p w14:paraId="688D6FD0" w14:textId="0C413AB1" w:rsidR="009A170A" w:rsidRDefault="003071E1" w:rsidP="00B1207A">
      <w:pPr>
        <w:pStyle w:val="NormalWeb"/>
        <w:jc w:val="both"/>
        <w:rPr>
          <w:rFonts w:ascii="Arial" w:hAnsi="Arial" w:cs="Arial"/>
        </w:rPr>
      </w:pPr>
      <w:r>
        <w:rPr>
          <w:rFonts w:ascii="Arial" w:hAnsi="Arial" w:cs="Arial"/>
        </w:rPr>
        <w:t xml:space="preserve">Multiple appointments </w:t>
      </w:r>
      <w:r w:rsidR="00633031">
        <w:rPr>
          <w:rFonts w:ascii="Arial" w:hAnsi="Arial" w:cs="Arial"/>
        </w:rPr>
        <w:t>are</w:t>
      </w:r>
      <w:r>
        <w:rPr>
          <w:rFonts w:ascii="Arial" w:hAnsi="Arial" w:cs="Arial"/>
        </w:rPr>
        <w:t xml:space="preserve"> expensive as ambulance transport</w:t>
      </w:r>
      <w:r w:rsidR="00633031">
        <w:rPr>
          <w:rFonts w:ascii="Arial" w:hAnsi="Arial" w:cs="Arial"/>
        </w:rPr>
        <w:t xml:space="preserve"> is required</w:t>
      </w:r>
      <w:r>
        <w:rPr>
          <w:rFonts w:ascii="Arial" w:hAnsi="Arial" w:cs="Arial"/>
        </w:rPr>
        <w:t xml:space="preserve"> and staff</w:t>
      </w:r>
      <w:r w:rsidR="00633031">
        <w:rPr>
          <w:rFonts w:ascii="Arial" w:hAnsi="Arial" w:cs="Arial"/>
        </w:rPr>
        <w:t xml:space="preserve"> needs to be present</w:t>
      </w:r>
      <w:r>
        <w:rPr>
          <w:rFonts w:ascii="Arial" w:hAnsi="Arial" w:cs="Arial"/>
        </w:rPr>
        <w:t xml:space="preserve"> for each appointment. This could also p</w:t>
      </w:r>
      <w:r w:rsidR="00633031">
        <w:rPr>
          <w:rFonts w:ascii="Arial" w:hAnsi="Arial" w:cs="Arial"/>
        </w:rPr>
        <w:t>ut</w:t>
      </w:r>
      <w:r>
        <w:rPr>
          <w:rFonts w:ascii="Arial" w:hAnsi="Arial" w:cs="Arial"/>
        </w:rPr>
        <w:t xml:space="preserve"> </w:t>
      </w:r>
      <w:r w:rsidR="009A170A">
        <w:rPr>
          <w:rFonts w:ascii="Arial" w:hAnsi="Arial" w:cs="Arial"/>
        </w:rPr>
        <w:t xml:space="preserve">strain </w:t>
      </w:r>
      <w:r>
        <w:rPr>
          <w:rFonts w:ascii="Arial" w:hAnsi="Arial" w:cs="Arial"/>
        </w:rPr>
        <w:t xml:space="preserve">and fatigue </w:t>
      </w:r>
      <w:r w:rsidR="009A170A">
        <w:rPr>
          <w:rFonts w:ascii="Arial" w:hAnsi="Arial" w:cs="Arial"/>
        </w:rPr>
        <w:t>on</w:t>
      </w:r>
      <w:r>
        <w:rPr>
          <w:rFonts w:ascii="Arial" w:hAnsi="Arial" w:cs="Arial"/>
        </w:rPr>
        <w:t xml:space="preserve"> an already</w:t>
      </w:r>
      <w:r w:rsidR="009A170A">
        <w:rPr>
          <w:rFonts w:ascii="Arial" w:hAnsi="Arial" w:cs="Arial"/>
        </w:rPr>
        <w:t xml:space="preserve"> frail </w:t>
      </w:r>
      <w:r>
        <w:rPr>
          <w:rFonts w:ascii="Arial" w:hAnsi="Arial" w:cs="Arial"/>
        </w:rPr>
        <w:t xml:space="preserve">and vulnerable population. </w:t>
      </w:r>
      <w:r w:rsidR="00633031">
        <w:rPr>
          <w:rFonts w:ascii="Arial" w:hAnsi="Arial" w:cs="Arial"/>
        </w:rPr>
        <w:t>Multiple appointments can also lead to d</w:t>
      </w:r>
      <w:r w:rsidR="009A170A">
        <w:rPr>
          <w:rFonts w:ascii="Arial" w:hAnsi="Arial" w:cs="Arial"/>
        </w:rPr>
        <w:t>isjointed care</w:t>
      </w:r>
      <w:r w:rsidR="00633031">
        <w:rPr>
          <w:rFonts w:ascii="Arial" w:hAnsi="Arial" w:cs="Arial"/>
        </w:rPr>
        <w:t xml:space="preserve"> </w:t>
      </w:r>
      <w:r w:rsidR="00E60269">
        <w:rPr>
          <w:rFonts w:ascii="Arial" w:hAnsi="Arial" w:cs="Arial"/>
        </w:rPr>
        <w:t xml:space="preserve">and lack of care coordination </w:t>
      </w:r>
      <w:r w:rsidR="009A170A">
        <w:rPr>
          <w:rFonts w:ascii="Arial" w:hAnsi="Arial" w:cs="Arial"/>
        </w:rPr>
        <w:t>that can cause miscommunications with patients</w:t>
      </w:r>
      <w:r>
        <w:rPr>
          <w:rFonts w:ascii="Arial" w:hAnsi="Arial" w:cs="Arial"/>
        </w:rPr>
        <w:t xml:space="preserve">, </w:t>
      </w:r>
      <w:proofErr w:type="gramStart"/>
      <w:r>
        <w:rPr>
          <w:rFonts w:ascii="Arial" w:hAnsi="Arial" w:cs="Arial"/>
        </w:rPr>
        <w:t>family</w:t>
      </w:r>
      <w:proofErr w:type="gramEnd"/>
      <w:r>
        <w:rPr>
          <w:rFonts w:ascii="Arial" w:hAnsi="Arial" w:cs="Arial"/>
        </w:rPr>
        <w:t xml:space="preserve"> and carers</w:t>
      </w:r>
      <w:r w:rsidR="009A170A">
        <w:rPr>
          <w:rFonts w:ascii="Arial" w:hAnsi="Arial" w:cs="Arial"/>
        </w:rPr>
        <w:t xml:space="preserve">. This </w:t>
      </w:r>
      <w:r>
        <w:rPr>
          <w:rFonts w:ascii="Arial" w:hAnsi="Arial" w:cs="Arial"/>
        </w:rPr>
        <w:t xml:space="preserve">situation </w:t>
      </w:r>
      <w:r w:rsidR="009A170A">
        <w:rPr>
          <w:rFonts w:ascii="Arial" w:hAnsi="Arial" w:cs="Arial"/>
        </w:rPr>
        <w:t xml:space="preserve">is also complicated by reduced health and social care resources that is unable to meet the increasing demands of </w:t>
      </w:r>
      <w:r>
        <w:rPr>
          <w:rFonts w:ascii="Arial" w:hAnsi="Arial" w:cs="Arial"/>
        </w:rPr>
        <w:t xml:space="preserve">a </w:t>
      </w:r>
      <w:r w:rsidR="009A170A">
        <w:rPr>
          <w:rFonts w:ascii="Arial" w:hAnsi="Arial" w:cs="Arial"/>
        </w:rPr>
        <w:t xml:space="preserve">complicated swallowing management. </w:t>
      </w:r>
    </w:p>
    <w:p w14:paraId="2A0E20ED" w14:textId="3C27537F" w:rsidR="00361C67" w:rsidRDefault="00361C67" w:rsidP="00B1207A">
      <w:pPr>
        <w:pStyle w:val="NormalWeb"/>
        <w:jc w:val="both"/>
        <w:rPr>
          <w:rFonts w:ascii="Arial" w:hAnsi="Arial" w:cs="Arial"/>
        </w:rPr>
      </w:pPr>
    </w:p>
    <w:p w14:paraId="35CDD455" w14:textId="77777777" w:rsidR="00E60269" w:rsidRDefault="00E60269">
      <w:pPr>
        <w:rPr>
          <w:rFonts w:ascii="Arial" w:hAnsi="Arial" w:cs="Arial"/>
        </w:rPr>
      </w:pPr>
      <w:r>
        <w:rPr>
          <w:rFonts w:ascii="Arial" w:hAnsi="Arial" w:cs="Arial"/>
        </w:rPr>
        <w:br w:type="page"/>
      </w:r>
    </w:p>
    <w:p w14:paraId="34578C08" w14:textId="77777777" w:rsidR="00E60269" w:rsidRPr="00ED4E01" w:rsidRDefault="00E60269" w:rsidP="00E60269">
      <w:pPr>
        <w:rPr>
          <w:rFonts w:ascii="Arial" w:hAnsi="Arial" w:cs="Arial"/>
          <w:b/>
          <w:bCs/>
          <w:u w:val="single"/>
        </w:rPr>
      </w:pPr>
      <w:r w:rsidRPr="00ED4E01">
        <w:rPr>
          <w:rFonts w:ascii="Arial" w:hAnsi="Arial" w:cs="Arial"/>
          <w:b/>
          <w:bCs/>
          <w:u w:val="single"/>
        </w:rPr>
        <w:lastRenderedPageBreak/>
        <w:t>Project Aims and Objectives</w:t>
      </w:r>
    </w:p>
    <w:p w14:paraId="1DA3EFDE" w14:textId="77777777" w:rsidR="00E60269" w:rsidRPr="00ED4E01" w:rsidRDefault="00E60269" w:rsidP="00E60269">
      <w:pPr>
        <w:rPr>
          <w:rFonts w:ascii="Arial" w:hAnsi="Arial" w:cs="Arial"/>
        </w:rPr>
      </w:pPr>
    </w:p>
    <w:p w14:paraId="3535CCC6" w14:textId="32393EE8" w:rsidR="00E60269" w:rsidRPr="00742216" w:rsidRDefault="00E60269" w:rsidP="00742216">
      <w:pPr>
        <w:jc w:val="both"/>
        <w:rPr>
          <w:rFonts w:ascii="Arial" w:hAnsi="Arial" w:cs="Arial"/>
        </w:rPr>
      </w:pPr>
      <w:r w:rsidRPr="00ED4E01">
        <w:rPr>
          <w:rFonts w:ascii="Arial" w:hAnsi="Arial" w:cs="Arial"/>
        </w:rPr>
        <w:t>The severity</w:t>
      </w:r>
      <w:r>
        <w:rPr>
          <w:rFonts w:ascii="Arial" w:hAnsi="Arial" w:cs="Arial"/>
        </w:rPr>
        <w:t xml:space="preserve"> and complexity</w:t>
      </w:r>
      <w:r w:rsidRPr="00ED4E01">
        <w:rPr>
          <w:rFonts w:ascii="Arial" w:hAnsi="Arial" w:cs="Arial"/>
        </w:rPr>
        <w:t xml:space="preserve"> of the problem means </w:t>
      </w:r>
      <w:r>
        <w:rPr>
          <w:rFonts w:ascii="Arial" w:hAnsi="Arial" w:cs="Arial"/>
        </w:rPr>
        <w:t>that we need to initiate innovative ways to address this gap in care</w:t>
      </w:r>
      <w:r w:rsidRPr="00ED4E01">
        <w:rPr>
          <w:rFonts w:ascii="Arial" w:hAnsi="Arial" w:cs="Arial"/>
        </w:rPr>
        <w:t xml:space="preserve">. The need for new care models and technologies that support </w:t>
      </w:r>
      <w:r w:rsidR="00742216">
        <w:rPr>
          <w:rFonts w:ascii="Arial" w:hAnsi="Arial" w:cs="Arial"/>
        </w:rPr>
        <w:t>residents</w:t>
      </w:r>
      <w:r w:rsidRPr="00ED4E01">
        <w:rPr>
          <w:rFonts w:ascii="Arial" w:hAnsi="Arial" w:cs="Arial"/>
        </w:rPr>
        <w:t xml:space="preserve"> in the </w:t>
      </w:r>
      <w:r>
        <w:rPr>
          <w:rFonts w:ascii="Arial" w:hAnsi="Arial" w:cs="Arial"/>
        </w:rPr>
        <w:t xml:space="preserve">care homes </w:t>
      </w:r>
      <w:r w:rsidRPr="00ED4E01">
        <w:rPr>
          <w:rFonts w:ascii="Arial" w:hAnsi="Arial" w:cs="Arial"/>
        </w:rPr>
        <w:t>has never been greater</w:t>
      </w:r>
      <w:r>
        <w:rPr>
          <w:rFonts w:ascii="Arial" w:hAnsi="Arial" w:cs="Arial"/>
        </w:rPr>
        <w:t xml:space="preserve"> especially after the covid-19 pandemic</w:t>
      </w:r>
      <w:r w:rsidRPr="00ED4E01">
        <w:rPr>
          <w:rFonts w:ascii="Arial" w:hAnsi="Arial" w:cs="Arial"/>
        </w:rPr>
        <w:t xml:space="preserve">. Adopting technological innovations can help challenge the system to focus on </w:t>
      </w:r>
      <w:r w:rsidR="00742216" w:rsidRPr="00742216">
        <w:rPr>
          <w:rFonts w:ascii="Arial" w:hAnsi="Arial" w:cs="Arial"/>
        </w:rPr>
        <w:t>timely intervention, prevent further deterioration,</w:t>
      </w:r>
      <w:r w:rsidRPr="00742216">
        <w:rPr>
          <w:rFonts w:ascii="Arial" w:hAnsi="Arial" w:cs="Arial"/>
        </w:rPr>
        <w:t xml:space="preserve"> support </w:t>
      </w:r>
      <w:proofErr w:type="gramStart"/>
      <w:r w:rsidRPr="00742216">
        <w:rPr>
          <w:rFonts w:ascii="Arial" w:hAnsi="Arial" w:cs="Arial"/>
        </w:rPr>
        <w:t>self-care</w:t>
      </w:r>
      <w:proofErr w:type="gramEnd"/>
      <w:r w:rsidRPr="00742216">
        <w:rPr>
          <w:rFonts w:ascii="Arial" w:hAnsi="Arial" w:cs="Arial"/>
        </w:rPr>
        <w:t xml:space="preserve"> and deliver care to people in their own home </w:t>
      </w:r>
      <w:r w:rsidR="00742216" w:rsidRPr="00742216">
        <w:rPr>
          <w:rFonts w:ascii="Arial" w:hAnsi="Arial" w:cs="Arial"/>
        </w:rPr>
        <w:t>environment.</w:t>
      </w:r>
    </w:p>
    <w:p w14:paraId="0E1E9C7C" w14:textId="77777777" w:rsidR="00742216" w:rsidRPr="00742216" w:rsidRDefault="00742216" w:rsidP="00742216">
      <w:pPr>
        <w:jc w:val="both"/>
        <w:rPr>
          <w:rFonts w:ascii="Arial" w:hAnsi="Arial" w:cs="Arial"/>
        </w:rPr>
      </w:pPr>
    </w:p>
    <w:p w14:paraId="230905EB" w14:textId="53F99282" w:rsidR="00E60269" w:rsidRPr="00200F97" w:rsidRDefault="00E60269">
      <w:pPr>
        <w:rPr>
          <w:rFonts w:ascii="Arial" w:hAnsi="Arial" w:cs="Arial"/>
        </w:rPr>
      </w:pPr>
    </w:p>
    <w:p w14:paraId="7FF25090" w14:textId="7A67085A" w:rsidR="00742216" w:rsidRDefault="00742216" w:rsidP="00742216">
      <w:pPr>
        <w:rPr>
          <w:rFonts w:ascii="Arial" w:hAnsi="Arial" w:cs="Arial"/>
        </w:rPr>
      </w:pPr>
      <w:r w:rsidRPr="00ED4E01">
        <w:rPr>
          <w:rFonts w:ascii="Arial" w:hAnsi="Arial" w:cs="Arial"/>
        </w:rPr>
        <w:t xml:space="preserve">This project has three aims:  </w:t>
      </w:r>
    </w:p>
    <w:p w14:paraId="5DB861F9" w14:textId="77777777" w:rsidR="00D92E07" w:rsidRPr="00ED4E01" w:rsidRDefault="00D92E07" w:rsidP="00742216">
      <w:pPr>
        <w:rPr>
          <w:rFonts w:ascii="Arial" w:hAnsi="Arial" w:cs="Arial"/>
        </w:rPr>
      </w:pPr>
    </w:p>
    <w:p w14:paraId="37C55FC1" w14:textId="669425F9" w:rsidR="00D92E07" w:rsidRDefault="00D92E07" w:rsidP="00D92E07">
      <w:pPr>
        <w:pStyle w:val="ListParagraph"/>
        <w:numPr>
          <w:ilvl w:val="0"/>
          <w:numId w:val="1"/>
        </w:numPr>
        <w:jc w:val="both"/>
        <w:rPr>
          <w:rFonts w:ascii="Arial" w:hAnsi="Arial" w:cs="Arial"/>
        </w:rPr>
      </w:pPr>
      <w:r>
        <w:rPr>
          <w:rFonts w:ascii="Arial" w:hAnsi="Arial" w:cs="Arial"/>
        </w:rPr>
        <w:t>T</w:t>
      </w:r>
      <w:r w:rsidR="00742216" w:rsidRPr="00ED4E01">
        <w:rPr>
          <w:rFonts w:ascii="Arial" w:hAnsi="Arial" w:cs="Arial"/>
        </w:rPr>
        <w:t>o develop an integrated telehealth pathway between three specialist services namely, Speech &amp; Language Therapy, Dietetics and Pharmacy within the Health and Social Care integrated Care</w:t>
      </w:r>
      <w:r w:rsidR="00742216">
        <w:rPr>
          <w:rFonts w:ascii="Arial" w:hAnsi="Arial" w:cs="Arial"/>
        </w:rPr>
        <w:t xml:space="preserve"> to ensure safe standards </w:t>
      </w:r>
      <w:r>
        <w:rPr>
          <w:rFonts w:ascii="Arial" w:hAnsi="Arial" w:cs="Arial"/>
        </w:rPr>
        <w:t>of</w:t>
      </w:r>
      <w:r w:rsidR="00742216">
        <w:rPr>
          <w:rFonts w:ascii="Arial" w:hAnsi="Arial" w:cs="Arial"/>
        </w:rPr>
        <w:t xml:space="preserve"> practices across the professions. </w:t>
      </w:r>
      <w:r>
        <w:rPr>
          <w:rFonts w:ascii="Arial" w:hAnsi="Arial" w:cs="Arial"/>
        </w:rPr>
        <w:t>This</w:t>
      </w:r>
      <w:r w:rsidR="00742216">
        <w:rPr>
          <w:rFonts w:ascii="Arial" w:hAnsi="Arial" w:cs="Arial"/>
        </w:rPr>
        <w:t xml:space="preserve"> will also include safe</w:t>
      </w:r>
      <w:r>
        <w:rPr>
          <w:rFonts w:ascii="Arial" w:hAnsi="Arial" w:cs="Arial"/>
        </w:rPr>
        <w:t xml:space="preserve">, </w:t>
      </w:r>
      <w:proofErr w:type="gramStart"/>
      <w:r>
        <w:rPr>
          <w:rFonts w:ascii="Arial" w:hAnsi="Arial" w:cs="Arial"/>
        </w:rPr>
        <w:t>ethical</w:t>
      </w:r>
      <w:proofErr w:type="gramEnd"/>
      <w:r>
        <w:rPr>
          <w:rFonts w:ascii="Arial" w:hAnsi="Arial" w:cs="Arial"/>
        </w:rPr>
        <w:t xml:space="preserve"> and appropriate data pathways in an attempt to design a strategy for multi organizational systemic change. In addition, this will provide a single point of access for three allied health professional services.</w:t>
      </w:r>
    </w:p>
    <w:p w14:paraId="3CD85CEB" w14:textId="77777777" w:rsidR="00D92E07" w:rsidRDefault="00D92E07" w:rsidP="00D92E07">
      <w:pPr>
        <w:pStyle w:val="ListParagraph"/>
        <w:jc w:val="both"/>
        <w:rPr>
          <w:rFonts w:ascii="Arial" w:hAnsi="Arial" w:cs="Arial"/>
        </w:rPr>
      </w:pPr>
    </w:p>
    <w:p w14:paraId="4F6286BA" w14:textId="2E27F7E2" w:rsidR="00D92E07" w:rsidRDefault="00D92E07" w:rsidP="00D92E07">
      <w:pPr>
        <w:pStyle w:val="ListParagraph"/>
        <w:numPr>
          <w:ilvl w:val="0"/>
          <w:numId w:val="1"/>
        </w:numPr>
        <w:jc w:val="both"/>
        <w:rPr>
          <w:rFonts w:ascii="Arial" w:hAnsi="Arial" w:cs="Arial"/>
        </w:rPr>
      </w:pPr>
      <w:r>
        <w:rPr>
          <w:rFonts w:ascii="Arial" w:hAnsi="Arial" w:cs="Arial"/>
        </w:rPr>
        <w:t xml:space="preserve">To provide current </w:t>
      </w:r>
      <w:proofErr w:type="gramStart"/>
      <w:r>
        <w:rPr>
          <w:rFonts w:ascii="Arial" w:hAnsi="Arial" w:cs="Arial"/>
        </w:rPr>
        <w:t>evidence based</w:t>
      </w:r>
      <w:proofErr w:type="gramEnd"/>
      <w:r>
        <w:rPr>
          <w:rFonts w:ascii="Arial" w:hAnsi="Arial" w:cs="Arial"/>
        </w:rPr>
        <w:t xml:space="preserve"> training to care home staff to ensure safe practice when referring residents, conducting telehealth consultations and adhering to safe swallowing recommendations and guidelines.</w:t>
      </w:r>
    </w:p>
    <w:p w14:paraId="72995303" w14:textId="77777777" w:rsidR="00D92E07" w:rsidRPr="00D92E07" w:rsidRDefault="00D92E07" w:rsidP="00D92E07">
      <w:pPr>
        <w:pStyle w:val="ListParagraph"/>
        <w:jc w:val="both"/>
        <w:rPr>
          <w:rFonts w:ascii="Arial" w:hAnsi="Arial" w:cs="Arial"/>
        </w:rPr>
      </w:pPr>
    </w:p>
    <w:p w14:paraId="4E5D7689" w14:textId="0213AA78" w:rsidR="00D92E07" w:rsidRDefault="00D92E07" w:rsidP="00D92E07">
      <w:pPr>
        <w:pStyle w:val="ListParagraph"/>
        <w:numPr>
          <w:ilvl w:val="0"/>
          <w:numId w:val="1"/>
        </w:numPr>
        <w:jc w:val="both"/>
        <w:rPr>
          <w:rFonts w:ascii="Arial" w:hAnsi="Arial" w:cs="Arial"/>
        </w:rPr>
      </w:pPr>
      <w:r>
        <w:rPr>
          <w:rFonts w:ascii="Arial" w:hAnsi="Arial" w:cs="Arial"/>
        </w:rPr>
        <w:t>To conduct remote joint dysphagia assessment using synchronous video consultation software (Attend Anywhere) with the aim to provide a fully integrated</w:t>
      </w:r>
    </w:p>
    <w:p w14:paraId="46DBDF71" w14:textId="3953FE35" w:rsidR="003071E1" w:rsidRDefault="00D92E07" w:rsidP="00AB769A">
      <w:pPr>
        <w:pStyle w:val="ListParagraph"/>
        <w:jc w:val="both"/>
        <w:rPr>
          <w:rFonts w:ascii="Arial" w:hAnsi="Arial" w:cs="Arial"/>
        </w:rPr>
      </w:pPr>
      <w:r>
        <w:rPr>
          <w:rFonts w:ascii="Arial" w:hAnsi="Arial" w:cs="Arial"/>
        </w:rPr>
        <w:t xml:space="preserve">management of swallowing difficulties for residents in care homes. </w:t>
      </w:r>
    </w:p>
    <w:p w14:paraId="664BFD63" w14:textId="014B7B25" w:rsidR="00AB769A" w:rsidRDefault="00AB769A" w:rsidP="00AB769A">
      <w:pPr>
        <w:pStyle w:val="ListParagraph"/>
        <w:jc w:val="both"/>
        <w:rPr>
          <w:rFonts w:ascii="Arial" w:hAnsi="Arial" w:cs="Arial"/>
        </w:rPr>
      </w:pPr>
    </w:p>
    <w:p w14:paraId="73DED237" w14:textId="0DB1C14E" w:rsidR="00E148D9" w:rsidRDefault="00E148D9">
      <w:pPr>
        <w:rPr>
          <w:rFonts w:ascii="Arial" w:hAnsi="Arial" w:cs="Arial"/>
          <w:b/>
          <w:bCs/>
          <w:u w:val="single"/>
        </w:rPr>
      </w:pPr>
    </w:p>
    <w:p w14:paraId="085FB2F5" w14:textId="77777777" w:rsidR="003254D6" w:rsidRPr="00742216" w:rsidRDefault="003254D6" w:rsidP="003254D6">
      <w:pPr>
        <w:jc w:val="both"/>
        <w:rPr>
          <w:rFonts w:ascii="Arial" w:hAnsi="Arial" w:cs="Arial"/>
        </w:rPr>
      </w:pPr>
      <w:r w:rsidRPr="00742216">
        <w:rPr>
          <w:rFonts w:ascii="Arial" w:hAnsi="Arial" w:cs="Arial"/>
        </w:rPr>
        <w:t>To contribute to a prudent sustainable recovery, this project will trial a new collaborative model of providing care using a remote telehealth digital solution. This project is a collaboration of allied health professionals at a primary cluster level to create meaningful integration while developing new models of care to ensure that care and support are provided to the right people, in the right place, at the right time.</w:t>
      </w:r>
      <w:r>
        <w:rPr>
          <w:rFonts w:ascii="Arial" w:hAnsi="Arial" w:cs="Arial"/>
        </w:rPr>
        <w:t xml:space="preserve"> </w:t>
      </w:r>
      <w:r w:rsidRPr="00742216">
        <w:rPr>
          <w:rFonts w:ascii="Arial" w:hAnsi="Arial" w:cs="Arial"/>
        </w:rPr>
        <w:t xml:space="preserve">This will explore a new integrated way of working between three allied health professionals in a multi -disciplinary approach from Speech &amp; Language Therapy, Dietetics and Nutrition, and Pharmacy. It will explore and test a novel service process in an attempt to deliver easily accessible high quality care and improved health outcomes for residents in care home who needs </w:t>
      </w:r>
      <w:proofErr w:type="gramStart"/>
      <w:r w:rsidRPr="00742216">
        <w:rPr>
          <w:rFonts w:ascii="Arial" w:hAnsi="Arial" w:cs="Arial"/>
        </w:rPr>
        <w:t>specialist  swallowing</w:t>
      </w:r>
      <w:proofErr w:type="gramEnd"/>
      <w:r w:rsidRPr="00742216">
        <w:rPr>
          <w:rFonts w:ascii="Arial" w:hAnsi="Arial" w:cs="Arial"/>
        </w:rPr>
        <w:t>, nutrition and medication support by using a single point of referral.</w:t>
      </w:r>
    </w:p>
    <w:p w14:paraId="5A610305" w14:textId="77777777" w:rsidR="003254D6" w:rsidRPr="00742216" w:rsidRDefault="003254D6" w:rsidP="003254D6">
      <w:pPr>
        <w:jc w:val="both"/>
        <w:rPr>
          <w:rFonts w:ascii="Arial" w:hAnsi="Arial" w:cs="Arial"/>
        </w:rPr>
      </w:pPr>
    </w:p>
    <w:p w14:paraId="56BDC27D" w14:textId="77777777" w:rsidR="003254D6" w:rsidRPr="00742216" w:rsidRDefault="003254D6" w:rsidP="003254D6">
      <w:pPr>
        <w:jc w:val="both"/>
        <w:rPr>
          <w:rFonts w:ascii="Arial" w:hAnsi="Arial" w:cs="Arial"/>
        </w:rPr>
      </w:pPr>
      <w:r w:rsidRPr="00742216">
        <w:rPr>
          <w:rFonts w:ascii="Arial" w:hAnsi="Arial" w:cs="Arial"/>
        </w:rPr>
        <w:t xml:space="preserve">This project ensures that support is about the whole person and addresses the challenge to provide seamless, </w:t>
      </w:r>
      <w:proofErr w:type="gramStart"/>
      <w:r w:rsidRPr="00742216">
        <w:rPr>
          <w:rFonts w:ascii="Arial" w:hAnsi="Arial" w:cs="Arial"/>
        </w:rPr>
        <w:t>holistic</w:t>
      </w:r>
      <w:proofErr w:type="gramEnd"/>
      <w:r w:rsidRPr="00742216">
        <w:rPr>
          <w:rFonts w:ascii="Arial" w:hAnsi="Arial" w:cs="Arial"/>
        </w:rPr>
        <w:t xml:space="preserve"> and organized around the needs of residents in care homes by Allied Health Professionals. There are approximately 2000 registered care home </w:t>
      </w:r>
      <w:r w:rsidRPr="00742216">
        <w:rPr>
          <w:rFonts w:ascii="Arial" w:hAnsi="Arial" w:cs="Arial"/>
        </w:rPr>
        <w:lastRenderedPageBreak/>
        <w:t>residents in Bridgend with of which 50-75% are at risk of having dysphagia and high risk of malnutrition. These population are the most vulnerable during winter months and/or a prediction of the next wave of the pandemic.</w:t>
      </w:r>
      <w:r>
        <w:rPr>
          <w:rFonts w:ascii="Arial" w:hAnsi="Arial" w:cs="Arial"/>
        </w:rPr>
        <w:t xml:space="preserve"> </w:t>
      </w:r>
      <w:r w:rsidRPr="00742216">
        <w:rPr>
          <w:rFonts w:ascii="Arial" w:hAnsi="Arial" w:cs="Arial"/>
        </w:rPr>
        <w:t xml:space="preserve">This will help keep people well, give preventive care, promote </w:t>
      </w:r>
      <w:proofErr w:type="gramStart"/>
      <w:r w:rsidRPr="00742216">
        <w:rPr>
          <w:rFonts w:ascii="Arial" w:hAnsi="Arial" w:cs="Arial"/>
        </w:rPr>
        <w:t>wellbeing</w:t>
      </w:r>
      <w:proofErr w:type="gramEnd"/>
      <w:r w:rsidRPr="00742216">
        <w:rPr>
          <w:rFonts w:ascii="Arial" w:hAnsi="Arial" w:cs="Arial"/>
        </w:rPr>
        <w:t xml:space="preserve"> and provide care as close to home as possible and provide capacity to clinicians. This includes integration between the primary care services and community services to support the Covid 19 recovery efforts. By increasing the capacity of community based </w:t>
      </w:r>
      <w:proofErr w:type="gramStart"/>
      <w:r w:rsidRPr="00742216">
        <w:rPr>
          <w:rFonts w:ascii="Arial" w:hAnsi="Arial" w:cs="Arial"/>
        </w:rPr>
        <w:t>staff</w:t>
      </w:r>
      <w:proofErr w:type="gramEnd"/>
      <w:r w:rsidRPr="00742216">
        <w:rPr>
          <w:rFonts w:ascii="Arial" w:hAnsi="Arial" w:cs="Arial"/>
        </w:rPr>
        <w:t xml:space="preserve"> we will support long term physical and mental health conditions, including people living with dementia and long –COVID. </w:t>
      </w:r>
    </w:p>
    <w:p w14:paraId="48DB0FEC" w14:textId="77777777" w:rsidR="003254D6" w:rsidRPr="00742216" w:rsidRDefault="003254D6" w:rsidP="003254D6">
      <w:pPr>
        <w:jc w:val="both"/>
        <w:rPr>
          <w:rFonts w:ascii="Arial" w:hAnsi="Arial" w:cs="Arial"/>
        </w:rPr>
      </w:pPr>
    </w:p>
    <w:p w14:paraId="16FEBAC3" w14:textId="77777777" w:rsidR="003254D6" w:rsidRPr="00200F97" w:rsidRDefault="003254D6" w:rsidP="003254D6">
      <w:pPr>
        <w:jc w:val="both"/>
        <w:rPr>
          <w:rFonts w:ascii="Arial" w:hAnsi="Arial" w:cs="Arial"/>
          <w:shd w:val="clear" w:color="auto" w:fill="FFFFFF"/>
        </w:rPr>
      </w:pPr>
      <w:r w:rsidRPr="00742216">
        <w:rPr>
          <w:rFonts w:ascii="Arial" w:hAnsi="Arial" w:cs="Arial"/>
        </w:rPr>
        <w:t xml:space="preserve">National Clinical Guidelines for good dysphagia and malnutrition prevention </w:t>
      </w:r>
      <w:proofErr w:type="gramStart"/>
      <w:r w:rsidRPr="00742216">
        <w:rPr>
          <w:rFonts w:ascii="Arial" w:hAnsi="Arial" w:cs="Arial"/>
        </w:rPr>
        <w:t>evidence based</w:t>
      </w:r>
      <w:proofErr w:type="gramEnd"/>
      <w:r w:rsidRPr="00742216">
        <w:rPr>
          <w:rFonts w:ascii="Arial" w:hAnsi="Arial" w:cs="Arial"/>
        </w:rPr>
        <w:t xml:space="preserve"> practice supports early identification and management in a collaborative multi-disciplinary context to ensure maximal outcomes and improved quality of life. </w:t>
      </w:r>
      <w:r w:rsidRPr="00742216">
        <w:rPr>
          <w:rFonts w:ascii="Arial" w:hAnsi="Arial" w:cs="Arial"/>
          <w:shd w:val="clear" w:color="auto" w:fill="FFFFFF"/>
        </w:rPr>
        <w:t xml:space="preserve">Dysphagia assessment and management for older people is best provided by the </w:t>
      </w:r>
      <w:r w:rsidRPr="00742216">
        <w:rPr>
          <w:rFonts w:ascii="Arial" w:hAnsi="Arial" w:cs="Arial"/>
        </w:rPr>
        <w:t>multi-</w:t>
      </w:r>
      <w:proofErr w:type="gramStart"/>
      <w:r w:rsidRPr="00742216">
        <w:rPr>
          <w:rFonts w:ascii="Arial" w:hAnsi="Arial" w:cs="Arial"/>
        </w:rPr>
        <w:t>disciplinary  team</w:t>
      </w:r>
      <w:proofErr w:type="gramEnd"/>
      <w:r w:rsidRPr="00742216">
        <w:rPr>
          <w:rFonts w:ascii="Arial" w:hAnsi="Arial" w:cs="Arial"/>
        </w:rPr>
        <w:t xml:space="preserve"> </w:t>
      </w:r>
      <w:r w:rsidRPr="00742216">
        <w:rPr>
          <w:rFonts w:ascii="Arial" w:hAnsi="Arial" w:cs="Arial"/>
          <w:shd w:val="clear" w:color="auto" w:fill="FFFFFF"/>
        </w:rPr>
        <w:t xml:space="preserve">because of the complexities and inter-related nature of their needs. Inappropriate variation of </w:t>
      </w:r>
      <w:r w:rsidRPr="00200F97">
        <w:rPr>
          <w:rFonts w:ascii="Arial" w:hAnsi="Arial" w:cs="Arial"/>
          <w:shd w:val="clear" w:color="auto" w:fill="FFFFFF"/>
        </w:rPr>
        <w:t>practice is usually evident when this is done in isolation. Training to staff will ensure consistency in practice and standards of care are maintained.</w:t>
      </w:r>
    </w:p>
    <w:p w14:paraId="454F7F24" w14:textId="77777777" w:rsidR="003254D6" w:rsidRPr="00200F97" w:rsidRDefault="003254D6" w:rsidP="003254D6">
      <w:pPr>
        <w:jc w:val="both"/>
        <w:rPr>
          <w:rFonts w:ascii="Arial" w:hAnsi="Arial" w:cs="Arial"/>
          <w:shd w:val="clear" w:color="auto" w:fill="FFFFFF"/>
        </w:rPr>
      </w:pPr>
    </w:p>
    <w:p w14:paraId="15CD59AE" w14:textId="68DAD1C8" w:rsidR="003254D6" w:rsidRDefault="003254D6" w:rsidP="003254D6">
      <w:pPr>
        <w:jc w:val="both"/>
        <w:rPr>
          <w:rFonts w:ascii="Arial" w:hAnsi="Arial" w:cs="Arial"/>
        </w:rPr>
      </w:pPr>
      <w:r w:rsidRPr="00200F97">
        <w:rPr>
          <w:rFonts w:ascii="Arial" w:hAnsi="Arial" w:cs="Arial"/>
        </w:rPr>
        <w:t xml:space="preserve">This project proposes an opportunity to explore alternatives to the current service model and ensure consistency and transparency of practice between the 3 disciplines. Through training and collaborative working, this </w:t>
      </w:r>
      <w:proofErr w:type="gramStart"/>
      <w:r w:rsidRPr="00200F97">
        <w:rPr>
          <w:rFonts w:ascii="Arial" w:hAnsi="Arial" w:cs="Arial"/>
        </w:rPr>
        <w:t>project  will</w:t>
      </w:r>
      <w:proofErr w:type="gramEnd"/>
      <w:r w:rsidRPr="00200F97">
        <w:rPr>
          <w:rFonts w:ascii="Arial" w:hAnsi="Arial" w:cs="Arial"/>
        </w:rPr>
        <w:t xml:space="preserve"> also empower nursing home staff  to support residents and their families to make shared decision about their health.</w:t>
      </w:r>
    </w:p>
    <w:p w14:paraId="2DAED17B" w14:textId="77777777" w:rsidR="003B7409" w:rsidRPr="00200F97" w:rsidRDefault="003B7409" w:rsidP="003254D6">
      <w:pPr>
        <w:jc w:val="both"/>
        <w:rPr>
          <w:rFonts w:ascii="Arial" w:hAnsi="Arial" w:cs="Arial"/>
        </w:rPr>
      </w:pPr>
    </w:p>
    <w:p w14:paraId="01F61446" w14:textId="77777777" w:rsidR="003254D6" w:rsidRPr="00200F97" w:rsidRDefault="003254D6" w:rsidP="003254D6">
      <w:pPr>
        <w:jc w:val="both"/>
        <w:rPr>
          <w:rFonts w:ascii="Arial" w:hAnsi="Arial" w:cs="Arial"/>
        </w:rPr>
      </w:pPr>
      <w:r w:rsidRPr="00200F97">
        <w:rPr>
          <w:rFonts w:ascii="Arial" w:hAnsi="Arial" w:cs="Arial"/>
        </w:rPr>
        <w:t xml:space="preserve">In addition, this project will propose a single point of referral to cut </w:t>
      </w:r>
      <w:r w:rsidRPr="00200F97">
        <w:rPr>
          <w:rFonts w:ascii="Arial" w:hAnsi="Arial" w:cs="Arial"/>
          <w:color w:val="202124"/>
          <w:shd w:val="clear" w:color="auto" w:fill="FFFFFF"/>
        </w:rPr>
        <w:t>bureaucracies</w:t>
      </w:r>
      <w:r w:rsidRPr="00200F97">
        <w:rPr>
          <w:rFonts w:ascii="Arial" w:hAnsi="Arial" w:cs="Arial"/>
        </w:rPr>
        <w:t xml:space="preserve"> and eliminate repetition of tasks in the clinical pathway to ensure a more streamlined and efficient service provision. Documentation will also be provided an integrated digital multi-disciplinary report to ensure clear communication, efficient dissemination of recommendations and any anticipatory care from all disciplines.</w:t>
      </w:r>
    </w:p>
    <w:p w14:paraId="58746D69" w14:textId="77777777" w:rsidR="003254D6" w:rsidRPr="00200F97" w:rsidRDefault="003254D6" w:rsidP="003254D6">
      <w:pPr>
        <w:jc w:val="both"/>
        <w:rPr>
          <w:rFonts w:ascii="Arial" w:hAnsi="Arial" w:cs="Arial"/>
          <w:shd w:val="clear" w:color="auto" w:fill="FFFFFF"/>
        </w:rPr>
      </w:pPr>
    </w:p>
    <w:p w14:paraId="13F1BF84" w14:textId="77777777" w:rsidR="003254D6" w:rsidRDefault="003254D6">
      <w:pPr>
        <w:rPr>
          <w:rFonts w:ascii="Arial" w:hAnsi="Arial" w:cs="Arial"/>
          <w:b/>
          <w:bCs/>
          <w:u w:val="single"/>
        </w:rPr>
      </w:pPr>
      <w:r>
        <w:rPr>
          <w:rFonts w:ascii="Arial" w:hAnsi="Arial" w:cs="Arial"/>
          <w:b/>
          <w:bCs/>
          <w:u w:val="single"/>
        </w:rPr>
        <w:br w:type="page"/>
      </w:r>
    </w:p>
    <w:p w14:paraId="3430CE83" w14:textId="731BFE25" w:rsidR="005151A6" w:rsidRPr="00ED4E01" w:rsidRDefault="005151A6" w:rsidP="005151A6">
      <w:pPr>
        <w:rPr>
          <w:rFonts w:ascii="Arial" w:hAnsi="Arial" w:cs="Arial"/>
          <w:b/>
          <w:bCs/>
          <w:u w:val="single"/>
        </w:rPr>
      </w:pPr>
      <w:r w:rsidRPr="00ED4E01">
        <w:rPr>
          <w:rFonts w:ascii="Arial" w:hAnsi="Arial" w:cs="Arial"/>
          <w:b/>
          <w:bCs/>
          <w:u w:val="single"/>
        </w:rPr>
        <w:lastRenderedPageBreak/>
        <w:t>Project Management Methodology</w:t>
      </w:r>
    </w:p>
    <w:p w14:paraId="40DCD1C1" w14:textId="372006A4" w:rsidR="00E148D9" w:rsidRDefault="00E148D9" w:rsidP="005151A6">
      <w:pPr>
        <w:rPr>
          <w:rFonts w:ascii="Arial" w:hAnsi="Arial" w:cs="Arial"/>
          <w:b/>
          <w:bCs/>
          <w:u w:val="single"/>
        </w:rPr>
      </w:pPr>
    </w:p>
    <w:p w14:paraId="0186A211" w14:textId="1BA21C0F" w:rsidR="00886A9C" w:rsidRDefault="00886A9C" w:rsidP="000E4BE0">
      <w:pPr>
        <w:jc w:val="both"/>
        <w:rPr>
          <w:rFonts w:ascii="Arial" w:hAnsi="Arial" w:cs="Arial"/>
        </w:rPr>
      </w:pPr>
      <w:r w:rsidRPr="00886A9C">
        <w:rPr>
          <w:rFonts w:ascii="Arial" w:hAnsi="Arial" w:cs="Arial"/>
        </w:rPr>
        <w:t xml:space="preserve">The proposed project is a </w:t>
      </w:r>
      <w:proofErr w:type="gramStart"/>
      <w:r w:rsidRPr="00886A9C">
        <w:rPr>
          <w:rFonts w:ascii="Arial" w:hAnsi="Arial" w:cs="Arial"/>
        </w:rPr>
        <w:t>small scale</w:t>
      </w:r>
      <w:proofErr w:type="gramEnd"/>
      <w:r w:rsidRPr="00886A9C">
        <w:rPr>
          <w:rFonts w:ascii="Arial" w:hAnsi="Arial" w:cs="Arial"/>
        </w:rPr>
        <w:t xml:space="preserve"> quality improvement project. The </w:t>
      </w:r>
      <w:r w:rsidRPr="00886A9C">
        <w:rPr>
          <w:rFonts w:ascii="Arial" w:hAnsi="Arial" w:cs="Arial"/>
        </w:rPr>
        <w:t xml:space="preserve">Plan-Do-Study-Act (PDSA) cycle is </w:t>
      </w:r>
      <w:r w:rsidRPr="00886A9C">
        <w:rPr>
          <w:rFonts w:ascii="Arial" w:hAnsi="Arial" w:cs="Arial"/>
        </w:rPr>
        <w:t xml:space="preserve">chosen to </w:t>
      </w:r>
      <w:r w:rsidRPr="00886A9C">
        <w:rPr>
          <w:rFonts w:ascii="Arial" w:hAnsi="Arial" w:cs="Arial"/>
        </w:rPr>
        <w:t>document</w:t>
      </w:r>
      <w:r w:rsidRPr="00886A9C">
        <w:rPr>
          <w:rFonts w:ascii="Arial" w:hAnsi="Arial" w:cs="Arial"/>
        </w:rPr>
        <w:t xml:space="preserve"> the effect of this new intervention </w:t>
      </w:r>
      <w:r w:rsidRPr="00886A9C">
        <w:rPr>
          <w:rFonts w:ascii="Arial" w:hAnsi="Arial" w:cs="Arial"/>
        </w:rPr>
        <w:t>a</w:t>
      </w:r>
      <w:r w:rsidRPr="00886A9C">
        <w:rPr>
          <w:rFonts w:ascii="Arial" w:hAnsi="Arial" w:cs="Arial"/>
        </w:rPr>
        <w:t>nd measure</w:t>
      </w:r>
      <w:r w:rsidRPr="00886A9C">
        <w:rPr>
          <w:rFonts w:ascii="Arial" w:hAnsi="Arial" w:cs="Arial"/>
        </w:rPr>
        <w:t xml:space="preserve"> change</w:t>
      </w:r>
      <w:r>
        <w:rPr>
          <w:rFonts w:ascii="Arial" w:hAnsi="Arial" w:cs="Arial"/>
        </w:rPr>
        <w:t xml:space="preserve">. It has four </w:t>
      </w:r>
      <w:r w:rsidR="00AC3678">
        <w:rPr>
          <w:rFonts w:ascii="Arial" w:hAnsi="Arial" w:cs="Arial"/>
        </w:rPr>
        <w:t>steps: Plan, Do, Study and Act. The “Plan” identifies the objectives and processes needed to implement the innovation. It identifies tasks, who are responsible to do the tasks as well as when how and where the plan will be implemented. Hypothesis and possible predictions are included in this step. The second st</w:t>
      </w:r>
      <w:r w:rsidR="006321FD">
        <w:rPr>
          <w:rFonts w:ascii="Arial" w:hAnsi="Arial" w:cs="Arial"/>
        </w:rPr>
        <w:t>e</w:t>
      </w:r>
      <w:r w:rsidR="00AC3678">
        <w:rPr>
          <w:rFonts w:ascii="Arial" w:hAnsi="Arial" w:cs="Arial"/>
        </w:rPr>
        <w:t xml:space="preserve">p, “Do”, is the actual implementation of the innovation. It also includes all the documentation required  to identify, measure and evaluate success as well as record challenges and problems. The “Study” step is collating and analysing the results. This is the time when </w:t>
      </w:r>
      <w:r w:rsidR="000E4BE0">
        <w:rPr>
          <w:rFonts w:ascii="Arial" w:hAnsi="Arial" w:cs="Arial"/>
        </w:rPr>
        <w:t xml:space="preserve">actual results </w:t>
      </w:r>
      <w:r w:rsidR="00AC3678">
        <w:rPr>
          <w:rFonts w:ascii="Arial" w:hAnsi="Arial" w:cs="Arial"/>
        </w:rPr>
        <w:t>are compared with previous similar studies</w:t>
      </w:r>
      <w:r w:rsidR="000E4BE0">
        <w:rPr>
          <w:rFonts w:ascii="Arial" w:hAnsi="Arial" w:cs="Arial"/>
        </w:rPr>
        <w:t xml:space="preserve"> and </w:t>
      </w:r>
      <w:r w:rsidR="000E4BE0">
        <w:rPr>
          <w:rFonts w:ascii="Arial" w:hAnsi="Arial" w:cs="Arial"/>
        </w:rPr>
        <w:t>hypothesis</w:t>
      </w:r>
      <w:r w:rsidR="000E4BE0">
        <w:rPr>
          <w:rFonts w:ascii="Arial" w:hAnsi="Arial" w:cs="Arial"/>
        </w:rPr>
        <w:t xml:space="preserve"> is tested</w:t>
      </w:r>
      <w:r w:rsidR="00AC3678">
        <w:rPr>
          <w:rFonts w:ascii="Arial" w:hAnsi="Arial" w:cs="Arial"/>
        </w:rPr>
        <w:t xml:space="preserve">. </w:t>
      </w:r>
      <w:r w:rsidR="006321FD">
        <w:rPr>
          <w:rFonts w:ascii="Arial" w:hAnsi="Arial" w:cs="Arial"/>
        </w:rPr>
        <w:t xml:space="preserve">Further information on gain and other acquired learnings are also synthesized and documented. Lastly, “Act” is the step where the researchers will evaluate if the innovation can be adopted, adapted or abandoned. Adapt is to make needed modifications derived from the analysis of the results and run another PDSA cycle. Adopt is when the innovation is to be tested in a larger cohort in an attempt to replicate the results in a bigger context. Abandoned is when no further testing is needed or appropriate.  This is also the step where the preparation for the next PDSA Cycle is conducted.  </w:t>
      </w:r>
      <w:r w:rsidR="00AC3678">
        <w:rPr>
          <w:rFonts w:ascii="Arial" w:hAnsi="Arial" w:cs="Arial"/>
        </w:rPr>
        <w:fldChar w:fldCharType="begin" w:fldLock="1"/>
      </w:r>
      <w:r w:rsidR="003254D6">
        <w:rPr>
          <w:rFonts w:ascii="Arial" w:hAnsi="Arial" w:cs="Arial"/>
        </w:rPr>
        <w:instrText>ADDIN CSL_CITATION {"citationItems":[{"id":"ITEM-1","itemData":{"DOI":"10.1016/j.cppeds.2018.08.006","ISSN":"15383199","PMID":"30270135","abstract":"The need to change the delivery of healthcare in the United States has been the focus of several recent publications. Quality improvement concepts initially utilized in industry have been applied to healthcare to reduce error and variation in outcomes. The Plan-Do-Study-Act (PDSA) Methodology is one of the most commonly used tools in quality improvement. The PDSA cycle is an iterative, four step model for improving a process. The first step is the development of a plan in which predictions of outcomes are clearly stated and tasks are assigned. It is in this phase that the who, what, when, and where of the plan is decided. In the “do” phase, the plan is implemented. Data and results obtained are then analyzed in the “study” phase. Last, the plan is either adopted, adapted, or abandoned in the “act” phase based on the evaluation of the data in the prior step. The learning from one cycle should guide the cycles that follow. A hypothetical example from an actual Quality Improvement Initiative sponsored by the American Academy of Pediatrics Chapter Quality Networks provides a step by step approach to application of the PDSA model. Changes noted following multiple iterative PDSA cycles resulted in significant improvement in healthcare outcomes.","author":[{"dropping-particle":"","family":"Christoff","given":"Patricia","non-dropping-particle":"","parse-names":false,"suffix":""}],"container-title":"Current Problems in Pediatric and Adolescent Health Care","id":"ITEM-1","issue":"8","issued":{"date-parts":[["2018"]]},"page":"198-201","publisher":"Elsevier Inc.","title":"Running PDSA cycles","type":"article-journal","volume":"48"},"uris":["http://www.mendeley.com/documents/?uuid=3aa254e1-cc97-4451-badf-a69a55c42834"]},{"id":"ITEM-2","itemData":{"DOI":"10.1038/ajg.2016.321","ISSN":"15720241","PMID":"27527744","author":[{"dropping-particle":"","family":"Morelli","given":"Michael S.","non-dropping-particle":"","parse-names":false,"suffix":""}],"container-title":"American Journal of Gastroenterology","id":"ITEM-2","issue":"9","issued":{"date-parts":[["2016"]]},"page":"1220-1222","publisher":"Nature Publishing Group","title":"Using the Plan, Do, Study, Act Model to Implement a Quality Improvement Program in Your Practice","type":"article-journal","volume":"111"},"uris":["http://www.mendeley.com/documents/?uuid=b9e444a5-00af-4941-902a-bf6cdec57252"]},{"id":"ITEM-3","itemData":{"abstract":"Using PDSA cycles enables you to test out changes on a small scale, building on the learning from these test cycles in a structured way before wholesale implementation. This gives stakeholders the opportunity to see if the proposed change will succeed and is a powerful tool for learning from ideas that do and don’t work. This way, the process of change is safer and less disruptive for patients and staff.","author":[{"dropping-particle":"","family":"NHS England (NHS-E)","given":"","non-dropping-particle":"","parse-names":false,"suffix":""},{"dropping-particle":"","family":"NHS Improvement (NHS-I)","given":"","non-dropping-particle":"","parse-names":false,"suffix":""}],"id":"ITEM-3","issued":{"date-parts":[["2020"]]},"page":"1-8","title":"Online library of Quality, Service Improvement and Redesign tools Plan, Do, Study, Act (PDSA) cycles and the model for improvement","type":"article-journal"},"uris":["http://www.mendeley.com/documents/?uuid=5b7dc2fc-fac7-4246-ba4f-582fe441b2bd"]}],"mendeley":{"formattedCitation":"(Morelli, 2016; Christoff, 2018; NHS England (NHS-E) and NHS Improvement (NHS-I), 2020)","plainTextFormattedCitation":"(Morelli, 2016; Christoff, 2018; NHS England (NHS-E) and NHS Improvement (NHS-I), 2020)","previouslyFormattedCitation":"(Morelli, 2016; Christoff, 2018; NHS England (NHS-E) and NHS Improvement (NHS-I), 2020)"},"properties":{"noteIndex":0},"schema":"https://github.com/citation-style-language/schema/raw/master/csl-citation.json"}</w:instrText>
      </w:r>
      <w:r w:rsidR="00AC3678">
        <w:rPr>
          <w:rFonts w:ascii="Arial" w:hAnsi="Arial" w:cs="Arial"/>
        </w:rPr>
        <w:fldChar w:fldCharType="separate"/>
      </w:r>
      <w:r w:rsidR="00AC3678" w:rsidRPr="00AC3678">
        <w:rPr>
          <w:rFonts w:ascii="Arial" w:hAnsi="Arial" w:cs="Arial"/>
          <w:noProof/>
        </w:rPr>
        <w:t>(Morelli, 2016; Christoff, 2018; NHS England (NHS-E) and NHS Improvement (NHS-I), 2020)</w:t>
      </w:r>
      <w:r w:rsidR="00AC3678">
        <w:rPr>
          <w:rFonts w:ascii="Arial" w:hAnsi="Arial" w:cs="Arial"/>
        </w:rPr>
        <w:fldChar w:fldCharType="end"/>
      </w:r>
      <w:r w:rsidR="00AC3678">
        <w:rPr>
          <w:rFonts w:ascii="Arial" w:hAnsi="Arial" w:cs="Arial"/>
        </w:rPr>
        <w:t xml:space="preserve">. </w:t>
      </w:r>
    </w:p>
    <w:p w14:paraId="4E23E8B8" w14:textId="696AA7AA" w:rsidR="00AC3678" w:rsidRDefault="00AC3678" w:rsidP="00792FA3">
      <w:pPr>
        <w:jc w:val="both"/>
        <w:rPr>
          <w:rFonts w:ascii="Arial" w:hAnsi="Arial" w:cs="Arial"/>
        </w:rPr>
      </w:pPr>
    </w:p>
    <w:p w14:paraId="05A7E452" w14:textId="175674D7" w:rsidR="000E4BE0" w:rsidRDefault="000E4BE0" w:rsidP="00792FA3">
      <w:pPr>
        <w:jc w:val="both"/>
        <w:rPr>
          <w:rFonts w:ascii="Arial" w:hAnsi="Arial" w:cs="Arial"/>
        </w:rPr>
      </w:pPr>
      <w:r w:rsidRPr="000E4BE0">
        <w:rPr>
          <w:rFonts w:ascii="Arial" w:hAnsi="Arial" w:cs="Arial"/>
        </w:rPr>
        <w:t xml:space="preserve">In contrast to </w:t>
      </w:r>
      <w:r w:rsidRPr="00792FA3">
        <w:rPr>
          <w:rFonts w:ascii="Arial" w:hAnsi="Arial" w:cs="Arial"/>
        </w:rPr>
        <w:t xml:space="preserve">PRINCE 2, this method </w:t>
      </w:r>
      <w:r w:rsidR="00DA0479" w:rsidRPr="00792FA3">
        <w:rPr>
          <w:rFonts w:ascii="Arial" w:hAnsi="Arial" w:cs="Arial"/>
        </w:rPr>
        <w:t>can be easily applied and is focused on incremental change and not transformation on a large scale.</w:t>
      </w:r>
      <w:r w:rsidR="00792FA3" w:rsidRPr="00792FA3">
        <w:rPr>
          <w:rFonts w:ascii="Arial" w:hAnsi="Arial" w:cs="Arial"/>
        </w:rPr>
        <w:t xml:space="preserve"> </w:t>
      </w:r>
      <w:r w:rsidR="00792FA3" w:rsidRPr="000E4BE0">
        <w:rPr>
          <w:rFonts w:ascii="Arial" w:hAnsi="Arial" w:cs="Arial"/>
        </w:rPr>
        <w:t>This is persuasive because</w:t>
      </w:r>
      <w:r w:rsidR="00792FA3">
        <w:rPr>
          <w:rFonts w:ascii="Arial" w:hAnsi="Arial" w:cs="Arial"/>
        </w:rPr>
        <w:t xml:space="preserve"> </w:t>
      </w:r>
      <w:r w:rsidR="00792FA3" w:rsidRPr="00792FA3">
        <w:rPr>
          <w:rFonts w:ascii="Arial" w:hAnsi="Arial" w:cs="Arial"/>
        </w:rPr>
        <w:t xml:space="preserve">it focuses on </w:t>
      </w:r>
      <w:r w:rsidR="00792FA3" w:rsidRPr="00792FA3">
        <w:rPr>
          <w:rFonts w:ascii="Calibri" w:hAnsi="Calibri" w:cs="Calibri"/>
        </w:rPr>
        <w:t>﻿</w:t>
      </w:r>
      <w:r w:rsidR="00792FA3" w:rsidRPr="00792FA3">
        <w:rPr>
          <w:rFonts w:ascii="Arial" w:hAnsi="Arial" w:cs="Arial"/>
        </w:rPr>
        <w:t>rapid small-scale tests of change</w:t>
      </w:r>
      <w:r w:rsidR="00792FA3" w:rsidRPr="00792FA3">
        <w:rPr>
          <w:rFonts w:ascii="Arial" w:hAnsi="Arial" w:cs="Arial"/>
        </w:rPr>
        <w:t>.</w:t>
      </w:r>
      <w:r w:rsidR="00DA0479" w:rsidRPr="00792FA3">
        <w:rPr>
          <w:rFonts w:ascii="Arial" w:hAnsi="Arial" w:cs="Arial"/>
        </w:rPr>
        <w:t xml:space="preserve"> The strength of this method is its structured</w:t>
      </w:r>
      <w:r w:rsidR="00DA0479">
        <w:rPr>
          <w:rFonts w:ascii="Arial" w:hAnsi="Arial" w:cs="Arial"/>
        </w:rPr>
        <w:t xml:space="preserve"> experimental approach to testing changes and novel processes. </w:t>
      </w:r>
      <w:r w:rsidR="00792FA3">
        <w:rPr>
          <w:rFonts w:ascii="Arial" w:hAnsi="Arial" w:cs="Arial"/>
        </w:rPr>
        <w:t>I believe</w:t>
      </w:r>
      <w:r w:rsidRPr="000E4BE0">
        <w:rPr>
          <w:rFonts w:ascii="Arial" w:hAnsi="Arial" w:cs="Arial"/>
        </w:rPr>
        <w:t xml:space="preserve"> the most significant aspect </w:t>
      </w:r>
      <w:r w:rsidR="00DA0479">
        <w:rPr>
          <w:rFonts w:ascii="Arial" w:hAnsi="Arial" w:cs="Arial"/>
        </w:rPr>
        <w:t xml:space="preserve">of this method </w:t>
      </w:r>
      <w:r w:rsidRPr="000E4BE0">
        <w:rPr>
          <w:rFonts w:ascii="Arial" w:hAnsi="Arial" w:cs="Arial"/>
          <w:lang w:val="en-US"/>
        </w:rPr>
        <w:t>is</w:t>
      </w:r>
      <w:r w:rsidRPr="000E4BE0">
        <w:rPr>
          <w:rFonts w:ascii="Arial" w:hAnsi="Arial" w:cs="Arial"/>
        </w:rPr>
        <w:t xml:space="preserve"> </w:t>
      </w:r>
      <w:r w:rsidR="00DA0479">
        <w:rPr>
          <w:rFonts w:ascii="Arial" w:hAnsi="Arial" w:cs="Arial"/>
        </w:rPr>
        <w:t xml:space="preserve">informed action. It </w:t>
      </w:r>
      <w:r w:rsidR="00792FA3">
        <w:rPr>
          <w:rFonts w:ascii="Arial" w:hAnsi="Arial" w:cs="Arial"/>
        </w:rPr>
        <w:t>could</w:t>
      </w:r>
      <w:r w:rsidR="00DA0479">
        <w:rPr>
          <w:rFonts w:ascii="Arial" w:hAnsi="Arial" w:cs="Arial"/>
        </w:rPr>
        <w:t xml:space="preserve"> </w:t>
      </w:r>
      <w:r w:rsidR="00792FA3">
        <w:rPr>
          <w:rFonts w:ascii="Arial" w:hAnsi="Arial" w:cs="Arial"/>
        </w:rPr>
        <w:t xml:space="preserve">rapidly </w:t>
      </w:r>
      <w:r w:rsidR="00DA0479">
        <w:rPr>
          <w:rFonts w:ascii="Arial" w:hAnsi="Arial" w:cs="Arial"/>
        </w:rPr>
        <w:t xml:space="preserve">test and </w:t>
      </w:r>
      <w:r w:rsidR="00792FA3">
        <w:rPr>
          <w:rFonts w:ascii="Arial" w:hAnsi="Arial" w:cs="Arial"/>
        </w:rPr>
        <w:t>derive quick accessible</w:t>
      </w:r>
      <w:r w:rsidR="00DA0479">
        <w:rPr>
          <w:rFonts w:ascii="Arial" w:hAnsi="Arial" w:cs="Arial"/>
        </w:rPr>
        <w:t xml:space="preserve"> learn</w:t>
      </w:r>
      <w:r w:rsidR="00792FA3">
        <w:rPr>
          <w:rFonts w:ascii="Arial" w:hAnsi="Arial" w:cs="Arial"/>
        </w:rPr>
        <w:t>ings</w:t>
      </w:r>
      <w:r w:rsidR="00DA0479">
        <w:rPr>
          <w:rFonts w:ascii="Arial" w:hAnsi="Arial" w:cs="Arial"/>
        </w:rPr>
        <w:t xml:space="preserve"> </w:t>
      </w:r>
      <w:r w:rsidR="00792FA3">
        <w:rPr>
          <w:rFonts w:ascii="Arial" w:hAnsi="Arial" w:cs="Arial"/>
        </w:rPr>
        <w:t xml:space="preserve">to identify </w:t>
      </w:r>
      <w:r w:rsidR="00DA0479">
        <w:rPr>
          <w:rFonts w:ascii="Arial" w:hAnsi="Arial" w:cs="Arial"/>
        </w:rPr>
        <w:t xml:space="preserve">whether an intervention is feasible in a particular setting. It also has the potential to reveal theories on how to increase the chances of delivering and sustaining the desired results.   </w:t>
      </w:r>
    </w:p>
    <w:p w14:paraId="23FAEF6B" w14:textId="77777777" w:rsidR="00DA0479" w:rsidRDefault="00DA0479" w:rsidP="000E4BE0">
      <w:pPr>
        <w:rPr>
          <w:rFonts w:ascii="Arial" w:hAnsi="Arial" w:cs="Arial"/>
        </w:rPr>
      </w:pPr>
    </w:p>
    <w:p w14:paraId="78A695B5" w14:textId="3D755583" w:rsidR="000E4BE0" w:rsidRDefault="00792FA3" w:rsidP="003254D6">
      <w:pPr>
        <w:jc w:val="both"/>
        <w:rPr>
          <w:rFonts w:ascii="Arial" w:hAnsi="Arial" w:cs="Arial"/>
        </w:rPr>
      </w:pPr>
      <w:r>
        <w:rPr>
          <w:rFonts w:ascii="Arial" w:hAnsi="Arial" w:cs="Arial"/>
        </w:rPr>
        <w:t>However t</w:t>
      </w:r>
      <w:r w:rsidRPr="000E4BE0">
        <w:rPr>
          <w:rFonts w:ascii="Arial" w:hAnsi="Arial" w:cs="Arial"/>
        </w:rPr>
        <w:t xml:space="preserve">he model </w:t>
      </w:r>
      <w:r>
        <w:rPr>
          <w:rFonts w:ascii="Arial" w:hAnsi="Arial" w:cs="Arial"/>
        </w:rPr>
        <w:t>also has limitations</w:t>
      </w:r>
      <w:r w:rsidR="003254D6">
        <w:rPr>
          <w:rFonts w:ascii="Arial" w:hAnsi="Arial" w:cs="Arial"/>
        </w:rPr>
        <w:t xml:space="preserve"> </w:t>
      </w:r>
      <w:r w:rsidR="003254D6">
        <w:rPr>
          <w:rFonts w:ascii="Arial" w:hAnsi="Arial" w:cs="Arial"/>
        </w:rPr>
        <w:fldChar w:fldCharType="begin" w:fldLock="1"/>
      </w:r>
      <w:r w:rsidR="003B7409">
        <w:rPr>
          <w:rFonts w:ascii="Arial" w:hAnsi="Arial" w:cs="Arial"/>
        </w:rPr>
        <w:instrText>ADDIN CSL_CITATION {"citationItems":[{"id":"ITEM-1","itemData":{"DOI":"10.1136/bmjqs-2015-005076","ISSN":"20445415","PMID":"26700542","author":[{"dropping-particle":"","family":"Reed","given":"Julie E.","non-dropping-particle":"","parse-names":false,"suffix":""},{"dropping-particle":"","family":"Card","given":"Alan J.","non-dropping-particle":"","parse-names":false,"suffix":""}],"container-title":"BMJ Quality and Safety","id":"ITEM-1","issue":"3","issued":{"date-parts":[["2016"]]},"page":"147-152","title":"The problem with plan-do-study-act cycles","type":"article-journal","volume":"25"},"uris":["http://www.mendeley.com/documents/?uuid=9b3d0eea-e02c-4ad8-b1c7-ae2fde93bd0c"]},{"id":"ITEM-2","itemData":{"ISSN":"20445415","author":[{"dropping-particle":"","family":"Knudsen","given":"Søren Valgreen","non-dropping-particle":"","parse-names":false,"suffix":""}],"container-title":"Bmj Quality and Safety","id":"ITEM-2","issued":{"date-parts":[["2018"]]},"page":"1-10","publisher":"BMC Health Services Research","title":"Can Quality Improvement improve the Quality of Care? A systematic review of effects and methodological rigor of the Plan-Do-Study-Act (PDSA) method","type":"article-journal","volume":"6"},"uris":["http://www.mendeley.com/documents/?uuid=da567d41-71c8-44c9-8c31-23e38cd874c1"]}],"mendeley":{"formattedCitation":"(Reed and Card, 2016; Knudsen, 2018)","plainTextFormattedCitation":"(Reed and Card, 2016; Knudsen, 2018)","previouslyFormattedCitation":"(Reed and Card, 2016; Knudsen, 2018)"},"properties":{"noteIndex":0},"schema":"https://github.com/citation-style-language/schema/raw/master/csl-citation.json"}</w:instrText>
      </w:r>
      <w:r w:rsidR="003254D6">
        <w:rPr>
          <w:rFonts w:ascii="Arial" w:hAnsi="Arial" w:cs="Arial"/>
        </w:rPr>
        <w:fldChar w:fldCharType="separate"/>
      </w:r>
      <w:r w:rsidR="003254D6" w:rsidRPr="003254D6">
        <w:rPr>
          <w:rFonts w:ascii="Arial" w:hAnsi="Arial" w:cs="Arial"/>
          <w:noProof/>
        </w:rPr>
        <w:t>(Reed and Card, 2016; Knudsen, 2018)</w:t>
      </w:r>
      <w:r w:rsidR="003254D6">
        <w:rPr>
          <w:rFonts w:ascii="Arial" w:hAnsi="Arial" w:cs="Arial"/>
        </w:rPr>
        <w:fldChar w:fldCharType="end"/>
      </w:r>
      <w:r>
        <w:rPr>
          <w:rFonts w:ascii="Arial" w:hAnsi="Arial" w:cs="Arial"/>
        </w:rPr>
        <w:t xml:space="preserve">. It </w:t>
      </w:r>
      <w:r w:rsidRPr="000E4BE0">
        <w:rPr>
          <w:rFonts w:ascii="Arial" w:hAnsi="Arial" w:cs="Arial"/>
        </w:rPr>
        <w:t>lacks rigor because</w:t>
      </w:r>
      <w:r>
        <w:rPr>
          <w:rFonts w:ascii="Arial" w:hAnsi="Arial" w:cs="Arial"/>
        </w:rPr>
        <w:t xml:space="preserve"> this method can be </w:t>
      </w:r>
      <w:r w:rsidR="00DA0479">
        <w:rPr>
          <w:rFonts w:ascii="Arial" w:hAnsi="Arial" w:cs="Arial"/>
          <w:lang w:val="en-US"/>
        </w:rPr>
        <w:t>oversimplifi</w:t>
      </w:r>
      <w:r>
        <w:rPr>
          <w:rFonts w:ascii="Arial" w:hAnsi="Arial" w:cs="Arial"/>
          <w:lang w:val="en-US"/>
        </w:rPr>
        <w:t>ed</w:t>
      </w:r>
      <w:r w:rsidR="00DA0479">
        <w:rPr>
          <w:rFonts w:ascii="Arial" w:hAnsi="Arial" w:cs="Arial"/>
          <w:lang w:val="en-US"/>
        </w:rPr>
        <w:t xml:space="preserve"> when used in </w:t>
      </w:r>
      <w:r>
        <w:rPr>
          <w:rFonts w:ascii="Arial" w:hAnsi="Arial" w:cs="Arial"/>
          <w:lang w:val="en-US"/>
        </w:rPr>
        <w:t xml:space="preserve">a complex setting </w:t>
      </w:r>
      <w:proofErr w:type="gramStart"/>
      <w:r>
        <w:rPr>
          <w:rFonts w:ascii="Arial" w:hAnsi="Arial" w:cs="Arial"/>
          <w:lang w:val="en-US"/>
        </w:rPr>
        <w:t>similar to</w:t>
      </w:r>
      <w:proofErr w:type="gramEnd"/>
      <w:r>
        <w:rPr>
          <w:rFonts w:ascii="Arial" w:hAnsi="Arial" w:cs="Arial"/>
          <w:lang w:val="en-US"/>
        </w:rPr>
        <w:t xml:space="preserve"> </w:t>
      </w:r>
      <w:r w:rsidR="00DA0479">
        <w:rPr>
          <w:rFonts w:ascii="Arial" w:hAnsi="Arial" w:cs="Arial"/>
          <w:lang w:val="en-US"/>
        </w:rPr>
        <w:t>health</w:t>
      </w:r>
      <w:r>
        <w:rPr>
          <w:rFonts w:ascii="Arial" w:hAnsi="Arial" w:cs="Arial"/>
          <w:lang w:val="en-US"/>
        </w:rPr>
        <w:t xml:space="preserve"> and social </w:t>
      </w:r>
      <w:r w:rsidR="00DA0479">
        <w:rPr>
          <w:rFonts w:ascii="Arial" w:hAnsi="Arial" w:cs="Arial"/>
          <w:lang w:val="en-US"/>
        </w:rPr>
        <w:t xml:space="preserve">care environment. </w:t>
      </w:r>
      <w:r>
        <w:rPr>
          <w:rFonts w:ascii="Arial" w:hAnsi="Arial" w:cs="Arial"/>
          <w:lang w:val="en-US"/>
        </w:rPr>
        <w:t xml:space="preserve">The process of change and factors affecting it does not always happen in a simple linear path. There are times when events outside the scope of the PDSA method could affect outcomes such as </w:t>
      </w:r>
      <w:r w:rsidRPr="00792FA3">
        <w:rPr>
          <w:rFonts w:ascii="Calibri" w:hAnsi="Calibri" w:cs="Calibri"/>
          <w:lang w:val="en-US"/>
        </w:rPr>
        <w:t>﻿</w:t>
      </w:r>
      <w:r>
        <w:rPr>
          <w:rFonts w:ascii="Arial" w:hAnsi="Arial" w:cs="Arial"/>
          <w:lang w:val="en-US"/>
        </w:rPr>
        <w:t>national</w:t>
      </w:r>
      <w:r w:rsidRPr="00792FA3">
        <w:rPr>
          <w:rFonts w:ascii="Arial" w:hAnsi="Arial" w:cs="Arial"/>
          <w:lang w:val="en-US"/>
        </w:rPr>
        <w:t xml:space="preserve"> or </w:t>
      </w:r>
      <w:r w:rsidRPr="00792FA3">
        <w:rPr>
          <w:rFonts w:ascii="Arial" w:hAnsi="Arial" w:cs="Arial"/>
          <w:lang w:val="en-US"/>
        </w:rPr>
        <w:t>organizational</w:t>
      </w:r>
      <w:r w:rsidRPr="00792FA3">
        <w:rPr>
          <w:rFonts w:ascii="Arial" w:hAnsi="Arial" w:cs="Arial"/>
          <w:lang w:val="en-US"/>
        </w:rPr>
        <w:t xml:space="preserve"> issues</w:t>
      </w:r>
      <w:r>
        <w:rPr>
          <w:rFonts w:ascii="Arial" w:hAnsi="Arial" w:cs="Arial"/>
          <w:lang w:val="en-US"/>
        </w:rPr>
        <w:t>. In addition, i</w:t>
      </w:r>
      <w:r w:rsidRPr="000E4BE0">
        <w:rPr>
          <w:rFonts w:ascii="Arial" w:hAnsi="Arial" w:cs="Arial"/>
          <w:lang w:val="en-US"/>
        </w:rPr>
        <w:t xml:space="preserve">n order </w:t>
      </w:r>
      <w:r>
        <w:rPr>
          <w:rFonts w:ascii="Arial" w:hAnsi="Arial" w:cs="Arial"/>
          <w:lang w:val="en-US"/>
        </w:rPr>
        <w:t xml:space="preserve">for PDSA to show reliable </w:t>
      </w:r>
      <w:r w:rsidR="003254D6">
        <w:rPr>
          <w:rFonts w:ascii="Arial" w:hAnsi="Arial" w:cs="Arial"/>
          <w:lang w:val="en-US"/>
        </w:rPr>
        <w:t xml:space="preserve">tests of change, a thorough </w:t>
      </w:r>
      <w:proofErr w:type="gramStart"/>
      <w:r w:rsidR="003254D6">
        <w:rPr>
          <w:rFonts w:ascii="Arial" w:hAnsi="Arial" w:cs="Arial"/>
          <w:lang w:val="en-US"/>
        </w:rPr>
        <w:t>definition  of</w:t>
      </w:r>
      <w:proofErr w:type="gramEnd"/>
      <w:r w:rsidR="003254D6">
        <w:rPr>
          <w:rFonts w:ascii="Arial" w:hAnsi="Arial" w:cs="Arial"/>
          <w:lang w:val="en-US"/>
        </w:rPr>
        <w:t xml:space="preserve"> the problem is needed. </w:t>
      </w:r>
      <w:r w:rsidR="003254D6">
        <w:rPr>
          <w:rFonts w:ascii="Arial" w:hAnsi="Arial" w:cs="Arial"/>
        </w:rPr>
        <w:t xml:space="preserve">There is a danger that frontline health and social care staff who do not have ample time to research and investigate the real source of the problem can have compromised results.  </w:t>
      </w:r>
    </w:p>
    <w:p w14:paraId="2435F79A" w14:textId="77777777" w:rsidR="003254D6" w:rsidRDefault="003254D6" w:rsidP="000E4BE0">
      <w:pPr>
        <w:rPr>
          <w:rFonts w:ascii="Arial" w:hAnsi="Arial" w:cs="Arial"/>
        </w:rPr>
      </w:pPr>
    </w:p>
    <w:p w14:paraId="22077E93" w14:textId="21331CC9" w:rsidR="00886A9C" w:rsidRDefault="00886A9C" w:rsidP="00886A9C">
      <w:pPr>
        <w:rPr>
          <w:noProof/>
        </w:rPr>
      </w:pPr>
    </w:p>
    <w:p w14:paraId="33088063" w14:textId="77777777" w:rsidR="003254D6" w:rsidRDefault="003254D6" w:rsidP="00886A9C">
      <w:pPr>
        <w:rPr>
          <w:noProof/>
        </w:rPr>
      </w:pPr>
    </w:p>
    <w:p w14:paraId="63E0175E" w14:textId="77777777" w:rsidR="003254D6" w:rsidRDefault="003254D6" w:rsidP="00886A9C">
      <w:pPr>
        <w:rPr>
          <w:noProof/>
        </w:rPr>
      </w:pPr>
    </w:p>
    <w:p w14:paraId="78C17950" w14:textId="44A26E37" w:rsidR="003254D6" w:rsidRDefault="003254D6" w:rsidP="00886A9C">
      <w:pPr>
        <w:rPr>
          <w:noProof/>
        </w:rPr>
      </w:pPr>
      <w:r w:rsidRPr="00886A9C">
        <w:rPr>
          <w:rFonts w:ascii="Arial" w:hAnsi="Arial" w:cs="Arial"/>
        </w:rPr>
        <w:lastRenderedPageBreak/>
        <w:drawing>
          <wp:anchor distT="0" distB="0" distL="114300" distR="114300" simplePos="0" relativeHeight="251662336" behindDoc="1" locked="0" layoutInCell="1" allowOverlap="1" wp14:anchorId="43AC9139" wp14:editId="41503BB5">
            <wp:simplePos x="0" y="0"/>
            <wp:positionH relativeFrom="column">
              <wp:posOffset>106680</wp:posOffset>
            </wp:positionH>
            <wp:positionV relativeFrom="paragraph">
              <wp:posOffset>281</wp:posOffset>
            </wp:positionV>
            <wp:extent cx="1674421" cy="1375554"/>
            <wp:effectExtent l="0" t="0" r="2540" b="0"/>
            <wp:wrapTight wrapText="bothSides">
              <wp:wrapPolygon edited="0">
                <wp:start x="0" y="0"/>
                <wp:lineTo x="0" y="21341"/>
                <wp:lineTo x="21469" y="21341"/>
                <wp:lineTo x="21469" y="0"/>
                <wp:lineTo x="0" y="0"/>
              </wp:wrapPolygon>
            </wp:wrapTight>
            <wp:docPr id="45" name="Picture 45"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Diagram, venn 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674421" cy="1375554"/>
                    </a:xfrm>
                    <a:prstGeom prst="rect">
                      <a:avLst/>
                    </a:prstGeom>
                  </pic:spPr>
                </pic:pic>
              </a:graphicData>
            </a:graphic>
            <wp14:sizeRelH relativeFrom="page">
              <wp14:pctWidth>0</wp14:pctWidth>
            </wp14:sizeRelH>
            <wp14:sizeRelV relativeFrom="page">
              <wp14:pctHeight>0</wp14:pctHeight>
            </wp14:sizeRelV>
          </wp:anchor>
        </w:drawing>
      </w:r>
    </w:p>
    <w:p w14:paraId="12C2B163" w14:textId="2B4437EE" w:rsidR="003254D6" w:rsidRDefault="003254D6" w:rsidP="00886A9C">
      <w:pPr>
        <w:rPr>
          <w:noProof/>
        </w:rPr>
      </w:pPr>
    </w:p>
    <w:p w14:paraId="10CDA0ED" w14:textId="4BAC37F1" w:rsidR="003254D6" w:rsidRDefault="003254D6" w:rsidP="00886A9C">
      <w:pPr>
        <w:rPr>
          <w:noProof/>
        </w:rPr>
      </w:pPr>
    </w:p>
    <w:p w14:paraId="0352605D" w14:textId="5C1904C2" w:rsidR="003254D6" w:rsidRDefault="003254D6" w:rsidP="00886A9C">
      <w:pPr>
        <w:rPr>
          <w:noProof/>
        </w:rPr>
      </w:pPr>
    </w:p>
    <w:p w14:paraId="75A00635" w14:textId="60447DDF" w:rsidR="003254D6" w:rsidRDefault="003254D6" w:rsidP="00886A9C">
      <w:pPr>
        <w:rPr>
          <w:noProof/>
        </w:rPr>
      </w:pPr>
    </w:p>
    <w:p w14:paraId="064D4459" w14:textId="64AE647C" w:rsidR="003254D6" w:rsidRPr="00FB17CB" w:rsidRDefault="00FB17CB" w:rsidP="00886A9C">
      <w:pPr>
        <w:rPr>
          <w:rFonts w:ascii="Arial" w:hAnsi="Arial" w:cs="Arial"/>
          <w:noProof/>
        </w:rPr>
      </w:pPr>
      <w:r w:rsidRPr="00FB17CB">
        <w:rPr>
          <w:rFonts w:ascii="Arial" w:hAnsi="Arial" w:cs="Arial"/>
          <w:noProof/>
        </w:rPr>
        <w:t xml:space="preserve">Plan </w:t>
      </w:r>
    </w:p>
    <w:p w14:paraId="0912342E" w14:textId="77777777" w:rsidR="003254D6" w:rsidRDefault="003254D6" w:rsidP="00886A9C">
      <w:pPr>
        <w:rPr>
          <w:noProof/>
        </w:rPr>
      </w:pPr>
    </w:p>
    <w:p w14:paraId="349978CF" w14:textId="56CB84D5" w:rsidR="003254D6" w:rsidRDefault="003254D6" w:rsidP="00886A9C">
      <w:pPr>
        <w:rPr>
          <w:noProof/>
        </w:rPr>
      </w:pPr>
    </w:p>
    <w:p w14:paraId="1089D464" w14:textId="5F6D6942" w:rsidR="003254D6" w:rsidRDefault="003254D6" w:rsidP="00886A9C">
      <w:pPr>
        <w:rPr>
          <w:noProof/>
        </w:rPr>
      </w:pPr>
    </w:p>
    <w:p w14:paraId="4A7296E6" w14:textId="609AE629" w:rsidR="00D449D2" w:rsidRDefault="003254D6" w:rsidP="00D449D2">
      <w:pPr>
        <w:jc w:val="both"/>
        <w:rPr>
          <w:rFonts w:ascii="Arial" w:hAnsi="Arial" w:cs="Arial"/>
          <w:noProof/>
        </w:rPr>
      </w:pPr>
      <w:r w:rsidRPr="00B86820">
        <w:rPr>
          <w:rFonts w:ascii="Arial" w:hAnsi="Arial" w:cs="Arial"/>
          <w:noProof/>
        </w:rPr>
        <w:t xml:space="preserve">In </w:t>
      </w:r>
      <w:r w:rsidR="003406AD">
        <w:rPr>
          <w:rFonts w:ascii="Arial" w:hAnsi="Arial" w:cs="Arial"/>
          <w:noProof/>
        </w:rPr>
        <w:t>p</w:t>
      </w:r>
      <w:r w:rsidRPr="00B86820">
        <w:rPr>
          <w:rFonts w:ascii="Arial" w:hAnsi="Arial" w:cs="Arial"/>
          <w:noProof/>
        </w:rPr>
        <w:t>lanning for the project, I have made a number of steps as specified in the GANT CHART below.</w:t>
      </w:r>
      <w:r w:rsidR="00D449D2">
        <w:rPr>
          <w:rFonts w:ascii="Arial" w:hAnsi="Arial" w:cs="Arial"/>
          <w:noProof/>
        </w:rPr>
        <w:t xml:space="preserve"> </w:t>
      </w:r>
      <w:r w:rsidR="00D449D2" w:rsidRPr="00B86820">
        <w:rPr>
          <w:rFonts w:ascii="Arial" w:hAnsi="Arial" w:cs="Arial"/>
          <w:noProof/>
        </w:rPr>
        <w:t>I will first finetune the M</w:t>
      </w:r>
      <w:r w:rsidR="00D449D2">
        <w:rPr>
          <w:rFonts w:ascii="Arial" w:hAnsi="Arial" w:cs="Arial"/>
          <w:noProof/>
        </w:rPr>
        <w:t>e</w:t>
      </w:r>
      <w:r w:rsidR="00D449D2" w:rsidRPr="00B86820">
        <w:rPr>
          <w:rFonts w:ascii="Arial" w:hAnsi="Arial" w:cs="Arial"/>
          <w:noProof/>
        </w:rPr>
        <w:t>thodolo</w:t>
      </w:r>
      <w:r w:rsidR="00D449D2">
        <w:rPr>
          <w:rFonts w:ascii="Arial" w:hAnsi="Arial" w:cs="Arial"/>
          <w:noProof/>
        </w:rPr>
        <w:t>g</w:t>
      </w:r>
      <w:r w:rsidR="00D449D2" w:rsidRPr="00B86820">
        <w:rPr>
          <w:rFonts w:ascii="Arial" w:hAnsi="Arial" w:cs="Arial"/>
          <w:noProof/>
        </w:rPr>
        <w:t>y</w:t>
      </w:r>
      <w:r w:rsidR="00D449D2">
        <w:rPr>
          <w:rFonts w:ascii="Arial" w:hAnsi="Arial" w:cs="Arial"/>
          <w:noProof/>
        </w:rPr>
        <w:t xml:space="preserve"> to clearly identify the problem, produce the project work plan, Key Performance Indicators (KPIs) to be able to write a Project Proposal. I will then approach key decision makers to create a project board that will advice on clinical governance and enser buy-ins and further collaboration with the target partners. During this step, I will also develop a communicaiton plan and </w:t>
      </w:r>
      <w:r w:rsidR="00D449D2">
        <w:rPr>
          <w:rFonts w:ascii="Arial" w:hAnsi="Arial" w:cs="Arial"/>
          <w:noProof/>
        </w:rPr>
        <w:t>stakeholders resource matrix</w:t>
      </w:r>
      <w:r w:rsidR="00D449D2">
        <w:rPr>
          <w:rFonts w:ascii="Arial" w:hAnsi="Arial" w:cs="Arial"/>
          <w:noProof/>
        </w:rPr>
        <w:t>.</w:t>
      </w:r>
      <w:r w:rsidR="00D449D2">
        <w:rPr>
          <w:rFonts w:ascii="Arial" w:hAnsi="Arial" w:cs="Arial"/>
          <w:noProof/>
        </w:rPr>
        <w:t xml:space="preserve"> Although there will be no purcheses required for the project, the costs of professionals invovled will the the primary resources</w:t>
      </w:r>
      <w:r w:rsidR="00FB17CB">
        <w:rPr>
          <w:rFonts w:ascii="Arial" w:hAnsi="Arial" w:cs="Arial"/>
          <w:noProof/>
        </w:rPr>
        <w:t xml:space="preserve"> dedicated for the project</w:t>
      </w:r>
      <w:r w:rsidR="000C50A2">
        <w:rPr>
          <w:rFonts w:ascii="Arial" w:hAnsi="Arial" w:cs="Arial"/>
          <w:noProof/>
        </w:rPr>
        <w:t>, thus clear reoles and responsibilites are need to ensure that the value of these resources are maximised.</w:t>
      </w:r>
      <w:r w:rsidR="00D449D2">
        <w:rPr>
          <w:rFonts w:ascii="Arial" w:hAnsi="Arial" w:cs="Arial"/>
          <w:noProof/>
        </w:rPr>
        <w:t xml:space="preserve"> A risk register for the project can </w:t>
      </w:r>
      <w:r w:rsidR="00FB17CB">
        <w:rPr>
          <w:rFonts w:ascii="Arial" w:hAnsi="Arial" w:cs="Arial"/>
          <w:noProof/>
        </w:rPr>
        <w:t xml:space="preserve">also </w:t>
      </w:r>
      <w:r w:rsidR="00D449D2">
        <w:rPr>
          <w:rFonts w:ascii="Arial" w:hAnsi="Arial" w:cs="Arial"/>
          <w:noProof/>
        </w:rPr>
        <w:t>be seen below.</w:t>
      </w:r>
    </w:p>
    <w:p w14:paraId="2913CAD3" w14:textId="77777777" w:rsidR="00D449D2" w:rsidRDefault="00D449D2" w:rsidP="00D449D2">
      <w:pPr>
        <w:jc w:val="both"/>
        <w:rPr>
          <w:rFonts w:ascii="Arial" w:hAnsi="Arial" w:cs="Arial"/>
          <w:noProof/>
        </w:rPr>
      </w:pPr>
    </w:p>
    <w:p w14:paraId="38D1D253" w14:textId="77777777" w:rsidR="00D449D2" w:rsidRDefault="00D449D2" w:rsidP="00D449D2">
      <w:pPr>
        <w:jc w:val="both"/>
        <w:rPr>
          <w:rFonts w:ascii="Arial" w:hAnsi="Arial" w:cs="Arial"/>
          <w:noProof/>
        </w:rPr>
      </w:pPr>
    </w:p>
    <w:p w14:paraId="647E7C16" w14:textId="5B3FD4E9" w:rsidR="00D449D2" w:rsidRDefault="00D449D2" w:rsidP="00D449D2">
      <w:pPr>
        <w:jc w:val="both"/>
        <w:rPr>
          <w:rFonts w:ascii="Arial" w:hAnsi="Arial" w:cs="Arial"/>
          <w:noProof/>
        </w:rPr>
      </w:pPr>
      <w:r>
        <w:rPr>
          <w:rFonts w:ascii="Arial" w:hAnsi="Arial" w:cs="Arial"/>
          <w:noProof/>
        </w:rPr>
        <w:t xml:space="preserve">Table </w:t>
      </w:r>
      <w:r>
        <w:rPr>
          <w:rFonts w:ascii="Arial" w:hAnsi="Arial" w:cs="Arial"/>
          <w:noProof/>
        </w:rPr>
        <w:t>1</w:t>
      </w:r>
      <w:r>
        <w:rPr>
          <w:rFonts w:ascii="Arial" w:hAnsi="Arial" w:cs="Arial"/>
          <w:noProof/>
        </w:rPr>
        <w:t>: Risk Register</w:t>
      </w:r>
    </w:p>
    <w:p w14:paraId="636B5233" w14:textId="77777777" w:rsidR="00D449D2" w:rsidRDefault="00D449D2" w:rsidP="00D449D2">
      <w:pPr>
        <w:jc w:val="both"/>
        <w:rPr>
          <w:rFonts w:ascii="Arial" w:hAnsi="Arial" w:cs="Arial"/>
          <w:noProof/>
        </w:rPr>
      </w:pPr>
    </w:p>
    <w:tbl>
      <w:tblPr>
        <w:tblW w:w="9356" w:type="dxa"/>
        <w:tblInd w:w="137" w:type="dxa"/>
        <w:tblLayout w:type="fixed"/>
        <w:tblLook w:val="0000" w:firstRow="0" w:lastRow="0" w:firstColumn="0" w:lastColumn="0" w:noHBand="0" w:noVBand="0"/>
      </w:tblPr>
      <w:tblGrid>
        <w:gridCol w:w="1750"/>
        <w:gridCol w:w="1134"/>
        <w:gridCol w:w="199"/>
        <w:gridCol w:w="1219"/>
        <w:gridCol w:w="943"/>
        <w:gridCol w:w="2126"/>
        <w:gridCol w:w="1985"/>
      </w:tblGrid>
      <w:tr w:rsidR="00D449D2" w:rsidRPr="00715516" w14:paraId="4C7538C5" w14:textId="77777777" w:rsidTr="006B18FD">
        <w:trPr>
          <w:trHeight w:val="245"/>
        </w:trPr>
        <w:tc>
          <w:tcPr>
            <w:tcW w:w="1750" w:type="dxa"/>
            <w:tcBorders>
              <w:top w:val="single" w:sz="4" w:space="0" w:color="auto"/>
              <w:left w:val="single" w:sz="4" w:space="0" w:color="auto"/>
              <w:bottom w:val="single" w:sz="4" w:space="0" w:color="auto"/>
            </w:tcBorders>
            <w:shd w:val="clear" w:color="auto" w:fill="F2F2F2" w:themeFill="background1" w:themeFillShade="F2"/>
          </w:tcPr>
          <w:p w14:paraId="273D522F" w14:textId="77777777" w:rsidR="00D449D2" w:rsidRPr="00715516" w:rsidRDefault="00D449D2" w:rsidP="006B18FD">
            <w:pPr>
              <w:rPr>
                <w:rFonts w:ascii="Calibri" w:hAnsi="Calibri"/>
                <w:b/>
                <w:bCs/>
                <w:sz w:val="18"/>
                <w:szCs w:val="18"/>
              </w:rPr>
            </w:pPr>
            <w:r w:rsidRPr="00715516">
              <w:rPr>
                <w:rFonts w:ascii="Calibri" w:hAnsi="Calibri"/>
                <w:b/>
                <w:bCs/>
                <w:sz w:val="18"/>
                <w:szCs w:val="18"/>
              </w:rPr>
              <w:t>Key</w:t>
            </w:r>
          </w:p>
        </w:tc>
        <w:tc>
          <w:tcPr>
            <w:tcW w:w="1134" w:type="dxa"/>
            <w:tcBorders>
              <w:top w:val="single" w:sz="4" w:space="0" w:color="auto"/>
              <w:bottom w:val="single" w:sz="4" w:space="0" w:color="auto"/>
            </w:tcBorders>
            <w:shd w:val="clear" w:color="auto" w:fill="F2F2F2" w:themeFill="background1" w:themeFillShade="F2"/>
            <w:noWrap/>
          </w:tcPr>
          <w:p w14:paraId="76869EE0" w14:textId="77777777" w:rsidR="00D449D2" w:rsidRPr="00715516" w:rsidRDefault="00D449D2" w:rsidP="006B18FD">
            <w:pPr>
              <w:rPr>
                <w:rFonts w:ascii="Calibri" w:hAnsi="Calibri"/>
                <w:sz w:val="18"/>
                <w:szCs w:val="18"/>
              </w:rPr>
            </w:pPr>
          </w:p>
        </w:tc>
        <w:tc>
          <w:tcPr>
            <w:tcW w:w="1418" w:type="dxa"/>
            <w:gridSpan w:val="2"/>
            <w:tcBorders>
              <w:top w:val="single" w:sz="4" w:space="0" w:color="auto"/>
              <w:bottom w:val="single" w:sz="4" w:space="0" w:color="auto"/>
            </w:tcBorders>
            <w:shd w:val="clear" w:color="auto" w:fill="F2F2F2" w:themeFill="background1" w:themeFillShade="F2"/>
            <w:noWrap/>
          </w:tcPr>
          <w:p w14:paraId="2589F45B" w14:textId="77777777" w:rsidR="00D449D2" w:rsidRPr="00715516" w:rsidRDefault="00D449D2" w:rsidP="006B18FD">
            <w:pPr>
              <w:rPr>
                <w:rFonts w:ascii="Calibri" w:hAnsi="Calibri"/>
                <w:sz w:val="18"/>
                <w:szCs w:val="18"/>
              </w:rPr>
            </w:pPr>
          </w:p>
        </w:tc>
        <w:tc>
          <w:tcPr>
            <w:tcW w:w="943" w:type="dxa"/>
            <w:tcBorders>
              <w:top w:val="single" w:sz="4" w:space="0" w:color="auto"/>
              <w:bottom w:val="single" w:sz="4" w:space="0" w:color="auto"/>
            </w:tcBorders>
            <w:shd w:val="clear" w:color="auto" w:fill="F2F2F2" w:themeFill="background1" w:themeFillShade="F2"/>
            <w:noWrap/>
          </w:tcPr>
          <w:p w14:paraId="38702000" w14:textId="77777777" w:rsidR="00D449D2" w:rsidRPr="00715516" w:rsidRDefault="00D449D2" w:rsidP="006B18FD">
            <w:pPr>
              <w:rPr>
                <w:rFonts w:ascii="Calibri" w:hAnsi="Calibri"/>
                <w:sz w:val="18"/>
                <w:szCs w:val="18"/>
              </w:rPr>
            </w:pPr>
          </w:p>
        </w:tc>
        <w:tc>
          <w:tcPr>
            <w:tcW w:w="4111" w:type="dxa"/>
            <w:gridSpan w:val="2"/>
            <w:tcBorders>
              <w:top w:val="single" w:sz="4" w:space="0" w:color="auto"/>
              <w:bottom w:val="single" w:sz="4" w:space="0" w:color="auto"/>
              <w:right w:val="single" w:sz="4" w:space="0" w:color="auto"/>
            </w:tcBorders>
            <w:shd w:val="clear" w:color="auto" w:fill="F2F2F2" w:themeFill="background1" w:themeFillShade="F2"/>
          </w:tcPr>
          <w:p w14:paraId="40886AC7" w14:textId="77777777" w:rsidR="00D449D2" w:rsidRPr="00715516" w:rsidRDefault="00D449D2" w:rsidP="006B18FD">
            <w:pPr>
              <w:rPr>
                <w:rFonts w:ascii="Calibri" w:hAnsi="Calibri"/>
                <w:sz w:val="18"/>
                <w:szCs w:val="18"/>
              </w:rPr>
            </w:pPr>
          </w:p>
        </w:tc>
      </w:tr>
      <w:tr w:rsidR="00D449D2" w:rsidRPr="00715516" w14:paraId="6E7B5F46" w14:textId="77777777" w:rsidTr="006B18FD">
        <w:trPr>
          <w:trHeight w:val="240"/>
        </w:trPr>
        <w:tc>
          <w:tcPr>
            <w:tcW w:w="1750" w:type="dxa"/>
            <w:tcBorders>
              <w:top w:val="single" w:sz="4" w:space="0" w:color="auto"/>
              <w:left w:val="single" w:sz="4" w:space="0" w:color="auto"/>
            </w:tcBorders>
            <w:shd w:val="clear" w:color="auto" w:fill="F2F2F2" w:themeFill="background1" w:themeFillShade="F2"/>
          </w:tcPr>
          <w:p w14:paraId="480FCDA9" w14:textId="77777777" w:rsidR="00D449D2" w:rsidRPr="00715516" w:rsidRDefault="00D449D2" w:rsidP="006B18FD">
            <w:pPr>
              <w:rPr>
                <w:rFonts w:ascii="Calibri" w:hAnsi="Calibri"/>
                <w:b/>
                <w:bCs/>
                <w:sz w:val="18"/>
                <w:szCs w:val="18"/>
              </w:rPr>
            </w:pPr>
            <w:r w:rsidRPr="00715516">
              <w:rPr>
                <w:rFonts w:ascii="Calibri" w:hAnsi="Calibri"/>
                <w:b/>
                <w:bCs/>
                <w:sz w:val="18"/>
                <w:szCs w:val="18"/>
              </w:rPr>
              <w:t>Likelihood</w:t>
            </w:r>
          </w:p>
        </w:tc>
        <w:tc>
          <w:tcPr>
            <w:tcW w:w="1134" w:type="dxa"/>
            <w:tcBorders>
              <w:top w:val="single" w:sz="4" w:space="0" w:color="auto"/>
            </w:tcBorders>
            <w:shd w:val="clear" w:color="auto" w:fill="F2F2F2" w:themeFill="background1" w:themeFillShade="F2"/>
            <w:noWrap/>
          </w:tcPr>
          <w:p w14:paraId="21519C0C" w14:textId="77777777" w:rsidR="00D449D2" w:rsidRPr="00715516" w:rsidRDefault="00D449D2" w:rsidP="006B18FD">
            <w:pPr>
              <w:rPr>
                <w:rFonts w:ascii="Calibri" w:hAnsi="Calibri"/>
                <w:sz w:val="18"/>
                <w:szCs w:val="18"/>
              </w:rPr>
            </w:pPr>
          </w:p>
        </w:tc>
        <w:tc>
          <w:tcPr>
            <w:tcW w:w="1418" w:type="dxa"/>
            <w:gridSpan w:val="2"/>
            <w:tcBorders>
              <w:top w:val="single" w:sz="4" w:space="0" w:color="auto"/>
            </w:tcBorders>
            <w:shd w:val="clear" w:color="auto" w:fill="F2F2F2" w:themeFill="background1" w:themeFillShade="F2"/>
            <w:noWrap/>
          </w:tcPr>
          <w:p w14:paraId="52DC2F0E" w14:textId="77777777" w:rsidR="00D449D2" w:rsidRPr="00715516" w:rsidRDefault="00D449D2" w:rsidP="006B18FD">
            <w:pPr>
              <w:rPr>
                <w:rFonts w:ascii="Calibri" w:hAnsi="Calibri"/>
                <w:sz w:val="18"/>
                <w:szCs w:val="18"/>
              </w:rPr>
            </w:pPr>
          </w:p>
        </w:tc>
        <w:tc>
          <w:tcPr>
            <w:tcW w:w="943" w:type="dxa"/>
            <w:tcBorders>
              <w:top w:val="single" w:sz="4" w:space="0" w:color="auto"/>
            </w:tcBorders>
            <w:shd w:val="clear" w:color="auto" w:fill="F2F2F2" w:themeFill="background1" w:themeFillShade="F2"/>
            <w:noWrap/>
          </w:tcPr>
          <w:p w14:paraId="64061CDA" w14:textId="77777777" w:rsidR="00D449D2" w:rsidRPr="00715516" w:rsidRDefault="00D449D2" w:rsidP="006B18FD">
            <w:pPr>
              <w:rPr>
                <w:rFonts w:ascii="Calibri" w:hAnsi="Calibri"/>
                <w:sz w:val="18"/>
                <w:szCs w:val="18"/>
              </w:rPr>
            </w:pPr>
          </w:p>
        </w:tc>
        <w:tc>
          <w:tcPr>
            <w:tcW w:w="2126" w:type="dxa"/>
            <w:tcBorders>
              <w:top w:val="single" w:sz="4" w:space="0" w:color="auto"/>
            </w:tcBorders>
            <w:shd w:val="clear" w:color="auto" w:fill="F2F2F2" w:themeFill="background1" w:themeFillShade="F2"/>
          </w:tcPr>
          <w:p w14:paraId="598DBF32" w14:textId="77777777" w:rsidR="00D449D2" w:rsidRPr="00715516" w:rsidRDefault="00D449D2" w:rsidP="006B18FD">
            <w:pPr>
              <w:rPr>
                <w:rFonts w:ascii="Calibri" w:hAnsi="Calibri"/>
                <w:sz w:val="18"/>
                <w:szCs w:val="18"/>
              </w:rPr>
            </w:pPr>
            <w:r w:rsidRPr="00715516">
              <w:rPr>
                <w:rFonts w:ascii="Calibri" w:hAnsi="Calibri"/>
                <w:b/>
                <w:bCs/>
                <w:sz w:val="18"/>
                <w:szCs w:val="18"/>
              </w:rPr>
              <w:t>Rating</w:t>
            </w:r>
          </w:p>
        </w:tc>
        <w:tc>
          <w:tcPr>
            <w:tcW w:w="1985" w:type="dxa"/>
            <w:tcBorders>
              <w:top w:val="single" w:sz="4" w:space="0" w:color="auto"/>
              <w:right w:val="single" w:sz="4" w:space="0" w:color="auto"/>
            </w:tcBorders>
            <w:shd w:val="clear" w:color="auto" w:fill="F2F2F2" w:themeFill="background1" w:themeFillShade="F2"/>
          </w:tcPr>
          <w:p w14:paraId="2DECBF80" w14:textId="77777777" w:rsidR="00D449D2" w:rsidRPr="00715516" w:rsidRDefault="00D449D2" w:rsidP="006B18FD">
            <w:pPr>
              <w:rPr>
                <w:rFonts w:ascii="Calibri" w:hAnsi="Calibri"/>
                <w:sz w:val="18"/>
                <w:szCs w:val="18"/>
              </w:rPr>
            </w:pPr>
          </w:p>
        </w:tc>
      </w:tr>
      <w:tr w:rsidR="00D449D2" w:rsidRPr="00AC0D99" w14:paraId="2E401692" w14:textId="77777777" w:rsidTr="006B18FD">
        <w:trPr>
          <w:trHeight w:val="240"/>
        </w:trPr>
        <w:tc>
          <w:tcPr>
            <w:tcW w:w="1750" w:type="dxa"/>
            <w:tcBorders>
              <w:left w:val="single" w:sz="4" w:space="0" w:color="auto"/>
            </w:tcBorders>
            <w:shd w:val="clear" w:color="auto" w:fill="F2F2F2" w:themeFill="background1" w:themeFillShade="F2"/>
          </w:tcPr>
          <w:p w14:paraId="0E02EF1A" w14:textId="77777777" w:rsidR="00D449D2" w:rsidRPr="00715516" w:rsidRDefault="00D449D2" w:rsidP="006B18FD">
            <w:pPr>
              <w:rPr>
                <w:rFonts w:ascii="Calibri" w:hAnsi="Calibri"/>
                <w:sz w:val="18"/>
                <w:szCs w:val="18"/>
              </w:rPr>
            </w:pPr>
            <w:r w:rsidRPr="00715516">
              <w:rPr>
                <w:rFonts w:ascii="Calibri" w:hAnsi="Calibri"/>
                <w:sz w:val="18"/>
                <w:szCs w:val="18"/>
              </w:rPr>
              <w:t>1</w:t>
            </w:r>
          </w:p>
        </w:tc>
        <w:tc>
          <w:tcPr>
            <w:tcW w:w="1134" w:type="dxa"/>
            <w:shd w:val="clear" w:color="auto" w:fill="F2F2F2" w:themeFill="background1" w:themeFillShade="F2"/>
            <w:noWrap/>
          </w:tcPr>
          <w:p w14:paraId="219B76DD" w14:textId="77777777" w:rsidR="00D449D2" w:rsidRPr="00715516" w:rsidRDefault="00D449D2" w:rsidP="006B18FD">
            <w:pPr>
              <w:rPr>
                <w:rFonts w:ascii="Calibri" w:hAnsi="Calibri"/>
                <w:sz w:val="18"/>
                <w:szCs w:val="18"/>
              </w:rPr>
            </w:pPr>
            <w:r w:rsidRPr="00715516">
              <w:rPr>
                <w:rFonts w:ascii="Calibri" w:hAnsi="Calibri"/>
                <w:sz w:val="18"/>
                <w:szCs w:val="18"/>
              </w:rPr>
              <w:t>Rare</w:t>
            </w:r>
          </w:p>
        </w:tc>
        <w:tc>
          <w:tcPr>
            <w:tcW w:w="1418" w:type="dxa"/>
            <w:gridSpan w:val="2"/>
            <w:shd w:val="clear" w:color="auto" w:fill="F2F2F2" w:themeFill="background1" w:themeFillShade="F2"/>
            <w:noWrap/>
          </w:tcPr>
          <w:p w14:paraId="642BBB86" w14:textId="77777777" w:rsidR="00D449D2" w:rsidRPr="00715516" w:rsidRDefault="00D449D2" w:rsidP="006B18FD">
            <w:pPr>
              <w:rPr>
                <w:rFonts w:ascii="Calibri" w:hAnsi="Calibri"/>
                <w:sz w:val="18"/>
                <w:szCs w:val="18"/>
              </w:rPr>
            </w:pPr>
          </w:p>
        </w:tc>
        <w:tc>
          <w:tcPr>
            <w:tcW w:w="943" w:type="dxa"/>
            <w:shd w:val="clear" w:color="auto" w:fill="F2F2F2" w:themeFill="background1" w:themeFillShade="F2"/>
            <w:noWrap/>
          </w:tcPr>
          <w:p w14:paraId="7CC5E934" w14:textId="77777777" w:rsidR="00D449D2" w:rsidRPr="00715516" w:rsidRDefault="00D449D2" w:rsidP="006B18FD">
            <w:pPr>
              <w:rPr>
                <w:rFonts w:ascii="Calibri" w:hAnsi="Calibri"/>
                <w:sz w:val="18"/>
                <w:szCs w:val="18"/>
              </w:rPr>
            </w:pPr>
          </w:p>
        </w:tc>
        <w:tc>
          <w:tcPr>
            <w:tcW w:w="2126" w:type="dxa"/>
            <w:shd w:val="clear" w:color="auto" w:fill="00B050"/>
          </w:tcPr>
          <w:p w14:paraId="4F9074D0" w14:textId="77777777" w:rsidR="00D449D2" w:rsidRPr="00EA2953" w:rsidRDefault="00D449D2" w:rsidP="006B18FD">
            <w:pPr>
              <w:rPr>
                <w:rFonts w:ascii="Calibri" w:hAnsi="Calibri"/>
                <w:b/>
                <w:sz w:val="18"/>
                <w:szCs w:val="18"/>
              </w:rPr>
            </w:pPr>
            <w:r>
              <w:rPr>
                <w:rFonts w:ascii="Calibri" w:hAnsi="Calibri"/>
                <w:b/>
                <w:sz w:val="18"/>
                <w:szCs w:val="18"/>
              </w:rPr>
              <w:t>One to four</w:t>
            </w:r>
          </w:p>
        </w:tc>
        <w:tc>
          <w:tcPr>
            <w:tcW w:w="1985" w:type="dxa"/>
            <w:tcBorders>
              <w:right w:val="single" w:sz="4" w:space="0" w:color="auto"/>
            </w:tcBorders>
            <w:shd w:val="clear" w:color="auto" w:fill="F2F2F2" w:themeFill="background1" w:themeFillShade="F2"/>
          </w:tcPr>
          <w:p w14:paraId="73DE3264" w14:textId="77777777" w:rsidR="00D449D2" w:rsidRPr="00AC0D99" w:rsidRDefault="00D449D2" w:rsidP="006B18FD">
            <w:pPr>
              <w:rPr>
                <w:rFonts w:ascii="Calibri" w:hAnsi="Calibri"/>
                <w:sz w:val="18"/>
                <w:szCs w:val="18"/>
              </w:rPr>
            </w:pPr>
            <w:r w:rsidRPr="00AC0D99">
              <w:rPr>
                <w:rFonts w:ascii="Calibri" w:hAnsi="Calibri"/>
                <w:sz w:val="18"/>
                <w:szCs w:val="18"/>
              </w:rPr>
              <w:t>Low</w:t>
            </w:r>
          </w:p>
        </w:tc>
      </w:tr>
      <w:tr w:rsidR="00D449D2" w:rsidRPr="00AC0D99" w14:paraId="0C779CFE" w14:textId="77777777" w:rsidTr="006B18FD">
        <w:trPr>
          <w:trHeight w:val="240"/>
        </w:trPr>
        <w:tc>
          <w:tcPr>
            <w:tcW w:w="1750" w:type="dxa"/>
            <w:tcBorders>
              <w:left w:val="single" w:sz="4" w:space="0" w:color="auto"/>
            </w:tcBorders>
            <w:shd w:val="clear" w:color="auto" w:fill="F2F2F2" w:themeFill="background1" w:themeFillShade="F2"/>
          </w:tcPr>
          <w:p w14:paraId="6BAEBCC6" w14:textId="77777777" w:rsidR="00D449D2" w:rsidRPr="00715516" w:rsidRDefault="00D449D2" w:rsidP="006B18FD">
            <w:pPr>
              <w:rPr>
                <w:rFonts w:ascii="Calibri" w:hAnsi="Calibri"/>
                <w:sz w:val="18"/>
                <w:szCs w:val="18"/>
              </w:rPr>
            </w:pPr>
            <w:r w:rsidRPr="00715516">
              <w:rPr>
                <w:rFonts w:ascii="Calibri" w:hAnsi="Calibri"/>
                <w:sz w:val="18"/>
                <w:szCs w:val="18"/>
              </w:rPr>
              <w:t>2</w:t>
            </w:r>
          </w:p>
        </w:tc>
        <w:tc>
          <w:tcPr>
            <w:tcW w:w="1134" w:type="dxa"/>
            <w:shd w:val="clear" w:color="auto" w:fill="F2F2F2" w:themeFill="background1" w:themeFillShade="F2"/>
            <w:noWrap/>
          </w:tcPr>
          <w:p w14:paraId="298CDAB0" w14:textId="77777777" w:rsidR="00D449D2" w:rsidRPr="00715516" w:rsidRDefault="00D449D2" w:rsidP="006B18FD">
            <w:pPr>
              <w:rPr>
                <w:rFonts w:ascii="Calibri" w:hAnsi="Calibri"/>
                <w:sz w:val="18"/>
                <w:szCs w:val="18"/>
              </w:rPr>
            </w:pPr>
            <w:r w:rsidRPr="00715516">
              <w:rPr>
                <w:rFonts w:ascii="Calibri" w:hAnsi="Calibri"/>
                <w:sz w:val="18"/>
                <w:szCs w:val="18"/>
              </w:rPr>
              <w:t>Unlikely</w:t>
            </w:r>
          </w:p>
        </w:tc>
        <w:tc>
          <w:tcPr>
            <w:tcW w:w="1418" w:type="dxa"/>
            <w:gridSpan w:val="2"/>
            <w:shd w:val="clear" w:color="auto" w:fill="F2F2F2" w:themeFill="background1" w:themeFillShade="F2"/>
            <w:noWrap/>
          </w:tcPr>
          <w:p w14:paraId="1BAE5500" w14:textId="77777777" w:rsidR="00D449D2" w:rsidRPr="00715516" w:rsidRDefault="00D449D2" w:rsidP="006B18FD">
            <w:pPr>
              <w:rPr>
                <w:rFonts w:ascii="Calibri" w:hAnsi="Calibri"/>
                <w:sz w:val="18"/>
                <w:szCs w:val="18"/>
              </w:rPr>
            </w:pPr>
          </w:p>
        </w:tc>
        <w:tc>
          <w:tcPr>
            <w:tcW w:w="943" w:type="dxa"/>
            <w:shd w:val="clear" w:color="auto" w:fill="F2F2F2" w:themeFill="background1" w:themeFillShade="F2"/>
            <w:noWrap/>
          </w:tcPr>
          <w:p w14:paraId="09FFAA49" w14:textId="77777777" w:rsidR="00D449D2" w:rsidRPr="00715516" w:rsidRDefault="00D449D2" w:rsidP="006B18FD">
            <w:pPr>
              <w:rPr>
                <w:rFonts w:ascii="Calibri" w:hAnsi="Calibri"/>
                <w:sz w:val="18"/>
                <w:szCs w:val="18"/>
              </w:rPr>
            </w:pPr>
          </w:p>
        </w:tc>
        <w:tc>
          <w:tcPr>
            <w:tcW w:w="2126" w:type="dxa"/>
            <w:shd w:val="clear" w:color="auto" w:fill="FFFF00"/>
          </w:tcPr>
          <w:p w14:paraId="3034585C" w14:textId="77777777" w:rsidR="00D449D2" w:rsidRPr="00EA2953" w:rsidRDefault="00D449D2" w:rsidP="006B18FD">
            <w:pPr>
              <w:rPr>
                <w:rFonts w:ascii="Calibri" w:hAnsi="Calibri"/>
                <w:b/>
                <w:sz w:val="18"/>
                <w:szCs w:val="18"/>
              </w:rPr>
            </w:pPr>
            <w:r>
              <w:rPr>
                <w:rFonts w:ascii="Calibri" w:hAnsi="Calibri"/>
                <w:b/>
                <w:sz w:val="18"/>
                <w:szCs w:val="18"/>
              </w:rPr>
              <w:t>Five to nine</w:t>
            </w:r>
          </w:p>
        </w:tc>
        <w:tc>
          <w:tcPr>
            <w:tcW w:w="1985" w:type="dxa"/>
            <w:tcBorders>
              <w:right w:val="single" w:sz="4" w:space="0" w:color="auto"/>
            </w:tcBorders>
            <w:shd w:val="clear" w:color="auto" w:fill="F2F2F2" w:themeFill="background1" w:themeFillShade="F2"/>
          </w:tcPr>
          <w:p w14:paraId="632E90D8" w14:textId="77777777" w:rsidR="00D449D2" w:rsidRPr="00AC0D99" w:rsidRDefault="00D449D2" w:rsidP="006B18FD">
            <w:pPr>
              <w:rPr>
                <w:rFonts w:ascii="Calibri" w:hAnsi="Calibri"/>
                <w:sz w:val="18"/>
                <w:szCs w:val="18"/>
              </w:rPr>
            </w:pPr>
            <w:r w:rsidRPr="00AC0D99">
              <w:rPr>
                <w:rFonts w:ascii="Calibri" w:hAnsi="Calibri"/>
                <w:sz w:val="18"/>
                <w:szCs w:val="18"/>
              </w:rPr>
              <w:t>Moderate</w:t>
            </w:r>
          </w:p>
        </w:tc>
      </w:tr>
      <w:tr w:rsidR="00D449D2" w:rsidRPr="00AC0D99" w14:paraId="1D6DA9FF" w14:textId="77777777" w:rsidTr="006B18FD">
        <w:trPr>
          <w:trHeight w:val="240"/>
        </w:trPr>
        <w:tc>
          <w:tcPr>
            <w:tcW w:w="1750" w:type="dxa"/>
            <w:tcBorders>
              <w:left w:val="single" w:sz="4" w:space="0" w:color="auto"/>
            </w:tcBorders>
            <w:shd w:val="clear" w:color="auto" w:fill="F2F2F2" w:themeFill="background1" w:themeFillShade="F2"/>
          </w:tcPr>
          <w:p w14:paraId="63CE6CAD" w14:textId="77777777" w:rsidR="00D449D2" w:rsidRPr="00715516" w:rsidRDefault="00D449D2" w:rsidP="006B18FD">
            <w:pPr>
              <w:rPr>
                <w:rFonts w:ascii="Calibri" w:hAnsi="Calibri"/>
                <w:sz w:val="18"/>
                <w:szCs w:val="18"/>
              </w:rPr>
            </w:pPr>
            <w:r w:rsidRPr="00715516">
              <w:rPr>
                <w:rFonts w:ascii="Calibri" w:hAnsi="Calibri"/>
                <w:sz w:val="18"/>
                <w:szCs w:val="18"/>
              </w:rPr>
              <w:t>3</w:t>
            </w:r>
          </w:p>
        </w:tc>
        <w:tc>
          <w:tcPr>
            <w:tcW w:w="1134" w:type="dxa"/>
            <w:shd w:val="clear" w:color="auto" w:fill="F2F2F2" w:themeFill="background1" w:themeFillShade="F2"/>
            <w:noWrap/>
          </w:tcPr>
          <w:p w14:paraId="012C0FBA" w14:textId="77777777" w:rsidR="00D449D2" w:rsidRPr="00715516" w:rsidRDefault="00D449D2" w:rsidP="006B18FD">
            <w:pPr>
              <w:rPr>
                <w:rFonts w:ascii="Calibri" w:hAnsi="Calibri"/>
                <w:sz w:val="18"/>
                <w:szCs w:val="18"/>
              </w:rPr>
            </w:pPr>
            <w:r w:rsidRPr="00715516">
              <w:rPr>
                <w:rFonts w:ascii="Calibri" w:hAnsi="Calibri"/>
                <w:sz w:val="18"/>
                <w:szCs w:val="18"/>
              </w:rPr>
              <w:t>Possible</w:t>
            </w:r>
          </w:p>
        </w:tc>
        <w:tc>
          <w:tcPr>
            <w:tcW w:w="1418" w:type="dxa"/>
            <w:gridSpan w:val="2"/>
            <w:shd w:val="clear" w:color="auto" w:fill="F2F2F2" w:themeFill="background1" w:themeFillShade="F2"/>
            <w:noWrap/>
          </w:tcPr>
          <w:p w14:paraId="1264151C" w14:textId="77777777" w:rsidR="00D449D2" w:rsidRPr="00715516" w:rsidRDefault="00D449D2" w:rsidP="006B18FD">
            <w:pPr>
              <w:rPr>
                <w:rFonts w:ascii="Calibri" w:hAnsi="Calibri"/>
                <w:sz w:val="18"/>
                <w:szCs w:val="18"/>
              </w:rPr>
            </w:pPr>
          </w:p>
        </w:tc>
        <w:tc>
          <w:tcPr>
            <w:tcW w:w="943" w:type="dxa"/>
            <w:shd w:val="clear" w:color="auto" w:fill="F2F2F2" w:themeFill="background1" w:themeFillShade="F2"/>
            <w:noWrap/>
          </w:tcPr>
          <w:p w14:paraId="248A920A" w14:textId="77777777" w:rsidR="00D449D2" w:rsidRPr="00715516" w:rsidRDefault="00D449D2" w:rsidP="006B18FD">
            <w:pPr>
              <w:rPr>
                <w:rFonts w:ascii="Calibri" w:hAnsi="Calibri"/>
                <w:sz w:val="18"/>
                <w:szCs w:val="18"/>
              </w:rPr>
            </w:pPr>
          </w:p>
        </w:tc>
        <w:tc>
          <w:tcPr>
            <w:tcW w:w="2126" w:type="dxa"/>
            <w:shd w:val="clear" w:color="auto" w:fill="FFC000"/>
          </w:tcPr>
          <w:p w14:paraId="731157D1" w14:textId="77777777" w:rsidR="00D449D2" w:rsidRPr="00EA2953" w:rsidRDefault="00D449D2" w:rsidP="006B18FD">
            <w:pPr>
              <w:rPr>
                <w:rFonts w:ascii="Calibri" w:hAnsi="Calibri"/>
                <w:b/>
                <w:sz w:val="18"/>
                <w:szCs w:val="18"/>
              </w:rPr>
            </w:pPr>
            <w:r>
              <w:rPr>
                <w:rFonts w:ascii="Calibri" w:hAnsi="Calibri"/>
                <w:b/>
                <w:sz w:val="18"/>
                <w:szCs w:val="18"/>
              </w:rPr>
              <w:t>Ten to sixteen</w:t>
            </w:r>
          </w:p>
        </w:tc>
        <w:tc>
          <w:tcPr>
            <w:tcW w:w="1985" w:type="dxa"/>
            <w:tcBorders>
              <w:right w:val="single" w:sz="4" w:space="0" w:color="auto"/>
            </w:tcBorders>
            <w:shd w:val="clear" w:color="auto" w:fill="F2F2F2" w:themeFill="background1" w:themeFillShade="F2"/>
          </w:tcPr>
          <w:p w14:paraId="7B62EEBC" w14:textId="77777777" w:rsidR="00D449D2" w:rsidRPr="00AC0D99" w:rsidRDefault="00D449D2" w:rsidP="006B18FD">
            <w:pPr>
              <w:rPr>
                <w:rFonts w:ascii="Calibri" w:hAnsi="Calibri"/>
                <w:sz w:val="18"/>
                <w:szCs w:val="18"/>
              </w:rPr>
            </w:pPr>
            <w:r w:rsidRPr="00AC0D99">
              <w:rPr>
                <w:rFonts w:ascii="Calibri" w:hAnsi="Calibri"/>
                <w:sz w:val="18"/>
                <w:szCs w:val="18"/>
              </w:rPr>
              <w:t>High</w:t>
            </w:r>
          </w:p>
        </w:tc>
      </w:tr>
      <w:tr w:rsidR="00D449D2" w:rsidRPr="00AC0D99" w14:paraId="264B2E3E" w14:textId="77777777" w:rsidTr="006B18FD">
        <w:trPr>
          <w:trHeight w:val="240"/>
        </w:trPr>
        <w:tc>
          <w:tcPr>
            <w:tcW w:w="1750" w:type="dxa"/>
            <w:tcBorders>
              <w:left w:val="single" w:sz="4" w:space="0" w:color="auto"/>
            </w:tcBorders>
            <w:shd w:val="clear" w:color="auto" w:fill="F2F2F2" w:themeFill="background1" w:themeFillShade="F2"/>
          </w:tcPr>
          <w:p w14:paraId="131F4D51" w14:textId="77777777" w:rsidR="00D449D2" w:rsidRPr="00715516" w:rsidRDefault="00D449D2" w:rsidP="006B18FD">
            <w:pPr>
              <w:rPr>
                <w:rFonts w:ascii="Calibri" w:hAnsi="Calibri"/>
                <w:sz w:val="18"/>
                <w:szCs w:val="18"/>
              </w:rPr>
            </w:pPr>
            <w:r w:rsidRPr="00715516">
              <w:rPr>
                <w:rFonts w:ascii="Calibri" w:hAnsi="Calibri"/>
                <w:sz w:val="18"/>
                <w:szCs w:val="18"/>
              </w:rPr>
              <w:t>4</w:t>
            </w:r>
          </w:p>
        </w:tc>
        <w:tc>
          <w:tcPr>
            <w:tcW w:w="1134" w:type="dxa"/>
            <w:shd w:val="clear" w:color="auto" w:fill="F2F2F2" w:themeFill="background1" w:themeFillShade="F2"/>
            <w:noWrap/>
          </w:tcPr>
          <w:p w14:paraId="32E5E050" w14:textId="77777777" w:rsidR="00D449D2" w:rsidRPr="00715516" w:rsidRDefault="00D449D2" w:rsidP="006B18FD">
            <w:pPr>
              <w:rPr>
                <w:rFonts w:ascii="Calibri" w:hAnsi="Calibri"/>
                <w:sz w:val="18"/>
                <w:szCs w:val="18"/>
              </w:rPr>
            </w:pPr>
            <w:r w:rsidRPr="00715516">
              <w:rPr>
                <w:rFonts w:ascii="Calibri" w:hAnsi="Calibri"/>
                <w:sz w:val="18"/>
                <w:szCs w:val="18"/>
              </w:rPr>
              <w:t>Likely</w:t>
            </w:r>
          </w:p>
        </w:tc>
        <w:tc>
          <w:tcPr>
            <w:tcW w:w="1418" w:type="dxa"/>
            <w:gridSpan w:val="2"/>
            <w:shd w:val="clear" w:color="auto" w:fill="F2F2F2" w:themeFill="background1" w:themeFillShade="F2"/>
            <w:noWrap/>
          </w:tcPr>
          <w:p w14:paraId="37DB2645" w14:textId="77777777" w:rsidR="00D449D2" w:rsidRPr="00715516" w:rsidRDefault="00D449D2" w:rsidP="006B18FD">
            <w:pPr>
              <w:rPr>
                <w:rFonts w:ascii="Calibri" w:hAnsi="Calibri"/>
                <w:sz w:val="18"/>
                <w:szCs w:val="18"/>
              </w:rPr>
            </w:pPr>
          </w:p>
        </w:tc>
        <w:tc>
          <w:tcPr>
            <w:tcW w:w="943" w:type="dxa"/>
            <w:shd w:val="clear" w:color="auto" w:fill="F2F2F2" w:themeFill="background1" w:themeFillShade="F2"/>
            <w:noWrap/>
          </w:tcPr>
          <w:p w14:paraId="6D57EA4C" w14:textId="77777777" w:rsidR="00D449D2" w:rsidRPr="00715516" w:rsidRDefault="00D449D2" w:rsidP="006B18FD">
            <w:pPr>
              <w:rPr>
                <w:rFonts w:ascii="Calibri" w:hAnsi="Calibri"/>
                <w:sz w:val="18"/>
                <w:szCs w:val="18"/>
              </w:rPr>
            </w:pPr>
          </w:p>
        </w:tc>
        <w:tc>
          <w:tcPr>
            <w:tcW w:w="2126" w:type="dxa"/>
            <w:shd w:val="clear" w:color="auto" w:fill="FF0000"/>
          </w:tcPr>
          <w:p w14:paraId="60C45F84" w14:textId="77777777" w:rsidR="00D449D2" w:rsidRPr="00EA2953" w:rsidRDefault="00D449D2" w:rsidP="006B18FD">
            <w:pPr>
              <w:rPr>
                <w:rFonts w:ascii="Calibri" w:hAnsi="Calibri"/>
                <w:b/>
                <w:sz w:val="18"/>
                <w:szCs w:val="18"/>
              </w:rPr>
            </w:pPr>
            <w:r>
              <w:rPr>
                <w:rFonts w:ascii="Calibri" w:hAnsi="Calibri"/>
                <w:b/>
                <w:sz w:val="18"/>
                <w:szCs w:val="18"/>
              </w:rPr>
              <w:t xml:space="preserve">Seventeen to </w:t>
            </w:r>
            <w:proofErr w:type="gramStart"/>
            <w:r>
              <w:rPr>
                <w:rFonts w:ascii="Calibri" w:hAnsi="Calibri"/>
                <w:b/>
                <w:sz w:val="18"/>
                <w:szCs w:val="18"/>
              </w:rPr>
              <w:t>twenty five</w:t>
            </w:r>
            <w:proofErr w:type="gramEnd"/>
          </w:p>
        </w:tc>
        <w:tc>
          <w:tcPr>
            <w:tcW w:w="1985" w:type="dxa"/>
            <w:tcBorders>
              <w:right w:val="single" w:sz="4" w:space="0" w:color="auto"/>
            </w:tcBorders>
            <w:shd w:val="clear" w:color="auto" w:fill="F2F2F2" w:themeFill="background1" w:themeFillShade="F2"/>
          </w:tcPr>
          <w:p w14:paraId="6891392C" w14:textId="77777777" w:rsidR="00D449D2" w:rsidRPr="00AC0D99" w:rsidRDefault="00D449D2" w:rsidP="006B18FD">
            <w:pPr>
              <w:rPr>
                <w:rFonts w:ascii="Calibri" w:hAnsi="Calibri"/>
                <w:sz w:val="18"/>
                <w:szCs w:val="18"/>
              </w:rPr>
            </w:pPr>
            <w:r w:rsidRPr="00AC0D99">
              <w:rPr>
                <w:rFonts w:ascii="Calibri" w:hAnsi="Calibri"/>
                <w:sz w:val="18"/>
                <w:szCs w:val="18"/>
              </w:rPr>
              <w:t>Extreme</w:t>
            </w:r>
          </w:p>
        </w:tc>
      </w:tr>
      <w:tr w:rsidR="00D449D2" w:rsidRPr="00715516" w14:paraId="7767BA3B" w14:textId="77777777" w:rsidTr="006B18FD">
        <w:trPr>
          <w:trHeight w:val="240"/>
        </w:trPr>
        <w:tc>
          <w:tcPr>
            <w:tcW w:w="1750" w:type="dxa"/>
            <w:tcBorders>
              <w:left w:val="single" w:sz="4" w:space="0" w:color="auto"/>
            </w:tcBorders>
            <w:shd w:val="clear" w:color="auto" w:fill="F2F2F2" w:themeFill="background1" w:themeFillShade="F2"/>
          </w:tcPr>
          <w:p w14:paraId="2D39D186" w14:textId="77777777" w:rsidR="00D449D2" w:rsidRPr="00715516" w:rsidRDefault="00D449D2" w:rsidP="006B18FD">
            <w:pPr>
              <w:rPr>
                <w:rFonts w:ascii="Calibri" w:hAnsi="Calibri"/>
                <w:sz w:val="18"/>
                <w:szCs w:val="18"/>
              </w:rPr>
            </w:pPr>
            <w:r w:rsidRPr="00715516">
              <w:rPr>
                <w:rFonts w:ascii="Calibri" w:hAnsi="Calibri"/>
                <w:sz w:val="18"/>
                <w:szCs w:val="18"/>
              </w:rPr>
              <w:t>5</w:t>
            </w:r>
          </w:p>
        </w:tc>
        <w:tc>
          <w:tcPr>
            <w:tcW w:w="2552" w:type="dxa"/>
            <w:gridSpan w:val="3"/>
            <w:shd w:val="clear" w:color="auto" w:fill="F2F2F2" w:themeFill="background1" w:themeFillShade="F2"/>
            <w:noWrap/>
          </w:tcPr>
          <w:p w14:paraId="1E27C2B8" w14:textId="77777777" w:rsidR="00D449D2" w:rsidRPr="00715516" w:rsidRDefault="00D449D2" w:rsidP="006B18FD">
            <w:pPr>
              <w:rPr>
                <w:rFonts w:ascii="Calibri" w:hAnsi="Calibri"/>
                <w:sz w:val="18"/>
                <w:szCs w:val="18"/>
              </w:rPr>
            </w:pPr>
            <w:r w:rsidRPr="00715516">
              <w:rPr>
                <w:rFonts w:ascii="Calibri" w:hAnsi="Calibri"/>
                <w:sz w:val="18"/>
                <w:szCs w:val="18"/>
              </w:rPr>
              <w:t>Almost Certain</w:t>
            </w:r>
          </w:p>
        </w:tc>
        <w:tc>
          <w:tcPr>
            <w:tcW w:w="943" w:type="dxa"/>
            <w:shd w:val="clear" w:color="auto" w:fill="F2F2F2" w:themeFill="background1" w:themeFillShade="F2"/>
            <w:noWrap/>
          </w:tcPr>
          <w:p w14:paraId="7665D9CB" w14:textId="77777777" w:rsidR="00D449D2" w:rsidRPr="00715516" w:rsidRDefault="00D449D2" w:rsidP="006B18FD">
            <w:pPr>
              <w:rPr>
                <w:rFonts w:ascii="Calibri" w:hAnsi="Calibri"/>
                <w:sz w:val="18"/>
                <w:szCs w:val="18"/>
              </w:rPr>
            </w:pPr>
          </w:p>
        </w:tc>
        <w:tc>
          <w:tcPr>
            <w:tcW w:w="4111" w:type="dxa"/>
            <w:gridSpan w:val="2"/>
            <w:tcBorders>
              <w:right w:val="single" w:sz="4" w:space="0" w:color="auto"/>
            </w:tcBorders>
            <w:shd w:val="clear" w:color="auto" w:fill="F2F2F2" w:themeFill="background1" w:themeFillShade="F2"/>
          </w:tcPr>
          <w:p w14:paraId="3C612F7E" w14:textId="77777777" w:rsidR="00D449D2" w:rsidRPr="00715516" w:rsidRDefault="00D449D2" w:rsidP="006B18FD">
            <w:pPr>
              <w:rPr>
                <w:rFonts w:ascii="Calibri" w:hAnsi="Calibri"/>
                <w:sz w:val="18"/>
                <w:szCs w:val="18"/>
              </w:rPr>
            </w:pPr>
          </w:p>
        </w:tc>
      </w:tr>
      <w:tr w:rsidR="00D449D2" w:rsidRPr="00715516" w14:paraId="679F2A2C" w14:textId="77777777" w:rsidTr="006B18FD">
        <w:trPr>
          <w:trHeight w:val="240"/>
        </w:trPr>
        <w:tc>
          <w:tcPr>
            <w:tcW w:w="1750" w:type="dxa"/>
            <w:tcBorders>
              <w:left w:val="single" w:sz="4" w:space="0" w:color="auto"/>
            </w:tcBorders>
            <w:shd w:val="clear" w:color="auto" w:fill="F2F2F2" w:themeFill="background1" w:themeFillShade="F2"/>
          </w:tcPr>
          <w:p w14:paraId="616051E2" w14:textId="77777777" w:rsidR="00D449D2" w:rsidRPr="00715516" w:rsidRDefault="00D449D2" w:rsidP="006B18FD">
            <w:pPr>
              <w:rPr>
                <w:rFonts w:ascii="Calibri" w:hAnsi="Calibri"/>
                <w:b/>
                <w:bCs/>
                <w:sz w:val="18"/>
                <w:szCs w:val="18"/>
              </w:rPr>
            </w:pPr>
            <w:r w:rsidRPr="00715516">
              <w:rPr>
                <w:rFonts w:ascii="Calibri" w:hAnsi="Calibri"/>
                <w:b/>
                <w:bCs/>
                <w:sz w:val="18"/>
                <w:szCs w:val="18"/>
              </w:rPr>
              <w:t>Consequence</w:t>
            </w:r>
          </w:p>
        </w:tc>
        <w:tc>
          <w:tcPr>
            <w:tcW w:w="1333" w:type="dxa"/>
            <w:gridSpan w:val="2"/>
            <w:shd w:val="clear" w:color="auto" w:fill="F2F2F2" w:themeFill="background1" w:themeFillShade="F2"/>
            <w:noWrap/>
          </w:tcPr>
          <w:p w14:paraId="47322D08" w14:textId="77777777" w:rsidR="00D449D2" w:rsidRPr="00715516" w:rsidRDefault="00D449D2" w:rsidP="006B18FD">
            <w:pPr>
              <w:rPr>
                <w:rFonts w:ascii="Calibri" w:hAnsi="Calibri"/>
                <w:sz w:val="18"/>
                <w:szCs w:val="18"/>
              </w:rPr>
            </w:pPr>
          </w:p>
        </w:tc>
        <w:tc>
          <w:tcPr>
            <w:tcW w:w="1219" w:type="dxa"/>
            <w:shd w:val="clear" w:color="auto" w:fill="F2F2F2" w:themeFill="background1" w:themeFillShade="F2"/>
            <w:noWrap/>
          </w:tcPr>
          <w:p w14:paraId="6AF67541" w14:textId="77777777" w:rsidR="00D449D2" w:rsidRPr="00715516" w:rsidRDefault="00D449D2" w:rsidP="006B18FD">
            <w:pPr>
              <w:rPr>
                <w:rFonts w:ascii="Calibri" w:hAnsi="Calibri"/>
                <w:sz w:val="18"/>
                <w:szCs w:val="18"/>
              </w:rPr>
            </w:pPr>
          </w:p>
        </w:tc>
        <w:tc>
          <w:tcPr>
            <w:tcW w:w="943" w:type="dxa"/>
            <w:shd w:val="clear" w:color="auto" w:fill="F2F2F2" w:themeFill="background1" w:themeFillShade="F2"/>
            <w:noWrap/>
          </w:tcPr>
          <w:p w14:paraId="0BFD274B" w14:textId="77777777" w:rsidR="00D449D2" w:rsidRPr="00715516" w:rsidRDefault="00D449D2" w:rsidP="006B18FD">
            <w:pPr>
              <w:rPr>
                <w:rFonts w:ascii="Calibri" w:hAnsi="Calibri"/>
                <w:sz w:val="18"/>
                <w:szCs w:val="18"/>
              </w:rPr>
            </w:pPr>
          </w:p>
        </w:tc>
        <w:tc>
          <w:tcPr>
            <w:tcW w:w="4111" w:type="dxa"/>
            <w:gridSpan w:val="2"/>
            <w:tcBorders>
              <w:right w:val="single" w:sz="4" w:space="0" w:color="auto"/>
            </w:tcBorders>
            <w:shd w:val="clear" w:color="auto" w:fill="F2F2F2" w:themeFill="background1" w:themeFillShade="F2"/>
          </w:tcPr>
          <w:p w14:paraId="09D91249" w14:textId="77777777" w:rsidR="00D449D2" w:rsidRPr="00715516" w:rsidRDefault="00D449D2" w:rsidP="006B18FD">
            <w:pPr>
              <w:rPr>
                <w:rFonts w:ascii="Calibri" w:hAnsi="Calibri"/>
                <w:sz w:val="18"/>
                <w:szCs w:val="18"/>
              </w:rPr>
            </w:pPr>
          </w:p>
        </w:tc>
      </w:tr>
      <w:tr w:rsidR="00D449D2" w:rsidRPr="00715516" w14:paraId="477379DA" w14:textId="77777777" w:rsidTr="006B18FD">
        <w:trPr>
          <w:trHeight w:val="240"/>
        </w:trPr>
        <w:tc>
          <w:tcPr>
            <w:tcW w:w="1750" w:type="dxa"/>
            <w:tcBorders>
              <w:left w:val="single" w:sz="4" w:space="0" w:color="auto"/>
            </w:tcBorders>
            <w:shd w:val="clear" w:color="auto" w:fill="F2F2F2" w:themeFill="background1" w:themeFillShade="F2"/>
          </w:tcPr>
          <w:p w14:paraId="6021C7E7" w14:textId="77777777" w:rsidR="00D449D2" w:rsidRPr="00715516" w:rsidRDefault="00D449D2" w:rsidP="006B18FD">
            <w:pPr>
              <w:rPr>
                <w:rFonts w:ascii="Calibri" w:hAnsi="Calibri"/>
                <w:sz w:val="18"/>
                <w:szCs w:val="18"/>
              </w:rPr>
            </w:pPr>
            <w:r w:rsidRPr="00715516">
              <w:rPr>
                <w:rFonts w:ascii="Calibri" w:hAnsi="Calibri"/>
                <w:sz w:val="18"/>
                <w:szCs w:val="18"/>
              </w:rPr>
              <w:t>1</w:t>
            </w:r>
          </w:p>
        </w:tc>
        <w:tc>
          <w:tcPr>
            <w:tcW w:w="2552" w:type="dxa"/>
            <w:gridSpan w:val="3"/>
            <w:shd w:val="clear" w:color="auto" w:fill="F2F2F2" w:themeFill="background1" w:themeFillShade="F2"/>
            <w:noWrap/>
          </w:tcPr>
          <w:p w14:paraId="0AFED4AB" w14:textId="77777777" w:rsidR="00D449D2" w:rsidRPr="00715516" w:rsidRDefault="00D449D2" w:rsidP="006B18FD">
            <w:pPr>
              <w:rPr>
                <w:rFonts w:ascii="Calibri" w:hAnsi="Calibri"/>
                <w:sz w:val="18"/>
                <w:szCs w:val="18"/>
              </w:rPr>
            </w:pPr>
            <w:r w:rsidRPr="00715516">
              <w:rPr>
                <w:rFonts w:ascii="Calibri" w:hAnsi="Calibri"/>
                <w:sz w:val="18"/>
                <w:szCs w:val="18"/>
              </w:rPr>
              <w:t>Insignificant</w:t>
            </w:r>
          </w:p>
        </w:tc>
        <w:tc>
          <w:tcPr>
            <w:tcW w:w="943" w:type="dxa"/>
            <w:shd w:val="clear" w:color="auto" w:fill="F2F2F2" w:themeFill="background1" w:themeFillShade="F2"/>
            <w:noWrap/>
          </w:tcPr>
          <w:p w14:paraId="6D315F3D" w14:textId="77777777" w:rsidR="00D449D2" w:rsidRPr="00715516" w:rsidRDefault="00D449D2" w:rsidP="006B18FD">
            <w:pPr>
              <w:rPr>
                <w:rFonts w:ascii="Calibri" w:hAnsi="Calibri"/>
                <w:sz w:val="18"/>
                <w:szCs w:val="18"/>
              </w:rPr>
            </w:pPr>
          </w:p>
        </w:tc>
        <w:tc>
          <w:tcPr>
            <w:tcW w:w="4111" w:type="dxa"/>
            <w:gridSpan w:val="2"/>
            <w:tcBorders>
              <w:right w:val="single" w:sz="4" w:space="0" w:color="auto"/>
            </w:tcBorders>
            <w:shd w:val="clear" w:color="auto" w:fill="F2F2F2" w:themeFill="background1" w:themeFillShade="F2"/>
          </w:tcPr>
          <w:p w14:paraId="1A1F8D11" w14:textId="77777777" w:rsidR="00D449D2" w:rsidRPr="00715516" w:rsidRDefault="00D449D2" w:rsidP="006B18FD">
            <w:pPr>
              <w:rPr>
                <w:rFonts w:ascii="Calibri" w:hAnsi="Calibri"/>
                <w:sz w:val="18"/>
                <w:szCs w:val="18"/>
              </w:rPr>
            </w:pPr>
          </w:p>
        </w:tc>
      </w:tr>
      <w:tr w:rsidR="00D449D2" w:rsidRPr="00715516" w14:paraId="6C3362E5" w14:textId="77777777" w:rsidTr="006B18FD">
        <w:trPr>
          <w:trHeight w:val="240"/>
        </w:trPr>
        <w:tc>
          <w:tcPr>
            <w:tcW w:w="1750" w:type="dxa"/>
            <w:tcBorders>
              <w:left w:val="single" w:sz="4" w:space="0" w:color="auto"/>
            </w:tcBorders>
            <w:shd w:val="clear" w:color="auto" w:fill="F2F2F2" w:themeFill="background1" w:themeFillShade="F2"/>
          </w:tcPr>
          <w:p w14:paraId="34166E46" w14:textId="77777777" w:rsidR="00D449D2" w:rsidRPr="00715516" w:rsidRDefault="00D449D2" w:rsidP="006B18FD">
            <w:pPr>
              <w:rPr>
                <w:rFonts w:ascii="Calibri" w:hAnsi="Calibri"/>
                <w:sz w:val="18"/>
                <w:szCs w:val="18"/>
              </w:rPr>
            </w:pPr>
            <w:r w:rsidRPr="00715516">
              <w:rPr>
                <w:rFonts w:ascii="Calibri" w:hAnsi="Calibri"/>
                <w:sz w:val="18"/>
                <w:szCs w:val="18"/>
              </w:rPr>
              <w:t>2</w:t>
            </w:r>
          </w:p>
        </w:tc>
        <w:tc>
          <w:tcPr>
            <w:tcW w:w="1333" w:type="dxa"/>
            <w:gridSpan w:val="2"/>
            <w:shd w:val="clear" w:color="auto" w:fill="F2F2F2" w:themeFill="background1" w:themeFillShade="F2"/>
            <w:noWrap/>
          </w:tcPr>
          <w:p w14:paraId="5B91313F" w14:textId="77777777" w:rsidR="00D449D2" w:rsidRPr="00715516" w:rsidRDefault="00D449D2" w:rsidP="006B18FD">
            <w:pPr>
              <w:rPr>
                <w:rFonts w:ascii="Calibri" w:hAnsi="Calibri"/>
                <w:sz w:val="18"/>
                <w:szCs w:val="18"/>
              </w:rPr>
            </w:pPr>
            <w:r w:rsidRPr="00715516">
              <w:rPr>
                <w:rFonts w:ascii="Calibri" w:hAnsi="Calibri"/>
                <w:sz w:val="18"/>
                <w:szCs w:val="18"/>
              </w:rPr>
              <w:t>Minor</w:t>
            </w:r>
          </w:p>
        </w:tc>
        <w:tc>
          <w:tcPr>
            <w:tcW w:w="1219" w:type="dxa"/>
            <w:shd w:val="clear" w:color="auto" w:fill="F2F2F2" w:themeFill="background1" w:themeFillShade="F2"/>
            <w:noWrap/>
          </w:tcPr>
          <w:p w14:paraId="6C1B121B" w14:textId="77777777" w:rsidR="00D449D2" w:rsidRPr="00715516" w:rsidRDefault="00D449D2" w:rsidP="006B18FD">
            <w:pPr>
              <w:rPr>
                <w:rFonts w:ascii="Calibri" w:hAnsi="Calibri"/>
                <w:sz w:val="18"/>
                <w:szCs w:val="18"/>
              </w:rPr>
            </w:pPr>
          </w:p>
        </w:tc>
        <w:tc>
          <w:tcPr>
            <w:tcW w:w="943" w:type="dxa"/>
            <w:shd w:val="clear" w:color="auto" w:fill="F2F2F2" w:themeFill="background1" w:themeFillShade="F2"/>
            <w:noWrap/>
          </w:tcPr>
          <w:p w14:paraId="659275F1" w14:textId="77777777" w:rsidR="00D449D2" w:rsidRPr="00715516" w:rsidRDefault="00D449D2" w:rsidP="006B18FD">
            <w:pPr>
              <w:rPr>
                <w:rFonts w:ascii="Calibri" w:hAnsi="Calibri"/>
                <w:sz w:val="18"/>
                <w:szCs w:val="18"/>
              </w:rPr>
            </w:pPr>
          </w:p>
        </w:tc>
        <w:tc>
          <w:tcPr>
            <w:tcW w:w="4111" w:type="dxa"/>
            <w:gridSpan w:val="2"/>
            <w:tcBorders>
              <w:right w:val="single" w:sz="4" w:space="0" w:color="auto"/>
            </w:tcBorders>
            <w:shd w:val="clear" w:color="auto" w:fill="F2F2F2" w:themeFill="background1" w:themeFillShade="F2"/>
          </w:tcPr>
          <w:p w14:paraId="3EC37A30" w14:textId="77777777" w:rsidR="00D449D2" w:rsidRPr="00715516" w:rsidRDefault="00D449D2" w:rsidP="006B18FD">
            <w:pPr>
              <w:rPr>
                <w:rFonts w:ascii="Calibri" w:hAnsi="Calibri"/>
                <w:sz w:val="18"/>
                <w:szCs w:val="18"/>
              </w:rPr>
            </w:pPr>
          </w:p>
        </w:tc>
      </w:tr>
      <w:tr w:rsidR="00D449D2" w:rsidRPr="00715516" w14:paraId="1838F749" w14:textId="77777777" w:rsidTr="006B18FD">
        <w:trPr>
          <w:trHeight w:val="240"/>
        </w:trPr>
        <w:tc>
          <w:tcPr>
            <w:tcW w:w="1750" w:type="dxa"/>
            <w:tcBorders>
              <w:left w:val="single" w:sz="4" w:space="0" w:color="auto"/>
            </w:tcBorders>
            <w:shd w:val="clear" w:color="auto" w:fill="F2F2F2" w:themeFill="background1" w:themeFillShade="F2"/>
          </w:tcPr>
          <w:p w14:paraId="0A65D4C5" w14:textId="77777777" w:rsidR="00D449D2" w:rsidRPr="00715516" w:rsidRDefault="00D449D2" w:rsidP="006B18FD">
            <w:pPr>
              <w:rPr>
                <w:rFonts w:ascii="Calibri" w:hAnsi="Calibri"/>
                <w:sz w:val="18"/>
                <w:szCs w:val="18"/>
              </w:rPr>
            </w:pPr>
            <w:r w:rsidRPr="00715516">
              <w:rPr>
                <w:rFonts w:ascii="Calibri" w:hAnsi="Calibri"/>
                <w:sz w:val="18"/>
                <w:szCs w:val="18"/>
              </w:rPr>
              <w:t>3</w:t>
            </w:r>
          </w:p>
        </w:tc>
        <w:tc>
          <w:tcPr>
            <w:tcW w:w="1333" w:type="dxa"/>
            <w:gridSpan w:val="2"/>
            <w:shd w:val="clear" w:color="auto" w:fill="F2F2F2" w:themeFill="background1" w:themeFillShade="F2"/>
            <w:noWrap/>
          </w:tcPr>
          <w:p w14:paraId="7FA03A7E" w14:textId="77777777" w:rsidR="00D449D2" w:rsidRPr="00715516" w:rsidRDefault="00D449D2" w:rsidP="006B18FD">
            <w:pPr>
              <w:rPr>
                <w:rFonts w:ascii="Calibri" w:hAnsi="Calibri"/>
                <w:sz w:val="18"/>
                <w:szCs w:val="18"/>
              </w:rPr>
            </w:pPr>
            <w:r w:rsidRPr="00715516">
              <w:rPr>
                <w:rFonts w:ascii="Calibri" w:hAnsi="Calibri"/>
                <w:sz w:val="18"/>
                <w:szCs w:val="18"/>
              </w:rPr>
              <w:t>Moderate</w:t>
            </w:r>
          </w:p>
        </w:tc>
        <w:tc>
          <w:tcPr>
            <w:tcW w:w="1219" w:type="dxa"/>
            <w:shd w:val="clear" w:color="auto" w:fill="F2F2F2" w:themeFill="background1" w:themeFillShade="F2"/>
            <w:noWrap/>
          </w:tcPr>
          <w:p w14:paraId="40F0E511" w14:textId="77777777" w:rsidR="00D449D2" w:rsidRPr="00715516" w:rsidRDefault="00D449D2" w:rsidP="006B18FD">
            <w:pPr>
              <w:rPr>
                <w:rFonts w:ascii="Calibri" w:hAnsi="Calibri"/>
                <w:sz w:val="18"/>
                <w:szCs w:val="18"/>
              </w:rPr>
            </w:pPr>
          </w:p>
        </w:tc>
        <w:tc>
          <w:tcPr>
            <w:tcW w:w="943" w:type="dxa"/>
            <w:shd w:val="clear" w:color="auto" w:fill="F2F2F2" w:themeFill="background1" w:themeFillShade="F2"/>
            <w:noWrap/>
          </w:tcPr>
          <w:p w14:paraId="7490893A" w14:textId="77777777" w:rsidR="00D449D2" w:rsidRPr="00715516" w:rsidRDefault="00D449D2" w:rsidP="006B18FD">
            <w:pPr>
              <w:rPr>
                <w:rFonts w:ascii="Calibri" w:hAnsi="Calibri"/>
                <w:sz w:val="18"/>
                <w:szCs w:val="18"/>
              </w:rPr>
            </w:pPr>
          </w:p>
        </w:tc>
        <w:tc>
          <w:tcPr>
            <w:tcW w:w="4111" w:type="dxa"/>
            <w:gridSpan w:val="2"/>
            <w:tcBorders>
              <w:right w:val="single" w:sz="4" w:space="0" w:color="auto"/>
            </w:tcBorders>
            <w:shd w:val="clear" w:color="auto" w:fill="F2F2F2" w:themeFill="background1" w:themeFillShade="F2"/>
          </w:tcPr>
          <w:p w14:paraId="67ED5DEB" w14:textId="77777777" w:rsidR="00D449D2" w:rsidRPr="00715516" w:rsidRDefault="00D449D2" w:rsidP="006B18FD">
            <w:pPr>
              <w:rPr>
                <w:rFonts w:ascii="Calibri" w:hAnsi="Calibri"/>
                <w:sz w:val="18"/>
                <w:szCs w:val="18"/>
              </w:rPr>
            </w:pPr>
          </w:p>
        </w:tc>
      </w:tr>
      <w:tr w:rsidR="00D449D2" w:rsidRPr="00715516" w14:paraId="2C2D7373" w14:textId="77777777" w:rsidTr="006B18FD">
        <w:trPr>
          <w:trHeight w:val="240"/>
        </w:trPr>
        <w:tc>
          <w:tcPr>
            <w:tcW w:w="1750" w:type="dxa"/>
            <w:tcBorders>
              <w:left w:val="single" w:sz="4" w:space="0" w:color="auto"/>
            </w:tcBorders>
            <w:shd w:val="clear" w:color="auto" w:fill="F2F2F2" w:themeFill="background1" w:themeFillShade="F2"/>
          </w:tcPr>
          <w:p w14:paraId="5C73691C" w14:textId="77777777" w:rsidR="00D449D2" w:rsidRPr="00715516" w:rsidRDefault="00D449D2" w:rsidP="006B18FD">
            <w:pPr>
              <w:rPr>
                <w:rFonts w:ascii="Calibri" w:hAnsi="Calibri"/>
                <w:sz w:val="18"/>
                <w:szCs w:val="18"/>
              </w:rPr>
            </w:pPr>
            <w:r w:rsidRPr="00715516">
              <w:rPr>
                <w:rFonts w:ascii="Calibri" w:hAnsi="Calibri"/>
                <w:sz w:val="18"/>
                <w:szCs w:val="18"/>
              </w:rPr>
              <w:t>4</w:t>
            </w:r>
          </w:p>
        </w:tc>
        <w:tc>
          <w:tcPr>
            <w:tcW w:w="1333" w:type="dxa"/>
            <w:gridSpan w:val="2"/>
            <w:shd w:val="clear" w:color="auto" w:fill="F2F2F2" w:themeFill="background1" w:themeFillShade="F2"/>
            <w:noWrap/>
          </w:tcPr>
          <w:p w14:paraId="52943CD9" w14:textId="77777777" w:rsidR="00D449D2" w:rsidRPr="00715516" w:rsidRDefault="00D449D2" w:rsidP="006B18FD">
            <w:pPr>
              <w:rPr>
                <w:rFonts w:ascii="Calibri" w:hAnsi="Calibri"/>
                <w:sz w:val="18"/>
                <w:szCs w:val="18"/>
              </w:rPr>
            </w:pPr>
            <w:r w:rsidRPr="00715516">
              <w:rPr>
                <w:rFonts w:ascii="Calibri" w:hAnsi="Calibri"/>
                <w:sz w:val="18"/>
                <w:szCs w:val="18"/>
              </w:rPr>
              <w:t>Major</w:t>
            </w:r>
          </w:p>
        </w:tc>
        <w:tc>
          <w:tcPr>
            <w:tcW w:w="1219" w:type="dxa"/>
            <w:shd w:val="clear" w:color="auto" w:fill="F2F2F2" w:themeFill="background1" w:themeFillShade="F2"/>
            <w:noWrap/>
          </w:tcPr>
          <w:p w14:paraId="1BEF3D55" w14:textId="77777777" w:rsidR="00D449D2" w:rsidRPr="00715516" w:rsidRDefault="00D449D2" w:rsidP="006B18FD">
            <w:pPr>
              <w:rPr>
                <w:rFonts w:ascii="Calibri" w:hAnsi="Calibri"/>
                <w:sz w:val="18"/>
                <w:szCs w:val="18"/>
              </w:rPr>
            </w:pPr>
          </w:p>
        </w:tc>
        <w:tc>
          <w:tcPr>
            <w:tcW w:w="943" w:type="dxa"/>
            <w:shd w:val="clear" w:color="auto" w:fill="F2F2F2" w:themeFill="background1" w:themeFillShade="F2"/>
            <w:noWrap/>
          </w:tcPr>
          <w:p w14:paraId="441099F4" w14:textId="77777777" w:rsidR="00D449D2" w:rsidRPr="00715516" w:rsidRDefault="00D449D2" w:rsidP="006B18FD">
            <w:pPr>
              <w:rPr>
                <w:rFonts w:ascii="Calibri" w:hAnsi="Calibri"/>
                <w:sz w:val="18"/>
                <w:szCs w:val="18"/>
              </w:rPr>
            </w:pPr>
          </w:p>
        </w:tc>
        <w:tc>
          <w:tcPr>
            <w:tcW w:w="4111" w:type="dxa"/>
            <w:gridSpan w:val="2"/>
            <w:tcBorders>
              <w:right w:val="single" w:sz="4" w:space="0" w:color="auto"/>
            </w:tcBorders>
            <w:shd w:val="clear" w:color="auto" w:fill="F2F2F2" w:themeFill="background1" w:themeFillShade="F2"/>
          </w:tcPr>
          <w:p w14:paraId="4BEF08B2" w14:textId="77777777" w:rsidR="00D449D2" w:rsidRPr="00715516" w:rsidRDefault="00D449D2" w:rsidP="006B18FD">
            <w:pPr>
              <w:rPr>
                <w:rFonts w:ascii="Calibri" w:hAnsi="Calibri"/>
                <w:sz w:val="18"/>
                <w:szCs w:val="18"/>
              </w:rPr>
            </w:pPr>
          </w:p>
        </w:tc>
      </w:tr>
      <w:tr w:rsidR="00D449D2" w:rsidRPr="00715516" w14:paraId="32F700D2" w14:textId="77777777" w:rsidTr="006B18FD">
        <w:trPr>
          <w:trHeight w:val="242"/>
        </w:trPr>
        <w:tc>
          <w:tcPr>
            <w:tcW w:w="1750" w:type="dxa"/>
            <w:tcBorders>
              <w:left w:val="single" w:sz="4" w:space="0" w:color="auto"/>
              <w:bottom w:val="single" w:sz="4" w:space="0" w:color="auto"/>
            </w:tcBorders>
            <w:shd w:val="clear" w:color="auto" w:fill="F2F2F2" w:themeFill="background1" w:themeFillShade="F2"/>
          </w:tcPr>
          <w:p w14:paraId="66B2D3FF" w14:textId="77777777" w:rsidR="00D449D2" w:rsidRPr="00715516" w:rsidRDefault="00D449D2" w:rsidP="006B18FD">
            <w:pPr>
              <w:rPr>
                <w:rFonts w:ascii="Calibri" w:hAnsi="Calibri"/>
                <w:sz w:val="18"/>
                <w:szCs w:val="18"/>
              </w:rPr>
            </w:pPr>
            <w:r w:rsidRPr="00715516">
              <w:rPr>
                <w:rFonts w:ascii="Calibri" w:hAnsi="Calibri"/>
                <w:sz w:val="18"/>
                <w:szCs w:val="18"/>
              </w:rPr>
              <w:t>5</w:t>
            </w:r>
          </w:p>
        </w:tc>
        <w:tc>
          <w:tcPr>
            <w:tcW w:w="1333" w:type="dxa"/>
            <w:gridSpan w:val="2"/>
            <w:tcBorders>
              <w:bottom w:val="single" w:sz="4" w:space="0" w:color="auto"/>
            </w:tcBorders>
            <w:shd w:val="clear" w:color="auto" w:fill="F2F2F2" w:themeFill="background1" w:themeFillShade="F2"/>
            <w:noWrap/>
          </w:tcPr>
          <w:p w14:paraId="757BD9F1" w14:textId="77777777" w:rsidR="00D449D2" w:rsidRPr="00715516" w:rsidRDefault="00D449D2" w:rsidP="006B18FD">
            <w:pPr>
              <w:rPr>
                <w:rFonts w:ascii="Calibri" w:hAnsi="Calibri"/>
                <w:sz w:val="18"/>
                <w:szCs w:val="18"/>
              </w:rPr>
            </w:pPr>
            <w:r w:rsidRPr="00715516">
              <w:rPr>
                <w:rFonts w:ascii="Calibri" w:hAnsi="Calibri"/>
                <w:sz w:val="18"/>
                <w:szCs w:val="18"/>
              </w:rPr>
              <w:t>Severe</w:t>
            </w:r>
          </w:p>
        </w:tc>
        <w:tc>
          <w:tcPr>
            <w:tcW w:w="1219" w:type="dxa"/>
            <w:tcBorders>
              <w:bottom w:val="single" w:sz="4" w:space="0" w:color="auto"/>
            </w:tcBorders>
            <w:shd w:val="clear" w:color="auto" w:fill="F2F2F2" w:themeFill="background1" w:themeFillShade="F2"/>
            <w:noWrap/>
          </w:tcPr>
          <w:p w14:paraId="2B64D981" w14:textId="77777777" w:rsidR="00D449D2" w:rsidRPr="00715516" w:rsidRDefault="00D449D2" w:rsidP="006B18FD">
            <w:pPr>
              <w:rPr>
                <w:rFonts w:ascii="Calibri" w:hAnsi="Calibri"/>
                <w:sz w:val="18"/>
                <w:szCs w:val="18"/>
              </w:rPr>
            </w:pPr>
          </w:p>
        </w:tc>
        <w:tc>
          <w:tcPr>
            <w:tcW w:w="943" w:type="dxa"/>
            <w:tcBorders>
              <w:bottom w:val="single" w:sz="4" w:space="0" w:color="auto"/>
            </w:tcBorders>
            <w:shd w:val="clear" w:color="auto" w:fill="F2F2F2" w:themeFill="background1" w:themeFillShade="F2"/>
            <w:noWrap/>
          </w:tcPr>
          <w:p w14:paraId="56F8F384" w14:textId="77777777" w:rsidR="00D449D2" w:rsidRPr="00715516" w:rsidRDefault="00D449D2" w:rsidP="006B18FD">
            <w:pPr>
              <w:rPr>
                <w:rFonts w:ascii="Calibri" w:hAnsi="Calibri"/>
                <w:sz w:val="18"/>
                <w:szCs w:val="18"/>
              </w:rPr>
            </w:pPr>
          </w:p>
        </w:tc>
        <w:tc>
          <w:tcPr>
            <w:tcW w:w="4111" w:type="dxa"/>
            <w:gridSpan w:val="2"/>
            <w:tcBorders>
              <w:bottom w:val="single" w:sz="4" w:space="0" w:color="auto"/>
              <w:right w:val="single" w:sz="4" w:space="0" w:color="auto"/>
            </w:tcBorders>
            <w:shd w:val="clear" w:color="auto" w:fill="F2F2F2" w:themeFill="background1" w:themeFillShade="F2"/>
          </w:tcPr>
          <w:p w14:paraId="27A2FE00" w14:textId="77777777" w:rsidR="00D449D2" w:rsidRPr="00715516" w:rsidRDefault="00D449D2" w:rsidP="006B18FD">
            <w:pPr>
              <w:rPr>
                <w:rFonts w:ascii="Calibri" w:hAnsi="Calibri"/>
                <w:sz w:val="18"/>
                <w:szCs w:val="18"/>
              </w:rPr>
            </w:pPr>
          </w:p>
        </w:tc>
      </w:tr>
      <w:tr w:rsidR="00D449D2" w:rsidRPr="00715516" w14:paraId="1F84E815" w14:textId="77777777" w:rsidTr="006B18FD">
        <w:trPr>
          <w:trHeight w:val="242"/>
        </w:trPr>
        <w:tc>
          <w:tcPr>
            <w:tcW w:w="1750" w:type="dxa"/>
            <w:tcBorders>
              <w:top w:val="single" w:sz="4" w:space="0" w:color="auto"/>
            </w:tcBorders>
            <w:shd w:val="clear" w:color="auto" w:fill="FFFFFF" w:themeFill="background1"/>
          </w:tcPr>
          <w:p w14:paraId="48E74251" w14:textId="77777777" w:rsidR="00D449D2" w:rsidRPr="00715516" w:rsidRDefault="00D449D2" w:rsidP="006B18FD">
            <w:pPr>
              <w:rPr>
                <w:rFonts w:ascii="Calibri" w:hAnsi="Calibri"/>
                <w:sz w:val="18"/>
                <w:szCs w:val="18"/>
              </w:rPr>
            </w:pPr>
          </w:p>
        </w:tc>
        <w:tc>
          <w:tcPr>
            <w:tcW w:w="1333" w:type="dxa"/>
            <w:gridSpan w:val="2"/>
            <w:tcBorders>
              <w:top w:val="single" w:sz="4" w:space="0" w:color="auto"/>
            </w:tcBorders>
            <w:shd w:val="clear" w:color="auto" w:fill="FFFFFF" w:themeFill="background1"/>
            <w:noWrap/>
          </w:tcPr>
          <w:p w14:paraId="6AE808F2" w14:textId="77777777" w:rsidR="00D449D2" w:rsidRPr="00715516" w:rsidRDefault="00D449D2" w:rsidP="006B18FD">
            <w:pPr>
              <w:rPr>
                <w:rFonts w:ascii="Calibri" w:hAnsi="Calibri"/>
                <w:sz w:val="18"/>
                <w:szCs w:val="18"/>
              </w:rPr>
            </w:pPr>
          </w:p>
        </w:tc>
        <w:tc>
          <w:tcPr>
            <w:tcW w:w="1219" w:type="dxa"/>
            <w:tcBorders>
              <w:top w:val="single" w:sz="4" w:space="0" w:color="auto"/>
            </w:tcBorders>
            <w:shd w:val="clear" w:color="auto" w:fill="FFFFFF" w:themeFill="background1"/>
            <w:noWrap/>
          </w:tcPr>
          <w:p w14:paraId="62AC1EDA" w14:textId="77777777" w:rsidR="00D449D2" w:rsidRPr="00715516" w:rsidRDefault="00D449D2" w:rsidP="006B18FD">
            <w:pPr>
              <w:rPr>
                <w:rFonts w:ascii="Calibri" w:hAnsi="Calibri"/>
                <w:sz w:val="18"/>
                <w:szCs w:val="18"/>
              </w:rPr>
            </w:pPr>
          </w:p>
        </w:tc>
        <w:tc>
          <w:tcPr>
            <w:tcW w:w="943" w:type="dxa"/>
            <w:tcBorders>
              <w:top w:val="single" w:sz="4" w:space="0" w:color="auto"/>
            </w:tcBorders>
            <w:shd w:val="clear" w:color="auto" w:fill="FFFFFF" w:themeFill="background1"/>
            <w:noWrap/>
          </w:tcPr>
          <w:p w14:paraId="0028839D" w14:textId="77777777" w:rsidR="00D449D2" w:rsidRPr="00715516" w:rsidRDefault="00D449D2" w:rsidP="006B18FD">
            <w:pPr>
              <w:rPr>
                <w:rFonts w:ascii="Calibri" w:hAnsi="Calibri"/>
                <w:sz w:val="18"/>
                <w:szCs w:val="18"/>
              </w:rPr>
            </w:pPr>
          </w:p>
        </w:tc>
        <w:tc>
          <w:tcPr>
            <w:tcW w:w="4111" w:type="dxa"/>
            <w:gridSpan w:val="2"/>
            <w:tcBorders>
              <w:top w:val="single" w:sz="4" w:space="0" w:color="auto"/>
            </w:tcBorders>
            <w:shd w:val="clear" w:color="auto" w:fill="FFFFFF" w:themeFill="background1"/>
          </w:tcPr>
          <w:p w14:paraId="2D4DDF86" w14:textId="77777777" w:rsidR="00D449D2" w:rsidRPr="00715516" w:rsidRDefault="00D449D2" w:rsidP="006B18FD">
            <w:pPr>
              <w:rPr>
                <w:rFonts w:ascii="Calibri" w:hAnsi="Calibri"/>
                <w:sz w:val="18"/>
                <w:szCs w:val="18"/>
              </w:rPr>
            </w:pPr>
          </w:p>
        </w:tc>
      </w:tr>
      <w:tr w:rsidR="00D449D2" w:rsidRPr="00715516" w14:paraId="729F48CE" w14:textId="77777777" w:rsidTr="006B18FD">
        <w:trPr>
          <w:trHeight w:val="242"/>
        </w:trPr>
        <w:tc>
          <w:tcPr>
            <w:tcW w:w="1750" w:type="dxa"/>
            <w:tcBorders>
              <w:bottom w:val="single" w:sz="4" w:space="0" w:color="auto"/>
            </w:tcBorders>
            <w:shd w:val="clear" w:color="auto" w:fill="FFFFFF" w:themeFill="background1"/>
          </w:tcPr>
          <w:p w14:paraId="48C82BAB" w14:textId="77777777" w:rsidR="00D449D2" w:rsidRPr="00715516" w:rsidRDefault="00D449D2" w:rsidP="006B18FD">
            <w:pPr>
              <w:rPr>
                <w:rFonts w:ascii="Calibri" w:hAnsi="Calibri"/>
                <w:sz w:val="18"/>
                <w:szCs w:val="18"/>
              </w:rPr>
            </w:pPr>
          </w:p>
        </w:tc>
        <w:tc>
          <w:tcPr>
            <w:tcW w:w="1333" w:type="dxa"/>
            <w:gridSpan w:val="2"/>
            <w:tcBorders>
              <w:bottom w:val="single" w:sz="4" w:space="0" w:color="auto"/>
            </w:tcBorders>
            <w:shd w:val="clear" w:color="auto" w:fill="FFFFFF" w:themeFill="background1"/>
            <w:noWrap/>
          </w:tcPr>
          <w:p w14:paraId="4240283F" w14:textId="77777777" w:rsidR="00D449D2" w:rsidRPr="00715516" w:rsidRDefault="00D449D2" w:rsidP="006B18FD">
            <w:pPr>
              <w:rPr>
                <w:rFonts w:ascii="Calibri" w:hAnsi="Calibri"/>
                <w:sz w:val="18"/>
                <w:szCs w:val="18"/>
              </w:rPr>
            </w:pPr>
          </w:p>
        </w:tc>
        <w:tc>
          <w:tcPr>
            <w:tcW w:w="1219" w:type="dxa"/>
            <w:tcBorders>
              <w:bottom w:val="single" w:sz="4" w:space="0" w:color="auto"/>
            </w:tcBorders>
            <w:shd w:val="clear" w:color="auto" w:fill="FFFFFF" w:themeFill="background1"/>
            <w:noWrap/>
          </w:tcPr>
          <w:p w14:paraId="3254CCA8" w14:textId="77777777" w:rsidR="00D449D2" w:rsidRPr="00715516" w:rsidRDefault="00D449D2" w:rsidP="006B18FD">
            <w:pPr>
              <w:rPr>
                <w:rFonts w:ascii="Calibri" w:hAnsi="Calibri"/>
                <w:sz w:val="18"/>
                <w:szCs w:val="18"/>
              </w:rPr>
            </w:pPr>
          </w:p>
        </w:tc>
        <w:tc>
          <w:tcPr>
            <w:tcW w:w="943" w:type="dxa"/>
            <w:tcBorders>
              <w:bottom w:val="single" w:sz="4" w:space="0" w:color="auto"/>
            </w:tcBorders>
            <w:shd w:val="clear" w:color="auto" w:fill="FFFFFF" w:themeFill="background1"/>
            <w:noWrap/>
          </w:tcPr>
          <w:p w14:paraId="7A3C25B7" w14:textId="77777777" w:rsidR="00D449D2" w:rsidRPr="00715516" w:rsidRDefault="00D449D2" w:rsidP="006B18FD">
            <w:pPr>
              <w:rPr>
                <w:rFonts w:ascii="Calibri" w:hAnsi="Calibri"/>
                <w:sz w:val="18"/>
                <w:szCs w:val="18"/>
              </w:rPr>
            </w:pPr>
          </w:p>
        </w:tc>
        <w:tc>
          <w:tcPr>
            <w:tcW w:w="4111" w:type="dxa"/>
            <w:gridSpan w:val="2"/>
            <w:tcBorders>
              <w:bottom w:val="single" w:sz="4" w:space="0" w:color="auto"/>
            </w:tcBorders>
            <w:shd w:val="clear" w:color="auto" w:fill="FFFFFF" w:themeFill="background1"/>
          </w:tcPr>
          <w:p w14:paraId="707FD1C4" w14:textId="77777777" w:rsidR="00D449D2" w:rsidRPr="00715516" w:rsidRDefault="00D449D2" w:rsidP="006B18FD">
            <w:pPr>
              <w:rPr>
                <w:rFonts w:ascii="Calibri" w:hAnsi="Calibri"/>
                <w:sz w:val="18"/>
                <w:szCs w:val="18"/>
              </w:rPr>
            </w:pPr>
          </w:p>
        </w:tc>
      </w:tr>
      <w:tr w:rsidR="00D449D2" w:rsidRPr="00E94C30" w14:paraId="0C07E8C8" w14:textId="77777777" w:rsidTr="006B18FD">
        <w:trPr>
          <w:cantSplit/>
          <w:trHeight w:val="490"/>
          <w:tblHeader/>
        </w:trPr>
        <w:tc>
          <w:tcPr>
            <w:tcW w:w="1750" w:type="dxa"/>
            <w:tcBorders>
              <w:top w:val="single" w:sz="4" w:space="0" w:color="auto"/>
              <w:left w:val="single" w:sz="4" w:space="0" w:color="auto"/>
              <w:right w:val="single" w:sz="4" w:space="0" w:color="auto"/>
            </w:tcBorders>
          </w:tcPr>
          <w:p w14:paraId="63B909BC" w14:textId="77777777" w:rsidR="00D449D2" w:rsidRPr="00715516" w:rsidRDefault="00D449D2" w:rsidP="006B18FD">
            <w:pPr>
              <w:rPr>
                <w:rFonts w:ascii="Calibri" w:hAnsi="Calibri"/>
                <w:b/>
                <w:bCs/>
                <w:sz w:val="18"/>
                <w:szCs w:val="18"/>
              </w:rPr>
            </w:pPr>
            <w:r w:rsidRPr="00715516">
              <w:rPr>
                <w:rFonts w:ascii="Calibri" w:hAnsi="Calibri"/>
                <w:b/>
                <w:bCs/>
                <w:sz w:val="18"/>
                <w:szCs w:val="18"/>
              </w:rPr>
              <w:t>Risk</w:t>
            </w:r>
          </w:p>
        </w:tc>
        <w:tc>
          <w:tcPr>
            <w:tcW w:w="1134" w:type="dxa"/>
            <w:tcBorders>
              <w:top w:val="single" w:sz="4" w:space="0" w:color="auto"/>
              <w:left w:val="single" w:sz="4" w:space="0" w:color="auto"/>
              <w:right w:val="single" w:sz="4" w:space="0" w:color="auto"/>
            </w:tcBorders>
            <w:noWrap/>
          </w:tcPr>
          <w:p w14:paraId="4CB757B9" w14:textId="77777777" w:rsidR="00D449D2" w:rsidRPr="00715516" w:rsidRDefault="00D449D2" w:rsidP="006B18FD">
            <w:pPr>
              <w:rPr>
                <w:rFonts w:ascii="Calibri" w:hAnsi="Calibri"/>
                <w:b/>
                <w:bCs/>
                <w:sz w:val="18"/>
                <w:szCs w:val="18"/>
              </w:rPr>
            </w:pPr>
            <w:r w:rsidRPr="00715516">
              <w:rPr>
                <w:rFonts w:ascii="Calibri" w:hAnsi="Calibri"/>
                <w:b/>
                <w:bCs/>
                <w:sz w:val="18"/>
                <w:szCs w:val="18"/>
              </w:rPr>
              <w:t>Likelihood</w:t>
            </w:r>
          </w:p>
          <w:p w14:paraId="30AD39A9" w14:textId="77777777" w:rsidR="00D449D2" w:rsidRPr="00715516" w:rsidRDefault="00D449D2" w:rsidP="006B18FD">
            <w:pPr>
              <w:rPr>
                <w:rFonts w:ascii="Calibri" w:hAnsi="Calibri"/>
                <w:b/>
                <w:bCs/>
                <w:sz w:val="18"/>
                <w:szCs w:val="18"/>
              </w:rPr>
            </w:pPr>
            <w:r w:rsidRPr="001441AB">
              <w:rPr>
                <w:rFonts w:ascii="Calibri" w:hAnsi="Calibri"/>
                <w:color w:val="000000"/>
                <w:sz w:val="18"/>
                <w:szCs w:val="18"/>
              </w:rPr>
              <w:t>a</w:t>
            </w:r>
          </w:p>
        </w:tc>
        <w:tc>
          <w:tcPr>
            <w:tcW w:w="1418" w:type="dxa"/>
            <w:gridSpan w:val="2"/>
            <w:tcBorders>
              <w:top w:val="single" w:sz="4" w:space="0" w:color="auto"/>
              <w:left w:val="single" w:sz="4" w:space="0" w:color="auto"/>
              <w:right w:val="single" w:sz="4" w:space="0" w:color="auto"/>
            </w:tcBorders>
            <w:noWrap/>
          </w:tcPr>
          <w:p w14:paraId="0089DFFD" w14:textId="77777777" w:rsidR="00D449D2" w:rsidRPr="00715516" w:rsidRDefault="00D449D2" w:rsidP="006B18FD">
            <w:pPr>
              <w:rPr>
                <w:rFonts w:ascii="Calibri" w:hAnsi="Calibri"/>
                <w:b/>
                <w:bCs/>
                <w:sz w:val="18"/>
                <w:szCs w:val="18"/>
              </w:rPr>
            </w:pPr>
            <w:r w:rsidRPr="00715516">
              <w:rPr>
                <w:rFonts w:ascii="Calibri" w:hAnsi="Calibri"/>
                <w:b/>
                <w:bCs/>
                <w:sz w:val="18"/>
                <w:szCs w:val="18"/>
              </w:rPr>
              <w:t>Consequences</w:t>
            </w:r>
          </w:p>
          <w:p w14:paraId="4462AD59" w14:textId="77777777" w:rsidR="00D449D2" w:rsidRPr="00715516" w:rsidRDefault="00D449D2" w:rsidP="006B18FD">
            <w:pPr>
              <w:rPr>
                <w:rFonts w:ascii="Calibri" w:hAnsi="Calibri"/>
                <w:b/>
                <w:bCs/>
                <w:sz w:val="18"/>
                <w:szCs w:val="18"/>
              </w:rPr>
            </w:pPr>
            <w:r>
              <w:rPr>
                <w:rFonts w:ascii="Calibri" w:hAnsi="Calibri"/>
                <w:color w:val="000000"/>
                <w:sz w:val="18"/>
                <w:szCs w:val="18"/>
              </w:rPr>
              <w:t>b</w:t>
            </w:r>
          </w:p>
        </w:tc>
        <w:tc>
          <w:tcPr>
            <w:tcW w:w="943" w:type="dxa"/>
            <w:tcBorders>
              <w:top w:val="single" w:sz="4" w:space="0" w:color="auto"/>
              <w:left w:val="single" w:sz="4" w:space="0" w:color="auto"/>
              <w:right w:val="single" w:sz="4" w:space="0" w:color="auto"/>
            </w:tcBorders>
            <w:noWrap/>
          </w:tcPr>
          <w:p w14:paraId="18A11144" w14:textId="77777777" w:rsidR="00D449D2" w:rsidRPr="00715516" w:rsidRDefault="00D449D2" w:rsidP="006B18FD">
            <w:pPr>
              <w:rPr>
                <w:rFonts w:ascii="Calibri" w:hAnsi="Calibri"/>
                <w:b/>
                <w:bCs/>
                <w:sz w:val="18"/>
                <w:szCs w:val="18"/>
              </w:rPr>
            </w:pPr>
            <w:r w:rsidRPr="00715516">
              <w:rPr>
                <w:rFonts w:ascii="Calibri" w:hAnsi="Calibri"/>
                <w:b/>
                <w:bCs/>
                <w:sz w:val="18"/>
                <w:szCs w:val="18"/>
              </w:rPr>
              <w:t>Rating</w:t>
            </w:r>
          </w:p>
          <w:p w14:paraId="76202C26" w14:textId="77777777" w:rsidR="00D449D2" w:rsidRPr="00715516" w:rsidRDefault="00D449D2" w:rsidP="006B18FD">
            <w:pPr>
              <w:rPr>
                <w:rFonts w:ascii="Calibri" w:hAnsi="Calibri"/>
                <w:b/>
                <w:bCs/>
                <w:sz w:val="18"/>
                <w:szCs w:val="18"/>
              </w:rPr>
            </w:pPr>
            <w:r>
              <w:rPr>
                <w:rFonts w:ascii="Calibri" w:hAnsi="Calibri"/>
                <w:color w:val="000000"/>
                <w:sz w:val="18"/>
                <w:szCs w:val="18"/>
              </w:rPr>
              <w:t xml:space="preserve">a </w:t>
            </w:r>
            <w:r w:rsidRPr="001441AB">
              <w:rPr>
                <w:rFonts w:ascii="Calibri" w:hAnsi="Calibri"/>
                <w:color w:val="000000"/>
                <w:sz w:val="18"/>
                <w:szCs w:val="18"/>
              </w:rPr>
              <w:t>x</w:t>
            </w:r>
            <w:r>
              <w:rPr>
                <w:rFonts w:ascii="Calibri" w:hAnsi="Calibri"/>
                <w:color w:val="000000"/>
                <w:sz w:val="18"/>
                <w:szCs w:val="18"/>
              </w:rPr>
              <w:t xml:space="preserve"> </w:t>
            </w:r>
            <w:r w:rsidRPr="001441AB">
              <w:rPr>
                <w:rFonts w:ascii="Calibri" w:hAnsi="Calibri"/>
                <w:color w:val="000000"/>
                <w:sz w:val="18"/>
                <w:szCs w:val="18"/>
              </w:rPr>
              <w:t>b</w:t>
            </w:r>
          </w:p>
        </w:tc>
        <w:tc>
          <w:tcPr>
            <w:tcW w:w="4111" w:type="dxa"/>
            <w:gridSpan w:val="2"/>
            <w:tcBorders>
              <w:top w:val="single" w:sz="4" w:space="0" w:color="auto"/>
              <w:left w:val="single" w:sz="4" w:space="0" w:color="auto"/>
              <w:right w:val="single" w:sz="4" w:space="0" w:color="auto"/>
            </w:tcBorders>
          </w:tcPr>
          <w:p w14:paraId="4B4AB4D3" w14:textId="77777777" w:rsidR="00D449D2" w:rsidRPr="00715516" w:rsidRDefault="00D449D2" w:rsidP="006B18FD">
            <w:pPr>
              <w:rPr>
                <w:rFonts w:ascii="Calibri" w:hAnsi="Calibri"/>
                <w:b/>
                <w:bCs/>
                <w:sz w:val="18"/>
                <w:szCs w:val="18"/>
              </w:rPr>
            </w:pPr>
            <w:r w:rsidRPr="00715516">
              <w:rPr>
                <w:rFonts w:ascii="Calibri" w:hAnsi="Calibri"/>
                <w:b/>
                <w:bCs/>
                <w:sz w:val="18"/>
                <w:szCs w:val="18"/>
              </w:rPr>
              <w:t>Mitigation</w:t>
            </w:r>
          </w:p>
        </w:tc>
      </w:tr>
      <w:tr w:rsidR="00D449D2" w:rsidRPr="00E94C30" w14:paraId="32E787E0" w14:textId="77777777" w:rsidTr="006B18FD">
        <w:trPr>
          <w:trHeight w:val="240"/>
        </w:trPr>
        <w:tc>
          <w:tcPr>
            <w:tcW w:w="9356"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7A0A3D" w14:textId="77777777" w:rsidR="00D449D2" w:rsidRPr="00715516" w:rsidRDefault="00D449D2" w:rsidP="006B18FD">
            <w:pPr>
              <w:rPr>
                <w:rFonts w:ascii="Calibri" w:hAnsi="Calibri"/>
                <w:sz w:val="18"/>
                <w:szCs w:val="18"/>
              </w:rPr>
            </w:pPr>
            <w:r>
              <w:rPr>
                <w:rFonts w:ascii="Calibri" w:hAnsi="Calibri"/>
                <w:b/>
                <w:bCs/>
                <w:sz w:val="18"/>
                <w:szCs w:val="18"/>
              </w:rPr>
              <w:t>Political</w:t>
            </w:r>
          </w:p>
        </w:tc>
      </w:tr>
      <w:tr w:rsidR="00D449D2" w:rsidRPr="00E94C30" w14:paraId="121263F1" w14:textId="77777777" w:rsidTr="006B18FD">
        <w:trPr>
          <w:trHeight w:val="828"/>
        </w:trPr>
        <w:tc>
          <w:tcPr>
            <w:tcW w:w="1750" w:type="dxa"/>
            <w:tcBorders>
              <w:top w:val="single" w:sz="4" w:space="0" w:color="auto"/>
              <w:left w:val="single" w:sz="4" w:space="0" w:color="auto"/>
              <w:bottom w:val="single" w:sz="4" w:space="0" w:color="auto"/>
            </w:tcBorders>
          </w:tcPr>
          <w:p w14:paraId="77545B50" w14:textId="77777777" w:rsidR="00D449D2" w:rsidRPr="000A4F11" w:rsidRDefault="00D449D2" w:rsidP="006B18FD">
            <w:pPr>
              <w:rPr>
                <w:rFonts w:ascii="Calibri" w:hAnsi="Calibri"/>
                <w:bCs/>
                <w:sz w:val="18"/>
                <w:szCs w:val="18"/>
              </w:rPr>
            </w:pPr>
            <w:r>
              <w:rPr>
                <w:rFonts w:ascii="Calibri" w:hAnsi="Calibri"/>
                <w:bCs/>
                <w:sz w:val="18"/>
                <w:szCs w:val="18"/>
              </w:rPr>
              <w:t>Lack of support or opposition to the project from Care Homes</w:t>
            </w:r>
          </w:p>
        </w:tc>
        <w:tc>
          <w:tcPr>
            <w:tcW w:w="1134" w:type="dxa"/>
            <w:tcBorders>
              <w:top w:val="single" w:sz="4" w:space="0" w:color="auto"/>
              <w:bottom w:val="single" w:sz="4" w:space="0" w:color="auto"/>
            </w:tcBorders>
            <w:noWrap/>
          </w:tcPr>
          <w:p w14:paraId="7A3FFC14" w14:textId="77777777" w:rsidR="00D449D2" w:rsidRDefault="00D449D2" w:rsidP="006B18FD">
            <w:pPr>
              <w:rPr>
                <w:rFonts w:ascii="Calibri" w:hAnsi="Calibri"/>
                <w:sz w:val="18"/>
                <w:szCs w:val="18"/>
              </w:rPr>
            </w:pPr>
            <w:r>
              <w:rPr>
                <w:rFonts w:ascii="Calibri" w:hAnsi="Calibri"/>
                <w:sz w:val="18"/>
                <w:szCs w:val="18"/>
              </w:rPr>
              <w:t>1</w:t>
            </w:r>
          </w:p>
          <w:p w14:paraId="03B67A63" w14:textId="77777777" w:rsidR="00D449D2" w:rsidRDefault="00D449D2" w:rsidP="006B18FD">
            <w:pPr>
              <w:rPr>
                <w:rFonts w:ascii="Calibri" w:hAnsi="Calibri"/>
                <w:sz w:val="18"/>
                <w:szCs w:val="18"/>
              </w:rPr>
            </w:pPr>
          </w:p>
          <w:p w14:paraId="0A81E9D5" w14:textId="77777777" w:rsidR="00D449D2" w:rsidRPr="00715516" w:rsidRDefault="00D449D2" w:rsidP="006B18FD">
            <w:pPr>
              <w:rPr>
                <w:rFonts w:ascii="Calibri" w:hAnsi="Calibri"/>
                <w:sz w:val="18"/>
                <w:szCs w:val="18"/>
              </w:rPr>
            </w:pPr>
          </w:p>
        </w:tc>
        <w:tc>
          <w:tcPr>
            <w:tcW w:w="1418" w:type="dxa"/>
            <w:gridSpan w:val="2"/>
            <w:tcBorders>
              <w:top w:val="single" w:sz="4" w:space="0" w:color="auto"/>
              <w:bottom w:val="single" w:sz="4" w:space="0" w:color="auto"/>
            </w:tcBorders>
            <w:noWrap/>
          </w:tcPr>
          <w:p w14:paraId="34F436E5" w14:textId="77777777" w:rsidR="00D449D2" w:rsidRDefault="00D449D2" w:rsidP="006B18FD">
            <w:pPr>
              <w:rPr>
                <w:rFonts w:ascii="Calibri" w:hAnsi="Calibri"/>
                <w:sz w:val="18"/>
                <w:szCs w:val="18"/>
              </w:rPr>
            </w:pPr>
            <w:r>
              <w:rPr>
                <w:rFonts w:ascii="Calibri" w:hAnsi="Calibri"/>
                <w:sz w:val="18"/>
                <w:szCs w:val="18"/>
              </w:rPr>
              <w:t>4</w:t>
            </w:r>
          </w:p>
          <w:p w14:paraId="17EAB09B" w14:textId="77777777" w:rsidR="00D449D2" w:rsidRDefault="00D449D2" w:rsidP="006B18FD">
            <w:pPr>
              <w:rPr>
                <w:rFonts w:ascii="Calibri" w:hAnsi="Calibri"/>
                <w:sz w:val="18"/>
                <w:szCs w:val="18"/>
              </w:rPr>
            </w:pPr>
          </w:p>
          <w:p w14:paraId="2185F3BE" w14:textId="77777777" w:rsidR="00D449D2" w:rsidRPr="00715516" w:rsidRDefault="00D449D2" w:rsidP="006B18FD">
            <w:pPr>
              <w:rPr>
                <w:rFonts w:ascii="Calibri" w:hAnsi="Calibri"/>
                <w:sz w:val="18"/>
                <w:szCs w:val="18"/>
              </w:rPr>
            </w:pPr>
          </w:p>
        </w:tc>
        <w:tc>
          <w:tcPr>
            <w:tcW w:w="943" w:type="dxa"/>
            <w:tcBorders>
              <w:top w:val="single" w:sz="4" w:space="0" w:color="auto"/>
              <w:bottom w:val="single" w:sz="4" w:space="0" w:color="auto"/>
            </w:tcBorders>
            <w:shd w:val="clear" w:color="auto" w:fill="00B050"/>
            <w:noWrap/>
          </w:tcPr>
          <w:p w14:paraId="2AE473CD" w14:textId="77777777" w:rsidR="00D449D2" w:rsidRPr="00715516" w:rsidRDefault="00D449D2" w:rsidP="006B18FD">
            <w:pPr>
              <w:rPr>
                <w:rFonts w:ascii="Calibri" w:hAnsi="Calibri"/>
                <w:sz w:val="18"/>
                <w:szCs w:val="18"/>
              </w:rPr>
            </w:pPr>
            <w:r>
              <w:rPr>
                <w:rFonts w:ascii="Calibri" w:hAnsi="Calibri"/>
                <w:sz w:val="18"/>
                <w:szCs w:val="18"/>
              </w:rPr>
              <w:t>4</w:t>
            </w:r>
          </w:p>
        </w:tc>
        <w:tc>
          <w:tcPr>
            <w:tcW w:w="4111" w:type="dxa"/>
            <w:gridSpan w:val="2"/>
            <w:tcBorders>
              <w:top w:val="single" w:sz="4" w:space="0" w:color="auto"/>
              <w:bottom w:val="single" w:sz="4" w:space="0" w:color="auto"/>
              <w:right w:val="single" w:sz="4" w:space="0" w:color="auto"/>
            </w:tcBorders>
          </w:tcPr>
          <w:p w14:paraId="193B46A8" w14:textId="77777777" w:rsidR="00D449D2" w:rsidRPr="00715516" w:rsidRDefault="00D449D2" w:rsidP="006B18FD">
            <w:pPr>
              <w:rPr>
                <w:rFonts w:ascii="Calibri" w:hAnsi="Calibri"/>
                <w:sz w:val="18"/>
                <w:szCs w:val="18"/>
              </w:rPr>
            </w:pPr>
            <w:r>
              <w:rPr>
                <w:rFonts w:ascii="Calibri" w:hAnsi="Calibri"/>
                <w:sz w:val="18"/>
                <w:szCs w:val="18"/>
              </w:rPr>
              <w:t>The premise of the Challenge is unlikely to be contentious. Senior management of the different stakeholders will be fully involved in the project and will be represented on the project team and Board.</w:t>
            </w:r>
          </w:p>
        </w:tc>
      </w:tr>
      <w:tr w:rsidR="00D449D2" w:rsidRPr="00E94C30" w14:paraId="3221DEFD" w14:textId="77777777" w:rsidTr="006B18FD">
        <w:trPr>
          <w:trHeight w:val="468"/>
        </w:trPr>
        <w:tc>
          <w:tcPr>
            <w:tcW w:w="1750" w:type="dxa"/>
            <w:tcBorders>
              <w:top w:val="single" w:sz="4" w:space="0" w:color="auto"/>
              <w:left w:val="single" w:sz="4" w:space="0" w:color="auto"/>
              <w:bottom w:val="single" w:sz="4" w:space="0" w:color="auto"/>
            </w:tcBorders>
          </w:tcPr>
          <w:p w14:paraId="6690BDE9" w14:textId="77777777" w:rsidR="00D449D2" w:rsidRDefault="00D449D2" w:rsidP="006B18FD">
            <w:pPr>
              <w:rPr>
                <w:rFonts w:ascii="Calibri" w:hAnsi="Calibri"/>
                <w:bCs/>
                <w:sz w:val="18"/>
                <w:szCs w:val="18"/>
              </w:rPr>
            </w:pPr>
            <w:r>
              <w:rPr>
                <w:rFonts w:ascii="Calibri" w:hAnsi="Calibri"/>
                <w:bCs/>
                <w:sz w:val="18"/>
                <w:szCs w:val="18"/>
              </w:rPr>
              <w:lastRenderedPageBreak/>
              <w:t>Change in government priorities over the lifetime of the project</w:t>
            </w:r>
          </w:p>
        </w:tc>
        <w:tc>
          <w:tcPr>
            <w:tcW w:w="1134" w:type="dxa"/>
            <w:tcBorders>
              <w:top w:val="single" w:sz="4" w:space="0" w:color="auto"/>
              <w:bottom w:val="single" w:sz="4" w:space="0" w:color="auto"/>
            </w:tcBorders>
            <w:noWrap/>
          </w:tcPr>
          <w:p w14:paraId="59D277AC" w14:textId="77777777" w:rsidR="00D449D2" w:rsidRDefault="00D449D2" w:rsidP="006B18FD">
            <w:pPr>
              <w:rPr>
                <w:rFonts w:ascii="Calibri" w:hAnsi="Calibri"/>
                <w:sz w:val="18"/>
                <w:szCs w:val="18"/>
              </w:rPr>
            </w:pPr>
            <w:r>
              <w:rPr>
                <w:rFonts w:ascii="Calibri" w:hAnsi="Calibri"/>
                <w:sz w:val="18"/>
                <w:szCs w:val="18"/>
              </w:rPr>
              <w:t>1</w:t>
            </w:r>
          </w:p>
        </w:tc>
        <w:tc>
          <w:tcPr>
            <w:tcW w:w="1418" w:type="dxa"/>
            <w:gridSpan w:val="2"/>
            <w:tcBorders>
              <w:top w:val="single" w:sz="4" w:space="0" w:color="auto"/>
              <w:bottom w:val="single" w:sz="4" w:space="0" w:color="auto"/>
            </w:tcBorders>
            <w:noWrap/>
          </w:tcPr>
          <w:p w14:paraId="7A45EE21" w14:textId="77777777" w:rsidR="00D449D2" w:rsidRDefault="00D449D2" w:rsidP="006B18FD">
            <w:pPr>
              <w:rPr>
                <w:rFonts w:ascii="Calibri" w:hAnsi="Calibri"/>
                <w:sz w:val="18"/>
                <w:szCs w:val="18"/>
              </w:rPr>
            </w:pPr>
            <w:r>
              <w:rPr>
                <w:rFonts w:ascii="Calibri" w:hAnsi="Calibri"/>
                <w:sz w:val="18"/>
                <w:szCs w:val="18"/>
              </w:rPr>
              <w:t>5</w:t>
            </w:r>
          </w:p>
        </w:tc>
        <w:tc>
          <w:tcPr>
            <w:tcW w:w="943" w:type="dxa"/>
            <w:tcBorders>
              <w:top w:val="single" w:sz="4" w:space="0" w:color="auto"/>
              <w:bottom w:val="single" w:sz="4" w:space="0" w:color="auto"/>
            </w:tcBorders>
            <w:shd w:val="clear" w:color="auto" w:fill="FFFF00"/>
            <w:noWrap/>
          </w:tcPr>
          <w:p w14:paraId="67CD505C" w14:textId="77777777" w:rsidR="00D449D2" w:rsidRDefault="00D449D2" w:rsidP="006B18FD">
            <w:pPr>
              <w:rPr>
                <w:rFonts w:ascii="Calibri" w:hAnsi="Calibri"/>
                <w:sz w:val="18"/>
                <w:szCs w:val="18"/>
              </w:rPr>
            </w:pPr>
            <w:r>
              <w:rPr>
                <w:rFonts w:ascii="Calibri" w:hAnsi="Calibri"/>
                <w:sz w:val="18"/>
                <w:szCs w:val="18"/>
              </w:rPr>
              <w:t>5</w:t>
            </w:r>
          </w:p>
        </w:tc>
        <w:tc>
          <w:tcPr>
            <w:tcW w:w="4111" w:type="dxa"/>
            <w:gridSpan w:val="2"/>
            <w:tcBorders>
              <w:top w:val="single" w:sz="4" w:space="0" w:color="auto"/>
              <w:bottom w:val="single" w:sz="4" w:space="0" w:color="auto"/>
              <w:right w:val="single" w:sz="4" w:space="0" w:color="auto"/>
            </w:tcBorders>
          </w:tcPr>
          <w:p w14:paraId="4A90DAAC" w14:textId="77777777" w:rsidR="00D449D2" w:rsidRDefault="00D449D2" w:rsidP="006B18FD">
            <w:pPr>
              <w:rPr>
                <w:rFonts w:ascii="Calibri" w:hAnsi="Calibri"/>
                <w:sz w:val="18"/>
                <w:szCs w:val="18"/>
              </w:rPr>
            </w:pPr>
            <w:r>
              <w:rPr>
                <w:rFonts w:ascii="Calibri" w:hAnsi="Calibri"/>
                <w:sz w:val="18"/>
                <w:szCs w:val="18"/>
              </w:rPr>
              <w:t xml:space="preserve">The priorities this project aligns with is unlikely to change throughout the duration of the project. </w:t>
            </w:r>
          </w:p>
        </w:tc>
      </w:tr>
      <w:tr w:rsidR="00D449D2" w:rsidRPr="00E94C30" w14:paraId="0212DE91" w14:textId="77777777" w:rsidTr="006B18FD">
        <w:trPr>
          <w:trHeight w:val="240"/>
        </w:trPr>
        <w:tc>
          <w:tcPr>
            <w:tcW w:w="9356"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7455F8" w14:textId="77777777" w:rsidR="00D449D2" w:rsidRPr="00715516" w:rsidRDefault="00D449D2" w:rsidP="006B18FD">
            <w:pPr>
              <w:rPr>
                <w:rFonts w:ascii="Calibri" w:hAnsi="Calibri"/>
                <w:sz w:val="18"/>
                <w:szCs w:val="18"/>
              </w:rPr>
            </w:pPr>
            <w:r>
              <w:rPr>
                <w:rFonts w:ascii="Calibri" w:hAnsi="Calibri"/>
                <w:b/>
                <w:bCs/>
                <w:sz w:val="18"/>
                <w:szCs w:val="18"/>
              </w:rPr>
              <w:t xml:space="preserve">Financial </w:t>
            </w:r>
          </w:p>
        </w:tc>
      </w:tr>
      <w:tr w:rsidR="00D449D2" w:rsidRPr="00E94C30" w14:paraId="347BD494" w14:textId="77777777" w:rsidTr="006B18FD">
        <w:trPr>
          <w:trHeight w:val="1169"/>
        </w:trPr>
        <w:tc>
          <w:tcPr>
            <w:tcW w:w="1750" w:type="dxa"/>
            <w:tcBorders>
              <w:top w:val="single" w:sz="4" w:space="0" w:color="auto"/>
              <w:left w:val="single" w:sz="4" w:space="0" w:color="auto"/>
              <w:bottom w:val="single" w:sz="4" w:space="0" w:color="auto"/>
              <w:right w:val="nil"/>
            </w:tcBorders>
          </w:tcPr>
          <w:p w14:paraId="28F1217E" w14:textId="77777777" w:rsidR="00D449D2" w:rsidRPr="00715516" w:rsidRDefault="00D449D2" w:rsidP="006B18FD">
            <w:pPr>
              <w:rPr>
                <w:rFonts w:ascii="Calibri" w:hAnsi="Calibri"/>
                <w:sz w:val="18"/>
                <w:szCs w:val="18"/>
              </w:rPr>
            </w:pPr>
            <w:r w:rsidRPr="00715516">
              <w:rPr>
                <w:rFonts w:ascii="Calibri" w:hAnsi="Calibri"/>
                <w:sz w:val="18"/>
                <w:szCs w:val="18"/>
              </w:rPr>
              <w:t>Fa</w:t>
            </w:r>
            <w:r>
              <w:rPr>
                <w:rFonts w:ascii="Calibri" w:hAnsi="Calibri"/>
                <w:sz w:val="18"/>
                <w:szCs w:val="18"/>
              </w:rPr>
              <w:t xml:space="preserve">ilure to deliver project within designated/ budgeted allocated time </w:t>
            </w:r>
          </w:p>
        </w:tc>
        <w:tc>
          <w:tcPr>
            <w:tcW w:w="1134" w:type="dxa"/>
            <w:tcBorders>
              <w:top w:val="single" w:sz="4" w:space="0" w:color="auto"/>
              <w:left w:val="nil"/>
              <w:bottom w:val="single" w:sz="4" w:space="0" w:color="auto"/>
              <w:right w:val="nil"/>
            </w:tcBorders>
            <w:noWrap/>
          </w:tcPr>
          <w:p w14:paraId="459E96D2" w14:textId="77777777" w:rsidR="00D449D2" w:rsidRPr="00715516" w:rsidRDefault="00D449D2" w:rsidP="006B18FD">
            <w:pPr>
              <w:rPr>
                <w:rFonts w:ascii="Calibri" w:hAnsi="Calibri"/>
                <w:sz w:val="18"/>
                <w:szCs w:val="18"/>
              </w:rPr>
            </w:pPr>
            <w:r>
              <w:rPr>
                <w:rFonts w:ascii="Calibri" w:hAnsi="Calibri"/>
                <w:sz w:val="18"/>
                <w:szCs w:val="18"/>
              </w:rPr>
              <w:t>1</w:t>
            </w:r>
          </w:p>
        </w:tc>
        <w:tc>
          <w:tcPr>
            <w:tcW w:w="1418" w:type="dxa"/>
            <w:gridSpan w:val="2"/>
            <w:tcBorders>
              <w:top w:val="single" w:sz="4" w:space="0" w:color="auto"/>
              <w:left w:val="nil"/>
              <w:bottom w:val="single" w:sz="4" w:space="0" w:color="auto"/>
              <w:right w:val="nil"/>
            </w:tcBorders>
            <w:noWrap/>
          </w:tcPr>
          <w:p w14:paraId="700CE209" w14:textId="77777777" w:rsidR="00D449D2" w:rsidRPr="00715516" w:rsidRDefault="00D449D2" w:rsidP="006B18FD">
            <w:pPr>
              <w:rPr>
                <w:rFonts w:ascii="Calibri" w:hAnsi="Calibri"/>
                <w:sz w:val="18"/>
                <w:szCs w:val="18"/>
              </w:rPr>
            </w:pPr>
            <w:r>
              <w:rPr>
                <w:rFonts w:ascii="Calibri" w:hAnsi="Calibri"/>
                <w:sz w:val="18"/>
                <w:szCs w:val="18"/>
              </w:rPr>
              <w:t>4</w:t>
            </w:r>
          </w:p>
        </w:tc>
        <w:tc>
          <w:tcPr>
            <w:tcW w:w="943" w:type="dxa"/>
            <w:tcBorders>
              <w:top w:val="single" w:sz="4" w:space="0" w:color="auto"/>
              <w:left w:val="nil"/>
              <w:bottom w:val="single" w:sz="4" w:space="0" w:color="auto"/>
              <w:right w:val="nil"/>
            </w:tcBorders>
            <w:shd w:val="clear" w:color="auto" w:fill="00B050"/>
            <w:noWrap/>
          </w:tcPr>
          <w:p w14:paraId="394854C1" w14:textId="77777777" w:rsidR="00D449D2" w:rsidRPr="00715516" w:rsidRDefault="00D449D2" w:rsidP="006B18FD">
            <w:pPr>
              <w:rPr>
                <w:rFonts w:ascii="Calibri" w:hAnsi="Calibri"/>
                <w:sz w:val="18"/>
                <w:szCs w:val="18"/>
              </w:rPr>
            </w:pPr>
            <w:r>
              <w:rPr>
                <w:rFonts w:ascii="Calibri" w:hAnsi="Calibri"/>
                <w:sz w:val="18"/>
                <w:szCs w:val="18"/>
              </w:rPr>
              <w:t>4</w:t>
            </w:r>
          </w:p>
        </w:tc>
        <w:tc>
          <w:tcPr>
            <w:tcW w:w="4111" w:type="dxa"/>
            <w:gridSpan w:val="2"/>
            <w:tcBorders>
              <w:top w:val="single" w:sz="4" w:space="0" w:color="auto"/>
              <w:left w:val="nil"/>
              <w:bottom w:val="single" w:sz="4" w:space="0" w:color="auto"/>
              <w:right w:val="single" w:sz="4" w:space="0" w:color="auto"/>
            </w:tcBorders>
          </w:tcPr>
          <w:p w14:paraId="26E82FBB" w14:textId="77777777" w:rsidR="00D449D2" w:rsidRPr="00715516" w:rsidRDefault="00D449D2" w:rsidP="006B18FD">
            <w:pPr>
              <w:rPr>
                <w:rFonts w:ascii="Calibri" w:hAnsi="Calibri"/>
                <w:sz w:val="18"/>
                <w:szCs w:val="18"/>
              </w:rPr>
            </w:pPr>
            <w:r w:rsidRPr="00FD5155">
              <w:rPr>
                <w:rFonts w:ascii="Calibri" w:hAnsi="Calibri"/>
                <w:sz w:val="18"/>
                <w:szCs w:val="18"/>
              </w:rPr>
              <w:t xml:space="preserve">The project team will </w:t>
            </w:r>
            <w:r>
              <w:rPr>
                <w:rFonts w:ascii="Calibri" w:hAnsi="Calibri"/>
                <w:sz w:val="18"/>
                <w:szCs w:val="18"/>
              </w:rPr>
              <w:t xml:space="preserve">follow routine procedures and use </w:t>
            </w:r>
            <w:proofErr w:type="gramStart"/>
            <w:r>
              <w:rPr>
                <w:rFonts w:ascii="Calibri" w:hAnsi="Calibri"/>
                <w:sz w:val="18"/>
                <w:szCs w:val="18"/>
              </w:rPr>
              <w:t>past experience</w:t>
            </w:r>
            <w:proofErr w:type="gramEnd"/>
            <w:r>
              <w:rPr>
                <w:rFonts w:ascii="Calibri" w:hAnsi="Calibri"/>
                <w:sz w:val="18"/>
                <w:szCs w:val="18"/>
              </w:rPr>
              <w:t xml:space="preserve"> to deliver </w:t>
            </w:r>
            <w:r w:rsidRPr="00FD5155">
              <w:rPr>
                <w:rFonts w:ascii="Calibri" w:hAnsi="Calibri"/>
                <w:sz w:val="18"/>
                <w:szCs w:val="18"/>
              </w:rPr>
              <w:t xml:space="preserve">on all project elements within the cost envelope for the project. </w:t>
            </w:r>
            <w:r>
              <w:rPr>
                <w:rFonts w:ascii="Calibri" w:hAnsi="Calibri"/>
                <w:sz w:val="18"/>
                <w:szCs w:val="18"/>
              </w:rPr>
              <w:t>The project manager will oversee the timescale and will report to the project board to ensure the project remains on budget.</w:t>
            </w:r>
          </w:p>
        </w:tc>
      </w:tr>
      <w:tr w:rsidR="00D449D2" w:rsidRPr="00E94C30" w14:paraId="16A8893B" w14:textId="77777777" w:rsidTr="006B18FD">
        <w:trPr>
          <w:trHeight w:val="240"/>
        </w:trPr>
        <w:tc>
          <w:tcPr>
            <w:tcW w:w="1750" w:type="dxa"/>
            <w:tcBorders>
              <w:top w:val="single" w:sz="4" w:space="0" w:color="auto"/>
              <w:left w:val="single" w:sz="4" w:space="0" w:color="auto"/>
              <w:bottom w:val="single" w:sz="4" w:space="0" w:color="auto"/>
              <w:right w:val="nil"/>
            </w:tcBorders>
          </w:tcPr>
          <w:p w14:paraId="0D96FBB9" w14:textId="77777777" w:rsidR="00D449D2" w:rsidRPr="00715516" w:rsidRDefault="00D449D2" w:rsidP="006B18FD">
            <w:pPr>
              <w:rPr>
                <w:rFonts w:ascii="Calibri" w:hAnsi="Calibri"/>
                <w:sz w:val="18"/>
                <w:szCs w:val="18"/>
              </w:rPr>
            </w:pPr>
            <w:r>
              <w:rPr>
                <w:rFonts w:ascii="Calibri" w:hAnsi="Calibri"/>
                <w:sz w:val="18"/>
                <w:szCs w:val="18"/>
              </w:rPr>
              <w:t xml:space="preserve">External market forces which may restrict the potential to commercialise the solution </w:t>
            </w:r>
          </w:p>
        </w:tc>
        <w:tc>
          <w:tcPr>
            <w:tcW w:w="1134" w:type="dxa"/>
            <w:tcBorders>
              <w:top w:val="single" w:sz="4" w:space="0" w:color="auto"/>
              <w:left w:val="nil"/>
              <w:bottom w:val="single" w:sz="4" w:space="0" w:color="auto"/>
              <w:right w:val="nil"/>
            </w:tcBorders>
            <w:noWrap/>
          </w:tcPr>
          <w:p w14:paraId="7443A665" w14:textId="77777777" w:rsidR="00D449D2" w:rsidRDefault="00D449D2" w:rsidP="006B18FD">
            <w:pPr>
              <w:rPr>
                <w:rFonts w:ascii="Calibri" w:hAnsi="Calibri"/>
                <w:sz w:val="18"/>
                <w:szCs w:val="18"/>
              </w:rPr>
            </w:pPr>
            <w:r>
              <w:rPr>
                <w:rFonts w:ascii="Calibri" w:hAnsi="Calibri"/>
                <w:sz w:val="18"/>
                <w:szCs w:val="18"/>
              </w:rPr>
              <w:t>1</w:t>
            </w:r>
          </w:p>
        </w:tc>
        <w:tc>
          <w:tcPr>
            <w:tcW w:w="1418" w:type="dxa"/>
            <w:gridSpan w:val="2"/>
            <w:tcBorders>
              <w:top w:val="single" w:sz="4" w:space="0" w:color="auto"/>
              <w:left w:val="nil"/>
              <w:bottom w:val="single" w:sz="4" w:space="0" w:color="auto"/>
              <w:right w:val="nil"/>
            </w:tcBorders>
            <w:noWrap/>
          </w:tcPr>
          <w:p w14:paraId="625367C0" w14:textId="77777777" w:rsidR="00D449D2" w:rsidRDefault="00D449D2" w:rsidP="006B18FD">
            <w:pPr>
              <w:rPr>
                <w:rFonts w:ascii="Calibri" w:hAnsi="Calibri"/>
                <w:sz w:val="18"/>
                <w:szCs w:val="18"/>
              </w:rPr>
            </w:pPr>
            <w:r>
              <w:rPr>
                <w:rFonts w:ascii="Calibri" w:hAnsi="Calibri"/>
                <w:sz w:val="18"/>
                <w:szCs w:val="18"/>
              </w:rPr>
              <w:t>5</w:t>
            </w:r>
          </w:p>
        </w:tc>
        <w:tc>
          <w:tcPr>
            <w:tcW w:w="943" w:type="dxa"/>
            <w:tcBorders>
              <w:top w:val="single" w:sz="4" w:space="0" w:color="auto"/>
              <w:left w:val="nil"/>
              <w:bottom w:val="single" w:sz="4" w:space="0" w:color="auto"/>
              <w:right w:val="nil"/>
            </w:tcBorders>
            <w:shd w:val="clear" w:color="auto" w:fill="FFFF00"/>
            <w:noWrap/>
          </w:tcPr>
          <w:p w14:paraId="34C022B8" w14:textId="77777777" w:rsidR="00D449D2" w:rsidRDefault="00D449D2" w:rsidP="006B18FD">
            <w:pPr>
              <w:rPr>
                <w:rFonts w:ascii="Calibri" w:hAnsi="Calibri"/>
                <w:sz w:val="18"/>
                <w:szCs w:val="18"/>
              </w:rPr>
            </w:pPr>
            <w:r>
              <w:rPr>
                <w:rFonts w:ascii="Calibri" w:hAnsi="Calibri"/>
                <w:sz w:val="18"/>
                <w:szCs w:val="18"/>
              </w:rPr>
              <w:t>5</w:t>
            </w:r>
          </w:p>
        </w:tc>
        <w:tc>
          <w:tcPr>
            <w:tcW w:w="4111" w:type="dxa"/>
            <w:gridSpan w:val="2"/>
            <w:tcBorders>
              <w:top w:val="single" w:sz="4" w:space="0" w:color="auto"/>
              <w:left w:val="nil"/>
              <w:bottom w:val="single" w:sz="4" w:space="0" w:color="auto"/>
              <w:right w:val="single" w:sz="4" w:space="0" w:color="auto"/>
            </w:tcBorders>
          </w:tcPr>
          <w:p w14:paraId="4A00AAE2" w14:textId="77777777" w:rsidR="00D449D2" w:rsidRDefault="00D449D2" w:rsidP="006B18FD">
            <w:pPr>
              <w:rPr>
                <w:rFonts w:ascii="Calibri" w:hAnsi="Calibri"/>
                <w:sz w:val="18"/>
                <w:szCs w:val="18"/>
              </w:rPr>
            </w:pPr>
            <w:r>
              <w:rPr>
                <w:rFonts w:ascii="Calibri" w:hAnsi="Calibri"/>
                <w:sz w:val="18"/>
                <w:szCs w:val="18"/>
              </w:rPr>
              <w:t xml:space="preserve">The project team will work closely with professionals to ensure that the companies are </w:t>
            </w:r>
            <w:proofErr w:type="gramStart"/>
            <w:r>
              <w:rPr>
                <w:rFonts w:ascii="Calibri" w:hAnsi="Calibri"/>
                <w:sz w:val="18"/>
                <w:szCs w:val="18"/>
              </w:rPr>
              <w:t>taking into account</w:t>
            </w:r>
            <w:proofErr w:type="gramEnd"/>
            <w:r>
              <w:rPr>
                <w:rFonts w:ascii="Calibri" w:hAnsi="Calibri"/>
                <w:sz w:val="18"/>
                <w:szCs w:val="18"/>
              </w:rPr>
              <w:t xml:space="preserve"> changes in markets. The project team will also work with Welsh Government advisors to ensure the solution aligns with any changes in the market. </w:t>
            </w:r>
          </w:p>
        </w:tc>
      </w:tr>
      <w:tr w:rsidR="00D449D2" w:rsidRPr="00E94C30" w14:paraId="120E99CB" w14:textId="77777777" w:rsidTr="006B18FD">
        <w:trPr>
          <w:trHeight w:val="240"/>
        </w:trPr>
        <w:tc>
          <w:tcPr>
            <w:tcW w:w="9356"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A549D7" w14:textId="77777777" w:rsidR="00D449D2" w:rsidRPr="00715516" w:rsidRDefault="00D449D2" w:rsidP="006B18FD">
            <w:pPr>
              <w:rPr>
                <w:rFonts w:ascii="Calibri" w:hAnsi="Calibri"/>
                <w:sz w:val="18"/>
                <w:szCs w:val="18"/>
              </w:rPr>
            </w:pPr>
            <w:r>
              <w:rPr>
                <w:rFonts w:ascii="Calibri" w:hAnsi="Calibri"/>
                <w:b/>
                <w:bCs/>
                <w:sz w:val="18"/>
                <w:szCs w:val="18"/>
              </w:rPr>
              <w:t>Social</w:t>
            </w:r>
          </w:p>
        </w:tc>
      </w:tr>
      <w:tr w:rsidR="00D449D2" w:rsidRPr="00E94C30" w14:paraId="3BA388BE" w14:textId="77777777" w:rsidTr="006B18FD">
        <w:trPr>
          <w:trHeight w:val="1521"/>
        </w:trPr>
        <w:tc>
          <w:tcPr>
            <w:tcW w:w="1750" w:type="dxa"/>
            <w:tcBorders>
              <w:top w:val="single" w:sz="4" w:space="0" w:color="auto"/>
              <w:left w:val="single" w:sz="4" w:space="0" w:color="auto"/>
              <w:bottom w:val="single" w:sz="4" w:space="0" w:color="auto"/>
              <w:right w:val="nil"/>
            </w:tcBorders>
          </w:tcPr>
          <w:p w14:paraId="552ECEAC" w14:textId="77777777" w:rsidR="00D449D2" w:rsidRPr="0049355B" w:rsidRDefault="00D449D2" w:rsidP="006B18FD">
            <w:pPr>
              <w:rPr>
                <w:rFonts w:ascii="Calibri" w:hAnsi="Calibri"/>
                <w:sz w:val="18"/>
                <w:szCs w:val="18"/>
              </w:rPr>
            </w:pPr>
            <w:r>
              <w:rPr>
                <w:rFonts w:asciiTheme="minorHAnsi" w:hAnsiTheme="minorHAnsi" w:cstheme="minorHAnsi"/>
                <w:sz w:val="18"/>
                <w:szCs w:val="18"/>
              </w:rPr>
              <w:t>A</w:t>
            </w:r>
            <w:r w:rsidRPr="007E33E5">
              <w:rPr>
                <w:rFonts w:asciiTheme="minorHAnsi" w:hAnsiTheme="minorHAnsi" w:cstheme="minorHAnsi"/>
                <w:sz w:val="18"/>
                <w:szCs w:val="18"/>
              </w:rPr>
              <w:t xml:space="preserve">pproval to engage with </w:t>
            </w:r>
            <w:r>
              <w:rPr>
                <w:rFonts w:asciiTheme="minorHAnsi" w:hAnsiTheme="minorHAnsi" w:cstheme="minorHAnsi"/>
                <w:sz w:val="18"/>
                <w:szCs w:val="18"/>
              </w:rPr>
              <w:t>stakeholders</w:t>
            </w:r>
            <w:r w:rsidRPr="007E33E5">
              <w:rPr>
                <w:rFonts w:asciiTheme="minorHAnsi" w:hAnsiTheme="minorHAnsi" w:cstheme="minorHAnsi"/>
                <w:sz w:val="18"/>
                <w:szCs w:val="18"/>
              </w:rPr>
              <w:t xml:space="preserve"> may be delayed or refused</w:t>
            </w:r>
            <w:r w:rsidRPr="0049355B">
              <w:rPr>
                <w:rFonts w:ascii="Calibri" w:hAnsi="Calibri"/>
                <w:sz w:val="18"/>
                <w:szCs w:val="18"/>
              </w:rPr>
              <w:t xml:space="preserve"> </w:t>
            </w:r>
          </w:p>
        </w:tc>
        <w:tc>
          <w:tcPr>
            <w:tcW w:w="1134" w:type="dxa"/>
            <w:tcBorders>
              <w:top w:val="single" w:sz="4" w:space="0" w:color="auto"/>
              <w:left w:val="nil"/>
              <w:bottom w:val="single" w:sz="4" w:space="0" w:color="auto"/>
              <w:right w:val="nil"/>
            </w:tcBorders>
            <w:noWrap/>
          </w:tcPr>
          <w:p w14:paraId="7FBB72B9" w14:textId="77777777" w:rsidR="00D449D2" w:rsidRDefault="00D449D2" w:rsidP="006B18FD">
            <w:pPr>
              <w:rPr>
                <w:rFonts w:ascii="Calibri" w:hAnsi="Calibri"/>
                <w:sz w:val="18"/>
                <w:szCs w:val="18"/>
              </w:rPr>
            </w:pPr>
            <w:r>
              <w:rPr>
                <w:rFonts w:ascii="Calibri" w:hAnsi="Calibri"/>
                <w:sz w:val="18"/>
                <w:szCs w:val="18"/>
              </w:rPr>
              <w:t>2</w:t>
            </w:r>
          </w:p>
        </w:tc>
        <w:tc>
          <w:tcPr>
            <w:tcW w:w="1418" w:type="dxa"/>
            <w:gridSpan w:val="2"/>
            <w:tcBorders>
              <w:top w:val="single" w:sz="4" w:space="0" w:color="auto"/>
              <w:left w:val="nil"/>
              <w:bottom w:val="single" w:sz="4" w:space="0" w:color="auto"/>
              <w:right w:val="nil"/>
            </w:tcBorders>
            <w:noWrap/>
          </w:tcPr>
          <w:p w14:paraId="552D2608" w14:textId="77777777" w:rsidR="00D449D2" w:rsidRDefault="00D449D2" w:rsidP="006B18FD">
            <w:pPr>
              <w:rPr>
                <w:rFonts w:ascii="Calibri" w:hAnsi="Calibri"/>
                <w:sz w:val="18"/>
                <w:szCs w:val="18"/>
              </w:rPr>
            </w:pPr>
            <w:r>
              <w:rPr>
                <w:rFonts w:ascii="Calibri" w:hAnsi="Calibri"/>
                <w:sz w:val="18"/>
                <w:szCs w:val="18"/>
              </w:rPr>
              <w:t>4</w:t>
            </w:r>
          </w:p>
        </w:tc>
        <w:tc>
          <w:tcPr>
            <w:tcW w:w="943" w:type="dxa"/>
            <w:tcBorders>
              <w:top w:val="single" w:sz="4" w:space="0" w:color="auto"/>
              <w:left w:val="nil"/>
              <w:bottom w:val="single" w:sz="4" w:space="0" w:color="auto"/>
              <w:right w:val="nil"/>
            </w:tcBorders>
            <w:shd w:val="clear" w:color="auto" w:fill="FFFF00"/>
            <w:noWrap/>
          </w:tcPr>
          <w:p w14:paraId="4018E071" w14:textId="77777777" w:rsidR="00D449D2" w:rsidRDefault="00D449D2" w:rsidP="006B18FD">
            <w:pPr>
              <w:rPr>
                <w:rFonts w:ascii="Calibri" w:hAnsi="Calibri"/>
                <w:sz w:val="18"/>
                <w:szCs w:val="18"/>
              </w:rPr>
            </w:pPr>
            <w:r>
              <w:rPr>
                <w:rFonts w:ascii="Calibri" w:hAnsi="Calibri"/>
                <w:sz w:val="18"/>
                <w:szCs w:val="18"/>
              </w:rPr>
              <w:t>8</w:t>
            </w:r>
          </w:p>
          <w:p w14:paraId="1567193C" w14:textId="77777777" w:rsidR="00D449D2" w:rsidRPr="009E5223" w:rsidRDefault="00D449D2" w:rsidP="006B18FD">
            <w:pPr>
              <w:rPr>
                <w:rFonts w:ascii="Calibri" w:hAnsi="Calibri"/>
                <w:sz w:val="18"/>
                <w:szCs w:val="18"/>
              </w:rPr>
            </w:pPr>
          </w:p>
        </w:tc>
        <w:tc>
          <w:tcPr>
            <w:tcW w:w="4111" w:type="dxa"/>
            <w:gridSpan w:val="2"/>
            <w:tcBorders>
              <w:top w:val="single" w:sz="4" w:space="0" w:color="auto"/>
              <w:left w:val="nil"/>
              <w:bottom w:val="single" w:sz="4" w:space="0" w:color="auto"/>
              <w:right w:val="single" w:sz="4" w:space="0" w:color="auto"/>
            </w:tcBorders>
          </w:tcPr>
          <w:p w14:paraId="2F3FBF88" w14:textId="77777777" w:rsidR="00D449D2" w:rsidRDefault="00D449D2" w:rsidP="006B18FD">
            <w:pPr>
              <w:rPr>
                <w:rFonts w:ascii="Calibri" w:hAnsi="Calibri"/>
                <w:sz w:val="18"/>
                <w:szCs w:val="18"/>
              </w:rPr>
            </w:pPr>
            <w:r>
              <w:rPr>
                <w:rFonts w:ascii="Calibri" w:hAnsi="Calibri"/>
                <w:sz w:val="18"/>
                <w:szCs w:val="18"/>
              </w:rPr>
              <w:t>Discussions have already taken place with stakeholders that might benefit from the solution and further briefing will take place at the start of the project. This feasibility study is unlikely to raise any concerns at this early stage of the project and an early prototype of the solution is likely to be appealing to the various stakeholders. Stakeholders can raise any concerns about the project during the initial engagement.</w:t>
            </w:r>
          </w:p>
        </w:tc>
      </w:tr>
      <w:tr w:rsidR="00D449D2" w:rsidRPr="00E94C30" w14:paraId="4C1EBCA5" w14:textId="77777777" w:rsidTr="006B18FD">
        <w:trPr>
          <w:trHeight w:val="240"/>
        </w:trPr>
        <w:tc>
          <w:tcPr>
            <w:tcW w:w="1750" w:type="dxa"/>
            <w:tcBorders>
              <w:top w:val="single" w:sz="4" w:space="0" w:color="auto"/>
              <w:left w:val="single" w:sz="4" w:space="0" w:color="auto"/>
              <w:bottom w:val="single" w:sz="4" w:space="0" w:color="auto"/>
              <w:right w:val="nil"/>
            </w:tcBorders>
          </w:tcPr>
          <w:p w14:paraId="0BC1ADAE" w14:textId="77777777" w:rsidR="00D449D2" w:rsidRPr="007E33E5" w:rsidRDefault="00D449D2" w:rsidP="006B18FD">
            <w:pPr>
              <w:rPr>
                <w:rFonts w:asciiTheme="minorHAnsi" w:hAnsiTheme="minorHAnsi" w:cstheme="minorHAnsi"/>
                <w:sz w:val="18"/>
                <w:szCs w:val="18"/>
              </w:rPr>
            </w:pPr>
            <w:r w:rsidRPr="002F4F2C">
              <w:rPr>
                <w:rFonts w:asciiTheme="minorHAnsi" w:hAnsiTheme="minorHAnsi"/>
                <w:sz w:val="18"/>
                <w:szCs w:val="18"/>
              </w:rPr>
              <w:t>Agreements to share information that might be needed for the project may be delayed or refused</w:t>
            </w:r>
          </w:p>
          <w:p w14:paraId="203098B8" w14:textId="77777777" w:rsidR="00D449D2" w:rsidRPr="0063594E" w:rsidRDefault="00D449D2" w:rsidP="006B18FD">
            <w:pPr>
              <w:rPr>
                <w:rFonts w:asciiTheme="minorHAnsi" w:hAnsiTheme="minorHAnsi" w:cstheme="minorHAnsi"/>
                <w:sz w:val="16"/>
                <w:szCs w:val="16"/>
              </w:rPr>
            </w:pPr>
          </w:p>
        </w:tc>
        <w:tc>
          <w:tcPr>
            <w:tcW w:w="1134" w:type="dxa"/>
            <w:tcBorders>
              <w:top w:val="single" w:sz="4" w:space="0" w:color="auto"/>
              <w:left w:val="nil"/>
              <w:bottom w:val="single" w:sz="4" w:space="0" w:color="auto"/>
              <w:right w:val="nil"/>
            </w:tcBorders>
            <w:noWrap/>
          </w:tcPr>
          <w:p w14:paraId="035FA0A4" w14:textId="77777777" w:rsidR="00D449D2" w:rsidRPr="00715516" w:rsidRDefault="00D449D2" w:rsidP="006B18FD">
            <w:pPr>
              <w:rPr>
                <w:rFonts w:ascii="Calibri" w:hAnsi="Calibri"/>
                <w:sz w:val="18"/>
                <w:szCs w:val="18"/>
              </w:rPr>
            </w:pPr>
            <w:r>
              <w:rPr>
                <w:rFonts w:ascii="Calibri" w:hAnsi="Calibri"/>
                <w:sz w:val="18"/>
                <w:szCs w:val="18"/>
              </w:rPr>
              <w:t>2</w:t>
            </w:r>
          </w:p>
        </w:tc>
        <w:tc>
          <w:tcPr>
            <w:tcW w:w="1418" w:type="dxa"/>
            <w:gridSpan w:val="2"/>
            <w:tcBorders>
              <w:top w:val="single" w:sz="4" w:space="0" w:color="auto"/>
              <w:left w:val="nil"/>
              <w:bottom w:val="single" w:sz="4" w:space="0" w:color="auto"/>
              <w:right w:val="nil"/>
            </w:tcBorders>
            <w:noWrap/>
          </w:tcPr>
          <w:p w14:paraId="06A2663C" w14:textId="77777777" w:rsidR="00D449D2" w:rsidRPr="00715516" w:rsidRDefault="00D449D2" w:rsidP="006B18FD">
            <w:pPr>
              <w:rPr>
                <w:rFonts w:ascii="Calibri" w:hAnsi="Calibri"/>
                <w:sz w:val="18"/>
                <w:szCs w:val="18"/>
              </w:rPr>
            </w:pPr>
            <w:r>
              <w:rPr>
                <w:rFonts w:ascii="Calibri" w:hAnsi="Calibri"/>
                <w:sz w:val="18"/>
                <w:szCs w:val="18"/>
              </w:rPr>
              <w:t>4</w:t>
            </w:r>
          </w:p>
        </w:tc>
        <w:tc>
          <w:tcPr>
            <w:tcW w:w="943" w:type="dxa"/>
            <w:tcBorders>
              <w:top w:val="single" w:sz="4" w:space="0" w:color="auto"/>
              <w:left w:val="nil"/>
              <w:bottom w:val="single" w:sz="4" w:space="0" w:color="auto"/>
              <w:right w:val="nil"/>
            </w:tcBorders>
            <w:shd w:val="clear" w:color="auto" w:fill="FFFF00"/>
            <w:noWrap/>
          </w:tcPr>
          <w:p w14:paraId="1F38B72F" w14:textId="77777777" w:rsidR="00D449D2" w:rsidRPr="00715516" w:rsidRDefault="00D449D2" w:rsidP="006B18FD">
            <w:pPr>
              <w:rPr>
                <w:rFonts w:ascii="Calibri" w:hAnsi="Calibri"/>
                <w:sz w:val="18"/>
                <w:szCs w:val="18"/>
              </w:rPr>
            </w:pPr>
            <w:r>
              <w:rPr>
                <w:rFonts w:ascii="Calibri" w:hAnsi="Calibri"/>
                <w:sz w:val="18"/>
                <w:szCs w:val="18"/>
              </w:rPr>
              <w:t>8</w:t>
            </w:r>
          </w:p>
        </w:tc>
        <w:tc>
          <w:tcPr>
            <w:tcW w:w="4111" w:type="dxa"/>
            <w:gridSpan w:val="2"/>
            <w:tcBorders>
              <w:top w:val="single" w:sz="4" w:space="0" w:color="auto"/>
              <w:left w:val="nil"/>
              <w:bottom w:val="single" w:sz="4" w:space="0" w:color="auto"/>
              <w:right w:val="single" w:sz="4" w:space="0" w:color="auto"/>
            </w:tcBorders>
          </w:tcPr>
          <w:p w14:paraId="5DD84011" w14:textId="77777777" w:rsidR="00D449D2" w:rsidRPr="00715516" w:rsidRDefault="00D449D2" w:rsidP="006B18FD">
            <w:pPr>
              <w:rPr>
                <w:rFonts w:ascii="Calibri" w:hAnsi="Calibri"/>
                <w:sz w:val="18"/>
                <w:szCs w:val="18"/>
              </w:rPr>
            </w:pPr>
            <w:r w:rsidRPr="0041261B">
              <w:rPr>
                <w:rFonts w:asciiTheme="minorHAnsi" w:hAnsiTheme="minorHAnsi"/>
                <w:sz w:val="18"/>
                <w:szCs w:val="18"/>
              </w:rPr>
              <w:t xml:space="preserve">Initial discussions have already </w:t>
            </w:r>
            <w:proofErr w:type="gramStart"/>
            <w:r w:rsidRPr="0041261B">
              <w:rPr>
                <w:rFonts w:asciiTheme="minorHAnsi" w:hAnsiTheme="minorHAnsi"/>
                <w:sz w:val="18"/>
                <w:szCs w:val="18"/>
              </w:rPr>
              <w:t>took</w:t>
            </w:r>
            <w:proofErr w:type="gramEnd"/>
            <w:r w:rsidRPr="0041261B">
              <w:rPr>
                <w:rFonts w:asciiTheme="minorHAnsi" w:hAnsiTheme="minorHAnsi"/>
                <w:sz w:val="18"/>
                <w:szCs w:val="18"/>
              </w:rPr>
              <w:t xml:space="preserve"> place to ensure each stakeholder understands the project prior to initiation. </w:t>
            </w:r>
            <w:proofErr w:type="gramStart"/>
            <w:r w:rsidRPr="0041261B">
              <w:rPr>
                <w:rFonts w:asciiTheme="minorHAnsi" w:hAnsiTheme="minorHAnsi"/>
                <w:sz w:val="18"/>
                <w:szCs w:val="18"/>
              </w:rPr>
              <w:t>Again</w:t>
            </w:r>
            <w:proofErr w:type="gramEnd"/>
            <w:r w:rsidRPr="0041261B">
              <w:rPr>
                <w:rFonts w:asciiTheme="minorHAnsi" w:hAnsiTheme="minorHAnsi"/>
                <w:sz w:val="18"/>
                <w:szCs w:val="18"/>
              </w:rPr>
              <w:t xml:space="preserve"> </w:t>
            </w:r>
            <w:r>
              <w:rPr>
                <w:rFonts w:asciiTheme="minorHAnsi" w:hAnsiTheme="minorHAnsi"/>
                <w:sz w:val="18"/>
                <w:szCs w:val="18"/>
              </w:rPr>
              <w:t>It is unlikely that stakeholders that will benefit from the solution will oppose the project. The project manager will plan accordingly to ensure any agreements which are required are not delayed.</w:t>
            </w:r>
          </w:p>
        </w:tc>
      </w:tr>
      <w:tr w:rsidR="00D449D2" w:rsidRPr="00E94C30" w14:paraId="4282C4FF" w14:textId="77777777" w:rsidTr="006B18FD">
        <w:trPr>
          <w:trHeight w:val="240"/>
        </w:trPr>
        <w:tc>
          <w:tcPr>
            <w:tcW w:w="9356"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37D211" w14:textId="77777777" w:rsidR="00D449D2" w:rsidRPr="00715516" w:rsidRDefault="00D449D2" w:rsidP="006B18FD">
            <w:pPr>
              <w:rPr>
                <w:rFonts w:ascii="Calibri" w:hAnsi="Calibri"/>
                <w:sz w:val="18"/>
                <w:szCs w:val="18"/>
              </w:rPr>
            </w:pPr>
            <w:r>
              <w:rPr>
                <w:rFonts w:ascii="Calibri" w:hAnsi="Calibri"/>
                <w:b/>
                <w:bCs/>
                <w:sz w:val="18"/>
                <w:szCs w:val="18"/>
              </w:rPr>
              <w:t xml:space="preserve">Technical </w:t>
            </w:r>
            <w:r w:rsidRPr="00715516">
              <w:rPr>
                <w:rFonts w:ascii="Calibri" w:hAnsi="Calibri"/>
                <w:sz w:val="18"/>
                <w:szCs w:val="18"/>
              </w:rPr>
              <w:t>  </w:t>
            </w:r>
          </w:p>
        </w:tc>
      </w:tr>
      <w:tr w:rsidR="00D449D2" w:rsidRPr="00E94C30" w14:paraId="6FDAA232" w14:textId="77777777" w:rsidTr="006B18FD">
        <w:trPr>
          <w:trHeight w:val="240"/>
        </w:trPr>
        <w:tc>
          <w:tcPr>
            <w:tcW w:w="1750" w:type="dxa"/>
            <w:tcBorders>
              <w:top w:val="single" w:sz="4" w:space="0" w:color="auto"/>
              <w:left w:val="single" w:sz="4" w:space="0" w:color="auto"/>
              <w:bottom w:val="single" w:sz="4" w:space="0" w:color="auto"/>
              <w:right w:val="nil"/>
            </w:tcBorders>
          </w:tcPr>
          <w:p w14:paraId="2DCC36EA" w14:textId="77777777" w:rsidR="00D449D2" w:rsidRDefault="00D449D2" w:rsidP="006B18FD">
            <w:pPr>
              <w:rPr>
                <w:rFonts w:asciiTheme="minorHAnsi" w:hAnsiTheme="minorHAnsi" w:cstheme="minorHAnsi"/>
                <w:sz w:val="18"/>
                <w:szCs w:val="18"/>
              </w:rPr>
            </w:pPr>
            <w:r w:rsidRPr="001B0724">
              <w:rPr>
                <w:rFonts w:asciiTheme="minorHAnsi" w:hAnsiTheme="minorHAnsi" w:cstheme="minorHAnsi"/>
                <w:sz w:val="18"/>
                <w:szCs w:val="18"/>
              </w:rPr>
              <w:t xml:space="preserve">Architecture and design </w:t>
            </w:r>
            <w:proofErr w:type="gramStart"/>
            <w:r w:rsidRPr="001B0724">
              <w:rPr>
                <w:rFonts w:asciiTheme="minorHAnsi" w:hAnsiTheme="minorHAnsi" w:cstheme="minorHAnsi"/>
                <w:sz w:val="18"/>
                <w:szCs w:val="18"/>
              </w:rPr>
              <w:t>does</w:t>
            </w:r>
            <w:proofErr w:type="gramEnd"/>
            <w:r w:rsidRPr="001B0724">
              <w:rPr>
                <w:rFonts w:asciiTheme="minorHAnsi" w:hAnsiTheme="minorHAnsi" w:cstheme="minorHAnsi"/>
                <w:sz w:val="18"/>
                <w:szCs w:val="18"/>
              </w:rPr>
              <w:t xml:space="preserve"> not complement existing systems</w:t>
            </w:r>
          </w:p>
          <w:p w14:paraId="0E638567" w14:textId="77777777" w:rsidR="00D449D2" w:rsidRDefault="00D449D2" w:rsidP="006B18FD">
            <w:pPr>
              <w:rPr>
                <w:rFonts w:ascii="Calibri" w:hAnsi="Calibri"/>
                <w:sz w:val="18"/>
                <w:szCs w:val="18"/>
              </w:rPr>
            </w:pPr>
          </w:p>
        </w:tc>
        <w:tc>
          <w:tcPr>
            <w:tcW w:w="1134" w:type="dxa"/>
            <w:tcBorders>
              <w:top w:val="single" w:sz="4" w:space="0" w:color="auto"/>
              <w:left w:val="nil"/>
              <w:bottom w:val="single" w:sz="4" w:space="0" w:color="auto"/>
              <w:right w:val="nil"/>
            </w:tcBorders>
            <w:noWrap/>
          </w:tcPr>
          <w:p w14:paraId="1B018475" w14:textId="77777777" w:rsidR="00D449D2" w:rsidRDefault="00D449D2" w:rsidP="006B18FD">
            <w:pPr>
              <w:rPr>
                <w:rFonts w:ascii="Calibri" w:hAnsi="Calibri"/>
                <w:sz w:val="18"/>
                <w:szCs w:val="18"/>
              </w:rPr>
            </w:pPr>
            <w:r>
              <w:rPr>
                <w:rFonts w:ascii="Calibri" w:hAnsi="Calibri"/>
                <w:sz w:val="18"/>
                <w:szCs w:val="18"/>
              </w:rPr>
              <w:t>3</w:t>
            </w:r>
          </w:p>
        </w:tc>
        <w:tc>
          <w:tcPr>
            <w:tcW w:w="1418" w:type="dxa"/>
            <w:gridSpan w:val="2"/>
            <w:tcBorders>
              <w:top w:val="single" w:sz="4" w:space="0" w:color="auto"/>
              <w:left w:val="nil"/>
              <w:bottom w:val="single" w:sz="4" w:space="0" w:color="auto"/>
              <w:right w:val="nil"/>
            </w:tcBorders>
            <w:noWrap/>
          </w:tcPr>
          <w:p w14:paraId="24432D49" w14:textId="77777777" w:rsidR="00D449D2" w:rsidRDefault="00D449D2" w:rsidP="006B18FD">
            <w:pPr>
              <w:rPr>
                <w:rFonts w:ascii="Calibri" w:hAnsi="Calibri"/>
                <w:sz w:val="18"/>
                <w:szCs w:val="18"/>
              </w:rPr>
            </w:pPr>
            <w:r>
              <w:rPr>
                <w:rFonts w:ascii="Calibri" w:hAnsi="Calibri"/>
                <w:sz w:val="18"/>
                <w:szCs w:val="18"/>
              </w:rPr>
              <w:t>3</w:t>
            </w:r>
          </w:p>
        </w:tc>
        <w:tc>
          <w:tcPr>
            <w:tcW w:w="943" w:type="dxa"/>
            <w:tcBorders>
              <w:top w:val="single" w:sz="4" w:space="0" w:color="auto"/>
              <w:left w:val="nil"/>
              <w:bottom w:val="single" w:sz="4" w:space="0" w:color="auto"/>
              <w:right w:val="nil"/>
            </w:tcBorders>
            <w:shd w:val="clear" w:color="auto" w:fill="FFFF00"/>
            <w:noWrap/>
          </w:tcPr>
          <w:p w14:paraId="402D0683" w14:textId="77777777" w:rsidR="00D449D2" w:rsidRDefault="00D449D2" w:rsidP="006B18FD">
            <w:pPr>
              <w:rPr>
                <w:rFonts w:ascii="Calibri" w:hAnsi="Calibri"/>
                <w:sz w:val="18"/>
                <w:szCs w:val="18"/>
              </w:rPr>
            </w:pPr>
            <w:r>
              <w:rPr>
                <w:rFonts w:ascii="Calibri" w:hAnsi="Calibri"/>
                <w:sz w:val="18"/>
                <w:szCs w:val="18"/>
              </w:rPr>
              <w:t>9</w:t>
            </w:r>
          </w:p>
          <w:p w14:paraId="1A5FA3E3" w14:textId="77777777" w:rsidR="00D449D2" w:rsidRDefault="00D449D2" w:rsidP="006B18FD">
            <w:pPr>
              <w:rPr>
                <w:rFonts w:ascii="Calibri" w:hAnsi="Calibri"/>
                <w:sz w:val="18"/>
                <w:szCs w:val="18"/>
              </w:rPr>
            </w:pPr>
          </w:p>
          <w:p w14:paraId="621EFC33" w14:textId="77777777" w:rsidR="00D449D2" w:rsidRDefault="00D449D2" w:rsidP="006B18FD">
            <w:pPr>
              <w:rPr>
                <w:rFonts w:ascii="Calibri" w:hAnsi="Calibri"/>
                <w:sz w:val="18"/>
                <w:szCs w:val="18"/>
              </w:rPr>
            </w:pPr>
          </w:p>
          <w:p w14:paraId="59BE2E55" w14:textId="77777777" w:rsidR="00D449D2" w:rsidRDefault="00D449D2" w:rsidP="006B18FD">
            <w:pPr>
              <w:rPr>
                <w:rFonts w:ascii="Calibri" w:hAnsi="Calibri"/>
                <w:sz w:val="18"/>
                <w:szCs w:val="18"/>
              </w:rPr>
            </w:pPr>
          </w:p>
        </w:tc>
        <w:tc>
          <w:tcPr>
            <w:tcW w:w="4111" w:type="dxa"/>
            <w:gridSpan w:val="2"/>
            <w:tcBorders>
              <w:top w:val="single" w:sz="4" w:space="0" w:color="auto"/>
              <w:left w:val="nil"/>
              <w:bottom w:val="single" w:sz="4" w:space="0" w:color="auto"/>
              <w:right w:val="single" w:sz="4" w:space="0" w:color="auto"/>
            </w:tcBorders>
          </w:tcPr>
          <w:p w14:paraId="70044BBE" w14:textId="77777777" w:rsidR="00D449D2" w:rsidRDefault="00D449D2" w:rsidP="006B18FD">
            <w:pPr>
              <w:rPr>
                <w:rFonts w:ascii="Calibri" w:hAnsi="Calibri"/>
                <w:sz w:val="18"/>
                <w:szCs w:val="18"/>
              </w:rPr>
            </w:pPr>
            <w:r w:rsidRPr="001B0724">
              <w:rPr>
                <w:rFonts w:asciiTheme="minorHAnsi" w:hAnsiTheme="minorHAnsi" w:cstheme="minorHAnsi"/>
                <w:sz w:val="18"/>
                <w:szCs w:val="18"/>
              </w:rPr>
              <w:t xml:space="preserve">The architecture will be based on our experiences of working with </w:t>
            </w:r>
            <w:r>
              <w:rPr>
                <w:rFonts w:asciiTheme="minorHAnsi" w:hAnsiTheme="minorHAnsi" w:cstheme="minorHAnsi"/>
                <w:sz w:val="18"/>
                <w:szCs w:val="18"/>
              </w:rPr>
              <w:t>health care systems</w:t>
            </w:r>
            <w:r w:rsidRPr="001B0724">
              <w:rPr>
                <w:rFonts w:asciiTheme="minorHAnsi" w:hAnsiTheme="minorHAnsi" w:cstheme="minorHAnsi"/>
                <w:sz w:val="18"/>
                <w:szCs w:val="18"/>
              </w:rPr>
              <w:t xml:space="preserve"> and using indu</w:t>
            </w:r>
            <w:r>
              <w:rPr>
                <w:rFonts w:asciiTheme="minorHAnsi" w:hAnsiTheme="minorHAnsi" w:cstheme="minorHAnsi"/>
                <w:sz w:val="18"/>
                <w:szCs w:val="18"/>
              </w:rPr>
              <w:t>stry standard development tools. We will also work with the stakeholders closely throughout the project to ensure the architecture and design complement existing systems.</w:t>
            </w:r>
          </w:p>
        </w:tc>
      </w:tr>
      <w:tr w:rsidR="00D449D2" w:rsidRPr="00E94C30" w14:paraId="7C359BD4" w14:textId="77777777" w:rsidTr="006B18FD">
        <w:trPr>
          <w:trHeight w:val="997"/>
        </w:trPr>
        <w:tc>
          <w:tcPr>
            <w:tcW w:w="1750" w:type="dxa"/>
            <w:tcBorders>
              <w:top w:val="single" w:sz="4" w:space="0" w:color="auto"/>
              <w:left w:val="single" w:sz="4" w:space="0" w:color="auto"/>
              <w:bottom w:val="single" w:sz="4" w:space="0" w:color="auto"/>
              <w:right w:val="nil"/>
            </w:tcBorders>
          </w:tcPr>
          <w:p w14:paraId="318D40D7" w14:textId="77777777" w:rsidR="00D449D2" w:rsidRDefault="00D449D2" w:rsidP="006B18FD">
            <w:pPr>
              <w:rPr>
                <w:rFonts w:asciiTheme="minorHAnsi" w:hAnsiTheme="minorHAnsi" w:cstheme="minorHAnsi"/>
                <w:sz w:val="18"/>
                <w:szCs w:val="18"/>
              </w:rPr>
            </w:pPr>
            <w:r w:rsidRPr="001B0724">
              <w:rPr>
                <w:rFonts w:asciiTheme="minorHAnsi" w:hAnsiTheme="minorHAnsi" w:cstheme="minorHAnsi"/>
                <w:sz w:val="18"/>
                <w:szCs w:val="18"/>
              </w:rPr>
              <w:t>The solution proves overly complex or unachievable in the time scales.</w:t>
            </w:r>
          </w:p>
          <w:p w14:paraId="12FD4882" w14:textId="77777777" w:rsidR="00D449D2" w:rsidRPr="00715516" w:rsidRDefault="00D449D2" w:rsidP="006B18FD">
            <w:pPr>
              <w:rPr>
                <w:rFonts w:ascii="Calibri" w:hAnsi="Calibri"/>
                <w:sz w:val="18"/>
                <w:szCs w:val="18"/>
              </w:rPr>
            </w:pPr>
          </w:p>
        </w:tc>
        <w:tc>
          <w:tcPr>
            <w:tcW w:w="1134" w:type="dxa"/>
            <w:tcBorders>
              <w:top w:val="single" w:sz="4" w:space="0" w:color="auto"/>
              <w:left w:val="nil"/>
              <w:bottom w:val="single" w:sz="4" w:space="0" w:color="auto"/>
              <w:right w:val="nil"/>
            </w:tcBorders>
            <w:noWrap/>
          </w:tcPr>
          <w:p w14:paraId="19D352E2" w14:textId="77777777" w:rsidR="00D449D2" w:rsidRPr="00715516" w:rsidRDefault="00D449D2" w:rsidP="006B18FD">
            <w:pPr>
              <w:rPr>
                <w:rFonts w:ascii="Calibri" w:hAnsi="Calibri"/>
                <w:sz w:val="18"/>
                <w:szCs w:val="18"/>
              </w:rPr>
            </w:pPr>
            <w:r>
              <w:rPr>
                <w:rFonts w:ascii="Calibri" w:hAnsi="Calibri"/>
                <w:sz w:val="18"/>
                <w:szCs w:val="18"/>
              </w:rPr>
              <w:t>2</w:t>
            </w:r>
          </w:p>
        </w:tc>
        <w:tc>
          <w:tcPr>
            <w:tcW w:w="1418" w:type="dxa"/>
            <w:gridSpan w:val="2"/>
            <w:tcBorders>
              <w:top w:val="single" w:sz="4" w:space="0" w:color="auto"/>
              <w:left w:val="nil"/>
              <w:bottom w:val="single" w:sz="4" w:space="0" w:color="auto"/>
              <w:right w:val="nil"/>
            </w:tcBorders>
            <w:noWrap/>
          </w:tcPr>
          <w:p w14:paraId="5B1F6FA8" w14:textId="77777777" w:rsidR="00D449D2" w:rsidRPr="00715516" w:rsidRDefault="00D449D2" w:rsidP="006B18FD">
            <w:pPr>
              <w:rPr>
                <w:rFonts w:ascii="Calibri" w:hAnsi="Calibri"/>
                <w:sz w:val="18"/>
                <w:szCs w:val="18"/>
              </w:rPr>
            </w:pPr>
            <w:r>
              <w:rPr>
                <w:rFonts w:ascii="Calibri" w:hAnsi="Calibri"/>
                <w:sz w:val="18"/>
                <w:szCs w:val="18"/>
              </w:rPr>
              <w:t>4</w:t>
            </w:r>
          </w:p>
        </w:tc>
        <w:tc>
          <w:tcPr>
            <w:tcW w:w="943" w:type="dxa"/>
            <w:tcBorders>
              <w:top w:val="single" w:sz="4" w:space="0" w:color="auto"/>
              <w:left w:val="nil"/>
              <w:bottom w:val="single" w:sz="4" w:space="0" w:color="auto"/>
              <w:right w:val="nil"/>
            </w:tcBorders>
            <w:shd w:val="clear" w:color="auto" w:fill="FFFF00"/>
            <w:noWrap/>
          </w:tcPr>
          <w:p w14:paraId="600B6BC7" w14:textId="77777777" w:rsidR="00D449D2" w:rsidRPr="00715516" w:rsidRDefault="00D449D2" w:rsidP="006B18FD">
            <w:pPr>
              <w:rPr>
                <w:rFonts w:ascii="Calibri" w:hAnsi="Calibri"/>
                <w:sz w:val="18"/>
                <w:szCs w:val="18"/>
              </w:rPr>
            </w:pPr>
            <w:r>
              <w:rPr>
                <w:rFonts w:ascii="Calibri" w:hAnsi="Calibri"/>
                <w:sz w:val="18"/>
                <w:szCs w:val="18"/>
              </w:rPr>
              <w:t>8</w:t>
            </w:r>
          </w:p>
        </w:tc>
        <w:tc>
          <w:tcPr>
            <w:tcW w:w="4111" w:type="dxa"/>
            <w:gridSpan w:val="2"/>
            <w:tcBorders>
              <w:top w:val="single" w:sz="4" w:space="0" w:color="auto"/>
              <w:left w:val="nil"/>
              <w:bottom w:val="single" w:sz="4" w:space="0" w:color="auto"/>
              <w:right w:val="single" w:sz="4" w:space="0" w:color="auto"/>
            </w:tcBorders>
          </w:tcPr>
          <w:p w14:paraId="313292C7" w14:textId="77777777" w:rsidR="00D449D2" w:rsidRPr="00715516" w:rsidRDefault="00D449D2" w:rsidP="006B18FD">
            <w:pPr>
              <w:rPr>
                <w:rFonts w:ascii="Calibri" w:hAnsi="Calibri"/>
                <w:sz w:val="18"/>
                <w:szCs w:val="18"/>
              </w:rPr>
            </w:pPr>
            <w:r w:rsidRPr="001B0724">
              <w:rPr>
                <w:rFonts w:asciiTheme="minorHAnsi" w:hAnsiTheme="minorHAnsi" w:cstheme="minorHAnsi"/>
                <w:sz w:val="18"/>
                <w:szCs w:val="18"/>
              </w:rPr>
              <w:t xml:space="preserve">The solution will be based on our tried and tested </w:t>
            </w:r>
            <w:r>
              <w:rPr>
                <w:rFonts w:asciiTheme="minorHAnsi" w:hAnsiTheme="minorHAnsi" w:cstheme="minorHAnsi"/>
                <w:sz w:val="18"/>
                <w:szCs w:val="18"/>
              </w:rPr>
              <w:t>technology</w:t>
            </w:r>
            <w:r w:rsidRPr="001B0724">
              <w:rPr>
                <w:rFonts w:asciiTheme="minorHAnsi" w:hAnsiTheme="minorHAnsi" w:cstheme="minorHAnsi"/>
                <w:sz w:val="18"/>
                <w:szCs w:val="18"/>
              </w:rPr>
              <w:t>. Whilst this platform does not provide all the elements required it provides sufficient time for us to consider the design specification and architecture required to deliver the project on time.</w:t>
            </w:r>
            <w:r>
              <w:rPr>
                <w:rFonts w:ascii="Calibri" w:hAnsi="Calibri"/>
                <w:sz w:val="18"/>
                <w:szCs w:val="18"/>
              </w:rPr>
              <w:t xml:space="preserve"> </w:t>
            </w:r>
          </w:p>
        </w:tc>
      </w:tr>
      <w:tr w:rsidR="00D449D2" w:rsidRPr="00E94C30" w14:paraId="7E74D2B4" w14:textId="77777777" w:rsidTr="006B18FD">
        <w:trPr>
          <w:trHeight w:val="842"/>
        </w:trPr>
        <w:tc>
          <w:tcPr>
            <w:tcW w:w="1750" w:type="dxa"/>
            <w:tcBorders>
              <w:top w:val="single" w:sz="4" w:space="0" w:color="auto"/>
              <w:left w:val="single" w:sz="4" w:space="0" w:color="auto"/>
              <w:bottom w:val="single" w:sz="4" w:space="0" w:color="auto"/>
              <w:right w:val="nil"/>
            </w:tcBorders>
          </w:tcPr>
          <w:p w14:paraId="2FA8156B" w14:textId="77777777" w:rsidR="00D449D2" w:rsidRDefault="00D449D2" w:rsidP="006B18FD">
            <w:pPr>
              <w:rPr>
                <w:rFonts w:asciiTheme="minorHAnsi" w:hAnsiTheme="minorHAnsi" w:cstheme="minorHAnsi"/>
                <w:sz w:val="18"/>
                <w:szCs w:val="18"/>
              </w:rPr>
            </w:pPr>
            <w:r w:rsidRPr="009F5EF8">
              <w:rPr>
                <w:rFonts w:asciiTheme="minorHAnsi" w:hAnsiTheme="minorHAnsi" w:cstheme="minorHAnsi"/>
                <w:sz w:val="18"/>
                <w:szCs w:val="18"/>
              </w:rPr>
              <w:t xml:space="preserve">Integration with existing systems may not be possible </w:t>
            </w:r>
          </w:p>
          <w:p w14:paraId="5E4A7805" w14:textId="77777777" w:rsidR="00D449D2" w:rsidRPr="001B0724" w:rsidRDefault="00D449D2" w:rsidP="006B18FD">
            <w:pPr>
              <w:rPr>
                <w:rFonts w:asciiTheme="minorHAnsi" w:hAnsiTheme="minorHAnsi" w:cstheme="minorHAnsi"/>
                <w:sz w:val="18"/>
                <w:szCs w:val="18"/>
              </w:rPr>
            </w:pPr>
          </w:p>
        </w:tc>
        <w:tc>
          <w:tcPr>
            <w:tcW w:w="1134" w:type="dxa"/>
            <w:tcBorders>
              <w:top w:val="single" w:sz="4" w:space="0" w:color="auto"/>
              <w:left w:val="nil"/>
              <w:bottom w:val="single" w:sz="4" w:space="0" w:color="auto"/>
              <w:right w:val="nil"/>
            </w:tcBorders>
            <w:noWrap/>
          </w:tcPr>
          <w:p w14:paraId="69EB42F6" w14:textId="77777777" w:rsidR="00D449D2" w:rsidRDefault="00D449D2" w:rsidP="006B18FD">
            <w:pPr>
              <w:rPr>
                <w:rFonts w:ascii="Calibri" w:hAnsi="Calibri"/>
                <w:sz w:val="18"/>
                <w:szCs w:val="18"/>
              </w:rPr>
            </w:pPr>
            <w:r>
              <w:rPr>
                <w:rFonts w:ascii="Calibri" w:hAnsi="Calibri"/>
                <w:sz w:val="18"/>
                <w:szCs w:val="18"/>
              </w:rPr>
              <w:t>3</w:t>
            </w:r>
          </w:p>
        </w:tc>
        <w:tc>
          <w:tcPr>
            <w:tcW w:w="1418" w:type="dxa"/>
            <w:gridSpan w:val="2"/>
            <w:tcBorders>
              <w:top w:val="single" w:sz="4" w:space="0" w:color="auto"/>
              <w:left w:val="nil"/>
              <w:bottom w:val="single" w:sz="4" w:space="0" w:color="auto"/>
              <w:right w:val="nil"/>
            </w:tcBorders>
            <w:noWrap/>
          </w:tcPr>
          <w:p w14:paraId="0174CDD5" w14:textId="77777777" w:rsidR="00D449D2" w:rsidRDefault="00D449D2" w:rsidP="006B18FD">
            <w:pPr>
              <w:rPr>
                <w:rFonts w:ascii="Calibri" w:hAnsi="Calibri"/>
                <w:sz w:val="18"/>
                <w:szCs w:val="18"/>
              </w:rPr>
            </w:pPr>
            <w:r>
              <w:rPr>
                <w:rFonts w:ascii="Calibri" w:hAnsi="Calibri"/>
                <w:sz w:val="18"/>
                <w:szCs w:val="18"/>
              </w:rPr>
              <w:t>3</w:t>
            </w:r>
          </w:p>
        </w:tc>
        <w:tc>
          <w:tcPr>
            <w:tcW w:w="943" w:type="dxa"/>
            <w:tcBorders>
              <w:top w:val="single" w:sz="4" w:space="0" w:color="auto"/>
              <w:left w:val="nil"/>
              <w:bottom w:val="single" w:sz="4" w:space="0" w:color="auto"/>
              <w:right w:val="nil"/>
            </w:tcBorders>
            <w:shd w:val="clear" w:color="auto" w:fill="FFFF00"/>
            <w:noWrap/>
          </w:tcPr>
          <w:p w14:paraId="79091E85" w14:textId="77777777" w:rsidR="00D449D2" w:rsidRDefault="00D449D2" w:rsidP="006B18FD">
            <w:pPr>
              <w:rPr>
                <w:rFonts w:ascii="Calibri" w:hAnsi="Calibri"/>
                <w:sz w:val="18"/>
                <w:szCs w:val="18"/>
              </w:rPr>
            </w:pPr>
            <w:r>
              <w:rPr>
                <w:rFonts w:ascii="Calibri" w:hAnsi="Calibri"/>
                <w:sz w:val="18"/>
                <w:szCs w:val="18"/>
              </w:rPr>
              <w:t>9</w:t>
            </w:r>
          </w:p>
        </w:tc>
        <w:tc>
          <w:tcPr>
            <w:tcW w:w="4111" w:type="dxa"/>
            <w:gridSpan w:val="2"/>
            <w:tcBorders>
              <w:top w:val="single" w:sz="4" w:space="0" w:color="auto"/>
              <w:left w:val="nil"/>
              <w:bottom w:val="single" w:sz="4" w:space="0" w:color="auto"/>
              <w:right w:val="single" w:sz="4" w:space="0" w:color="auto"/>
            </w:tcBorders>
          </w:tcPr>
          <w:p w14:paraId="6DE4D2B8" w14:textId="77777777" w:rsidR="00D449D2" w:rsidRPr="001B0724" w:rsidRDefault="00D449D2" w:rsidP="006B18FD">
            <w:pPr>
              <w:rPr>
                <w:rFonts w:asciiTheme="minorHAnsi" w:hAnsiTheme="minorHAnsi" w:cstheme="minorHAnsi"/>
                <w:sz w:val="18"/>
                <w:szCs w:val="18"/>
              </w:rPr>
            </w:pPr>
            <w:r>
              <w:rPr>
                <w:rFonts w:asciiTheme="minorHAnsi" w:hAnsiTheme="minorHAnsi" w:cstheme="minorHAnsi"/>
                <w:sz w:val="18"/>
                <w:szCs w:val="18"/>
              </w:rPr>
              <w:t xml:space="preserve">The Project </w:t>
            </w:r>
            <w:proofErr w:type="gramStart"/>
            <w:r>
              <w:rPr>
                <w:rFonts w:asciiTheme="minorHAnsi" w:hAnsiTheme="minorHAnsi" w:cstheme="minorHAnsi"/>
                <w:sz w:val="18"/>
                <w:szCs w:val="18"/>
              </w:rPr>
              <w:t>Manager  will</w:t>
            </w:r>
            <w:proofErr w:type="gramEnd"/>
            <w:r>
              <w:rPr>
                <w:rFonts w:asciiTheme="minorHAnsi" w:hAnsiTheme="minorHAnsi" w:cstheme="minorHAnsi"/>
                <w:sz w:val="18"/>
                <w:szCs w:val="18"/>
              </w:rPr>
              <w:t xml:space="preserve"> e</w:t>
            </w:r>
            <w:r w:rsidRPr="005568CF">
              <w:rPr>
                <w:rFonts w:asciiTheme="minorHAnsi" w:hAnsiTheme="minorHAnsi" w:cstheme="minorHAnsi"/>
                <w:sz w:val="18"/>
                <w:szCs w:val="18"/>
              </w:rPr>
              <w:t>nsure of system compliance with agreed data formats and standards.</w:t>
            </w:r>
            <w:r>
              <w:rPr>
                <w:rFonts w:asciiTheme="minorHAnsi" w:hAnsiTheme="minorHAnsi" w:cstheme="minorHAnsi"/>
                <w:sz w:val="18"/>
                <w:szCs w:val="18"/>
              </w:rPr>
              <w:t xml:space="preserve"> We will a</w:t>
            </w:r>
            <w:r w:rsidRPr="005568CF">
              <w:rPr>
                <w:rFonts w:asciiTheme="minorHAnsi" w:hAnsiTheme="minorHAnsi" w:cstheme="minorHAnsi"/>
                <w:sz w:val="18"/>
                <w:szCs w:val="18"/>
              </w:rPr>
              <w:t xml:space="preserve">lso provide workable business models for cooperation with relative platforms. </w:t>
            </w:r>
          </w:p>
        </w:tc>
      </w:tr>
      <w:tr w:rsidR="00D449D2" w:rsidRPr="00E94C30" w14:paraId="0C36EB64" w14:textId="77777777" w:rsidTr="006B18FD">
        <w:trPr>
          <w:trHeight w:val="240"/>
        </w:trPr>
        <w:tc>
          <w:tcPr>
            <w:tcW w:w="1750" w:type="dxa"/>
            <w:tcBorders>
              <w:top w:val="single" w:sz="4" w:space="0" w:color="auto"/>
              <w:left w:val="single" w:sz="4" w:space="0" w:color="auto"/>
              <w:bottom w:val="single" w:sz="4" w:space="0" w:color="auto"/>
              <w:right w:val="nil"/>
            </w:tcBorders>
          </w:tcPr>
          <w:p w14:paraId="62C438F4" w14:textId="77777777" w:rsidR="00D449D2" w:rsidRDefault="00D449D2" w:rsidP="006B18FD">
            <w:pPr>
              <w:rPr>
                <w:rFonts w:asciiTheme="minorHAnsi" w:hAnsiTheme="minorHAnsi" w:cstheme="minorHAnsi"/>
                <w:sz w:val="18"/>
                <w:szCs w:val="18"/>
              </w:rPr>
            </w:pPr>
            <w:r w:rsidRPr="009F5EF8">
              <w:rPr>
                <w:rFonts w:asciiTheme="minorHAnsi" w:hAnsiTheme="minorHAnsi" w:cstheme="minorHAnsi"/>
                <w:sz w:val="18"/>
                <w:szCs w:val="18"/>
              </w:rPr>
              <w:t>Privacy &amp; Information security breach</w:t>
            </w:r>
          </w:p>
          <w:p w14:paraId="1CC9C255" w14:textId="77777777" w:rsidR="00D449D2" w:rsidRPr="001B0724" w:rsidRDefault="00D449D2" w:rsidP="006B18FD">
            <w:pPr>
              <w:rPr>
                <w:rFonts w:asciiTheme="minorHAnsi" w:hAnsiTheme="minorHAnsi" w:cstheme="minorHAnsi"/>
                <w:sz w:val="18"/>
                <w:szCs w:val="18"/>
              </w:rPr>
            </w:pPr>
          </w:p>
        </w:tc>
        <w:tc>
          <w:tcPr>
            <w:tcW w:w="1134" w:type="dxa"/>
            <w:tcBorders>
              <w:top w:val="single" w:sz="4" w:space="0" w:color="auto"/>
              <w:left w:val="nil"/>
              <w:bottom w:val="single" w:sz="4" w:space="0" w:color="auto"/>
              <w:right w:val="nil"/>
            </w:tcBorders>
            <w:noWrap/>
          </w:tcPr>
          <w:p w14:paraId="0330FA9E" w14:textId="77777777" w:rsidR="00D449D2" w:rsidRDefault="00D449D2" w:rsidP="006B18FD">
            <w:pPr>
              <w:rPr>
                <w:rFonts w:ascii="Calibri" w:hAnsi="Calibri"/>
                <w:sz w:val="18"/>
                <w:szCs w:val="18"/>
              </w:rPr>
            </w:pPr>
            <w:r>
              <w:rPr>
                <w:rFonts w:ascii="Calibri" w:hAnsi="Calibri"/>
                <w:sz w:val="18"/>
                <w:szCs w:val="18"/>
              </w:rPr>
              <w:lastRenderedPageBreak/>
              <w:t>2</w:t>
            </w:r>
          </w:p>
        </w:tc>
        <w:tc>
          <w:tcPr>
            <w:tcW w:w="1418" w:type="dxa"/>
            <w:gridSpan w:val="2"/>
            <w:tcBorders>
              <w:top w:val="single" w:sz="4" w:space="0" w:color="auto"/>
              <w:left w:val="nil"/>
              <w:bottom w:val="single" w:sz="4" w:space="0" w:color="auto"/>
              <w:right w:val="nil"/>
            </w:tcBorders>
            <w:noWrap/>
          </w:tcPr>
          <w:p w14:paraId="090B3AAC" w14:textId="77777777" w:rsidR="00D449D2" w:rsidRDefault="00D449D2" w:rsidP="006B18FD">
            <w:pPr>
              <w:rPr>
                <w:rFonts w:ascii="Calibri" w:hAnsi="Calibri"/>
                <w:sz w:val="18"/>
                <w:szCs w:val="18"/>
              </w:rPr>
            </w:pPr>
            <w:r>
              <w:rPr>
                <w:rFonts w:ascii="Calibri" w:hAnsi="Calibri"/>
                <w:sz w:val="18"/>
                <w:szCs w:val="18"/>
              </w:rPr>
              <w:t>5</w:t>
            </w:r>
          </w:p>
        </w:tc>
        <w:tc>
          <w:tcPr>
            <w:tcW w:w="943" w:type="dxa"/>
            <w:tcBorders>
              <w:top w:val="single" w:sz="4" w:space="0" w:color="auto"/>
              <w:left w:val="nil"/>
              <w:bottom w:val="single" w:sz="4" w:space="0" w:color="auto"/>
              <w:right w:val="nil"/>
            </w:tcBorders>
            <w:shd w:val="clear" w:color="auto" w:fill="FFC000"/>
            <w:noWrap/>
          </w:tcPr>
          <w:p w14:paraId="0ED67F9A" w14:textId="77777777" w:rsidR="00D449D2" w:rsidRDefault="00D449D2" w:rsidP="006B18FD">
            <w:pPr>
              <w:rPr>
                <w:rFonts w:ascii="Calibri" w:hAnsi="Calibri"/>
                <w:sz w:val="18"/>
                <w:szCs w:val="18"/>
              </w:rPr>
            </w:pPr>
            <w:r>
              <w:rPr>
                <w:rFonts w:ascii="Calibri" w:hAnsi="Calibri"/>
                <w:sz w:val="18"/>
                <w:szCs w:val="18"/>
              </w:rPr>
              <w:t>10</w:t>
            </w:r>
          </w:p>
        </w:tc>
        <w:tc>
          <w:tcPr>
            <w:tcW w:w="4111" w:type="dxa"/>
            <w:gridSpan w:val="2"/>
            <w:tcBorders>
              <w:top w:val="single" w:sz="4" w:space="0" w:color="auto"/>
              <w:left w:val="nil"/>
              <w:bottom w:val="single" w:sz="4" w:space="0" w:color="auto"/>
              <w:right w:val="single" w:sz="4" w:space="0" w:color="auto"/>
            </w:tcBorders>
          </w:tcPr>
          <w:p w14:paraId="55E9FA5F" w14:textId="77777777" w:rsidR="00D449D2" w:rsidRPr="001B0724" w:rsidRDefault="00D449D2" w:rsidP="006B18FD">
            <w:pPr>
              <w:rPr>
                <w:rFonts w:asciiTheme="minorHAnsi" w:hAnsiTheme="minorHAnsi" w:cstheme="minorHAnsi"/>
                <w:sz w:val="18"/>
                <w:szCs w:val="18"/>
              </w:rPr>
            </w:pPr>
            <w:r>
              <w:rPr>
                <w:rFonts w:asciiTheme="minorHAnsi" w:hAnsiTheme="minorHAnsi" w:cstheme="minorHAnsi"/>
                <w:sz w:val="18"/>
                <w:szCs w:val="18"/>
              </w:rPr>
              <w:t>The Project Manager</w:t>
            </w:r>
            <w:r>
              <w:rPr>
                <w:rFonts w:ascii="Calibri" w:hAnsi="Calibri"/>
                <w:sz w:val="18"/>
                <w:szCs w:val="18"/>
              </w:rPr>
              <w:t xml:space="preserve"> will us</w:t>
            </w:r>
            <w:r w:rsidRPr="009F5EF8">
              <w:rPr>
                <w:rFonts w:ascii="Calibri" w:hAnsi="Calibri"/>
                <w:sz w:val="18"/>
                <w:szCs w:val="18"/>
              </w:rPr>
              <w:t>e</w:t>
            </w:r>
            <w:r>
              <w:rPr>
                <w:rFonts w:ascii="Calibri" w:hAnsi="Calibri"/>
                <w:sz w:val="18"/>
                <w:szCs w:val="18"/>
              </w:rPr>
              <w:t xml:space="preserve"> </w:t>
            </w:r>
            <w:r w:rsidRPr="009F5EF8">
              <w:rPr>
                <w:rFonts w:ascii="Calibri" w:hAnsi="Calibri"/>
                <w:sz w:val="18"/>
                <w:szCs w:val="18"/>
              </w:rPr>
              <w:t xml:space="preserve">proven technology for data security, comply with national standards of </w:t>
            </w:r>
            <w:r w:rsidRPr="009F5EF8">
              <w:rPr>
                <w:rFonts w:ascii="Calibri" w:hAnsi="Calibri"/>
                <w:sz w:val="18"/>
                <w:szCs w:val="18"/>
              </w:rPr>
              <w:lastRenderedPageBreak/>
              <w:t>information security and creat</w:t>
            </w:r>
            <w:r>
              <w:rPr>
                <w:rFonts w:ascii="Calibri" w:hAnsi="Calibri"/>
                <w:sz w:val="18"/>
                <w:szCs w:val="18"/>
              </w:rPr>
              <w:t>e</w:t>
            </w:r>
            <w:r w:rsidRPr="009F5EF8">
              <w:rPr>
                <w:rFonts w:ascii="Calibri" w:hAnsi="Calibri"/>
                <w:sz w:val="18"/>
                <w:szCs w:val="18"/>
              </w:rPr>
              <w:t xml:space="preserve"> an advanced authentication tool.</w:t>
            </w:r>
          </w:p>
        </w:tc>
      </w:tr>
      <w:tr w:rsidR="00D449D2" w:rsidRPr="00E94C30" w14:paraId="05C3BE2E" w14:textId="77777777" w:rsidTr="006B18FD">
        <w:trPr>
          <w:trHeight w:val="240"/>
        </w:trPr>
        <w:tc>
          <w:tcPr>
            <w:tcW w:w="93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F10118" w14:textId="77777777" w:rsidR="00D449D2" w:rsidRPr="005B3776" w:rsidRDefault="00D449D2" w:rsidP="006B18FD">
            <w:pPr>
              <w:rPr>
                <w:rFonts w:ascii="Calibri" w:hAnsi="Calibri"/>
                <w:b/>
                <w:sz w:val="18"/>
                <w:szCs w:val="18"/>
              </w:rPr>
            </w:pPr>
            <w:r w:rsidRPr="005B3776">
              <w:rPr>
                <w:rFonts w:ascii="Calibri" w:hAnsi="Calibri"/>
                <w:b/>
                <w:sz w:val="18"/>
                <w:szCs w:val="18"/>
              </w:rPr>
              <w:lastRenderedPageBreak/>
              <w:t xml:space="preserve">Organisational and managerial </w:t>
            </w:r>
          </w:p>
        </w:tc>
      </w:tr>
      <w:tr w:rsidR="00D449D2" w:rsidRPr="00E94C30" w14:paraId="68589EF9" w14:textId="77777777" w:rsidTr="006B18FD">
        <w:trPr>
          <w:trHeight w:val="240"/>
        </w:trPr>
        <w:tc>
          <w:tcPr>
            <w:tcW w:w="1750" w:type="dxa"/>
            <w:tcBorders>
              <w:top w:val="single" w:sz="4" w:space="0" w:color="auto"/>
              <w:left w:val="single" w:sz="4" w:space="0" w:color="auto"/>
              <w:bottom w:val="single" w:sz="4" w:space="0" w:color="auto"/>
              <w:right w:val="nil"/>
            </w:tcBorders>
          </w:tcPr>
          <w:p w14:paraId="416390A0" w14:textId="77777777" w:rsidR="00D449D2" w:rsidRDefault="00D449D2" w:rsidP="006B18FD">
            <w:pPr>
              <w:rPr>
                <w:rFonts w:asciiTheme="minorHAnsi" w:hAnsiTheme="minorHAnsi" w:cstheme="minorHAnsi"/>
                <w:sz w:val="18"/>
                <w:szCs w:val="18"/>
              </w:rPr>
            </w:pPr>
            <w:r w:rsidRPr="005568CF">
              <w:rPr>
                <w:rFonts w:asciiTheme="minorHAnsi" w:hAnsiTheme="minorHAnsi" w:cstheme="minorHAnsi"/>
                <w:sz w:val="18"/>
                <w:szCs w:val="18"/>
              </w:rPr>
              <w:t xml:space="preserve">The size of the project </w:t>
            </w:r>
          </w:p>
          <w:p w14:paraId="23B02085" w14:textId="77777777" w:rsidR="00D449D2" w:rsidRPr="00FD53AB" w:rsidRDefault="00D449D2" w:rsidP="006B18FD">
            <w:pPr>
              <w:rPr>
                <w:rFonts w:asciiTheme="minorHAnsi" w:hAnsiTheme="minorHAnsi" w:cstheme="minorHAnsi"/>
                <w:sz w:val="18"/>
                <w:szCs w:val="18"/>
              </w:rPr>
            </w:pPr>
          </w:p>
        </w:tc>
        <w:tc>
          <w:tcPr>
            <w:tcW w:w="1134" w:type="dxa"/>
            <w:tcBorders>
              <w:top w:val="single" w:sz="4" w:space="0" w:color="auto"/>
              <w:left w:val="nil"/>
              <w:bottom w:val="single" w:sz="4" w:space="0" w:color="auto"/>
              <w:right w:val="nil"/>
            </w:tcBorders>
            <w:noWrap/>
          </w:tcPr>
          <w:p w14:paraId="36DC525A" w14:textId="77777777" w:rsidR="00D449D2" w:rsidRDefault="00D449D2" w:rsidP="006B18FD">
            <w:pPr>
              <w:rPr>
                <w:rFonts w:ascii="Calibri" w:hAnsi="Calibri"/>
                <w:sz w:val="18"/>
                <w:szCs w:val="18"/>
              </w:rPr>
            </w:pPr>
            <w:r>
              <w:rPr>
                <w:rFonts w:ascii="Calibri" w:hAnsi="Calibri"/>
                <w:sz w:val="18"/>
                <w:szCs w:val="18"/>
              </w:rPr>
              <w:t>3</w:t>
            </w:r>
          </w:p>
        </w:tc>
        <w:tc>
          <w:tcPr>
            <w:tcW w:w="1418" w:type="dxa"/>
            <w:gridSpan w:val="2"/>
            <w:tcBorders>
              <w:top w:val="single" w:sz="4" w:space="0" w:color="auto"/>
              <w:left w:val="nil"/>
              <w:bottom w:val="single" w:sz="4" w:space="0" w:color="auto"/>
              <w:right w:val="nil"/>
            </w:tcBorders>
            <w:noWrap/>
          </w:tcPr>
          <w:p w14:paraId="3D501DD6" w14:textId="77777777" w:rsidR="00D449D2" w:rsidRDefault="00D449D2" w:rsidP="006B18FD">
            <w:pPr>
              <w:rPr>
                <w:rFonts w:ascii="Calibri" w:hAnsi="Calibri"/>
                <w:sz w:val="18"/>
                <w:szCs w:val="18"/>
              </w:rPr>
            </w:pPr>
            <w:r>
              <w:rPr>
                <w:rFonts w:ascii="Calibri" w:hAnsi="Calibri"/>
                <w:sz w:val="18"/>
                <w:szCs w:val="18"/>
              </w:rPr>
              <w:t>3</w:t>
            </w:r>
          </w:p>
        </w:tc>
        <w:tc>
          <w:tcPr>
            <w:tcW w:w="943" w:type="dxa"/>
            <w:tcBorders>
              <w:top w:val="single" w:sz="4" w:space="0" w:color="auto"/>
              <w:left w:val="nil"/>
              <w:bottom w:val="single" w:sz="4" w:space="0" w:color="auto"/>
              <w:right w:val="nil"/>
            </w:tcBorders>
            <w:shd w:val="clear" w:color="auto" w:fill="FFFF00"/>
            <w:noWrap/>
          </w:tcPr>
          <w:p w14:paraId="45957E19" w14:textId="77777777" w:rsidR="00D449D2" w:rsidRDefault="00D449D2" w:rsidP="006B18FD">
            <w:pPr>
              <w:rPr>
                <w:rFonts w:ascii="Calibri" w:hAnsi="Calibri"/>
                <w:sz w:val="18"/>
                <w:szCs w:val="18"/>
              </w:rPr>
            </w:pPr>
            <w:r>
              <w:rPr>
                <w:rFonts w:ascii="Calibri" w:hAnsi="Calibri"/>
                <w:sz w:val="18"/>
                <w:szCs w:val="18"/>
              </w:rPr>
              <w:t>9</w:t>
            </w:r>
          </w:p>
        </w:tc>
        <w:tc>
          <w:tcPr>
            <w:tcW w:w="4111" w:type="dxa"/>
            <w:gridSpan w:val="2"/>
            <w:tcBorders>
              <w:top w:val="single" w:sz="4" w:space="0" w:color="auto"/>
              <w:left w:val="nil"/>
              <w:bottom w:val="single" w:sz="4" w:space="0" w:color="auto"/>
              <w:right w:val="single" w:sz="4" w:space="0" w:color="auto"/>
            </w:tcBorders>
          </w:tcPr>
          <w:p w14:paraId="13135961" w14:textId="77777777" w:rsidR="00D449D2" w:rsidRPr="00FD53AB" w:rsidRDefault="00D449D2" w:rsidP="006B18FD">
            <w:pPr>
              <w:rPr>
                <w:rFonts w:ascii="Calibri" w:hAnsi="Calibri"/>
                <w:sz w:val="18"/>
                <w:szCs w:val="18"/>
              </w:rPr>
            </w:pPr>
            <w:r w:rsidRPr="005568CF">
              <w:rPr>
                <w:rFonts w:asciiTheme="minorHAnsi" w:hAnsiTheme="minorHAnsi" w:cstheme="minorHAnsi"/>
                <w:sz w:val="18"/>
                <w:szCs w:val="18"/>
              </w:rPr>
              <w:t xml:space="preserve">The proposed solution is broad in scope but has been designed to be totally modular with clear milestones in each work </w:t>
            </w:r>
            <w:r>
              <w:rPr>
                <w:rFonts w:asciiTheme="minorHAnsi" w:hAnsiTheme="minorHAnsi" w:cstheme="minorHAnsi"/>
                <w:sz w:val="18"/>
                <w:szCs w:val="18"/>
              </w:rPr>
              <w:t>package</w:t>
            </w:r>
            <w:r w:rsidRPr="005568CF">
              <w:rPr>
                <w:rFonts w:asciiTheme="minorHAnsi" w:hAnsiTheme="minorHAnsi" w:cstheme="minorHAnsi"/>
                <w:sz w:val="18"/>
                <w:szCs w:val="18"/>
              </w:rPr>
              <w:t xml:space="preserve">. This will allow effective monitoring and partner engagement as </w:t>
            </w:r>
            <w:r>
              <w:rPr>
                <w:rFonts w:asciiTheme="minorHAnsi" w:hAnsiTheme="minorHAnsi" w:cstheme="minorHAnsi"/>
                <w:sz w:val="18"/>
                <w:szCs w:val="18"/>
              </w:rPr>
              <w:t xml:space="preserve">the </w:t>
            </w:r>
            <w:r w:rsidRPr="005568CF">
              <w:rPr>
                <w:rFonts w:asciiTheme="minorHAnsi" w:hAnsiTheme="minorHAnsi" w:cstheme="minorHAnsi"/>
                <w:sz w:val="18"/>
                <w:szCs w:val="18"/>
              </w:rPr>
              <w:t>work proceeds</w:t>
            </w:r>
            <w:r>
              <w:rPr>
                <w:rFonts w:asciiTheme="minorHAnsi" w:hAnsiTheme="minorHAnsi" w:cstheme="minorHAnsi"/>
                <w:sz w:val="18"/>
                <w:szCs w:val="18"/>
              </w:rPr>
              <w:t>.</w:t>
            </w:r>
          </w:p>
        </w:tc>
      </w:tr>
      <w:tr w:rsidR="00D449D2" w:rsidRPr="00E94C30" w14:paraId="4E8229CE" w14:textId="77777777" w:rsidTr="006B18FD">
        <w:trPr>
          <w:trHeight w:val="240"/>
        </w:trPr>
        <w:tc>
          <w:tcPr>
            <w:tcW w:w="1750" w:type="dxa"/>
            <w:tcBorders>
              <w:top w:val="single" w:sz="4" w:space="0" w:color="auto"/>
              <w:left w:val="single" w:sz="4" w:space="0" w:color="auto"/>
              <w:bottom w:val="single" w:sz="4" w:space="0" w:color="auto"/>
              <w:right w:val="nil"/>
            </w:tcBorders>
          </w:tcPr>
          <w:p w14:paraId="2AD7B443" w14:textId="77777777" w:rsidR="00D449D2" w:rsidRDefault="00D449D2" w:rsidP="006B18FD">
            <w:pPr>
              <w:rPr>
                <w:rFonts w:asciiTheme="minorHAnsi" w:hAnsiTheme="minorHAnsi" w:cstheme="minorHAnsi"/>
                <w:sz w:val="18"/>
                <w:szCs w:val="18"/>
              </w:rPr>
            </w:pPr>
            <w:r w:rsidRPr="001D04D6">
              <w:rPr>
                <w:rFonts w:asciiTheme="minorHAnsi" w:hAnsiTheme="minorHAnsi" w:cstheme="minorHAnsi"/>
                <w:sz w:val="18"/>
                <w:szCs w:val="18"/>
              </w:rPr>
              <w:t>Regular engagement with stakeholders may not be possible due to their limited time and resources of staff</w:t>
            </w:r>
          </w:p>
          <w:p w14:paraId="302B4735" w14:textId="77777777" w:rsidR="00D449D2" w:rsidRPr="00FD53AB" w:rsidRDefault="00D449D2" w:rsidP="006B18FD">
            <w:pPr>
              <w:rPr>
                <w:rFonts w:asciiTheme="minorHAnsi" w:hAnsiTheme="minorHAnsi" w:cstheme="minorHAnsi"/>
                <w:sz w:val="18"/>
                <w:szCs w:val="18"/>
              </w:rPr>
            </w:pPr>
          </w:p>
        </w:tc>
        <w:tc>
          <w:tcPr>
            <w:tcW w:w="1134" w:type="dxa"/>
            <w:tcBorders>
              <w:top w:val="single" w:sz="4" w:space="0" w:color="auto"/>
              <w:left w:val="nil"/>
              <w:bottom w:val="single" w:sz="4" w:space="0" w:color="auto"/>
              <w:right w:val="nil"/>
            </w:tcBorders>
            <w:noWrap/>
          </w:tcPr>
          <w:p w14:paraId="07578011" w14:textId="77777777" w:rsidR="00D449D2" w:rsidRDefault="00D449D2" w:rsidP="006B18FD">
            <w:pPr>
              <w:rPr>
                <w:rFonts w:ascii="Calibri" w:hAnsi="Calibri"/>
                <w:sz w:val="18"/>
                <w:szCs w:val="18"/>
              </w:rPr>
            </w:pPr>
            <w:r>
              <w:rPr>
                <w:rFonts w:ascii="Calibri" w:hAnsi="Calibri"/>
                <w:sz w:val="18"/>
                <w:szCs w:val="18"/>
              </w:rPr>
              <w:t>3</w:t>
            </w:r>
          </w:p>
        </w:tc>
        <w:tc>
          <w:tcPr>
            <w:tcW w:w="1418" w:type="dxa"/>
            <w:gridSpan w:val="2"/>
            <w:tcBorders>
              <w:top w:val="single" w:sz="4" w:space="0" w:color="auto"/>
              <w:left w:val="nil"/>
              <w:bottom w:val="single" w:sz="4" w:space="0" w:color="auto"/>
              <w:right w:val="nil"/>
            </w:tcBorders>
            <w:noWrap/>
          </w:tcPr>
          <w:p w14:paraId="42D8CE6A" w14:textId="77777777" w:rsidR="00D449D2" w:rsidRDefault="00D449D2" w:rsidP="006B18FD">
            <w:pPr>
              <w:rPr>
                <w:rFonts w:ascii="Calibri" w:hAnsi="Calibri"/>
                <w:sz w:val="18"/>
                <w:szCs w:val="18"/>
              </w:rPr>
            </w:pPr>
            <w:r>
              <w:rPr>
                <w:rFonts w:ascii="Calibri" w:hAnsi="Calibri"/>
                <w:sz w:val="18"/>
                <w:szCs w:val="18"/>
              </w:rPr>
              <w:t>3</w:t>
            </w:r>
          </w:p>
        </w:tc>
        <w:tc>
          <w:tcPr>
            <w:tcW w:w="943" w:type="dxa"/>
            <w:tcBorders>
              <w:top w:val="single" w:sz="4" w:space="0" w:color="auto"/>
              <w:left w:val="nil"/>
              <w:bottom w:val="single" w:sz="4" w:space="0" w:color="auto"/>
              <w:right w:val="nil"/>
            </w:tcBorders>
            <w:shd w:val="clear" w:color="auto" w:fill="FFFF00"/>
            <w:noWrap/>
          </w:tcPr>
          <w:p w14:paraId="127381DE" w14:textId="77777777" w:rsidR="00D449D2" w:rsidRDefault="00D449D2" w:rsidP="006B18FD">
            <w:pPr>
              <w:rPr>
                <w:rFonts w:ascii="Calibri" w:hAnsi="Calibri"/>
                <w:sz w:val="18"/>
                <w:szCs w:val="18"/>
              </w:rPr>
            </w:pPr>
            <w:r>
              <w:rPr>
                <w:rFonts w:ascii="Calibri" w:hAnsi="Calibri"/>
                <w:sz w:val="18"/>
                <w:szCs w:val="18"/>
              </w:rPr>
              <w:t>9</w:t>
            </w:r>
          </w:p>
        </w:tc>
        <w:tc>
          <w:tcPr>
            <w:tcW w:w="4111" w:type="dxa"/>
            <w:gridSpan w:val="2"/>
            <w:tcBorders>
              <w:top w:val="single" w:sz="4" w:space="0" w:color="auto"/>
              <w:left w:val="nil"/>
              <w:bottom w:val="single" w:sz="4" w:space="0" w:color="auto"/>
              <w:right w:val="single" w:sz="4" w:space="0" w:color="auto"/>
            </w:tcBorders>
          </w:tcPr>
          <w:p w14:paraId="7449CE74" w14:textId="77777777" w:rsidR="00D449D2" w:rsidRPr="00FD53AB" w:rsidRDefault="00D449D2" w:rsidP="006B18FD">
            <w:pPr>
              <w:rPr>
                <w:rFonts w:ascii="Calibri" w:hAnsi="Calibri"/>
                <w:sz w:val="18"/>
                <w:szCs w:val="18"/>
              </w:rPr>
            </w:pPr>
            <w:r>
              <w:rPr>
                <w:rFonts w:ascii="Calibri" w:hAnsi="Calibri"/>
                <w:sz w:val="18"/>
                <w:szCs w:val="18"/>
              </w:rPr>
              <w:t xml:space="preserve">Stakeholders have expressed an interest to meet again to discuss the solution. </w:t>
            </w:r>
            <w:r w:rsidRPr="001D04D6">
              <w:rPr>
                <w:rFonts w:ascii="Calibri" w:hAnsi="Calibri"/>
                <w:sz w:val="18"/>
                <w:szCs w:val="18"/>
              </w:rPr>
              <w:t xml:space="preserve">Dates </w:t>
            </w:r>
            <w:r>
              <w:rPr>
                <w:rFonts w:ascii="Calibri" w:hAnsi="Calibri"/>
                <w:sz w:val="18"/>
                <w:szCs w:val="18"/>
              </w:rPr>
              <w:t>have also been set up with some stakeholders to ensure we can gather the required information. The project manager will also coordinate activities to ensure everyone’s time on the project is used efficiently.</w:t>
            </w:r>
          </w:p>
        </w:tc>
      </w:tr>
      <w:tr w:rsidR="00D449D2" w:rsidRPr="00E94C30" w14:paraId="0CB6ADC9" w14:textId="77777777" w:rsidTr="006B18FD">
        <w:trPr>
          <w:trHeight w:val="240"/>
        </w:trPr>
        <w:tc>
          <w:tcPr>
            <w:tcW w:w="1750" w:type="dxa"/>
            <w:tcBorders>
              <w:top w:val="single" w:sz="4" w:space="0" w:color="auto"/>
              <w:left w:val="single" w:sz="4" w:space="0" w:color="auto"/>
              <w:right w:val="nil"/>
            </w:tcBorders>
          </w:tcPr>
          <w:p w14:paraId="728AB2CD" w14:textId="77777777" w:rsidR="00D449D2" w:rsidRPr="00FD53AB" w:rsidRDefault="00D449D2" w:rsidP="006B18FD">
            <w:pPr>
              <w:rPr>
                <w:rFonts w:asciiTheme="minorHAnsi" w:hAnsiTheme="minorHAnsi" w:cstheme="minorHAnsi"/>
                <w:sz w:val="18"/>
                <w:szCs w:val="18"/>
              </w:rPr>
            </w:pPr>
            <w:r>
              <w:rPr>
                <w:rFonts w:asciiTheme="minorHAnsi" w:hAnsiTheme="minorHAnsi" w:cstheme="minorHAnsi"/>
                <w:sz w:val="18"/>
                <w:szCs w:val="18"/>
              </w:rPr>
              <w:t>T</w:t>
            </w:r>
            <w:r w:rsidRPr="00791089">
              <w:rPr>
                <w:rFonts w:asciiTheme="minorHAnsi" w:hAnsiTheme="minorHAnsi" w:cstheme="minorHAnsi"/>
                <w:sz w:val="18"/>
                <w:szCs w:val="18"/>
              </w:rPr>
              <w:t>echnical resource is not available to complete the project in the required timescales</w:t>
            </w:r>
          </w:p>
        </w:tc>
        <w:tc>
          <w:tcPr>
            <w:tcW w:w="1134" w:type="dxa"/>
            <w:tcBorders>
              <w:top w:val="single" w:sz="4" w:space="0" w:color="auto"/>
              <w:left w:val="nil"/>
              <w:right w:val="nil"/>
            </w:tcBorders>
            <w:noWrap/>
          </w:tcPr>
          <w:p w14:paraId="4DFA630D" w14:textId="77777777" w:rsidR="00D449D2" w:rsidRDefault="00D449D2" w:rsidP="006B18FD">
            <w:pPr>
              <w:rPr>
                <w:rFonts w:ascii="Calibri" w:hAnsi="Calibri"/>
                <w:sz w:val="18"/>
                <w:szCs w:val="18"/>
              </w:rPr>
            </w:pPr>
            <w:r>
              <w:rPr>
                <w:rFonts w:ascii="Calibri" w:hAnsi="Calibri"/>
                <w:sz w:val="18"/>
                <w:szCs w:val="18"/>
              </w:rPr>
              <w:t>1</w:t>
            </w:r>
          </w:p>
        </w:tc>
        <w:tc>
          <w:tcPr>
            <w:tcW w:w="1418" w:type="dxa"/>
            <w:gridSpan w:val="2"/>
            <w:tcBorders>
              <w:top w:val="single" w:sz="4" w:space="0" w:color="auto"/>
              <w:left w:val="nil"/>
              <w:right w:val="nil"/>
            </w:tcBorders>
            <w:noWrap/>
          </w:tcPr>
          <w:p w14:paraId="19B6B7E0" w14:textId="77777777" w:rsidR="00D449D2" w:rsidRDefault="00D449D2" w:rsidP="006B18FD">
            <w:pPr>
              <w:rPr>
                <w:rFonts w:ascii="Calibri" w:hAnsi="Calibri"/>
                <w:sz w:val="18"/>
                <w:szCs w:val="18"/>
              </w:rPr>
            </w:pPr>
            <w:r>
              <w:rPr>
                <w:rFonts w:ascii="Calibri" w:hAnsi="Calibri"/>
                <w:sz w:val="18"/>
                <w:szCs w:val="18"/>
              </w:rPr>
              <w:t>4</w:t>
            </w:r>
          </w:p>
        </w:tc>
        <w:tc>
          <w:tcPr>
            <w:tcW w:w="943" w:type="dxa"/>
            <w:tcBorders>
              <w:top w:val="single" w:sz="4" w:space="0" w:color="auto"/>
              <w:left w:val="nil"/>
              <w:right w:val="nil"/>
            </w:tcBorders>
            <w:shd w:val="clear" w:color="auto" w:fill="00B050"/>
            <w:noWrap/>
          </w:tcPr>
          <w:p w14:paraId="11B8D12A" w14:textId="77777777" w:rsidR="00D449D2" w:rsidRDefault="00D449D2" w:rsidP="006B18FD">
            <w:pPr>
              <w:rPr>
                <w:rFonts w:ascii="Calibri" w:hAnsi="Calibri"/>
                <w:sz w:val="18"/>
                <w:szCs w:val="18"/>
              </w:rPr>
            </w:pPr>
            <w:r>
              <w:rPr>
                <w:rFonts w:ascii="Calibri" w:hAnsi="Calibri"/>
                <w:sz w:val="18"/>
                <w:szCs w:val="18"/>
              </w:rPr>
              <w:t>4</w:t>
            </w:r>
          </w:p>
        </w:tc>
        <w:tc>
          <w:tcPr>
            <w:tcW w:w="4111" w:type="dxa"/>
            <w:gridSpan w:val="2"/>
            <w:tcBorders>
              <w:top w:val="single" w:sz="4" w:space="0" w:color="auto"/>
              <w:left w:val="nil"/>
              <w:right w:val="single" w:sz="4" w:space="0" w:color="auto"/>
            </w:tcBorders>
          </w:tcPr>
          <w:p w14:paraId="7A3CE1FD" w14:textId="77777777" w:rsidR="00D449D2" w:rsidRPr="00FD53AB" w:rsidRDefault="00D449D2" w:rsidP="006B18FD">
            <w:pPr>
              <w:rPr>
                <w:rFonts w:ascii="Calibri" w:hAnsi="Calibri"/>
                <w:sz w:val="18"/>
                <w:szCs w:val="18"/>
              </w:rPr>
            </w:pPr>
            <w:r>
              <w:rPr>
                <w:rFonts w:asciiTheme="minorHAnsi" w:hAnsiTheme="minorHAnsi" w:cstheme="minorHAnsi"/>
                <w:sz w:val="18"/>
                <w:szCs w:val="18"/>
              </w:rPr>
              <w:t>The Project Manager has</w:t>
            </w:r>
            <w:r w:rsidRPr="00791089">
              <w:rPr>
                <w:rFonts w:asciiTheme="minorHAnsi" w:hAnsiTheme="minorHAnsi" w:cstheme="minorHAnsi"/>
                <w:sz w:val="18"/>
                <w:szCs w:val="18"/>
              </w:rPr>
              <w:t xml:space="preserve"> already identified the required technical resource and placed them on an internal team schedule ready to start the project on time. All team members are aware of the project and have had an input into this document. In </w:t>
            </w:r>
            <w:proofErr w:type="gramStart"/>
            <w:r w:rsidRPr="00791089">
              <w:rPr>
                <w:rFonts w:asciiTheme="minorHAnsi" w:hAnsiTheme="minorHAnsi" w:cstheme="minorHAnsi"/>
                <w:sz w:val="18"/>
                <w:szCs w:val="18"/>
              </w:rPr>
              <w:t>addition</w:t>
            </w:r>
            <w:proofErr w:type="gramEnd"/>
            <w:r w:rsidRPr="00791089">
              <w:rPr>
                <w:rFonts w:asciiTheme="minorHAnsi" w:hAnsiTheme="minorHAnsi" w:cstheme="minorHAnsi"/>
                <w:sz w:val="18"/>
                <w:szCs w:val="18"/>
              </w:rPr>
              <w:t xml:space="preserve"> we will be using a dedicated project manager with the appropriate experience of delivering innovative health solutions to time and budget. </w:t>
            </w:r>
          </w:p>
        </w:tc>
      </w:tr>
      <w:tr w:rsidR="00D449D2" w:rsidRPr="00E94C30" w14:paraId="40BBFBEA" w14:textId="77777777" w:rsidTr="006B18FD">
        <w:trPr>
          <w:trHeight w:val="244"/>
        </w:trPr>
        <w:tc>
          <w:tcPr>
            <w:tcW w:w="93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35A9B2" w14:textId="77777777" w:rsidR="00D449D2" w:rsidRPr="00715516" w:rsidRDefault="00D449D2" w:rsidP="006B18FD">
            <w:pPr>
              <w:tabs>
                <w:tab w:val="left" w:pos="1005"/>
              </w:tabs>
              <w:rPr>
                <w:rFonts w:ascii="Calibri" w:hAnsi="Calibri"/>
                <w:sz w:val="18"/>
                <w:szCs w:val="18"/>
              </w:rPr>
            </w:pPr>
            <w:r>
              <w:rPr>
                <w:rFonts w:ascii="Calibri" w:hAnsi="Calibri"/>
                <w:b/>
                <w:bCs/>
                <w:sz w:val="18"/>
                <w:szCs w:val="18"/>
              </w:rPr>
              <w:t>Environmental</w:t>
            </w:r>
            <w:r w:rsidRPr="00715516">
              <w:rPr>
                <w:rFonts w:ascii="Calibri" w:hAnsi="Calibri"/>
                <w:sz w:val="18"/>
                <w:szCs w:val="18"/>
              </w:rPr>
              <w:t> </w:t>
            </w:r>
          </w:p>
        </w:tc>
      </w:tr>
      <w:tr w:rsidR="00D449D2" w:rsidRPr="00E94C30" w14:paraId="0C91A390" w14:textId="77777777" w:rsidTr="006B18FD">
        <w:trPr>
          <w:trHeight w:val="457"/>
        </w:trPr>
        <w:tc>
          <w:tcPr>
            <w:tcW w:w="1750" w:type="dxa"/>
            <w:tcBorders>
              <w:top w:val="single" w:sz="4" w:space="0" w:color="auto"/>
              <w:left w:val="single" w:sz="4" w:space="0" w:color="auto"/>
              <w:bottom w:val="single" w:sz="4" w:space="0" w:color="auto"/>
              <w:right w:val="nil"/>
            </w:tcBorders>
          </w:tcPr>
          <w:p w14:paraId="06BC0937" w14:textId="77777777" w:rsidR="00D449D2" w:rsidRPr="00715516" w:rsidRDefault="00D449D2" w:rsidP="006B18FD">
            <w:pPr>
              <w:rPr>
                <w:rFonts w:ascii="Calibri" w:hAnsi="Calibri"/>
                <w:sz w:val="18"/>
                <w:szCs w:val="18"/>
              </w:rPr>
            </w:pPr>
            <w:r w:rsidRPr="002364B2">
              <w:rPr>
                <w:rFonts w:ascii="Calibri" w:hAnsi="Calibri"/>
                <w:sz w:val="18"/>
                <w:szCs w:val="18"/>
              </w:rPr>
              <w:t xml:space="preserve">Injury to project staff on </w:t>
            </w:r>
            <w:r>
              <w:rPr>
                <w:rFonts w:ascii="Calibri" w:hAnsi="Calibri"/>
                <w:sz w:val="18"/>
                <w:szCs w:val="18"/>
              </w:rPr>
              <w:t xml:space="preserve">company or stakeholder </w:t>
            </w:r>
            <w:r w:rsidRPr="002364B2">
              <w:rPr>
                <w:rFonts w:ascii="Calibri" w:hAnsi="Calibri"/>
                <w:sz w:val="18"/>
                <w:szCs w:val="18"/>
              </w:rPr>
              <w:t>site</w:t>
            </w:r>
          </w:p>
        </w:tc>
        <w:tc>
          <w:tcPr>
            <w:tcW w:w="1134" w:type="dxa"/>
            <w:tcBorders>
              <w:top w:val="single" w:sz="4" w:space="0" w:color="auto"/>
              <w:left w:val="nil"/>
              <w:bottom w:val="single" w:sz="4" w:space="0" w:color="auto"/>
              <w:right w:val="nil"/>
            </w:tcBorders>
            <w:noWrap/>
          </w:tcPr>
          <w:p w14:paraId="76BA4836" w14:textId="77777777" w:rsidR="00D449D2" w:rsidRPr="002364B2" w:rsidRDefault="00D449D2" w:rsidP="006B18FD">
            <w:pPr>
              <w:rPr>
                <w:rFonts w:asciiTheme="minorHAnsi" w:hAnsiTheme="minorHAnsi" w:cstheme="minorHAnsi"/>
                <w:sz w:val="18"/>
                <w:szCs w:val="18"/>
              </w:rPr>
            </w:pPr>
            <w:r>
              <w:rPr>
                <w:rFonts w:asciiTheme="minorHAnsi" w:hAnsiTheme="minorHAnsi" w:cstheme="minorHAnsi"/>
                <w:sz w:val="18"/>
                <w:szCs w:val="18"/>
              </w:rPr>
              <w:t>1</w:t>
            </w:r>
          </w:p>
        </w:tc>
        <w:tc>
          <w:tcPr>
            <w:tcW w:w="1418" w:type="dxa"/>
            <w:gridSpan w:val="2"/>
            <w:tcBorders>
              <w:top w:val="single" w:sz="4" w:space="0" w:color="auto"/>
              <w:left w:val="nil"/>
              <w:bottom w:val="single" w:sz="4" w:space="0" w:color="auto"/>
              <w:right w:val="nil"/>
            </w:tcBorders>
            <w:noWrap/>
          </w:tcPr>
          <w:p w14:paraId="63713986" w14:textId="77777777" w:rsidR="00D449D2" w:rsidRPr="002364B2" w:rsidRDefault="00D449D2" w:rsidP="006B18FD">
            <w:pPr>
              <w:rPr>
                <w:rFonts w:asciiTheme="minorHAnsi" w:hAnsiTheme="minorHAnsi" w:cstheme="minorHAnsi"/>
                <w:sz w:val="18"/>
                <w:szCs w:val="18"/>
              </w:rPr>
            </w:pPr>
            <w:r>
              <w:rPr>
                <w:rFonts w:asciiTheme="minorHAnsi" w:hAnsiTheme="minorHAnsi" w:cstheme="minorHAnsi"/>
                <w:sz w:val="18"/>
                <w:szCs w:val="18"/>
              </w:rPr>
              <w:t>4</w:t>
            </w:r>
          </w:p>
        </w:tc>
        <w:tc>
          <w:tcPr>
            <w:tcW w:w="943" w:type="dxa"/>
            <w:tcBorders>
              <w:top w:val="single" w:sz="4" w:space="0" w:color="auto"/>
              <w:left w:val="nil"/>
              <w:bottom w:val="single" w:sz="4" w:space="0" w:color="auto"/>
              <w:right w:val="nil"/>
            </w:tcBorders>
            <w:shd w:val="clear" w:color="auto" w:fill="00B050"/>
            <w:noWrap/>
          </w:tcPr>
          <w:p w14:paraId="09B8B7E7" w14:textId="77777777" w:rsidR="00D449D2" w:rsidRPr="002364B2" w:rsidRDefault="00D449D2" w:rsidP="006B18FD">
            <w:pPr>
              <w:rPr>
                <w:rFonts w:asciiTheme="minorHAnsi" w:hAnsiTheme="minorHAnsi" w:cstheme="minorHAnsi"/>
                <w:sz w:val="18"/>
                <w:szCs w:val="18"/>
              </w:rPr>
            </w:pPr>
            <w:r>
              <w:rPr>
                <w:rFonts w:asciiTheme="minorHAnsi" w:hAnsiTheme="minorHAnsi" w:cstheme="minorHAnsi"/>
                <w:sz w:val="18"/>
                <w:szCs w:val="18"/>
              </w:rPr>
              <w:t>4</w:t>
            </w:r>
          </w:p>
        </w:tc>
        <w:tc>
          <w:tcPr>
            <w:tcW w:w="4111" w:type="dxa"/>
            <w:gridSpan w:val="2"/>
            <w:tcBorders>
              <w:top w:val="single" w:sz="4" w:space="0" w:color="auto"/>
              <w:left w:val="nil"/>
              <w:bottom w:val="single" w:sz="4" w:space="0" w:color="auto"/>
              <w:right w:val="single" w:sz="4" w:space="0" w:color="auto"/>
            </w:tcBorders>
          </w:tcPr>
          <w:p w14:paraId="0E73D3D1" w14:textId="77777777" w:rsidR="00D449D2" w:rsidRPr="002364B2" w:rsidRDefault="00D449D2" w:rsidP="006B18FD">
            <w:pPr>
              <w:rPr>
                <w:rFonts w:asciiTheme="minorHAnsi" w:hAnsiTheme="minorHAnsi" w:cstheme="minorHAnsi"/>
                <w:sz w:val="18"/>
                <w:szCs w:val="18"/>
              </w:rPr>
            </w:pPr>
            <w:r w:rsidRPr="00715516">
              <w:rPr>
                <w:rFonts w:ascii="Calibri" w:hAnsi="Calibri"/>
                <w:sz w:val="18"/>
                <w:szCs w:val="18"/>
              </w:rPr>
              <w:t>Employ appropriate health and safety procedures. Educate staff in safety procedures</w:t>
            </w:r>
            <w:r>
              <w:rPr>
                <w:rFonts w:ascii="Calibri" w:hAnsi="Calibri"/>
                <w:sz w:val="18"/>
                <w:szCs w:val="18"/>
              </w:rPr>
              <w:t xml:space="preserve"> for site as part of their initial induction.</w:t>
            </w:r>
          </w:p>
        </w:tc>
      </w:tr>
      <w:tr w:rsidR="00D449D2" w:rsidRPr="00E94C30" w14:paraId="6F5D6600" w14:textId="77777777" w:rsidTr="006B18FD">
        <w:trPr>
          <w:trHeight w:val="463"/>
        </w:trPr>
        <w:tc>
          <w:tcPr>
            <w:tcW w:w="1750" w:type="dxa"/>
            <w:tcBorders>
              <w:top w:val="single" w:sz="4" w:space="0" w:color="auto"/>
              <w:left w:val="single" w:sz="4" w:space="0" w:color="auto"/>
              <w:bottom w:val="single" w:sz="4" w:space="0" w:color="auto"/>
              <w:right w:val="nil"/>
            </w:tcBorders>
          </w:tcPr>
          <w:p w14:paraId="4A3C8C5A" w14:textId="77777777" w:rsidR="00D449D2" w:rsidRPr="002364B2" w:rsidRDefault="00D449D2" w:rsidP="006B18FD">
            <w:pPr>
              <w:rPr>
                <w:rFonts w:asciiTheme="minorHAnsi" w:hAnsiTheme="minorHAnsi" w:cstheme="minorHAnsi"/>
                <w:sz w:val="18"/>
                <w:szCs w:val="18"/>
              </w:rPr>
            </w:pPr>
            <w:r w:rsidRPr="002364B2">
              <w:rPr>
                <w:rFonts w:asciiTheme="minorHAnsi" w:hAnsiTheme="minorHAnsi" w:cstheme="minorHAnsi"/>
                <w:sz w:val="18"/>
                <w:szCs w:val="18"/>
              </w:rPr>
              <w:t xml:space="preserve">Injury to </w:t>
            </w:r>
            <w:r>
              <w:rPr>
                <w:rFonts w:asciiTheme="minorHAnsi" w:hAnsiTheme="minorHAnsi" w:cstheme="minorHAnsi"/>
                <w:sz w:val="18"/>
                <w:szCs w:val="18"/>
              </w:rPr>
              <w:t>stakeholders on site</w:t>
            </w:r>
          </w:p>
          <w:p w14:paraId="0FE125A6" w14:textId="77777777" w:rsidR="00D449D2" w:rsidRPr="002364B2" w:rsidRDefault="00D449D2" w:rsidP="006B18FD">
            <w:pPr>
              <w:rPr>
                <w:rFonts w:ascii="Calibri" w:hAnsi="Calibri"/>
                <w:sz w:val="18"/>
                <w:szCs w:val="18"/>
              </w:rPr>
            </w:pPr>
          </w:p>
        </w:tc>
        <w:tc>
          <w:tcPr>
            <w:tcW w:w="1134" w:type="dxa"/>
            <w:tcBorders>
              <w:top w:val="single" w:sz="4" w:space="0" w:color="auto"/>
              <w:left w:val="nil"/>
              <w:bottom w:val="single" w:sz="4" w:space="0" w:color="auto"/>
              <w:right w:val="nil"/>
            </w:tcBorders>
            <w:noWrap/>
          </w:tcPr>
          <w:p w14:paraId="4B6E19AF" w14:textId="77777777" w:rsidR="00D449D2" w:rsidRDefault="00D449D2" w:rsidP="006B18FD">
            <w:pPr>
              <w:rPr>
                <w:rFonts w:asciiTheme="minorHAnsi" w:hAnsiTheme="minorHAnsi" w:cstheme="minorHAnsi"/>
                <w:sz w:val="18"/>
                <w:szCs w:val="18"/>
              </w:rPr>
            </w:pPr>
            <w:r>
              <w:rPr>
                <w:rFonts w:asciiTheme="minorHAnsi" w:hAnsiTheme="minorHAnsi" w:cstheme="minorHAnsi"/>
                <w:sz w:val="18"/>
                <w:szCs w:val="18"/>
              </w:rPr>
              <w:t>1</w:t>
            </w:r>
          </w:p>
        </w:tc>
        <w:tc>
          <w:tcPr>
            <w:tcW w:w="1418" w:type="dxa"/>
            <w:gridSpan w:val="2"/>
            <w:tcBorders>
              <w:top w:val="single" w:sz="4" w:space="0" w:color="auto"/>
              <w:left w:val="nil"/>
              <w:bottom w:val="single" w:sz="4" w:space="0" w:color="auto"/>
              <w:right w:val="nil"/>
            </w:tcBorders>
            <w:noWrap/>
          </w:tcPr>
          <w:p w14:paraId="59DC3A3F" w14:textId="77777777" w:rsidR="00D449D2" w:rsidRDefault="00D449D2" w:rsidP="006B18FD">
            <w:pPr>
              <w:rPr>
                <w:rFonts w:asciiTheme="minorHAnsi" w:hAnsiTheme="minorHAnsi" w:cstheme="minorHAnsi"/>
                <w:sz w:val="18"/>
                <w:szCs w:val="18"/>
              </w:rPr>
            </w:pPr>
            <w:r>
              <w:rPr>
                <w:rFonts w:asciiTheme="minorHAnsi" w:hAnsiTheme="minorHAnsi" w:cstheme="minorHAnsi"/>
                <w:sz w:val="18"/>
                <w:szCs w:val="18"/>
              </w:rPr>
              <w:t>4</w:t>
            </w:r>
          </w:p>
        </w:tc>
        <w:tc>
          <w:tcPr>
            <w:tcW w:w="943" w:type="dxa"/>
            <w:tcBorders>
              <w:top w:val="single" w:sz="4" w:space="0" w:color="auto"/>
              <w:left w:val="nil"/>
              <w:bottom w:val="single" w:sz="4" w:space="0" w:color="auto"/>
              <w:right w:val="nil"/>
            </w:tcBorders>
            <w:shd w:val="clear" w:color="auto" w:fill="00B050"/>
            <w:noWrap/>
          </w:tcPr>
          <w:p w14:paraId="70B35D66" w14:textId="77777777" w:rsidR="00D449D2" w:rsidRDefault="00D449D2" w:rsidP="006B18FD">
            <w:pPr>
              <w:rPr>
                <w:rFonts w:asciiTheme="minorHAnsi" w:hAnsiTheme="minorHAnsi" w:cstheme="minorHAnsi"/>
                <w:sz w:val="18"/>
                <w:szCs w:val="18"/>
              </w:rPr>
            </w:pPr>
            <w:r>
              <w:rPr>
                <w:rFonts w:asciiTheme="minorHAnsi" w:hAnsiTheme="minorHAnsi" w:cstheme="minorHAnsi"/>
                <w:sz w:val="18"/>
                <w:szCs w:val="18"/>
              </w:rPr>
              <w:t>4</w:t>
            </w:r>
          </w:p>
        </w:tc>
        <w:tc>
          <w:tcPr>
            <w:tcW w:w="4111" w:type="dxa"/>
            <w:gridSpan w:val="2"/>
            <w:tcBorders>
              <w:top w:val="single" w:sz="4" w:space="0" w:color="auto"/>
              <w:left w:val="nil"/>
              <w:bottom w:val="single" w:sz="4" w:space="0" w:color="auto"/>
              <w:right w:val="single" w:sz="4" w:space="0" w:color="auto"/>
            </w:tcBorders>
          </w:tcPr>
          <w:p w14:paraId="2C12FC14" w14:textId="77777777" w:rsidR="00D449D2" w:rsidRPr="00715516" w:rsidRDefault="00D449D2" w:rsidP="006B18FD">
            <w:pPr>
              <w:rPr>
                <w:rFonts w:ascii="Calibri" w:hAnsi="Calibri"/>
                <w:sz w:val="18"/>
                <w:szCs w:val="18"/>
              </w:rPr>
            </w:pPr>
            <w:r w:rsidRPr="002364B2">
              <w:rPr>
                <w:rFonts w:ascii="Calibri" w:hAnsi="Calibri"/>
                <w:sz w:val="18"/>
                <w:szCs w:val="18"/>
              </w:rPr>
              <w:t>Employ appropriate health and safety procedures. Educate visitors in safety procedures</w:t>
            </w:r>
          </w:p>
        </w:tc>
      </w:tr>
    </w:tbl>
    <w:p w14:paraId="0340042A" w14:textId="49EC847E" w:rsidR="003254D6" w:rsidRPr="00B86820" w:rsidRDefault="003254D6" w:rsidP="00886A9C">
      <w:pPr>
        <w:rPr>
          <w:rFonts w:ascii="Arial" w:hAnsi="Arial" w:cs="Arial"/>
          <w:noProof/>
        </w:rPr>
      </w:pPr>
    </w:p>
    <w:p w14:paraId="5B9BA305" w14:textId="0AA83EA2" w:rsidR="00874035" w:rsidRPr="00D449D2" w:rsidRDefault="00874035" w:rsidP="00D449D2">
      <w:r>
        <w:rPr>
          <w:rFonts w:ascii="Arial" w:hAnsi="Arial" w:cs="Arial"/>
          <w:noProof/>
        </w:rPr>
        <w:lastRenderedPageBreak/>
        <w:t xml:space="preserve">Table </w:t>
      </w:r>
      <w:r w:rsidR="00D449D2">
        <w:rPr>
          <w:rFonts w:ascii="Arial" w:hAnsi="Arial" w:cs="Arial"/>
          <w:noProof/>
        </w:rPr>
        <w:t>2</w:t>
      </w:r>
      <w:r>
        <w:rPr>
          <w:rFonts w:ascii="Arial" w:hAnsi="Arial" w:cs="Arial"/>
          <w:noProof/>
        </w:rPr>
        <w:t>: Gant Char</w:t>
      </w:r>
      <w:r w:rsidR="00D449D2">
        <w:rPr>
          <w:rFonts w:ascii="Arial" w:hAnsi="Arial" w:cs="Arial"/>
          <w:noProof/>
        </w:rPr>
        <w:t>t</w:t>
      </w:r>
      <w:r w:rsidR="00D449D2" w:rsidRPr="00D449D2">
        <w:rPr>
          <w:rFonts w:ascii="Arial" w:hAnsi="Arial" w:cs="Arial"/>
          <w:noProof/>
        </w:rPr>
        <w:drawing>
          <wp:inline distT="0" distB="0" distL="0" distR="0" wp14:anchorId="5B92A5A1" wp14:editId="5D546B61">
            <wp:extent cx="5943600" cy="7021714"/>
            <wp:effectExtent l="0" t="0" r="0" b="1905"/>
            <wp:docPr id="50" name="Picture 5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abl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7021714"/>
                    </a:xfrm>
                    <a:prstGeom prst="rect">
                      <a:avLst/>
                    </a:prstGeom>
                    <a:noFill/>
                    <a:ln>
                      <a:noFill/>
                    </a:ln>
                  </pic:spPr>
                </pic:pic>
              </a:graphicData>
            </a:graphic>
          </wp:inline>
        </w:drawing>
      </w:r>
      <w:r>
        <w:rPr>
          <w:rFonts w:ascii="Arial" w:hAnsi="Arial" w:cs="Arial"/>
          <w:noProof/>
        </w:rPr>
        <w:t>t</w:t>
      </w:r>
    </w:p>
    <w:p w14:paraId="418ED2F6" w14:textId="52158288" w:rsidR="00874035" w:rsidRDefault="00874035" w:rsidP="00B86820">
      <w:pPr>
        <w:jc w:val="both"/>
        <w:rPr>
          <w:rFonts w:ascii="Arial" w:hAnsi="Arial" w:cs="Arial"/>
          <w:noProof/>
        </w:rPr>
      </w:pPr>
    </w:p>
    <w:p w14:paraId="1E3D69C9" w14:textId="350FF759" w:rsidR="00D449D2" w:rsidRDefault="00D449D2" w:rsidP="00B86820">
      <w:pPr>
        <w:jc w:val="both"/>
        <w:rPr>
          <w:rFonts w:ascii="Arial" w:hAnsi="Arial" w:cs="Arial"/>
          <w:noProof/>
        </w:rPr>
      </w:pPr>
    </w:p>
    <w:p w14:paraId="4090D511" w14:textId="4D2E0550" w:rsidR="00D449D2" w:rsidRDefault="00D449D2" w:rsidP="00D449D2">
      <w:pPr>
        <w:rPr>
          <w:rFonts w:ascii="Arial" w:hAnsi="Arial" w:cs="Arial"/>
          <w:noProof/>
        </w:rPr>
      </w:pPr>
      <w:r>
        <w:rPr>
          <w:rFonts w:ascii="Arial" w:hAnsi="Arial" w:cs="Arial"/>
          <w:noProof/>
        </w:rPr>
        <w:t>Table 3: Stakeholders Resource</w:t>
      </w:r>
      <w:r w:rsidRPr="00D449D2">
        <w:rPr>
          <w:rFonts w:ascii="Arial" w:hAnsi="Arial" w:cs="Arial"/>
          <w:noProof/>
        </w:rPr>
        <w:drawing>
          <wp:inline distT="0" distB="0" distL="0" distR="0" wp14:anchorId="021A16A3" wp14:editId="156AA098">
            <wp:extent cx="5943600" cy="6794289"/>
            <wp:effectExtent l="0" t="0" r="0" b="635"/>
            <wp:docPr id="51" name="Picture 5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6794289"/>
                    </a:xfrm>
                    <a:prstGeom prst="rect">
                      <a:avLst/>
                    </a:prstGeom>
                    <a:noFill/>
                    <a:ln>
                      <a:noFill/>
                    </a:ln>
                  </pic:spPr>
                </pic:pic>
              </a:graphicData>
            </a:graphic>
          </wp:inline>
        </w:drawing>
      </w:r>
    </w:p>
    <w:p w14:paraId="583E0DCD" w14:textId="52DABAD6" w:rsidR="00D449D2" w:rsidRDefault="00D449D2" w:rsidP="00B86820">
      <w:pPr>
        <w:jc w:val="both"/>
        <w:rPr>
          <w:rFonts w:ascii="Arial" w:hAnsi="Arial" w:cs="Arial"/>
          <w:noProof/>
        </w:rPr>
      </w:pPr>
    </w:p>
    <w:p w14:paraId="77B70D4A" w14:textId="21C6AFDF" w:rsidR="00B86820" w:rsidRPr="00B86820" w:rsidRDefault="00B86820" w:rsidP="00B86820">
      <w:pPr>
        <w:jc w:val="both"/>
        <w:rPr>
          <w:rFonts w:ascii="Arial" w:hAnsi="Arial" w:cs="Arial"/>
          <w:noProof/>
        </w:rPr>
      </w:pPr>
      <w:r>
        <w:rPr>
          <w:rFonts w:ascii="Arial" w:hAnsi="Arial" w:cs="Arial"/>
          <w:noProof/>
        </w:rPr>
        <w:t xml:space="preserve"> </w:t>
      </w:r>
      <w:r w:rsidRPr="00B86820">
        <w:rPr>
          <w:rFonts w:ascii="Arial" w:hAnsi="Arial" w:cs="Arial"/>
          <w:noProof/>
        </w:rPr>
        <w:t xml:space="preserve"> </w:t>
      </w:r>
    </w:p>
    <w:p w14:paraId="5A6CFDFC" w14:textId="77777777" w:rsidR="003B7409" w:rsidRDefault="003B7409" w:rsidP="003B7409">
      <w:pPr>
        <w:jc w:val="both"/>
        <w:rPr>
          <w:rFonts w:ascii="Arial" w:hAnsi="Arial" w:cs="Arial"/>
        </w:rPr>
      </w:pPr>
      <w:r w:rsidRPr="00B86820">
        <w:rPr>
          <w:rFonts w:ascii="Arial" w:hAnsi="Arial" w:cs="Arial"/>
        </w:rPr>
        <w:lastRenderedPageBreak/>
        <w:fldChar w:fldCharType="begin" w:fldLock="1"/>
      </w:r>
      <w:r w:rsidRPr="00B86820">
        <w:rPr>
          <w:rFonts w:ascii="Arial" w:hAnsi="Arial" w:cs="Arial"/>
        </w:rPr>
        <w:instrText>ADDIN CSL_CITATION {"citationItems":[{"id":"ITEM-1","itemData":{"DOI":"10.2196/23775","ISBN":"1865617873","ISSN":"14388871","PMID":"33434141","abstract":"Background: COVID-19 has thrust video consulting into the limelight, as health care practitioners worldwide shift to delivering care remotely. Evidence suggests that video consulting is acceptable, safe, and effective in selected conditions and settings. However, research to date has mostly focused on initial adoption, with limited consideration of how video consulting can be mainstreamed and sustained. Objective: This study sought to do the following: (1) review and synthesize reported opportunities, challenges, and lessons learned in the scale-up, spread, and sustainability of video consultations, and (2) identify transferable insights that can inform policy and practice. Methods: We identified papers through systematic searches in PubMed, CINAHL, and Web of Science. Included articles reported on synchronous, video-based consultations that had spread to more than one setting beyond an initial pilot or feasibility stage, and were published since 2010. We used the Nonadoption, Abandonment, and challenges to the Scale-up, Spread, and Sustainability (NASSS) framework to synthesize findings relating to 7 domains: An understanding of the health condition(s) for which video consultations were being used, the material properties of the technological platform and relevant peripherals, the value proposition for patients and developers, the role of the adopter system, organizational factors, wider macro-level considerations, and emergence over time. Results: We identified 13 papers describing 10 different video consultation services in 6 regions, covering the following: (1) video-to-home services, connecting providers directly to the patient; (2) hub-and-spoke models, connecting a provider at a central hub to a patient at a rural center; and (3) large-scale top-down evaluations scaled up or spread across a national health administration. Services covered rehabilitation, geriatrics, cancer surgery, diabetes, and mental health, as well as general specialist care and primary care. Potential enablers of spread and scale-up included embedded leadership and the presence of a telehealth champion, appropriate reimbursement mechanisms, user-friendly technology, pre-existing staff relationships, and adaptation (of technology and services) over time. Challenges tended to be related to service development, such as the absence of a long-term strategic plan, resistance to change, cost and reimbursement issues, and the technical experience of staff. There was limited articulat…","author":[{"dropping-particle":"","family":"James","given":"Hannah M.","non-dropping-particle":"","parse-names":false,"suffix":""},{"dropping-particle":"","family":"Papoutsi","given":"Chrysanthi","non-dropping-particle":"","parse-names":false,"suffix":""},{"dropping-particle":"","family":"Wherton","given":"Joseph","non-dropping-particle":"","parse-names":false,"suffix":""},{"dropping-particle":"","family":"Greenhalgh","given":"Trisha","non-dropping-particle":"","parse-names":false,"suffix":""},{"dropping-particle":"","family":"Shaw","given":"Sara E.","non-dropping-particle":"","parse-names":false,"suffix":""}],"container-title":"Journal of Medical Internet Research","id":"ITEM-1","issue":"1","issued":{"date-parts":[["2021"]]},"title":"Spread, Scale-up, and Sustainability of Video Consulting in Health Care: Systematic Review and Synthesis Guided by the NASSS Framework","type":"article-journal","volume":"23"},"uris":["http://www.mendeley.com/documents/?uuid=6c669b01-25cf-4c10-8c6a-c4125bf56e04"]}],"mendeley":{"formattedCitation":"(James &lt;i&gt;et al.&lt;/i&gt;, 2021)","manualFormatting":"James et al., (2021)","plainTextFormattedCitation":"(James et al., 2021)","previouslyFormattedCitation":"(James &lt;i&gt;et al.&lt;/i&gt;, 2021)"},"properties":{"noteIndex":0},"schema":"https://github.com/citation-style-language/schema/raw/master/csl-citation.json"}</w:instrText>
      </w:r>
      <w:r w:rsidRPr="00B86820">
        <w:rPr>
          <w:rFonts w:ascii="Arial" w:hAnsi="Arial" w:cs="Arial"/>
        </w:rPr>
        <w:fldChar w:fldCharType="separate"/>
      </w:r>
      <w:r w:rsidRPr="00B86820">
        <w:rPr>
          <w:rFonts w:ascii="Arial" w:hAnsi="Arial" w:cs="Arial"/>
          <w:noProof/>
        </w:rPr>
        <w:t xml:space="preserve">James </w:t>
      </w:r>
      <w:r w:rsidRPr="00B86820">
        <w:rPr>
          <w:rFonts w:ascii="Arial" w:hAnsi="Arial" w:cs="Arial"/>
          <w:i/>
          <w:noProof/>
        </w:rPr>
        <w:t>et al.</w:t>
      </w:r>
      <w:r w:rsidRPr="00B86820">
        <w:rPr>
          <w:rFonts w:ascii="Arial" w:hAnsi="Arial" w:cs="Arial"/>
          <w:noProof/>
        </w:rPr>
        <w:t>, (2021)</w:t>
      </w:r>
      <w:r w:rsidRPr="00B86820">
        <w:rPr>
          <w:rFonts w:ascii="Arial" w:hAnsi="Arial" w:cs="Arial"/>
        </w:rPr>
        <w:fldChar w:fldCharType="end"/>
      </w:r>
      <w:r w:rsidRPr="00B86820">
        <w:rPr>
          <w:rFonts w:ascii="Arial" w:hAnsi="Arial" w:cs="Arial"/>
        </w:rPr>
        <w:t xml:space="preserve"> used the </w:t>
      </w:r>
      <w:proofErr w:type="spellStart"/>
      <w:r w:rsidRPr="00B86820">
        <w:rPr>
          <w:rFonts w:ascii="Arial" w:hAnsi="Arial" w:cs="Arial"/>
        </w:rPr>
        <w:t>Nonadoption</w:t>
      </w:r>
      <w:proofErr w:type="spellEnd"/>
      <w:r w:rsidRPr="00B86820">
        <w:rPr>
          <w:rFonts w:ascii="Arial" w:hAnsi="Arial" w:cs="Arial"/>
        </w:rPr>
        <w:t>, Abandonment, and challenges to the Scale-</w:t>
      </w:r>
      <w:r w:rsidRPr="00DA4568">
        <w:rPr>
          <w:rFonts w:ascii="Arial" w:hAnsi="Arial" w:cs="Arial"/>
        </w:rPr>
        <w:t xml:space="preserve">up, Spread, and Sustainability (NASSS) as a framework to review multiple reported issues on using video consultations in health care provision during the Covid 19 pandemic. The NASSS framework was devised by </w:t>
      </w:r>
      <w:r w:rsidRPr="00DA4568">
        <w:rPr>
          <w:rFonts w:ascii="Arial" w:hAnsi="Arial" w:cs="Arial"/>
        </w:rPr>
        <w:fldChar w:fldCharType="begin" w:fldLock="1"/>
      </w:r>
      <w:r w:rsidRPr="00DA4568">
        <w:rPr>
          <w:rFonts w:ascii="Arial" w:hAnsi="Arial" w:cs="Arial"/>
        </w:rPr>
        <w:instrText>ADDIN CSL_CITATION {"citationItems":[{"id":"ITEM-1","itemData":{"DOI":"10.2196/jmir.8775","ISSN":"14388871","PMID":"29092808","abstract":"Background: Many promising technological innovations in health and social care are characterized by nonadoption or abandonment by individuals or by failed attempts to scale up locally, spread distantly, or sustain the innovation long term at the organization or system level. Objective: Our objective was to produce an evidence-based, theory-informed, and pragmatic framework to help predict and evaluate the success of a technology-supported health or social care program. Methods: The study had 2 parallel components: (1) secondary research (hermeneutic systematic review) to identify key domains, and (2) empirical case studies of technology implementation to explore, test, and refine these domains. We studied 6 technology-supported programs-video outpatient consultations, global positioning system tracking for cognitive impairment, pendant alarm services, remote biomarker monitoring for heart failure, care organizing software, and integrated case management via data sharing-using longitudinal ethnography and action research for up to 3 years across more than 20 organizations. Data were collected at micro level (individual technology users), meso level (organizational processes and systems), and macro level (national policy and wider context). Analysis and synthesis was aided by sociotechnically informed theories of individual, organizational, and system change. The draft framework was shared with colleagues who were introducing or evaluating other technology-supported health or care programs and refined in response to feedback. Results: The literature review identified 28 previous technology implementation frameworks, of which 14 had taken a dynamic systems approach (including 2 integrative reviews of previous work). Our empirical dataset consisted of over 400 hours of ethnographic observation, 165 semistructured interviews, and 200 documents. The final nonadoption, abandonment, scale-up, spread, and sustainability (NASSS) framework included questions in 7 domains: the condition or illness, the technology, the value proposition, the adopter system (comprising professional staff, patient, and lay caregivers), the organization(s), the wider (institutional and societal) context, and the interaction and mutual adaptation between all these domains over time. Our empirical case studies raised a variety of challenges across all 7 domains, each classified as simple (straightforward, predictable, few components), complicated (multiple interacting components or issue…","author":[{"dropping-particle":"","family":"Greenhalgh","given":"Trisha","non-dropping-particle":"","parse-names":false,"suffix":""},{"dropping-particle":"","family":"Wherton","given":"Joseph","non-dropping-particle":"","parse-names":false,"suffix":""},{"dropping-particle":"","family":"Papoutsi","given":"Chrysanthi","non-dropping-particle":"","parse-names":false,"suffix":""},{"dropping-particle":"","family":"Lynch","given":"Jennifer","non-dropping-particle":"","parse-names":false,"suffix":""},{"dropping-particle":"","family":"Hughes","given":"Gemma","non-dropping-particle":"","parse-names":false,"suffix":""},{"dropping-particle":"","family":"A'Court","given":"Christine","non-dropping-particle":"","parse-names":false,"suffix":""},{"dropping-particle":"","family":"Hinder","given":"Susan","non-dropping-particle":"","parse-names":false,"suffix":""},{"dropping-particle":"","family":"Fahy","given":"Nick","non-dropping-particle":"","parse-names":false,"suffix":""},{"dropping-particle":"","family":"Procter","given":"Rob","non-dropping-particle":"","parse-names":false,"suffix":""},{"dropping-particle":"","family":"Shaw","given":"Sara","non-dropping-particle":"","parse-names":false,"suffix":""}],"container-title":"Journal of Medical Internet Research","id":"ITEM-1","issue":"11","issued":{"date-parts":[["2017"]]},"title":"Beyond adoption: A new framework for theorizing and evaluating nonadoption, abandonment, and challenges to the scale-up, spread, and sustainability of health and care technologies","type":"article-journal","volume":"19"},"uris":["http://www.mendeley.com/documents/?uuid=0ca65113-b3ce-401d-9756-58fe7b651941"]}],"mendeley":{"formattedCitation":"(Greenhalgh &lt;i&gt;et al.&lt;/i&gt;, 2017)","manualFormatting":"Greenhalgh et al., (2017)","plainTextFormattedCitation":"(Greenhalgh et al., 2017)","previouslyFormattedCitation":"(Greenhalgh &lt;i&gt;et al.&lt;/i&gt;, 2017)"},"properties":{"noteIndex":0},"schema":"https://github.com/citation-style-language/schema/raw/master/csl-citation.json"}</w:instrText>
      </w:r>
      <w:r w:rsidRPr="00DA4568">
        <w:rPr>
          <w:rFonts w:ascii="Arial" w:hAnsi="Arial" w:cs="Arial"/>
        </w:rPr>
        <w:fldChar w:fldCharType="separate"/>
      </w:r>
      <w:r w:rsidRPr="00DA4568">
        <w:rPr>
          <w:rFonts w:ascii="Arial" w:hAnsi="Arial" w:cs="Arial"/>
          <w:noProof/>
        </w:rPr>
        <w:t xml:space="preserve">Greenhalgh </w:t>
      </w:r>
      <w:r w:rsidRPr="00DA4568">
        <w:rPr>
          <w:rFonts w:ascii="Arial" w:hAnsi="Arial" w:cs="Arial"/>
          <w:i/>
          <w:noProof/>
        </w:rPr>
        <w:t>et al.</w:t>
      </w:r>
      <w:r w:rsidRPr="00DA4568">
        <w:rPr>
          <w:rFonts w:ascii="Arial" w:hAnsi="Arial" w:cs="Arial"/>
          <w:noProof/>
        </w:rPr>
        <w:t>, (2017)</w:t>
      </w:r>
      <w:r w:rsidRPr="00DA4568">
        <w:rPr>
          <w:rFonts w:ascii="Arial" w:hAnsi="Arial" w:cs="Arial"/>
        </w:rPr>
        <w:fldChar w:fldCharType="end"/>
      </w:r>
      <w:r w:rsidRPr="00DA4568">
        <w:rPr>
          <w:rFonts w:ascii="Arial" w:hAnsi="Arial" w:cs="Arial"/>
        </w:rPr>
        <w:t xml:space="preserve"> to provide an evidence based framework to manage and study complex digital innovation and change in health and social care. They identified seven domains and each domain </w:t>
      </w:r>
      <w:proofErr w:type="gramStart"/>
      <w:r w:rsidRPr="00DA4568">
        <w:rPr>
          <w:rFonts w:ascii="Arial" w:hAnsi="Arial" w:cs="Arial"/>
        </w:rPr>
        <w:t>can be can be</w:t>
      </w:r>
      <w:proofErr w:type="gramEnd"/>
      <w:r w:rsidRPr="00DA4568">
        <w:rPr>
          <w:rFonts w:ascii="Arial" w:hAnsi="Arial" w:cs="Arial"/>
        </w:rPr>
        <w:t xml:space="preserve"> simple, complicated or complex. </w:t>
      </w:r>
      <w:r>
        <w:rPr>
          <w:rFonts w:ascii="Arial" w:hAnsi="Arial" w:cs="Arial"/>
        </w:rPr>
        <w:t>“</w:t>
      </w:r>
      <w:r w:rsidRPr="00DA4568">
        <w:rPr>
          <w:rFonts w:ascii="Arial" w:hAnsi="Arial" w:cs="Arial"/>
        </w:rPr>
        <w:t>Simple</w:t>
      </w:r>
      <w:r>
        <w:rPr>
          <w:rFonts w:ascii="Arial" w:hAnsi="Arial" w:cs="Arial"/>
        </w:rPr>
        <w:t>”</w:t>
      </w:r>
      <w:r w:rsidRPr="00DA4568">
        <w:rPr>
          <w:rFonts w:ascii="Arial" w:hAnsi="Arial" w:cs="Arial"/>
        </w:rPr>
        <w:t xml:space="preserve"> has a predictable outcome, while a </w:t>
      </w:r>
      <w:r>
        <w:rPr>
          <w:rFonts w:ascii="Arial" w:hAnsi="Arial" w:cs="Arial"/>
        </w:rPr>
        <w:t>“</w:t>
      </w:r>
      <w:r w:rsidRPr="00DA4568">
        <w:rPr>
          <w:rFonts w:ascii="Arial" w:hAnsi="Arial" w:cs="Arial"/>
        </w:rPr>
        <w:t>complex</w:t>
      </w:r>
      <w:r>
        <w:rPr>
          <w:rFonts w:ascii="Arial" w:hAnsi="Arial" w:cs="Arial"/>
        </w:rPr>
        <w:t>”</w:t>
      </w:r>
      <w:r w:rsidRPr="00DA4568">
        <w:rPr>
          <w:rFonts w:ascii="Arial" w:hAnsi="Arial" w:cs="Arial"/>
        </w:rPr>
        <w:t xml:space="preserve"> has a high level of unpredictability and do not have the same result because of a number of </w:t>
      </w:r>
      <w:proofErr w:type="gramStart"/>
      <w:r w:rsidRPr="00DA4568">
        <w:rPr>
          <w:rFonts w:ascii="Arial" w:hAnsi="Arial" w:cs="Arial"/>
        </w:rPr>
        <w:t>dynamic  factors</w:t>
      </w:r>
      <w:proofErr w:type="gramEnd"/>
      <w:r w:rsidRPr="00DA4568">
        <w:rPr>
          <w:rFonts w:ascii="Arial" w:hAnsi="Arial" w:cs="Arial"/>
        </w:rPr>
        <w:t xml:space="preserve"> can influence that condition. </w:t>
      </w:r>
      <w:r>
        <w:rPr>
          <w:rFonts w:ascii="Arial" w:hAnsi="Arial" w:cs="Arial"/>
        </w:rPr>
        <w:t>“</w:t>
      </w:r>
      <w:r w:rsidRPr="00DA4568">
        <w:rPr>
          <w:rFonts w:ascii="Arial" w:hAnsi="Arial" w:cs="Arial"/>
        </w:rPr>
        <w:t>Complicated</w:t>
      </w:r>
      <w:r>
        <w:rPr>
          <w:rFonts w:ascii="Arial" w:hAnsi="Arial" w:cs="Arial"/>
        </w:rPr>
        <w:t>”</w:t>
      </w:r>
      <w:r w:rsidRPr="00DA4568">
        <w:rPr>
          <w:rFonts w:ascii="Arial" w:hAnsi="Arial" w:cs="Arial"/>
        </w:rPr>
        <w:t xml:space="preserve"> is somewhere in between. </w:t>
      </w:r>
      <w:r>
        <w:rPr>
          <w:rFonts w:ascii="Arial" w:hAnsi="Arial" w:cs="Arial"/>
        </w:rPr>
        <w:t xml:space="preserve">The first domain is condition or medical presentation, second is technology, third is the value proposition or how the </w:t>
      </w:r>
      <w:proofErr w:type="spellStart"/>
      <w:r>
        <w:rPr>
          <w:rFonts w:ascii="Arial" w:hAnsi="Arial" w:cs="Arial"/>
        </w:rPr>
        <w:t>the</w:t>
      </w:r>
      <w:proofErr w:type="spellEnd"/>
      <w:r>
        <w:rPr>
          <w:rFonts w:ascii="Arial" w:hAnsi="Arial" w:cs="Arial"/>
        </w:rPr>
        <w:t xml:space="preserve"> technology bring value to the care service and the </w:t>
      </w:r>
      <w:proofErr w:type="gramStart"/>
      <w:r>
        <w:rPr>
          <w:rFonts w:ascii="Arial" w:hAnsi="Arial" w:cs="Arial"/>
        </w:rPr>
        <w:t>forth</w:t>
      </w:r>
      <w:proofErr w:type="gramEnd"/>
      <w:r>
        <w:rPr>
          <w:rFonts w:ascii="Arial" w:hAnsi="Arial" w:cs="Arial"/>
        </w:rPr>
        <w:t xml:space="preserve"> domain is the people or adopters who wants to use the system. The fifth domain is organisational, this is particularly complex if the technology is going to be implemented across multiple organisations and they do not have an established contractual relationship. The sixth domain is the influences outside the organisation and the seventh domain is time.  </w:t>
      </w:r>
    </w:p>
    <w:p w14:paraId="225895D3" w14:textId="77777777" w:rsidR="003B7409" w:rsidRPr="003B7409" w:rsidRDefault="003B7409" w:rsidP="003B7409">
      <w:pPr>
        <w:pStyle w:val="NormalWeb"/>
        <w:jc w:val="both"/>
        <w:rPr>
          <w:rFonts w:ascii="Arial" w:hAnsi="Arial" w:cs="Arial"/>
        </w:rPr>
      </w:pPr>
      <w:r w:rsidRPr="00DA4568">
        <w:rPr>
          <w:rFonts w:ascii="Arial" w:hAnsi="Arial" w:cs="Arial"/>
        </w:rPr>
        <w:fldChar w:fldCharType="begin" w:fldLock="1"/>
      </w:r>
      <w:r w:rsidRPr="00DA4568">
        <w:rPr>
          <w:rFonts w:ascii="Arial" w:hAnsi="Arial" w:cs="Arial"/>
        </w:rPr>
        <w:instrText>ADDIN CSL_CITATION {"citationItems":[{"id":"ITEM-1","itemData":{"DOI":"10.2196/23775","ISBN":"1865617873","ISSN":"14388871","PMID":"33434141","abstract":"Background: COVID-19 has thrust video consulting into the limelight, as health care practitioners worldwide shift to delivering care remotely. Evidence suggests that video consulting is acceptable, safe, and effective in selected conditions and settings. However, research to date has mostly focused on initial adoption, with limited consideration of how video consulting can be mainstreamed and sustained. Objective: This study sought to do the following: (1) review and synthesize reported opportunities, challenges, and lessons learned in the scale-up, spread, and sustainability of video consultations, and (2) identify transferable insights that can inform policy and practice. Methods: We identified papers through systematic searches in PubMed, CINAHL, and Web of Science. Included articles reported on synchronous, video-based consultations that had spread to more than one setting beyond an initial pilot or feasibility stage, and were published since 2010. We used the Nonadoption, Abandonment, and challenges to the Scale-up, Spread, and Sustainability (NASSS) framework to synthesize findings relating to 7 domains: An understanding of the health condition(s) for which video consultations were being used, the material properties of the technological platform and relevant peripherals, the value proposition for patients and developers, the role of the adopter system, organizational factors, wider macro-level considerations, and emergence over time. Results: We identified 13 papers describing 10 different video consultation services in 6 regions, covering the following: (1) video-to-home services, connecting providers directly to the patient; (2) hub-and-spoke models, connecting a provider at a central hub to a patient at a rural center; and (3) large-scale top-down evaluations scaled up or spread across a national health administration. Services covered rehabilitation, geriatrics, cancer surgery, diabetes, and mental health, as well as general specialist care and primary care. Potential enablers of spread and scale-up included embedded leadership and the presence of a telehealth champion, appropriate reimbursement mechanisms, user-friendly technology, pre-existing staff relationships, and adaptation (of technology and services) over time. Challenges tended to be related to service development, such as the absence of a long-term strategic plan, resistance to change, cost and reimbursement issues, and the technical experience of staff. There was limited articulat…","author":[{"dropping-particle":"","family":"James","given":"Hannah M.","non-dropping-particle":"","parse-names":false,"suffix":""},{"dropping-particle":"","family":"Papoutsi","given":"Chrysanthi","non-dropping-particle":"","parse-names":false,"suffix":""},{"dropping-particle":"","family":"Wherton","given":"Joseph","non-dropping-particle":"","parse-names":false,"suffix":""},{"dropping-particle":"","family":"Greenhalgh","given":"Trisha","non-dropping-particle":"","parse-names":false,"suffix":""},{"dropping-particle":"","family":"Shaw","given":"Sara E.","non-dropping-particle":"","parse-names":false,"suffix":""}],"container-title":"Journal of Medical Internet Research","id":"ITEM-1","issue":"1","issued":{"date-parts":[["2021"]]},"title":"Spread, Scale-up, and Sustainability of Video Consulting in Health Care: Systematic Review and Synthesis Guided by the NASSS Framework","type":"article-journal","volume":"23"},"uris":["http://www.mendeley.com/documents/?uuid=6c669b01-25cf-4c10-8c6a-c4125bf56e04"]}],"mendeley":{"formattedCitation":"(James &lt;i&gt;et al.&lt;/i&gt;, 2021)","manualFormatting":"James et al., (2021)","plainTextFormattedCitation":"(James et al., 2021)","previouslyFormattedCitation":"(James &lt;i&gt;et al.&lt;/i&gt;, 2021)"},"properties":{"noteIndex":0},"schema":"https://github.com/citation-style-language/schema/raw/master/csl-citation.json"}</w:instrText>
      </w:r>
      <w:r w:rsidRPr="00DA4568">
        <w:rPr>
          <w:rFonts w:ascii="Arial" w:hAnsi="Arial" w:cs="Arial"/>
        </w:rPr>
        <w:fldChar w:fldCharType="separate"/>
      </w:r>
      <w:r w:rsidRPr="00DA4568">
        <w:rPr>
          <w:rFonts w:ascii="Arial" w:hAnsi="Arial" w:cs="Arial"/>
          <w:noProof/>
        </w:rPr>
        <w:t xml:space="preserve">James </w:t>
      </w:r>
      <w:r w:rsidRPr="00DA4568">
        <w:rPr>
          <w:rFonts w:ascii="Arial" w:hAnsi="Arial" w:cs="Arial"/>
          <w:i/>
          <w:noProof/>
        </w:rPr>
        <w:t>et al.</w:t>
      </w:r>
      <w:r w:rsidRPr="00DA4568">
        <w:rPr>
          <w:rFonts w:ascii="Arial" w:hAnsi="Arial" w:cs="Arial"/>
          <w:noProof/>
        </w:rPr>
        <w:t>, (2021)</w:t>
      </w:r>
      <w:r w:rsidRPr="00DA4568">
        <w:rPr>
          <w:rFonts w:ascii="Arial" w:hAnsi="Arial" w:cs="Arial"/>
        </w:rPr>
        <w:fldChar w:fldCharType="end"/>
      </w:r>
      <w:r>
        <w:rPr>
          <w:rFonts w:ascii="Arial" w:hAnsi="Arial" w:cs="Arial"/>
        </w:rPr>
        <w:t xml:space="preserve"> identified that service development using video consultation can face opposition from staff and organisations who are resistant to change. They also reported that technical experience of staff has been one of the challenges that prevents scale up and spread of video consultations.  This can be mitigated by including key stakeholders in co-designing service development and ensure close communication throughout the project. </w:t>
      </w:r>
    </w:p>
    <w:p w14:paraId="3B787AFF" w14:textId="77777777" w:rsidR="003B7409" w:rsidRPr="00B86820" w:rsidRDefault="003B7409" w:rsidP="003B7409">
      <w:pPr>
        <w:jc w:val="both"/>
        <w:rPr>
          <w:rFonts w:ascii="Arial" w:hAnsi="Arial" w:cs="Arial"/>
          <w:shd w:val="clear" w:color="auto" w:fill="FFFFFF"/>
        </w:rPr>
      </w:pPr>
      <w:proofErr w:type="gramStart"/>
      <w:r>
        <w:rPr>
          <w:rFonts w:ascii="Arial" w:hAnsi="Arial" w:cs="Arial"/>
        </w:rPr>
        <w:t>Thus</w:t>
      </w:r>
      <w:proofErr w:type="gramEnd"/>
      <w:r>
        <w:rPr>
          <w:rFonts w:ascii="Arial" w:hAnsi="Arial" w:cs="Arial"/>
        </w:rPr>
        <w:t xml:space="preserve"> it is important to co-design the pathway with key stakeholders and provide staff training before conducting the remote consultation.</w:t>
      </w:r>
      <w:r>
        <w:rPr>
          <w:rFonts w:ascii="Arial" w:hAnsi="Arial" w:cs="Arial"/>
          <w:shd w:val="clear" w:color="auto" w:fill="FFFFFF"/>
        </w:rPr>
        <w:t xml:space="preserve"> </w:t>
      </w:r>
      <w:r>
        <w:rPr>
          <w:rFonts w:ascii="Arial" w:hAnsi="Arial" w:cs="Arial"/>
        </w:rPr>
        <w:t>A</w:t>
      </w:r>
      <w:r w:rsidRPr="00886A9C">
        <w:rPr>
          <w:rFonts w:ascii="Arial" w:hAnsi="Arial" w:cs="Arial"/>
        </w:rPr>
        <w:t xml:space="preserve"> process mapping approach will be used to ensure that relevant stakeholders are identified, process flow between activities is coordinated and resources (time spent) for each activity is measured to identify bottlenecks and waiting times</w:t>
      </w:r>
      <w:r>
        <w:rPr>
          <w:rFonts w:ascii="Arial" w:hAnsi="Arial" w:cs="Arial"/>
        </w:rPr>
        <w:t xml:space="preserve"> </w:t>
      </w:r>
      <w:r>
        <w:rPr>
          <w:rFonts w:ascii="Arial" w:hAnsi="Arial" w:cs="Arial"/>
        </w:rPr>
        <w:fldChar w:fldCharType="begin" w:fldLock="1"/>
      </w:r>
      <w:r>
        <w:rPr>
          <w:rFonts w:ascii="Arial" w:hAnsi="Arial" w:cs="Arial"/>
        </w:rPr>
        <w:instrText>ADDIN CSL_CITATION {"citationItems":[{"id":"ITEM-1","itemData":{"DOI":"10.1136/bmj.c4078","ISSN":"0959-8138","author":[{"dropping-particle":"","family":"Trebble","given":"Timothy M","non-dropping-particle":"","parse-names":false,"suffix":""},{"dropping-particle":"","family":"Hansi","given":"Navjyot","non-dropping-particle":"","parse-names":false,"suffix":""},{"dropping-particle":"","family":"Hydes","given":"Theresa","non-dropping-particle":"","parse-names":false,"suffix":""},{"dropping-particle":"","family":"Smith","given":"Melissa A","non-dropping-particle":"","parse-names":false,"suffix":""},{"dropping-particle":"","family":"Baker","given":"Marc","non-dropping-particle":"","parse-names":false,"suffix":""}],"container-title":"BMJ","id":"ITEM-1","issued":{"date-parts":[["2010"]]},"note":"Process mapping","publisher":"BMJ Publishing Group Ltd","title":"Process mapping the patient journey: an introduction","type":"article-journal","volume":"341"},"uris":["http://www.mendeley.com/documents/?uuid=fbafc983-91d1-4b72-b337-f01523b336ef"]}],"mendeley":{"formattedCitation":"(Trebble &lt;i&gt;et al.&lt;/i&gt;, 2010)","plainTextFormattedCitation":"(Trebble et al., 2010)","previouslyFormattedCitation":"(Trebble &lt;i&gt;et al.&lt;/i&gt;, 2010)"},"properties":{"noteIndex":0},"schema":"https://github.com/citation-style-language/schema/raw/master/csl-citation.json"}</w:instrText>
      </w:r>
      <w:r>
        <w:rPr>
          <w:rFonts w:ascii="Arial" w:hAnsi="Arial" w:cs="Arial"/>
        </w:rPr>
        <w:fldChar w:fldCharType="separate"/>
      </w:r>
      <w:r w:rsidRPr="00886A9C">
        <w:rPr>
          <w:rFonts w:ascii="Arial" w:hAnsi="Arial" w:cs="Arial"/>
          <w:noProof/>
        </w:rPr>
        <w:t xml:space="preserve">(Trebble </w:t>
      </w:r>
      <w:r w:rsidRPr="00886A9C">
        <w:rPr>
          <w:rFonts w:ascii="Arial" w:hAnsi="Arial" w:cs="Arial"/>
          <w:i/>
          <w:noProof/>
        </w:rPr>
        <w:t>et al.</w:t>
      </w:r>
      <w:r w:rsidRPr="00886A9C">
        <w:rPr>
          <w:rFonts w:ascii="Arial" w:hAnsi="Arial" w:cs="Arial"/>
          <w:noProof/>
        </w:rPr>
        <w:t>, 2010)</w:t>
      </w:r>
      <w:r>
        <w:rPr>
          <w:rFonts w:ascii="Arial" w:hAnsi="Arial" w:cs="Arial"/>
        </w:rPr>
        <w:fldChar w:fldCharType="end"/>
      </w:r>
      <w:r>
        <w:rPr>
          <w:rFonts w:ascii="Arial" w:hAnsi="Arial" w:cs="Arial"/>
        </w:rPr>
        <w:t>.</w:t>
      </w:r>
      <w:r w:rsidRPr="00886A9C">
        <w:rPr>
          <w:rFonts w:ascii="Arial" w:hAnsi="Arial" w:cs="Arial"/>
        </w:rPr>
        <w:t xml:space="preserve"> Process-oriented information and improvements will be identified by all stakeholders to include allied health professionals, care home staff and patients’ families.</w:t>
      </w:r>
    </w:p>
    <w:p w14:paraId="18135D15" w14:textId="77777777" w:rsidR="003B7409" w:rsidRDefault="003B7409" w:rsidP="003B7409">
      <w:pPr>
        <w:jc w:val="both"/>
        <w:rPr>
          <w:rFonts w:ascii="Arial" w:hAnsi="Arial" w:cs="Arial"/>
        </w:rPr>
      </w:pPr>
    </w:p>
    <w:p w14:paraId="39E6BD4E" w14:textId="1716ED0B" w:rsidR="003B7409" w:rsidRPr="00AB769A" w:rsidRDefault="003B7409" w:rsidP="003B7409">
      <w:pPr>
        <w:jc w:val="both"/>
        <w:rPr>
          <w:rFonts w:ascii="Arial" w:hAnsi="Arial" w:cs="Arial"/>
        </w:rPr>
      </w:pPr>
      <w:r w:rsidRPr="00AB769A">
        <w:rPr>
          <w:rFonts w:ascii="Arial" w:hAnsi="Arial" w:cs="Arial"/>
        </w:rPr>
        <w:t>Co-designing systems of care is important to ensure high level of care, added value and optimal use of skills and resources</w:t>
      </w:r>
      <w:r>
        <w:rPr>
          <w:rFonts w:ascii="Arial" w:hAnsi="Arial" w:cs="Arial"/>
        </w:rPr>
        <w:t xml:space="preserve"> especially on quality improvement projects </w:t>
      </w:r>
      <w:r>
        <w:rPr>
          <w:rFonts w:ascii="Arial" w:hAnsi="Arial" w:cs="Arial"/>
        </w:rPr>
        <w:fldChar w:fldCharType="begin" w:fldLock="1"/>
      </w:r>
      <w:r w:rsidR="007F61D7">
        <w:rPr>
          <w:rFonts w:ascii="Arial" w:hAnsi="Arial" w:cs="Arial"/>
        </w:rPr>
        <w:instrText>ADDIN CSL_CITATION {"citationItems":[{"id":"ITEM-1","itemData":{"ISSN":"0951-4848","author":[{"dropping-particle":"","family":"Antonacci","given":"Grazia","non-dropping-particle":"","parse-names":false,"suffix":""},{"dropping-particle":"","family":"Reed","given":"Julie E","non-dropping-particle":"","parse-names":false,"suffix":""},{"dropping-particle":"","family":"Lennox","given":"Laura","non-dropping-particle":"","parse-names":false,"suffix":""},{"dropping-particle":"","family":"Barlow","given":"James","non-dropping-particle":"","parse-names":false,"suffix":""}],"container-title":"Health services management research","id":"ITEM-1","issue":"2","issued":{"date-parts":[["2018"]]},"page":"74-84","publisher":"SAGE Publications Sage UK: London, England","title":"The use of process mapping in healthcare quality improvement projects","type":"article-journal","volume":"31"},"uris":["http://www.mendeley.com/documents/?uuid=60938cc9-3423-4902-ae54-c3a7c2ac9401"]}],"mendeley":{"formattedCitation":"(Antonacci &lt;i&gt;et al.&lt;/i&gt;, 2018)","plainTextFormattedCitation":"(Antonacci et al., 2018)","previouslyFormattedCitation":"(Antonacci &lt;i&gt;et al.&lt;/i&gt;, 2018)"},"properties":{"noteIndex":0},"schema":"https://github.com/citation-style-language/schema/raw/master/csl-citation.json"}</w:instrText>
      </w:r>
      <w:r>
        <w:rPr>
          <w:rFonts w:ascii="Arial" w:hAnsi="Arial" w:cs="Arial"/>
        </w:rPr>
        <w:fldChar w:fldCharType="separate"/>
      </w:r>
      <w:r w:rsidRPr="003B7409">
        <w:rPr>
          <w:rFonts w:ascii="Arial" w:hAnsi="Arial" w:cs="Arial"/>
          <w:noProof/>
        </w:rPr>
        <w:t xml:space="preserve">(Antonacci </w:t>
      </w:r>
      <w:r w:rsidRPr="003B7409">
        <w:rPr>
          <w:rFonts w:ascii="Arial" w:hAnsi="Arial" w:cs="Arial"/>
          <w:i/>
          <w:noProof/>
        </w:rPr>
        <w:t>et al.</w:t>
      </w:r>
      <w:r w:rsidRPr="003B7409">
        <w:rPr>
          <w:rFonts w:ascii="Arial" w:hAnsi="Arial" w:cs="Arial"/>
          <w:noProof/>
        </w:rPr>
        <w:t>, 2018)</w:t>
      </w:r>
      <w:r>
        <w:rPr>
          <w:rFonts w:ascii="Arial" w:hAnsi="Arial" w:cs="Arial"/>
        </w:rPr>
        <w:fldChar w:fldCharType="end"/>
      </w:r>
      <w:r w:rsidRPr="00AB769A">
        <w:rPr>
          <w:rFonts w:ascii="Arial" w:hAnsi="Arial" w:cs="Arial"/>
        </w:rPr>
        <w:t>. We will also involve care home managers, nursing staff and carers in the design and delivery of the project. There will be an initial consultation with them to identify and analyse training needs, understand swallowing, nutrition and medication needs of their residents, and comprehend the demands of their workforce whilst discussing strategies on how to effectively partner and collaborate with them in driving this project forward. This will also ensure that there is a shared risk with this new model and that service provision is targeted to what is needed (nothing more and nothing less) within safe practices.</w:t>
      </w:r>
    </w:p>
    <w:p w14:paraId="63F92889" w14:textId="77777777" w:rsidR="003B7409" w:rsidRPr="00AB769A" w:rsidRDefault="003B7409" w:rsidP="003B7409">
      <w:pPr>
        <w:jc w:val="both"/>
        <w:rPr>
          <w:rFonts w:ascii="Arial" w:hAnsi="Arial" w:cs="Arial"/>
        </w:rPr>
      </w:pPr>
    </w:p>
    <w:p w14:paraId="6894E962" w14:textId="77777777" w:rsidR="003B7409" w:rsidRPr="00AB769A" w:rsidRDefault="003B7409" w:rsidP="003B7409">
      <w:pPr>
        <w:jc w:val="both"/>
        <w:rPr>
          <w:rFonts w:ascii="Arial" w:hAnsi="Arial" w:cs="Arial"/>
        </w:rPr>
      </w:pPr>
      <w:r>
        <w:rPr>
          <w:rFonts w:ascii="Arial" w:hAnsi="Arial" w:cs="Arial"/>
        </w:rPr>
        <w:lastRenderedPageBreak/>
        <w:t>To ensure adoption of the new technology, w</w:t>
      </w:r>
      <w:r w:rsidRPr="00AB769A">
        <w:rPr>
          <w:rFonts w:ascii="Arial" w:hAnsi="Arial" w:cs="Arial"/>
        </w:rPr>
        <w:t>e will also include the patient (when able) and their families to have an active role in the consultation process and actual service deliver. They will be included in the evaluation phase to concentrate on what matters to them, ensure that their needs are met and delivered according to their preference. We will conduct information feedback sessions and send questionnaires. This will ensure that the patient and patient families are able to make informed decision about the care they are receiving. These measures will ensure that care home staff, multi-disciplinary allied health team, patient and families are equal partners in designing and developing this new service delivery through co-production.</w:t>
      </w:r>
    </w:p>
    <w:p w14:paraId="29D4AFA0" w14:textId="700F2E8D" w:rsidR="00D449D2" w:rsidRDefault="003B7409" w:rsidP="003B7409">
      <w:pPr>
        <w:pStyle w:val="NormalWeb"/>
        <w:jc w:val="both"/>
        <w:rPr>
          <w:rFonts w:ascii="Arial" w:hAnsi="Arial" w:cs="Arial"/>
        </w:rPr>
      </w:pPr>
      <w:r>
        <w:rPr>
          <w:rFonts w:ascii="Arial" w:hAnsi="Arial" w:cs="Arial"/>
        </w:rPr>
        <w:t>Figure 2 shows a possible new clinical pathway that reduced task reduplication and ensures data flow is safe and accurate. This will be presented to all stakeholders for development and review.</w:t>
      </w:r>
    </w:p>
    <w:p w14:paraId="1179DB8D" w14:textId="0AE85B4F" w:rsidR="006C2C32" w:rsidRDefault="006C2C32" w:rsidP="003B7409">
      <w:pPr>
        <w:pStyle w:val="NormalWeb"/>
        <w:jc w:val="both"/>
        <w:rPr>
          <w:rFonts w:ascii="Arial" w:hAnsi="Arial" w:cs="Arial"/>
        </w:rPr>
      </w:pPr>
    </w:p>
    <w:p w14:paraId="0F03AA30" w14:textId="77777777" w:rsidR="006C2C32" w:rsidRDefault="006C2C32" w:rsidP="003B7409">
      <w:pPr>
        <w:pStyle w:val="NormalWeb"/>
        <w:jc w:val="both"/>
        <w:rPr>
          <w:rFonts w:ascii="Arial" w:hAnsi="Arial" w:cs="Arial"/>
        </w:rPr>
      </w:pPr>
    </w:p>
    <w:p w14:paraId="0B40C1E9" w14:textId="435B6667" w:rsidR="003B7409" w:rsidRDefault="003B7409" w:rsidP="003B7409">
      <w:pPr>
        <w:pStyle w:val="NormalWeb"/>
        <w:jc w:val="both"/>
        <w:rPr>
          <w:rFonts w:ascii="Arial" w:hAnsi="Arial" w:cs="Arial"/>
        </w:rPr>
      </w:pPr>
      <w:r>
        <w:rPr>
          <w:rFonts w:ascii="Arial" w:hAnsi="Arial" w:cs="Arial"/>
        </w:rPr>
        <w:tab/>
        <w:t xml:space="preserve">Figure 2: New Integrated Clinical Pathway for Consultation </w:t>
      </w:r>
      <w:r w:rsidR="004D2E04">
        <w:rPr>
          <w:rFonts w:ascii="Arial" w:hAnsi="Arial" w:cs="Arial"/>
        </w:rPr>
        <w:t>with Stakeholders</w:t>
      </w:r>
    </w:p>
    <w:p w14:paraId="4E5BC4A3" w14:textId="77777777" w:rsidR="003B7409" w:rsidRDefault="003B7409" w:rsidP="003B7409">
      <w:pPr>
        <w:pStyle w:val="NormalWeb"/>
        <w:jc w:val="both"/>
        <w:rPr>
          <w:rFonts w:ascii="Arial" w:hAnsi="Arial" w:cs="Arial"/>
        </w:rPr>
      </w:pPr>
      <w:r w:rsidRPr="00200F97">
        <w:rPr>
          <w:rFonts w:ascii="Arial" w:hAnsi="Arial" w:cs="Arial"/>
        </w:rPr>
        <w:drawing>
          <wp:inline distT="0" distB="0" distL="0" distR="0" wp14:anchorId="5990E4F5" wp14:editId="26AC63DF">
            <wp:extent cx="5943600" cy="2160905"/>
            <wp:effectExtent l="0" t="0" r="0" b="0"/>
            <wp:docPr id="41" name="Picture 4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application&#10;&#10;Description automatically generated"/>
                    <pic:cNvPicPr/>
                  </pic:nvPicPr>
                  <pic:blipFill>
                    <a:blip r:embed="rId15"/>
                    <a:stretch>
                      <a:fillRect/>
                    </a:stretch>
                  </pic:blipFill>
                  <pic:spPr>
                    <a:xfrm>
                      <a:off x="0" y="0"/>
                      <a:ext cx="5943600" cy="2160905"/>
                    </a:xfrm>
                    <a:prstGeom prst="rect">
                      <a:avLst/>
                    </a:prstGeom>
                  </pic:spPr>
                </pic:pic>
              </a:graphicData>
            </a:graphic>
          </wp:inline>
        </w:drawing>
      </w:r>
    </w:p>
    <w:p w14:paraId="31937583" w14:textId="77777777" w:rsidR="003B7409" w:rsidRDefault="003B7409" w:rsidP="003B7409">
      <w:pPr>
        <w:pStyle w:val="NormalWeb"/>
        <w:jc w:val="both"/>
        <w:rPr>
          <w:rFonts w:ascii="Arial" w:hAnsi="Arial" w:cs="Arial"/>
        </w:rPr>
      </w:pPr>
      <w:r w:rsidRPr="00200F97">
        <w:rPr>
          <w:rFonts w:ascii="Arial" w:hAnsi="Arial" w:cs="Arial"/>
        </w:rPr>
        <w:lastRenderedPageBreak/>
        <w:drawing>
          <wp:inline distT="0" distB="0" distL="0" distR="0" wp14:anchorId="3E803149" wp14:editId="56EF9E1A">
            <wp:extent cx="5943600" cy="2176176"/>
            <wp:effectExtent l="0" t="0" r="0" b="0"/>
            <wp:docPr id="42" name="Picture 4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Diagram&#10;&#10;Description automatically generated"/>
                    <pic:cNvPicPr/>
                  </pic:nvPicPr>
                  <pic:blipFill>
                    <a:blip r:embed="rId16"/>
                    <a:stretch>
                      <a:fillRect/>
                    </a:stretch>
                  </pic:blipFill>
                  <pic:spPr>
                    <a:xfrm>
                      <a:off x="0" y="0"/>
                      <a:ext cx="5943600" cy="2176176"/>
                    </a:xfrm>
                    <a:prstGeom prst="rect">
                      <a:avLst/>
                    </a:prstGeom>
                  </pic:spPr>
                </pic:pic>
              </a:graphicData>
            </a:graphic>
          </wp:inline>
        </w:drawing>
      </w:r>
    </w:p>
    <w:p w14:paraId="1EA356C4" w14:textId="1AA4A7AA" w:rsidR="00886A9C" w:rsidRDefault="003B7409" w:rsidP="006C2C32">
      <w:pPr>
        <w:pStyle w:val="NormalWeb"/>
        <w:jc w:val="center"/>
        <w:rPr>
          <w:rFonts w:ascii="Arial" w:hAnsi="Arial" w:cs="Arial"/>
        </w:rPr>
      </w:pPr>
      <w:r w:rsidRPr="00200F97">
        <w:rPr>
          <w:noProof/>
        </w:rPr>
        <w:drawing>
          <wp:inline distT="0" distB="0" distL="0" distR="0" wp14:anchorId="41912A74" wp14:editId="79168A44">
            <wp:extent cx="1640760" cy="1258784"/>
            <wp:effectExtent l="0" t="0" r="0" b="0"/>
            <wp:docPr id="43" name="Picture 43"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diagram&#10;&#10;Description automatically generated"/>
                    <pic:cNvPicPr/>
                  </pic:nvPicPr>
                  <pic:blipFill>
                    <a:blip r:embed="rId17"/>
                    <a:stretch>
                      <a:fillRect/>
                    </a:stretch>
                  </pic:blipFill>
                  <pic:spPr>
                    <a:xfrm>
                      <a:off x="0" y="0"/>
                      <a:ext cx="1644867" cy="1261935"/>
                    </a:xfrm>
                    <a:prstGeom prst="rect">
                      <a:avLst/>
                    </a:prstGeom>
                  </pic:spPr>
                </pic:pic>
              </a:graphicData>
            </a:graphic>
          </wp:inline>
        </w:drawing>
      </w:r>
    </w:p>
    <w:p w14:paraId="39C0EF63" w14:textId="77777777" w:rsidR="006C2C32" w:rsidRPr="006C2C32" w:rsidRDefault="006C2C32" w:rsidP="006C2C32">
      <w:pPr>
        <w:pStyle w:val="NormalWeb"/>
        <w:jc w:val="center"/>
        <w:rPr>
          <w:rFonts w:ascii="Arial" w:hAnsi="Arial" w:cs="Arial"/>
        </w:rPr>
      </w:pPr>
    </w:p>
    <w:p w14:paraId="47F94B34" w14:textId="66E74528" w:rsidR="00874035" w:rsidRDefault="003254D6" w:rsidP="00874035">
      <w:pPr>
        <w:jc w:val="both"/>
        <w:rPr>
          <w:rFonts w:ascii="Arial" w:hAnsi="Arial" w:cs="Arial"/>
        </w:rPr>
      </w:pPr>
      <w:r w:rsidRPr="00886A9C">
        <w:rPr>
          <w:rFonts w:ascii="Arial" w:hAnsi="Arial" w:cs="Arial"/>
        </w:rPr>
        <w:drawing>
          <wp:inline distT="0" distB="0" distL="0" distR="0" wp14:anchorId="683299C3" wp14:editId="18BA81F2">
            <wp:extent cx="1947553" cy="1544007"/>
            <wp:effectExtent l="0" t="0" r="0" b="5715"/>
            <wp:docPr id="46" name="Picture 46" descr="Diagram, pie chart,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Diagram, pie chart, venn diagram&#10;&#10;Description automatically generated"/>
                    <pic:cNvPicPr/>
                  </pic:nvPicPr>
                  <pic:blipFill>
                    <a:blip r:embed="rId18"/>
                    <a:stretch>
                      <a:fillRect/>
                    </a:stretch>
                  </pic:blipFill>
                  <pic:spPr>
                    <a:xfrm>
                      <a:off x="0" y="0"/>
                      <a:ext cx="1961421" cy="1555001"/>
                    </a:xfrm>
                    <a:prstGeom prst="rect">
                      <a:avLst/>
                    </a:prstGeom>
                  </pic:spPr>
                </pic:pic>
              </a:graphicData>
            </a:graphic>
          </wp:inline>
        </w:drawing>
      </w:r>
      <w:r w:rsidR="00874035" w:rsidRPr="00874035">
        <w:rPr>
          <w:rFonts w:ascii="Arial" w:hAnsi="Arial" w:cs="Arial"/>
        </w:rPr>
        <w:t xml:space="preserve"> </w:t>
      </w:r>
      <w:r w:rsidR="00FB17CB">
        <w:rPr>
          <w:rFonts w:ascii="Arial" w:hAnsi="Arial" w:cs="Arial"/>
        </w:rPr>
        <w:t xml:space="preserve">Do </w:t>
      </w:r>
    </w:p>
    <w:p w14:paraId="742DF058" w14:textId="77777777" w:rsidR="003B7409" w:rsidRDefault="003B7409" w:rsidP="00874035">
      <w:pPr>
        <w:jc w:val="both"/>
        <w:rPr>
          <w:rFonts w:ascii="Arial" w:hAnsi="Arial" w:cs="Arial"/>
        </w:rPr>
      </w:pPr>
    </w:p>
    <w:p w14:paraId="4BA39E6A" w14:textId="7ADECEC6" w:rsidR="00874035" w:rsidRPr="00874035" w:rsidRDefault="00874035" w:rsidP="00874035">
      <w:pPr>
        <w:jc w:val="both"/>
        <w:rPr>
          <w:rFonts w:ascii="Arial" w:hAnsi="Arial" w:cs="Arial"/>
        </w:rPr>
      </w:pPr>
      <w:r w:rsidRPr="00874035">
        <w:rPr>
          <w:rFonts w:ascii="Arial" w:hAnsi="Arial" w:cs="Arial"/>
        </w:rPr>
        <w:t xml:space="preserve">We will attempt conduct a </w:t>
      </w:r>
      <w:proofErr w:type="gramStart"/>
      <w:r w:rsidRPr="00874035">
        <w:rPr>
          <w:rFonts w:ascii="Arial" w:hAnsi="Arial" w:cs="Arial"/>
        </w:rPr>
        <w:t>two phase</w:t>
      </w:r>
      <w:proofErr w:type="gramEnd"/>
      <w:r w:rsidRPr="00874035">
        <w:rPr>
          <w:rFonts w:ascii="Arial" w:hAnsi="Arial" w:cs="Arial"/>
        </w:rPr>
        <w:t xml:space="preserve"> pilot (with a duration of 3 months each) with an evaluation component after each phase (3 months) to provide any changes derived from new learnings gathered from evaluation forms, questionnaires, interviews and standardized outcome measures during previous phase of the pilot. This project aims to present a new effective integrated model for the future provision of care for people with swallowing difficulties in Wales. We will conduct the pilot in 3 care homes in Bridgend, one from each primary care cluster networks (North, West and East).</w:t>
      </w:r>
      <w:r w:rsidR="003B7409">
        <w:rPr>
          <w:rFonts w:ascii="Arial" w:hAnsi="Arial" w:cs="Arial"/>
        </w:rPr>
        <w:t xml:space="preserve"> All referrals will be sent to one email and admin support will collate and upload relevant referral data to the project digital file and database.</w:t>
      </w:r>
    </w:p>
    <w:p w14:paraId="5F013753" w14:textId="77777777" w:rsidR="00874035" w:rsidRPr="00874035" w:rsidRDefault="00874035" w:rsidP="00874035">
      <w:pPr>
        <w:jc w:val="both"/>
        <w:rPr>
          <w:rFonts w:ascii="Arial" w:hAnsi="Arial" w:cs="Arial"/>
        </w:rPr>
      </w:pPr>
    </w:p>
    <w:p w14:paraId="35790051" w14:textId="034410F8" w:rsidR="00874035" w:rsidRDefault="00874035" w:rsidP="00874035">
      <w:pPr>
        <w:jc w:val="both"/>
        <w:rPr>
          <w:rFonts w:ascii="Arial" w:hAnsi="Arial" w:cs="Arial"/>
        </w:rPr>
      </w:pPr>
      <w:r w:rsidRPr="00874035">
        <w:rPr>
          <w:rFonts w:ascii="Arial" w:hAnsi="Arial" w:cs="Arial"/>
        </w:rPr>
        <w:t xml:space="preserve">Clinicians from these disciplines will conduct a joint remote consultation session </w:t>
      </w:r>
      <w:r w:rsidR="003B7409">
        <w:rPr>
          <w:rFonts w:ascii="Arial" w:hAnsi="Arial" w:cs="Arial"/>
        </w:rPr>
        <w:t xml:space="preserve">once a week </w:t>
      </w:r>
      <w:r w:rsidRPr="00874035">
        <w:rPr>
          <w:rFonts w:ascii="Arial" w:hAnsi="Arial" w:cs="Arial"/>
        </w:rPr>
        <w:t xml:space="preserve">and will direct Care Home Nurses and/or Senior Care Home Staff using a secure </w:t>
      </w:r>
      <w:proofErr w:type="gramStart"/>
      <w:r w:rsidRPr="00874035">
        <w:rPr>
          <w:rFonts w:ascii="Arial" w:hAnsi="Arial" w:cs="Arial"/>
        </w:rPr>
        <w:t>two way</w:t>
      </w:r>
      <w:proofErr w:type="gramEnd"/>
      <w:r w:rsidRPr="00874035">
        <w:rPr>
          <w:rFonts w:ascii="Arial" w:hAnsi="Arial" w:cs="Arial"/>
        </w:rPr>
        <w:t xml:space="preserve"> video link to address holistic swallowing, nutrition and medication needs of care home residents. These clinicians will also provide multi-disciplinary training to Care Home Nurses and/or Senior Care Home to contribute to skills development across health and social care.</w:t>
      </w:r>
    </w:p>
    <w:p w14:paraId="54216DB9" w14:textId="526741E9" w:rsidR="003B7409" w:rsidRPr="00081946" w:rsidRDefault="003B7409" w:rsidP="00081946">
      <w:pPr>
        <w:pStyle w:val="NormalWeb"/>
        <w:jc w:val="both"/>
        <w:rPr>
          <w:rFonts w:ascii="Arial" w:hAnsi="Arial" w:cs="Arial"/>
        </w:rPr>
      </w:pPr>
      <w:r w:rsidRPr="00081946">
        <w:rPr>
          <w:rFonts w:ascii="Arial" w:hAnsi="Arial" w:cs="Arial"/>
        </w:rPr>
        <w:t xml:space="preserve">Training will be conducted in the care homes to ensure that care home staff have access to the correct equipment, environment and policies that will be adhered to when conducting the joint video consultations. </w:t>
      </w:r>
    </w:p>
    <w:p w14:paraId="7E30B445" w14:textId="24A82600" w:rsidR="00081946" w:rsidRPr="00081946" w:rsidRDefault="00081946" w:rsidP="00081946">
      <w:pPr>
        <w:jc w:val="both"/>
        <w:rPr>
          <w:rFonts w:ascii="Arial" w:hAnsi="Arial" w:cs="Arial"/>
        </w:rPr>
      </w:pPr>
      <w:r w:rsidRPr="00081946">
        <w:rPr>
          <w:rFonts w:ascii="Arial" w:hAnsi="Arial" w:cs="Arial"/>
          <w:shd w:val="clear" w:color="auto" w:fill="FFFFFF"/>
        </w:rPr>
        <w:t>We will be using</w:t>
      </w:r>
      <w:r w:rsidRPr="00081946">
        <w:rPr>
          <w:rFonts w:ascii="Arial" w:hAnsi="Arial" w:cs="Arial"/>
          <w:shd w:val="clear" w:color="auto" w:fill="FFFFFF"/>
        </w:rPr>
        <w:t xml:space="preserve"> the Attend Anywhere software</w:t>
      </w:r>
      <w:r w:rsidRPr="00081946">
        <w:rPr>
          <w:rFonts w:ascii="Arial" w:hAnsi="Arial" w:cs="Arial"/>
          <w:shd w:val="clear" w:color="auto" w:fill="FFFFFF"/>
        </w:rPr>
        <w:t xml:space="preserve"> for all telehealth consultations</w:t>
      </w:r>
      <w:r w:rsidRPr="00081946">
        <w:rPr>
          <w:rFonts w:ascii="Arial" w:hAnsi="Arial" w:cs="Arial"/>
          <w:shd w:val="clear" w:color="auto" w:fill="FFFFFF"/>
        </w:rPr>
        <w:t>. </w:t>
      </w:r>
      <w:r w:rsidRPr="00081946">
        <w:rPr>
          <w:rFonts w:ascii="Arial" w:hAnsi="Arial" w:cs="Arial"/>
        </w:rPr>
        <w:t xml:space="preserve"> Attend Anywhere is a web-based program that allows remote video consultation to take place between patients and clinicians</w:t>
      </w:r>
      <w:r w:rsidR="00D449D2">
        <w:rPr>
          <w:rFonts w:ascii="Arial" w:hAnsi="Arial" w:cs="Arial"/>
        </w:rPr>
        <w:t xml:space="preserve"> </w:t>
      </w:r>
      <w:r w:rsidR="00D449D2">
        <w:rPr>
          <w:rFonts w:ascii="Arial" w:hAnsi="Arial" w:cs="Arial"/>
        </w:rPr>
        <w:fldChar w:fldCharType="begin" w:fldLock="1"/>
      </w:r>
      <w:r w:rsidR="00674FBD">
        <w:rPr>
          <w:rFonts w:ascii="Arial" w:hAnsi="Arial" w:cs="Arial"/>
        </w:rPr>
        <w:instrText>ADDIN CSL_CITATION {"citationItems":[{"id":"ITEM-1","itemData":{"URL":"https://www.attendanywhere.com/","accessed":{"date-parts":[["2021","12","4"]]},"author":[{"dropping-particle":"","family":"Attend Anywhere","given":"","non-dropping-particle":"","parse-names":false,"suffix":""}],"id":"ITEM-1","issued":{"date-parts":[["2021"]]},"title":"Make Travel Optional","type":"webpage"},"uris":["http://www.mendeley.com/documents/?uuid=a0da4b8c-84a7-459e-ae61-ec1793c86506"]}],"mendeley":{"formattedCitation":"(Attend Anywhere, 2021)","plainTextFormattedCitation":"(Attend Anywhere, 2021)","previouslyFormattedCitation":"(Attend Anywhere, 2021)"},"properties":{"noteIndex":0},"schema":"https://github.com/citation-style-language/schema/raw/master/csl-citation.json"}</w:instrText>
      </w:r>
      <w:r w:rsidR="00D449D2">
        <w:rPr>
          <w:rFonts w:ascii="Arial" w:hAnsi="Arial" w:cs="Arial"/>
        </w:rPr>
        <w:fldChar w:fldCharType="separate"/>
      </w:r>
      <w:r w:rsidR="00D449D2" w:rsidRPr="00D449D2">
        <w:rPr>
          <w:rFonts w:ascii="Arial" w:hAnsi="Arial" w:cs="Arial"/>
          <w:noProof/>
        </w:rPr>
        <w:t>(Attend Anywhere, 2021)</w:t>
      </w:r>
      <w:r w:rsidR="00D449D2">
        <w:rPr>
          <w:rFonts w:ascii="Arial" w:hAnsi="Arial" w:cs="Arial"/>
        </w:rPr>
        <w:fldChar w:fldCharType="end"/>
      </w:r>
      <w:r w:rsidRPr="00081946">
        <w:rPr>
          <w:rFonts w:ascii="Arial" w:hAnsi="Arial" w:cs="Arial"/>
        </w:rPr>
        <w:t xml:space="preserve">. It was designed to mimic, as close as possible, the current clinical pathway without extra processes or resources. Care homes will be </w:t>
      </w:r>
      <w:proofErr w:type="gramStart"/>
      <w:r w:rsidRPr="00081946">
        <w:rPr>
          <w:rFonts w:ascii="Arial" w:hAnsi="Arial" w:cs="Arial"/>
        </w:rPr>
        <w:t>use</w:t>
      </w:r>
      <w:proofErr w:type="gramEnd"/>
      <w:r w:rsidRPr="00081946">
        <w:rPr>
          <w:rFonts w:ascii="Arial" w:hAnsi="Arial" w:cs="Arial"/>
        </w:rPr>
        <w:t xml:space="preserve"> the Attend Anywhere software via the patient portal, where they will have access to a virtual waiting area. The clinician will then join the care home to begin the consultation process or in this case, remote dysphagia assessment. Figure 3.2 shows the process of this transaction</w:t>
      </w:r>
    </w:p>
    <w:p w14:paraId="2D80B13B" w14:textId="77777777" w:rsidR="00081946" w:rsidRPr="00081946" w:rsidRDefault="00081946" w:rsidP="00081946">
      <w:pPr>
        <w:jc w:val="both"/>
        <w:rPr>
          <w:rFonts w:ascii="Arial" w:hAnsi="Arial" w:cs="Arial"/>
        </w:rPr>
      </w:pPr>
    </w:p>
    <w:p w14:paraId="3D1BE925" w14:textId="39F8FD07" w:rsidR="00081946" w:rsidRPr="00E07F59" w:rsidRDefault="00081946" w:rsidP="00081946">
      <w:pPr>
        <w:pStyle w:val="Caption"/>
      </w:pPr>
      <w:r w:rsidRPr="00E07F59">
        <w:t xml:space="preserve">Figure </w:t>
      </w:r>
      <w:r>
        <w:fldChar w:fldCharType="begin"/>
      </w:r>
      <w:r>
        <w:instrText xml:space="preserve"> STYLEREF 1 \s </w:instrText>
      </w:r>
      <w:r>
        <w:fldChar w:fldCharType="separate"/>
      </w:r>
      <w:r>
        <w:rPr>
          <w:noProof/>
        </w:rPr>
        <w:t>3</w:t>
      </w:r>
      <w:r>
        <w:rPr>
          <w:noProof/>
        </w:rPr>
        <w:fldChar w:fldCharType="end"/>
      </w:r>
      <w:proofErr w:type="gramStart"/>
      <w:r>
        <w:noBreakHyphen/>
      </w:r>
      <w:r w:rsidRPr="00E07F59">
        <w:t xml:space="preserve"> </w:t>
      </w:r>
      <w:r>
        <w:t xml:space="preserve"> </w:t>
      </w:r>
      <w:r w:rsidR="00A25801">
        <w:t>Attend</w:t>
      </w:r>
      <w:proofErr w:type="gramEnd"/>
      <w:r w:rsidR="00A25801">
        <w:t xml:space="preserve"> Anywhere Procedure</w:t>
      </w:r>
    </w:p>
    <w:p w14:paraId="72CBF992" w14:textId="77777777" w:rsidR="00081946" w:rsidRPr="00C701DE" w:rsidRDefault="00081946" w:rsidP="00081946">
      <w:r>
        <w:rPr>
          <w:noProof/>
        </w:rPr>
        <w:drawing>
          <wp:inline distT="0" distB="0" distL="0" distR="0" wp14:anchorId="200189DD" wp14:editId="61BBE411">
            <wp:extent cx="5593278" cy="2750820"/>
            <wp:effectExtent l="0" t="0" r="0" b="5080"/>
            <wp:docPr id="263" name="Picture 263"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Picture 263" descr="Graphical user interface, application, Team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596509" cy="2752409"/>
                    </a:xfrm>
                    <a:prstGeom prst="rect">
                      <a:avLst/>
                    </a:prstGeom>
                  </pic:spPr>
                </pic:pic>
              </a:graphicData>
            </a:graphic>
          </wp:inline>
        </w:drawing>
      </w:r>
    </w:p>
    <w:p w14:paraId="72B2BF6A" w14:textId="3D443D57" w:rsidR="00874035" w:rsidRPr="00D449D2" w:rsidRDefault="00081946" w:rsidP="00D449D2">
      <w:pPr>
        <w:ind w:firstLine="360"/>
        <w:rPr>
          <w:b/>
          <w:bCs/>
          <w:color w:val="7030A0"/>
          <w:sz w:val="28"/>
          <w:szCs w:val="28"/>
        </w:rPr>
      </w:pPr>
      <w:r>
        <w:br w:type="page"/>
      </w:r>
    </w:p>
    <w:p w14:paraId="1DF7AC44" w14:textId="44528AEB" w:rsidR="00874035" w:rsidRDefault="00874035" w:rsidP="00874035">
      <w:pPr>
        <w:jc w:val="both"/>
        <w:rPr>
          <w:rFonts w:ascii="Arial" w:hAnsi="Arial" w:cs="Arial"/>
        </w:rPr>
      </w:pPr>
      <w:r w:rsidRPr="00886A9C">
        <w:rPr>
          <w:rFonts w:ascii="Arial" w:hAnsi="Arial" w:cs="Arial"/>
        </w:rPr>
        <w:lastRenderedPageBreak/>
        <w:drawing>
          <wp:inline distT="0" distB="0" distL="0" distR="0" wp14:anchorId="34951271" wp14:editId="2BD7AAA6">
            <wp:extent cx="1647423" cy="1460038"/>
            <wp:effectExtent l="0" t="0" r="3810" b="635"/>
            <wp:docPr id="47" name="Picture 47" descr="Diagram, pie chart,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Diagram, pie chart, venn diagram&#10;&#10;Description automatically generated"/>
                    <pic:cNvPicPr/>
                  </pic:nvPicPr>
                  <pic:blipFill>
                    <a:blip r:embed="rId20"/>
                    <a:stretch>
                      <a:fillRect/>
                    </a:stretch>
                  </pic:blipFill>
                  <pic:spPr>
                    <a:xfrm>
                      <a:off x="0" y="0"/>
                      <a:ext cx="1647423" cy="1460038"/>
                    </a:xfrm>
                    <a:prstGeom prst="rect">
                      <a:avLst/>
                    </a:prstGeom>
                  </pic:spPr>
                </pic:pic>
              </a:graphicData>
            </a:graphic>
          </wp:inline>
        </w:drawing>
      </w:r>
      <w:r w:rsidRPr="00874035">
        <w:rPr>
          <w:rFonts w:ascii="Arial" w:hAnsi="Arial" w:cs="Arial"/>
        </w:rPr>
        <w:t xml:space="preserve"> </w:t>
      </w:r>
      <w:r w:rsidR="00FB17CB">
        <w:rPr>
          <w:rFonts w:ascii="Arial" w:hAnsi="Arial" w:cs="Arial"/>
        </w:rPr>
        <w:t>Study</w:t>
      </w:r>
    </w:p>
    <w:p w14:paraId="43E3906B" w14:textId="08F2A6E3" w:rsidR="00874035" w:rsidRDefault="00874035" w:rsidP="00886A9C">
      <w:pPr>
        <w:rPr>
          <w:rFonts w:ascii="Arial" w:hAnsi="Arial" w:cs="Arial"/>
          <w:color w:val="7030A0"/>
        </w:rPr>
      </w:pPr>
    </w:p>
    <w:p w14:paraId="0427A80C" w14:textId="77777777" w:rsidR="000C50A2" w:rsidRDefault="003B7409" w:rsidP="000C50A2">
      <w:pPr>
        <w:jc w:val="both"/>
        <w:rPr>
          <w:rFonts w:ascii="Arial" w:hAnsi="Arial" w:cs="Arial"/>
        </w:rPr>
      </w:pPr>
      <w:r>
        <w:rPr>
          <w:rFonts w:ascii="Arial" w:hAnsi="Arial" w:cs="Arial"/>
        </w:rPr>
        <w:t xml:space="preserve">It is envisioned that the use of project mapping, technical and clinical training of care home staff and joint video consultation will </w:t>
      </w:r>
      <w:r w:rsidR="004D2E04">
        <w:rPr>
          <w:rFonts w:ascii="Arial" w:hAnsi="Arial" w:cs="Arial"/>
        </w:rPr>
        <w:t xml:space="preserve">have </w:t>
      </w:r>
      <w:proofErr w:type="gramStart"/>
      <w:r w:rsidR="004D2E04">
        <w:rPr>
          <w:rFonts w:ascii="Arial" w:hAnsi="Arial" w:cs="Arial"/>
        </w:rPr>
        <w:t>a number of</w:t>
      </w:r>
      <w:proofErr w:type="gramEnd"/>
      <w:r w:rsidR="004D2E04">
        <w:rPr>
          <w:rFonts w:ascii="Arial" w:hAnsi="Arial" w:cs="Arial"/>
        </w:rPr>
        <w:t xml:space="preserve"> benefits based on the d</w:t>
      </w:r>
      <w:r>
        <w:rPr>
          <w:rFonts w:ascii="Arial" w:hAnsi="Arial" w:cs="Arial"/>
        </w:rPr>
        <w:t xml:space="preserve">etailed outcomes </w:t>
      </w:r>
      <w:r w:rsidR="004D2E04">
        <w:rPr>
          <w:rFonts w:ascii="Arial" w:hAnsi="Arial" w:cs="Arial"/>
        </w:rPr>
        <w:t xml:space="preserve">which </w:t>
      </w:r>
      <w:r>
        <w:rPr>
          <w:rFonts w:ascii="Arial" w:hAnsi="Arial" w:cs="Arial"/>
        </w:rPr>
        <w:t xml:space="preserve">can be found in the table below. </w:t>
      </w:r>
      <w:r w:rsidR="004D2E04">
        <w:rPr>
          <w:rFonts w:ascii="Arial" w:hAnsi="Arial" w:cs="Arial"/>
        </w:rPr>
        <w:t xml:space="preserve">These will be collated, </w:t>
      </w:r>
      <w:r w:rsidR="00FB17CB">
        <w:rPr>
          <w:rFonts w:ascii="Arial" w:hAnsi="Arial" w:cs="Arial"/>
        </w:rPr>
        <w:t>analysed,</w:t>
      </w:r>
      <w:r w:rsidR="004D2E04">
        <w:rPr>
          <w:rFonts w:ascii="Arial" w:hAnsi="Arial" w:cs="Arial"/>
        </w:rPr>
        <w:t xml:space="preserve"> and compared with expected projections and current literature.</w:t>
      </w:r>
      <w:r w:rsidR="000C50A2">
        <w:rPr>
          <w:rFonts w:ascii="Arial" w:hAnsi="Arial" w:cs="Arial"/>
        </w:rPr>
        <w:t xml:space="preserve"> </w:t>
      </w:r>
    </w:p>
    <w:p w14:paraId="7914074C" w14:textId="77777777" w:rsidR="000C50A2" w:rsidRDefault="000C50A2" w:rsidP="000C50A2">
      <w:pPr>
        <w:jc w:val="both"/>
        <w:rPr>
          <w:rFonts w:ascii="Arial" w:hAnsi="Arial" w:cs="Arial"/>
        </w:rPr>
      </w:pPr>
    </w:p>
    <w:p w14:paraId="426E2CBE" w14:textId="250D215C" w:rsidR="00884D20" w:rsidRDefault="000C50A2" w:rsidP="000C50A2">
      <w:pPr>
        <w:jc w:val="both"/>
        <w:rPr>
          <w:rFonts w:ascii="Arial" w:hAnsi="Arial" w:cs="Arial"/>
        </w:rPr>
      </w:pPr>
      <w:r w:rsidRPr="00ED4E01">
        <w:rPr>
          <w:rFonts w:ascii="Arial" w:hAnsi="Arial" w:cs="Arial"/>
        </w:rPr>
        <w:t xml:space="preserve">Value added </w:t>
      </w:r>
      <w:r w:rsidR="00884D20">
        <w:rPr>
          <w:rFonts w:ascii="Arial" w:hAnsi="Arial" w:cs="Arial"/>
        </w:rPr>
        <w:t xml:space="preserve">clinical </w:t>
      </w:r>
      <w:r w:rsidRPr="00ED4E01">
        <w:rPr>
          <w:rFonts w:ascii="Arial" w:hAnsi="Arial" w:cs="Arial"/>
        </w:rPr>
        <w:t xml:space="preserve">outcome measures before and after intervention will be measured separately by each allied health professionals. Speech &amp; Language Therapy will use scores from the Therapy Outcome Measures (TOMS), Dietitians will use the Malnutrition Universal Screening Tool (MUST) and Modified Rio Score for Pharmacy. </w:t>
      </w:r>
      <w:r w:rsidR="00884D20">
        <w:rPr>
          <w:rFonts w:ascii="Arial" w:hAnsi="Arial" w:cs="Arial"/>
        </w:rPr>
        <w:t xml:space="preserve">This will identify if the patient’s risk for choking, pneumonia, </w:t>
      </w:r>
      <w:proofErr w:type="gramStart"/>
      <w:r w:rsidR="00884D20">
        <w:rPr>
          <w:rFonts w:ascii="Arial" w:hAnsi="Arial" w:cs="Arial"/>
        </w:rPr>
        <w:t>malnutrition</w:t>
      </w:r>
      <w:proofErr w:type="gramEnd"/>
      <w:r w:rsidR="00884D20">
        <w:rPr>
          <w:rFonts w:ascii="Arial" w:hAnsi="Arial" w:cs="Arial"/>
        </w:rPr>
        <w:t xml:space="preserve"> and dehydration is decreased after the intervention. Medication review will highlight if the patient </w:t>
      </w:r>
      <w:proofErr w:type="gramStart"/>
      <w:r w:rsidR="00884D20">
        <w:rPr>
          <w:rFonts w:ascii="Arial" w:hAnsi="Arial" w:cs="Arial"/>
        </w:rPr>
        <w:t>have</w:t>
      </w:r>
      <w:proofErr w:type="gramEnd"/>
      <w:r w:rsidR="00884D20">
        <w:rPr>
          <w:rFonts w:ascii="Arial" w:hAnsi="Arial" w:cs="Arial"/>
        </w:rPr>
        <w:t xml:space="preserve"> benefitted from an improved adherence to medication and decrease cost brought about by correct instructions to safely swallow medications.</w:t>
      </w:r>
    </w:p>
    <w:p w14:paraId="4E93C82B" w14:textId="537141D9" w:rsidR="00884D20" w:rsidRDefault="00884D20" w:rsidP="000C50A2">
      <w:pPr>
        <w:jc w:val="both"/>
        <w:rPr>
          <w:rFonts w:ascii="Arial" w:hAnsi="Arial" w:cs="Arial"/>
        </w:rPr>
      </w:pPr>
    </w:p>
    <w:p w14:paraId="3A499164" w14:textId="7C57769C" w:rsidR="000C50A2" w:rsidRPr="00ED4E01" w:rsidRDefault="000C50A2" w:rsidP="000C50A2">
      <w:pPr>
        <w:jc w:val="both"/>
        <w:rPr>
          <w:rFonts w:ascii="Arial" w:hAnsi="Arial" w:cs="Arial"/>
        </w:rPr>
      </w:pPr>
      <w:r w:rsidRPr="00ED4E01">
        <w:rPr>
          <w:rFonts w:ascii="Arial" w:hAnsi="Arial" w:cs="Arial"/>
        </w:rPr>
        <w:t>Patient-Reported Experience Measure and Patient-Reported Outcome Measures questionnaires will be sent to care home residents and/or their families</w:t>
      </w:r>
      <w:r w:rsidR="00884D20">
        <w:rPr>
          <w:rFonts w:ascii="Arial" w:hAnsi="Arial" w:cs="Arial"/>
        </w:rPr>
        <w:t xml:space="preserve"> to gauge the ease of use, engagement and </w:t>
      </w:r>
      <w:proofErr w:type="gramStart"/>
      <w:r w:rsidR="00884D20">
        <w:rPr>
          <w:rFonts w:ascii="Arial" w:hAnsi="Arial" w:cs="Arial"/>
        </w:rPr>
        <w:t>value added</w:t>
      </w:r>
      <w:proofErr w:type="gramEnd"/>
      <w:r w:rsidR="00884D20">
        <w:rPr>
          <w:rFonts w:ascii="Arial" w:hAnsi="Arial" w:cs="Arial"/>
        </w:rPr>
        <w:t xml:space="preserve"> care with using telehealth</w:t>
      </w:r>
    </w:p>
    <w:p w14:paraId="03785FAE" w14:textId="3AF805B6" w:rsidR="00874035" w:rsidRDefault="00874035" w:rsidP="004D2E04">
      <w:pPr>
        <w:jc w:val="both"/>
        <w:rPr>
          <w:rFonts w:ascii="Arial" w:hAnsi="Arial" w:cs="Arial"/>
        </w:rPr>
      </w:pPr>
    </w:p>
    <w:p w14:paraId="57FFF5D3" w14:textId="7004A282" w:rsidR="00884D20" w:rsidRPr="003B7409" w:rsidRDefault="00884D20" w:rsidP="004D2E04">
      <w:pPr>
        <w:jc w:val="both"/>
        <w:rPr>
          <w:rFonts w:ascii="Arial" w:hAnsi="Arial" w:cs="Arial"/>
        </w:rPr>
      </w:pPr>
      <w:r>
        <w:rPr>
          <w:rFonts w:ascii="Arial" w:hAnsi="Arial" w:cs="Arial"/>
        </w:rPr>
        <w:t>Waiting times of residents in the pilot will be compared with waiting time to that of other care homes that are not receiving multidisciplinary telehealth care. Along with incidence of hospital admission, these values will be used to calculate the cost effectiveness of the project.</w:t>
      </w:r>
    </w:p>
    <w:p w14:paraId="342F60A0" w14:textId="622BBD48" w:rsidR="00874035" w:rsidRDefault="00874035" w:rsidP="00886A9C">
      <w:pPr>
        <w:rPr>
          <w:rFonts w:ascii="Arial" w:hAnsi="Arial" w:cs="Arial"/>
          <w:color w:val="7030A0"/>
        </w:rPr>
      </w:pPr>
    </w:p>
    <w:p w14:paraId="5BEC09FB" w14:textId="77777777" w:rsidR="003B7409" w:rsidRDefault="003B7409" w:rsidP="003B7409">
      <w:pPr>
        <w:jc w:val="both"/>
        <w:rPr>
          <w:rFonts w:ascii="Arial" w:hAnsi="Arial" w:cs="Arial"/>
          <w:noProof/>
        </w:rPr>
      </w:pPr>
    </w:p>
    <w:p w14:paraId="0947D0C8" w14:textId="77777777" w:rsidR="003B7409" w:rsidRDefault="003B7409" w:rsidP="003B7409">
      <w:pPr>
        <w:jc w:val="both"/>
        <w:rPr>
          <w:rFonts w:ascii="Arial" w:hAnsi="Arial" w:cs="Arial"/>
          <w:noProof/>
        </w:rPr>
      </w:pPr>
      <w:r>
        <w:rPr>
          <w:rFonts w:ascii="Arial" w:hAnsi="Arial" w:cs="Arial"/>
          <w:noProof/>
        </w:rPr>
        <w:t>Table2: Benefits of the Innovation</w:t>
      </w:r>
    </w:p>
    <w:tbl>
      <w:tblPr>
        <w:tblStyle w:val="TableGrid"/>
        <w:tblW w:w="0" w:type="auto"/>
        <w:tblLook w:val="04A0" w:firstRow="1" w:lastRow="0" w:firstColumn="1" w:lastColumn="0" w:noHBand="0" w:noVBand="1"/>
      </w:tblPr>
      <w:tblGrid>
        <w:gridCol w:w="2772"/>
        <w:gridCol w:w="6578"/>
      </w:tblGrid>
      <w:tr w:rsidR="003B7409" w14:paraId="61FD5FE2" w14:textId="77777777" w:rsidTr="006B18FD">
        <w:tc>
          <w:tcPr>
            <w:tcW w:w="2972" w:type="dxa"/>
            <w:shd w:val="clear" w:color="auto" w:fill="44546A" w:themeFill="text2"/>
          </w:tcPr>
          <w:p w14:paraId="23214008" w14:textId="77777777" w:rsidR="003B7409" w:rsidRPr="004160E3" w:rsidRDefault="003B7409" w:rsidP="006B18FD">
            <w:pPr>
              <w:spacing w:line="276" w:lineRule="auto"/>
              <w:jc w:val="center"/>
              <w:rPr>
                <w:color w:val="FFFFFF" w:themeColor="background1"/>
                <w:sz w:val="28"/>
                <w:szCs w:val="28"/>
              </w:rPr>
            </w:pPr>
            <w:r w:rsidRPr="004160E3">
              <w:rPr>
                <w:color w:val="FFFFFF" w:themeColor="background1"/>
                <w:sz w:val="28"/>
                <w:szCs w:val="28"/>
              </w:rPr>
              <w:t>Benefits</w:t>
            </w:r>
          </w:p>
        </w:tc>
        <w:tc>
          <w:tcPr>
            <w:tcW w:w="7347" w:type="dxa"/>
            <w:shd w:val="clear" w:color="auto" w:fill="44546A" w:themeFill="text2"/>
          </w:tcPr>
          <w:p w14:paraId="4DA22F4C" w14:textId="24F609A3" w:rsidR="003B7409" w:rsidRPr="004160E3" w:rsidRDefault="003B7409" w:rsidP="006B18FD">
            <w:pPr>
              <w:jc w:val="center"/>
              <w:rPr>
                <w:rFonts w:eastAsia="Andale Sans UI" w:cstheme="minorHAnsi"/>
                <w:color w:val="FFFFFF" w:themeColor="background1"/>
                <w:kern w:val="3"/>
                <w:sz w:val="28"/>
                <w:szCs w:val="28"/>
              </w:rPr>
            </w:pPr>
            <w:r w:rsidRPr="004160E3">
              <w:rPr>
                <w:rFonts w:eastAsia="Andale Sans UI" w:cstheme="minorHAnsi"/>
                <w:color w:val="FFFFFF" w:themeColor="background1"/>
                <w:kern w:val="3"/>
                <w:sz w:val="28"/>
                <w:szCs w:val="28"/>
              </w:rPr>
              <w:t xml:space="preserve">Associated High Level </w:t>
            </w:r>
            <w:r w:rsidR="004D2E04">
              <w:rPr>
                <w:rFonts w:eastAsia="Andale Sans UI" w:cstheme="minorHAnsi"/>
                <w:color w:val="FFFFFF" w:themeColor="background1"/>
                <w:kern w:val="3"/>
                <w:sz w:val="28"/>
                <w:szCs w:val="28"/>
              </w:rPr>
              <w:t xml:space="preserve">Deliverable </w:t>
            </w:r>
          </w:p>
        </w:tc>
      </w:tr>
      <w:tr w:rsidR="003B7409" w14:paraId="3F67BA33" w14:textId="77777777" w:rsidTr="006B18FD">
        <w:trPr>
          <w:trHeight w:val="1231"/>
        </w:trPr>
        <w:tc>
          <w:tcPr>
            <w:tcW w:w="2972" w:type="dxa"/>
          </w:tcPr>
          <w:p w14:paraId="505442CF" w14:textId="77777777" w:rsidR="003B7409" w:rsidRPr="00DB4425" w:rsidRDefault="003B7409" w:rsidP="006B18FD">
            <w:pPr>
              <w:spacing w:line="276" w:lineRule="auto"/>
              <w:rPr>
                <w:rFonts w:eastAsia="Andale Sans UI" w:cstheme="minorHAnsi"/>
                <w:color w:val="1F3864" w:themeColor="accent1" w:themeShade="80"/>
                <w:kern w:val="3"/>
              </w:rPr>
            </w:pPr>
            <w:r>
              <w:rPr>
                <w:rFonts w:cstheme="minorHAnsi"/>
                <w:color w:val="1F3864" w:themeColor="accent1" w:themeShade="80"/>
              </w:rPr>
              <w:t>Improved patient outcomes for residents with Dysphasia in</w:t>
            </w:r>
            <w:r w:rsidRPr="00DB4425">
              <w:rPr>
                <w:rFonts w:cstheme="minorHAnsi"/>
                <w:color w:val="1F3864" w:themeColor="accent1" w:themeShade="80"/>
              </w:rPr>
              <w:t xml:space="preserve"> Care Homes. </w:t>
            </w:r>
          </w:p>
        </w:tc>
        <w:tc>
          <w:tcPr>
            <w:tcW w:w="7347" w:type="dxa"/>
          </w:tcPr>
          <w:p w14:paraId="4B93D3A5" w14:textId="77777777" w:rsidR="003B7409" w:rsidRDefault="003B7409" w:rsidP="006B18FD">
            <w:pPr>
              <w:pStyle w:val="ListParagraph"/>
              <w:numPr>
                <w:ilvl w:val="0"/>
                <w:numId w:val="13"/>
              </w:numPr>
              <w:spacing w:before="60"/>
              <w:rPr>
                <w:rFonts w:cstheme="minorHAnsi"/>
              </w:rPr>
            </w:pPr>
            <w:r>
              <w:rPr>
                <w:rFonts w:cstheme="minorHAnsi"/>
              </w:rPr>
              <w:t xml:space="preserve">Improve clinical outcomes using the Therapy Outcome Measures- Dysphagia (TOMS) </w:t>
            </w:r>
          </w:p>
          <w:p w14:paraId="012B2F9F" w14:textId="77777777" w:rsidR="003B7409" w:rsidRDefault="003B7409" w:rsidP="006B18FD">
            <w:pPr>
              <w:pStyle w:val="ListParagraph"/>
              <w:numPr>
                <w:ilvl w:val="0"/>
                <w:numId w:val="13"/>
              </w:numPr>
              <w:spacing w:before="60"/>
              <w:rPr>
                <w:rFonts w:cstheme="minorHAnsi"/>
              </w:rPr>
            </w:pPr>
            <w:r>
              <w:rPr>
                <w:rFonts w:cstheme="minorHAnsi"/>
              </w:rPr>
              <w:t>Reduction in incidence of adverse complications due to mismanagement of medications</w:t>
            </w:r>
          </w:p>
          <w:p w14:paraId="70CE8F98" w14:textId="77777777" w:rsidR="003B7409" w:rsidRPr="00790486" w:rsidRDefault="003B7409" w:rsidP="006B18FD">
            <w:pPr>
              <w:pStyle w:val="ListParagraph"/>
              <w:numPr>
                <w:ilvl w:val="0"/>
                <w:numId w:val="13"/>
              </w:numPr>
              <w:spacing w:before="60"/>
              <w:rPr>
                <w:rFonts w:cstheme="minorHAnsi"/>
              </w:rPr>
            </w:pPr>
            <w:r>
              <w:rPr>
                <w:rFonts w:cstheme="minorHAnsi"/>
              </w:rPr>
              <w:t>Reduced waiting times for SLT, Pharmacy and Dietetics input</w:t>
            </w:r>
          </w:p>
        </w:tc>
      </w:tr>
      <w:tr w:rsidR="003B7409" w14:paraId="3B465D49" w14:textId="77777777" w:rsidTr="006B18FD">
        <w:tc>
          <w:tcPr>
            <w:tcW w:w="2972" w:type="dxa"/>
          </w:tcPr>
          <w:p w14:paraId="095EFED6" w14:textId="77777777" w:rsidR="003B7409" w:rsidRPr="00DB4425" w:rsidRDefault="003B7409" w:rsidP="006B18FD">
            <w:pPr>
              <w:rPr>
                <w:rFonts w:eastAsia="Andale Sans UI" w:cstheme="minorHAnsi"/>
                <w:color w:val="1F3864" w:themeColor="accent1" w:themeShade="80"/>
                <w:kern w:val="3"/>
                <w:sz w:val="24"/>
                <w:szCs w:val="24"/>
              </w:rPr>
            </w:pPr>
            <w:r>
              <w:rPr>
                <w:rFonts w:cstheme="minorHAnsi"/>
                <w:color w:val="1F3864" w:themeColor="accent1" w:themeShade="80"/>
              </w:rPr>
              <w:t>Creation of</w:t>
            </w:r>
            <w:r w:rsidRPr="00DB4425">
              <w:rPr>
                <w:rFonts w:cstheme="minorHAnsi"/>
                <w:color w:val="1F3864" w:themeColor="accent1" w:themeShade="80"/>
              </w:rPr>
              <w:t xml:space="preserve"> a </w:t>
            </w:r>
            <w:r>
              <w:rPr>
                <w:rFonts w:cstheme="minorHAnsi"/>
                <w:color w:val="1F3864" w:themeColor="accent1" w:themeShade="80"/>
              </w:rPr>
              <w:t xml:space="preserve">more efficient and timely service to Care </w:t>
            </w:r>
            <w:r>
              <w:rPr>
                <w:rFonts w:cstheme="minorHAnsi"/>
                <w:color w:val="1F3864" w:themeColor="accent1" w:themeShade="80"/>
              </w:rPr>
              <w:lastRenderedPageBreak/>
              <w:t xml:space="preserve">Home residents with </w:t>
            </w:r>
            <w:proofErr w:type="gramStart"/>
            <w:r>
              <w:rPr>
                <w:rFonts w:cstheme="minorHAnsi"/>
                <w:color w:val="1F3864" w:themeColor="accent1" w:themeShade="80"/>
              </w:rPr>
              <w:t>dysphagia</w:t>
            </w:r>
            <w:r w:rsidRPr="00DB4425">
              <w:rPr>
                <w:rFonts w:cstheme="minorHAnsi"/>
                <w:color w:val="1F3864" w:themeColor="accent1" w:themeShade="80"/>
              </w:rPr>
              <w:t xml:space="preserve">  </w:t>
            </w:r>
            <w:r>
              <w:rPr>
                <w:rFonts w:cstheme="minorHAnsi"/>
                <w:color w:val="1F3864" w:themeColor="accent1" w:themeShade="80"/>
              </w:rPr>
              <w:t>using</w:t>
            </w:r>
            <w:proofErr w:type="gramEnd"/>
            <w:r>
              <w:rPr>
                <w:rFonts w:cstheme="minorHAnsi"/>
                <w:color w:val="1F3864" w:themeColor="accent1" w:themeShade="80"/>
              </w:rPr>
              <w:t xml:space="preserve"> current health technologies.</w:t>
            </w:r>
          </w:p>
        </w:tc>
        <w:tc>
          <w:tcPr>
            <w:tcW w:w="7347" w:type="dxa"/>
          </w:tcPr>
          <w:p w14:paraId="1C631616" w14:textId="77777777" w:rsidR="003B7409" w:rsidRPr="004160E3" w:rsidRDefault="003B7409" w:rsidP="006B18FD">
            <w:pPr>
              <w:pStyle w:val="ListParagraph"/>
              <w:numPr>
                <w:ilvl w:val="0"/>
                <w:numId w:val="13"/>
              </w:numPr>
              <w:spacing w:before="60"/>
              <w:rPr>
                <w:rFonts w:cstheme="minorHAnsi"/>
              </w:rPr>
            </w:pPr>
            <w:r>
              <w:rPr>
                <w:rFonts w:eastAsia="Andale Sans UI" w:cstheme="minorHAnsi"/>
                <w:kern w:val="3"/>
                <w:lang w:eastAsia="en-GB"/>
              </w:rPr>
              <w:lastRenderedPageBreak/>
              <w:t>‘Current state’ review and u</w:t>
            </w:r>
            <w:r w:rsidRPr="004160E3">
              <w:rPr>
                <w:rFonts w:cstheme="minorHAnsi"/>
              </w:rPr>
              <w:t>nderstanding of c</w:t>
            </w:r>
            <w:r w:rsidRPr="004160E3">
              <w:rPr>
                <w:rFonts w:eastAsia="Andale Sans UI" w:cstheme="minorHAnsi"/>
                <w:kern w:val="3"/>
                <w:lang w:eastAsia="en-GB"/>
              </w:rPr>
              <w:t>urrent challenges, impacts, burdens upon systems.</w:t>
            </w:r>
          </w:p>
          <w:p w14:paraId="20530244" w14:textId="77777777" w:rsidR="003B7409" w:rsidRPr="00EA3E86" w:rsidRDefault="003B7409" w:rsidP="006B18FD">
            <w:pPr>
              <w:pStyle w:val="ListParagraph"/>
              <w:numPr>
                <w:ilvl w:val="0"/>
                <w:numId w:val="13"/>
              </w:numPr>
              <w:spacing w:before="60"/>
              <w:rPr>
                <w:rFonts w:eastAsia="Andale Sans UI" w:cstheme="minorHAnsi"/>
                <w:kern w:val="3"/>
                <w:szCs w:val="24"/>
                <w:lang w:eastAsia="en-GB"/>
              </w:rPr>
            </w:pPr>
            <w:r>
              <w:rPr>
                <w:rFonts w:eastAsia="Andale Sans UI" w:cstheme="minorHAnsi"/>
                <w:kern w:val="3"/>
                <w:lang w:eastAsia="en-GB"/>
              </w:rPr>
              <w:lastRenderedPageBreak/>
              <w:t>New referral process design and adjustments to documentation</w:t>
            </w:r>
          </w:p>
          <w:p w14:paraId="2B8AADFE" w14:textId="77777777" w:rsidR="003B7409" w:rsidRPr="004160E3" w:rsidRDefault="003B7409" w:rsidP="006B18FD">
            <w:pPr>
              <w:pStyle w:val="ListParagraph"/>
              <w:numPr>
                <w:ilvl w:val="0"/>
                <w:numId w:val="13"/>
              </w:numPr>
              <w:spacing w:before="60"/>
              <w:rPr>
                <w:rFonts w:cstheme="minorHAnsi"/>
              </w:rPr>
            </w:pPr>
            <w:r w:rsidRPr="00C7799A">
              <w:rPr>
                <w:rFonts w:eastAsia="Andale Sans UI" w:cstheme="minorHAnsi"/>
                <w:kern w:val="3"/>
                <w:lang w:eastAsia="en-GB"/>
              </w:rPr>
              <w:t xml:space="preserve">Technical </w:t>
            </w:r>
            <w:r>
              <w:rPr>
                <w:rFonts w:eastAsia="Andale Sans UI" w:cstheme="minorHAnsi"/>
                <w:kern w:val="3"/>
                <w:lang w:eastAsia="en-GB"/>
              </w:rPr>
              <w:t xml:space="preserve">integration in clinical pathway </w:t>
            </w:r>
          </w:p>
          <w:p w14:paraId="0241A119" w14:textId="77777777" w:rsidR="003B7409" w:rsidRPr="00C7799A" w:rsidRDefault="003B7409" w:rsidP="006B18FD">
            <w:pPr>
              <w:pStyle w:val="ListParagraph"/>
              <w:numPr>
                <w:ilvl w:val="0"/>
                <w:numId w:val="13"/>
              </w:numPr>
              <w:spacing w:before="60"/>
              <w:rPr>
                <w:rFonts w:eastAsia="Andale Sans UI" w:cstheme="minorHAnsi"/>
                <w:kern w:val="3"/>
                <w:lang w:eastAsia="en-GB"/>
              </w:rPr>
            </w:pPr>
            <w:r w:rsidRPr="00790486">
              <w:rPr>
                <w:rFonts w:eastAsia="Andale Sans UI" w:cstheme="minorHAnsi"/>
                <w:kern w:val="3"/>
                <w:lang w:eastAsia="en-GB"/>
              </w:rPr>
              <w:t>Assessment process standardization</w:t>
            </w:r>
            <w:r>
              <w:rPr>
                <w:rFonts w:eastAsia="Andale Sans UI" w:cstheme="minorHAnsi"/>
                <w:kern w:val="3"/>
                <w:lang w:eastAsia="en-GB"/>
              </w:rPr>
              <w:t xml:space="preserve"> </w:t>
            </w:r>
            <w:proofErr w:type="gramStart"/>
            <w:r>
              <w:rPr>
                <w:rFonts w:eastAsia="Andale Sans UI" w:cstheme="minorHAnsi"/>
                <w:kern w:val="3"/>
                <w:lang w:eastAsia="en-GB"/>
              </w:rPr>
              <w:t>e.g.</w:t>
            </w:r>
            <w:proofErr w:type="gramEnd"/>
            <w:r>
              <w:rPr>
                <w:rFonts w:eastAsia="Andale Sans UI" w:cstheme="minorHAnsi"/>
                <w:kern w:val="3"/>
                <w:lang w:eastAsia="en-GB"/>
              </w:rPr>
              <w:t xml:space="preserve"> protocol/systems of work</w:t>
            </w:r>
          </w:p>
          <w:p w14:paraId="2ACDFBEC" w14:textId="77777777" w:rsidR="003B7409" w:rsidRPr="00EA3E86" w:rsidRDefault="003B7409" w:rsidP="006B18FD">
            <w:pPr>
              <w:pStyle w:val="ListParagraph"/>
              <w:ind w:left="360"/>
              <w:rPr>
                <w:rFonts w:cstheme="minorHAnsi"/>
              </w:rPr>
            </w:pPr>
          </w:p>
        </w:tc>
      </w:tr>
      <w:tr w:rsidR="003B7409" w14:paraId="4BFEA5CD" w14:textId="77777777" w:rsidTr="006B18FD">
        <w:tc>
          <w:tcPr>
            <w:tcW w:w="2972" w:type="dxa"/>
          </w:tcPr>
          <w:p w14:paraId="15758E1E" w14:textId="77777777" w:rsidR="003B7409" w:rsidRPr="00DB4425" w:rsidRDefault="003B7409" w:rsidP="006B18FD">
            <w:pPr>
              <w:rPr>
                <w:rFonts w:eastAsia="Andale Sans UI" w:cstheme="minorHAnsi"/>
                <w:color w:val="1F3864" w:themeColor="accent1" w:themeShade="80"/>
                <w:kern w:val="3"/>
                <w:sz w:val="24"/>
                <w:szCs w:val="24"/>
              </w:rPr>
            </w:pPr>
            <w:r>
              <w:rPr>
                <w:rFonts w:cstheme="minorHAnsi"/>
                <w:color w:val="1F3864" w:themeColor="accent1" w:themeShade="80"/>
              </w:rPr>
              <w:lastRenderedPageBreak/>
              <w:t>Implementation of new integrated training program for care home staff to address eating and drinking needs</w:t>
            </w:r>
            <w:r w:rsidRPr="00DB4425">
              <w:rPr>
                <w:rFonts w:cstheme="minorHAnsi"/>
                <w:color w:val="1F3864" w:themeColor="accent1" w:themeShade="80"/>
              </w:rPr>
              <w:t xml:space="preserve"> </w:t>
            </w:r>
          </w:p>
        </w:tc>
        <w:tc>
          <w:tcPr>
            <w:tcW w:w="7347" w:type="dxa"/>
          </w:tcPr>
          <w:p w14:paraId="59D9CB25" w14:textId="77777777" w:rsidR="003B7409" w:rsidRPr="004160E3" w:rsidRDefault="003B7409" w:rsidP="006B18FD">
            <w:pPr>
              <w:pStyle w:val="ListParagraph"/>
              <w:numPr>
                <w:ilvl w:val="0"/>
                <w:numId w:val="13"/>
              </w:numPr>
              <w:spacing w:before="60"/>
              <w:rPr>
                <w:rFonts w:eastAsia="Andale Sans UI" w:cstheme="minorHAnsi"/>
                <w:kern w:val="3"/>
                <w:szCs w:val="24"/>
                <w:lang w:eastAsia="en-GB"/>
              </w:rPr>
            </w:pPr>
            <w:r>
              <w:rPr>
                <w:rFonts w:eastAsia="Andale Sans UI" w:cstheme="minorHAnsi"/>
                <w:kern w:val="3"/>
                <w:lang w:eastAsia="en-GB"/>
              </w:rPr>
              <w:t xml:space="preserve">Identify and develop training requirements, </w:t>
            </w:r>
            <w:proofErr w:type="gramStart"/>
            <w:r>
              <w:rPr>
                <w:rFonts w:eastAsia="Andale Sans UI" w:cstheme="minorHAnsi"/>
                <w:kern w:val="3"/>
                <w:lang w:eastAsia="en-GB"/>
              </w:rPr>
              <w:t>package</w:t>
            </w:r>
            <w:proofErr w:type="gramEnd"/>
            <w:r>
              <w:rPr>
                <w:rFonts w:eastAsia="Andale Sans UI" w:cstheme="minorHAnsi"/>
                <w:kern w:val="3"/>
                <w:lang w:eastAsia="en-GB"/>
              </w:rPr>
              <w:t xml:space="preserve"> and implementation plan </w:t>
            </w:r>
          </w:p>
          <w:p w14:paraId="135337C4" w14:textId="77777777" w:rsidR="003B7409" w:rsidRPr="004160E3" w:rsidRDefault="003B7409" w:rsidP="006B18FD">
            <w:pPr>
              <w:pStyle w:val="ListParagraph"/>
              <w:numPr>
                <w:ilvl w:val="0"/>
                <w:numId w:val="13"/>
              </w:numPr>
              <w:spacing w:before="60"/>
              <w:rPr>
                <w:rFonts w:eastAsia="Andale Sans UI" w:cstheme="minorHAnsi"/>
                <w:kern w:val="3"/>
                <w:szCs w:val="24"/>
                <w:lang w:eastAsia="en-GB"/>
              </w:rPr>
            </w:pPr>
            <w:r>
              <w:rPr>
                <w:rFonts w:eastAsia="Andale Sans UI" w:cstheme="minorHAnsi"/>
                <w:kern w:val="3"/>
                <w:lang w:eastAsia="en-GB"/>
              </w:rPr>
              <w:t xml:space="preserve">Develop an easily accessible and effective resource for care home staff to improve confidence in dysphagia, malnutrition and </w:t>
            </w:r>
            <w:proofErr w:type="gramStart"/>
            <w:r>
              <w:rPr>
                <w:rFonts w:eastAsia="Andale Sans UI" w:cstheme="minorHAnsi"/>
                <w:kern w:val="3"/>
                <w:lang w:eastAsia="en-GB"/>
              </w:rPr>
              <w:t>hydration  management</w:t>
            </w:r>
            <w:proofErr w:type="gramEnd"/>
          </w:p>
          <w:p w14:paraId="7A8F0E33" w14:textId="77777777" w:rsidR="003B7409" w:rsidRPr="00790486" w:rsidRDefault="003B7409" w:rsidP="006B18FD">
            <w:pPr>
              <w:pStyle w:val="ListParagraph"/>
              <w:numPr>
                <w:ilvl w:val="0"/>
                <w:numId w:val="13"/>
              </w:numPr>
              <w:spacing w:before="60"/>
              <w:rPr>
                <w:rFonts w:eastAsia="Andale Sans UI" w:cstheme="minorHAnsi"/>
                <w:kern w:val="3"/>
                <w:szCs w:val="24"/>
                <w:lang w:eastAsia="en-GB"/>
              </w:rPr>
            </w:pPr>
            <w:r>
              <w:rPr>
                <w:rFonts w:eastAsia="Andale Sans UI" w:cstheme="minorHAnsi"/>
                <w:kern w:val="3"/>
                <w:lang w:eastAsia="en-GB"/>
              </w:rPr>
              <w:t xml:space="preserve">Ensure that minimum competencies are monitored and maintained </w:t>
            </w:r>
          </w:p>
          <w:p w14:paraId="5D20BCFA" w14:textId="77777777" w:rsidR="003B7409" w:rsidRPr="00790486" w:rsidRDefault="003B7409" w:rsidP="006B18FD">
            <w:pPr>
              <w:pStyle w:val="ListParagraph"/>
              <w:ind w:left="360"/>
              <w:rPr>
                <w:rFonts w:eastAsia="Andale Sans UI" w:cstheme="minorHAnsi"/>
                <w:kern w:val="3"/>
                <w:szCs w:val="24"/>
                <w:lang w:eastAsia="en-GB"/>
              </w:rPr>
            </w:pPr>
          </w:p>
        </w:tc>
      </w:tr>
      <w:tr w:rsidR="003B7409" w14:paraId="6D1B3406" w14:textId="77777777" w:rsidTr="006B18FD">
        <w:tc>
          <w:tcPr>
            <w:tcW w:w="2972" w:type="dxa"/>
          </w:tcPr>
          <w:p w14:paraId="032B814B" w14:textId="77777777" w:rsidR="003B7409" w:rsidRPr="00DB4425" w:rsidRDefault="003B7409" w:rsidP="006B18FD">
            <w:pPr>
              <w:rPr>
                <w:rFonts w:eastAsia="Andale Sans UI" w:cstheme="minorHAnsi"/>
                <w:color w:val="1F3864" w:themeColor="accent1" w:themeShade="80"/>
                <w:kern w:val="3"/>
                <w:sz w:val="24"/>
                <w:szCs w:val="24"/>
              </w:rPr>
            </w:pPr>
            <w:r>
              <w:rPr>
                <w:rFonts w:cstheme="minorHAnsi"/>
                <w:color w:val="1F3864" w:themeColor="accent1" w:themeShade="80"/>
              </w:rPr>
              <w:t>Carry out</w:t>
            </w:r>
            <w:r w:rsidRPr="00DB4425">
              <w:rPr>
                <w:rFonts w:cstheme="minorHAnsi"/>
                <w:color w:val="1F3864" w:themeColor="accent1" w:themeShade="80"/>
              </w:rPr>
              <w:t xml:space="preserve"> </w:t>
            </w:r>
            <w:r>
              <w:rPr>
                <w:rFonts w:cstheme="minorHAnsi"/>
                <w:color w:val="1F3864" w:themeColor="accent1" w:themeShade="80"/>
              </w:rPr>
              <w:t xml:space="preserve">a “One Teams” approach to dysphagia services in </w:t>
            </w:r>
            <w:r w:rsidRPr="00DB4425">
              <w:rPr>
                <w:rFonts w:cstheme="minorHAnsi"/>
                <w:color w:val="1F3864" w:themeColor="accent1" w:themeShade="80"/>
              </w:rPr>
              <w:t xml:space="preserve">Care Homes </w:t>
            </w:r>
            <w:r>
              <w:rPr>
                <w:rFonts w:cstheme="minorHAnsi"/>
                <w:color w:val="1F3864" w:themeColor="accent1" w:themeShade="80"/>
              </w:rPr>
              <w:t xml:space="preserve">using current health technologies. </w:t>
            </w:r>
          </w:p>
        </w:tc>
        <w:tc>
          <w:tcPr>
            <w:tcW w:w="7347" w:type="dxa"/>
          </w:tcPr>
          <w:p w14:paraId="370BC93A" w14:textId="77777777" w:rsidR="003B7409" w:rsidRPr="004160E3" w:rsidRDefault="003B7409" w:rsidP="006B18FD">
            <w:pPr>
              <w:pStyle w:val="ListParagraph"/>
              <w:numPr>
                <w:ilvl w:val="0"/>
                <w:numId w:val="13"/>
              </w:numPr>
              <w:spacing w:before="60"/>
              <w:rPr>
                <w:rFonts w:cstheme="minorHAnsi"/>
              </w:rPr>
            </w:pPr>
            <w:r w:rsidRPr="000F64F8">
              <w:rPr>
                <w:rFonts w:cstheme="minorHAnsi"/>
              </w:rPr>
              <w:t xml:space="preserve">Planning of future </w:t>
            </w:r>
            <w:r>
              <w:rPr>
                <w:rFonts w:cstheme="minorHAnsi"/>
              </w:rPr>
              <w:t>business change blueprint and specification of requirements (</w:t>
            </w:r>
            <w:proofErr w:type="gramStart"/>
            <w:r>
              <w:rPr>
                <w:rFonts w:cstheme="minorHAnsi"/>
              </w:rPr>
              <w:t>e.g.</w:t>
            </w:r>
            <w:proofErr w:type="gramEnd"/>
            <w:r>
              <w:rPr>
                <w:rFonts w:cstheme="minorHAnsi"/>
              </w:rPr>
              <w:t xml:space="preserve"> </w:t>
            </w:r>
            <w:r w:rsidRPr="004160E3">
              <w:rPr>
                <w:rFonts w:cstheme="minorHAnsi"/>
              </w:rPr>
              <w:t xml:space="preserve">information flows, documentation, </w:t>
            </w:r>
            <w:r w:rsidRPr="004160E3">
              <w:rPr>
                <w:rFonts w:eastAsia="Andale Sans UI" w:cstheme="minorHAnsi"/>
                <w:kern w:val="3"/>
                <w:lang w:eastAsia="en-GB"/>
              </w:rPr>
              <w:t>data spec</w:t>
            </w:r>
            <w:r>
              <w:rPr>
                <w:rFonts w:eastAsia="Andale Sans UI" w:cstheme="minorHAnsi"/>
                <w:kern w:val="3"/>
                <w:lang w:eastAsia="en-GB"/>
              </w:rPr>
              <w:t>, staff resources</w:t>
            </w:r>
            <w:r w:rsidRPr="004160E3">
              <w:rPr>
                <w:rFonts w:cstheme="minorHAnsi"/>
              </w:rPr>
              <w:t xml:space="preserve"> and technologies</w:t>
            </w:r>
            <w:r>
              <w:rPr>
                <w:rFonts w:cstheme="minorHAnsi"/>
              </w:rPr>
              <w:t>)</w:t>
            </w:r>
          </w:p>
          <w:p w14:paraId="5A338BA4" w14:textId="77777777" w:rsidR="003B7409" w:rsidRPr="000F64F8" w:rsidRDefault="003B7409" w:rsidP="006B18FD">
            <w:pPr>
              <w:pStyle w:val="ListParagraph"/>
              <w:numPr>
                <w:ilvl w:val="0"/>
                <w:numId w:val="13"/>
              </w:numPr>
              <w:spacing w:before="60"/>
              <w:rPr>
                <w:rFonts w:cstheme="minorHAnsi"/>
              </w:rPr>
            </w:pPr>
            <w:r w:rsidRPr="000F64F8">
              <w:rPr>
                <w:rFonts w:cstheme="minorHAnsi"/>
              </w:rPr>
              <w:t>Design and delivery of future state user experience journeys</w:t>
            </w:r>
            <w:r>
              <w:rPr>
                <w:rFonts w:cstheme="minorHAnsi"/>
              </w:rPr>
              <w:t>.</w:t>
            </w:r>
          </w:p>
          <w:p w14:paraId="0680EDB2" w14:textId="77777777" w:rsidR="003B7409" w:rsidRPr="00C7799A" w:rsidRDefault="003B7409" w:rsidP="006B18FD">
            <w:pPr>
              <w:pStyle w:val="ListParagraph"/>
              <w:numPr>
                <w:ilvl w:val="0"/>
                <w:numId w:val="13"/>
              </w:numPr>
              <w:spacing w:before="60"/>
              <w:rPr>
                <w:rFonts w:eastAsia="Andale Sans UI" w:cstheme="minorHAnsi"/>
                <w:kern w:val="3"/>
                <w:lang w:eastAsia="en-GB"/>
              </w:rPr>
            </w:pPr>
            <w:r>
              <w:rPr>
                <w:rFonts w:eastAsia="Andale Sans UI" w:cstheme="minorHAnsi"/>
                <w:kern w:val="3"/>
                <w:lang w:eastAsia="en-GB"/>
              </w:rPr>
              <w:t>Develop a sustainable c</w:t>
            </w:r>
            <w:r w:rsidRPr="00C7799A">
              <w:rPr>
                <w:rFonts w:eastAsia="Andale Sans UI" w:cstheme="minorHAnsi"/>
                <w:kern w:val="3"/>
                <w:lang w:eastAsia="en-GB"/>
              </w:rPr>
              <w:t>ost</w:t>
            </w:r>
            <w:r>
              <w:rPr>
                <w:rFonts w:eastAsia="Andale Sans UI" w:cstheme="minorHAnsi"/>
                <w:kern w:val="3"/>
                <w:lang w:eastAsia="en-GB"/>
              </w:rPr>
              <w:t>ing m</w:t>
            </w:r>
            <w:r w:rsidRPr="00C7799A">
              <w:rPr>
                <w:rFonts w:eastAsia="Andale Sans UI" w:cstheme="minorHAnsi"/>
                <w:kern w:val="3"/>
                <w:lang w:eastAsia="en-GB"/>
              </w:rPr>
              <w:t>odel</w:t>
            </w:r>
            <w:r>
              <w:rPr>
                <w:rFonts w:eastAsia="Andale Sans UI" w:cstheme="minorHAnsi"/>
                <w:kern w:val="3"/>
                <w:lang w:eastAsia="en-GB"/>
              </w:rPr>
              <w:t xml:space="preserve"> to </w:t>
            </w:r>
            <w:proofErr w:type="gramStart"/>
            <w:r>
              <w:rPr>
                <w:rFonts w:eastAsia="Andale Sans UI" w:cstheme="minorHAnsi"/>
                <w:kern w:val="3"/>
                <w:lang w:eastAsia="en-GB"/>
              </w:rPr>
              <w:t>access highly</w:t>
            </w:r>
            <w:proofErr w:type="gramEnd"/>
            <w:r>
              <w:rPr>
                <w:rFonts w:eastAsia="Andale Sans UI" w:cstheme="minorHAnsi"/>
                <w:kern w:val="3"/>
                <w:lang w:eastAsia="en-GB"/>
              </w:rPr>
              <w:t xml:space="preserve"> specialist skills from multiple disciplines</w:t>
            </w:r>
          </w:p>
          <w:p w14:paraId="1B2B7459" w14:textId="77777777" w:rsidR="003B7409" w:rsidRPr="000F64F8" w:rsidRDefault="003B7409" w:rsidP="006B18FD">
            <w:pPr>
              <w:pStyle w:val="ListParagraph"/>
              <w:ind w:left="360"/>
              <w:rPr>
                <w:rFonts w:eastAsia="Andale Sans UI" w:cstheme="minorHAnsi"/>
                <w:kern w:val="3"/>
                <w:lang w:eastAsia="en-GB"/>
              </w:rPr>
            </w:pPr>
          </w:p>
        </w:tc>
      </w:tr>
      <w:tr w:rsidR="003B7409" w14:paraId="034F6315" w14:textId="77777777" w:rsidTr="006B18FD">
        <w:tc>
          <w:tcPr>
            <w:tcW w:w="2972" w:type="dxa"/>
          </w:tcPr>
          <w:p w14:paraId="47A7C523" w14:textId="77777777" w:rsidR="003B7409" w:rsidRPr="00DB4425" w:rsidRDefault="003B7409" w:rsidP="006B18FD">
            <w:pPr>
              <w:rPr>
                <w:rFonts w:eastAsia="Andale Sans UI" w:cstheme="minorHAnsi"/>
                <w:color w:val="1F3864" w:themeColor="accent1" w:themeShade="80"/>
                <w:kern w:val="3"/>
                <w:sz w:val="24"/>
                <w:szCs w:val="24"/>
              </w:rPr>
            </w:pPr>
            <w:r w:rsidRPr="00DB4425">
              <w:rPr>
                <w:rFonts w:cstheme="minorHAnsi"/>
                <w:color w:val="1F3864" w:themeColor="accent1" w:themeShade="80"/>
              </w:rPr>
              <w:t xml:space="preserve">To realise the projected benefits and adopt an evidenced based evaluation framework to </w:t>
            </w:r>
            <w:r>
              <w:rPr>
                <w:rFonts w:cstheme="minorHAnsi"/>
                <w:color w:val="1F3864" w:themeColor="accent1" w:themeShade="80"/>
              </w:rPr>
              <w:t>roll out to wider network</w:t>
            </w:r>
            <w:r w:rsidRPr="00DB4425">
              <w:rPr>
                <w:rFonts w:cstheme="minorHAnsi"/>
                <w:color w:val="1F3864" w:themeColor="accent1" w:themeShade="80"/>
              </w:rPr>
              <w:t xml:space="preserve">.  </w:t>
            </w:r>
          </w:p>
        </w:tc>
        <w:tc>
          <w:tcPr>
            <w:tcW w:w="7347" w:type="dxa"/>
          </w:tcPr>
          <w:p w14:paraId="0A42AC68" w14:textId="77777777" w:rsidR="003B7409" w:rsidRPr="000F64F8" w:rsidRDefault="003B7409" w:rsidP="006B18FD">
            <w:pPr>
              <w:pStyle w:val="ListParagraph"/>
              <w:numPr>
                <w:ilvl w:val="0"/>
                <w:numId w:val="13"/>
              </w:numPr>
              <w:spacing w:before="60"/>
              <w:rPr>
                <w:rFonts w:eastAsia="Andale Sans UI" w:cstheme="minorHAnsi"/>
                <w:kern w:val="3"/>
                <w:lang w:eastAsia="en-GB"/>
              </w:rPr>
            </w:pPr>
            <w:r>
              <w:rPr>
                <w:rFonts w:eastAsia="Andale Sans UI" w:cstheme="minorHAnsi"/>
                <w:kern w:val="3"/>
                <w:lang w:eastAsia="en-GB"/>
              </w:rPr>
              <w:t xml:space="preserve">Evidence benefits maps </w:t>
            </w:r>
            <w:proofErr w:type="gramStart"/>
            <w:r>
              <w:rPr>
                <w:rFonts w:eastAsia="Andale Sans UI" w:cstheme="minorHAnsi"/>
                <w:kern w:val="3"/>
                <w:lang w:eastAsia="en-GB"/>
              </w:rPr>
              <w:t xml:space="preserve">and </w:t>
            </w:r>
            <w:r w:rsidRPr="000F64F8">
              <w:rPr>
                <w:rFonts w:eastAsia="Andale Sans UI" w:cstheme="minorHAnsi"/>
                <w:kern w:val="3"/>
                <w:lang w:eastAsia="en-GB"/>
              </w:rPr>
              <w:t xml:space="preserve"> profiles</w:t>
            </w:r>
            <w:proofErr w:type="gramEnd"/>
            <w:r>
              <w:rPr>
                <w:rFonts w:eastAsia="Andale Sans UI" w:cstheme="minorHAnsi"/>
                <w:kern w:val="3"/>
                <w:lang w:eastAsia="en-GB"/>
              </w:rPr>
              <w:t xml:space="preserve"> in</w:t>
            </w:r>
            <w:r w:rsidRPr="000F64F8">
              <w:rPr>
                <w:rFonts w:eastAsia="Andale Sans UI" w:cstheme="minorHAnsi"/>
                <w:kern w:val="3"/>
                <w:lang w:eastAsia="en-GB"/>
              </w:rPr>
              <w:t xml:space="preserve"> planning</w:t>
            </w:r>
            <w:r>
              <w:rPr>
                <w:rFonts w:eastAsia="Andale Sans UI" w:cstheme="minorHAnsi"/>
                <w:kern w:val="3"/>
                <w:lang w:eastAsia="en-GB"/>
              </w:rPr>
              <w:t xml:space="preserve"> roll out to other care homes</w:t>
            </w:r>
          </w:p>
          <w:p w14:paraId="3ADCB958" w14:textId="77777777" w:rsidR="003B7409" w:rsidRDefault="003B7409" w:rsidP="006B18FD">
            <w:pPr>
              <w:pStyle w:val="ListParagraph"/>
              <w:numPr>
                <w:ilvl w:val="0"/>
                <w:numId w:val="13"/>
              </w:numPr>
              <w:spacing w:before="60"/>
              <w:rPr>
                <w:rFonts w:eastAsia="Andale Sans UI" w:cstheme="minorHAnsi"/>
                <w:kern w:val="3"/>
                <w:lang w:eastAsia="en-GB"/>
              </w:rPr>
            </w:pPr>
            <w:r w:rsidRPr="000F64F8">
              <w:rPr>
                <w:rFonts w:eastAsia="Andale Sans UI" w:cstheme="minorHAnsi"/>
                <w:kern w:val="3"/>
                <w:lang w:eastAsia="en-GB"/>
              </w:rPr>
              <w:t>Identify</w:t>
            </w:r>
            <w:r>
              <w:rPr>
                <w:rFonts w:eastAsia="Andale Sans UI" w:cstheme="minorHAnsi"/>
                <w:kern w:val="3"/>
                <w:lang w:eastAsia="en-GB"/>
              </w:rPr>
              <w:t xml:space="preserve"> evaluation m</w:t>
            </w:r>
            <w:r w:rsidRPr="000F64F8">
              <w:rPr>
                <w:rFonts w:eastAsia="Andale Sans UI" w:cstheme="minorHAnsi"/>
                <w:kern w:val="3"/>
                <w:lang w:eastAsia="en-GB"/>
              </w:rPr>
              <w:t>odel</w:t>
            </w:r>
            <w:r>
              <w:rPr>
                <w:rFonts w:eastAsia="Andale Sans UI" w:cstheme="minorHAnsi"/>
                <w:kern w:val="3"/>
                <w:lang w:eastAsia="en-GB"/>
              </w:rPr>
              <w:t xml:space="preserve">s to measure patient outcomes, service gains and training goals. </w:t>
            </w:r>
          </w:p>
          <w:p w14:paraId="40BF3B36" w14:textId="77777777" w:rsidR="003B7409" w:rsidRPr="000F64F8" w:rsidRDefault="003B7409" w:rsidP="006B18FD">
            <w:pPr>
              <w:pStyle w:val="ListParagraph"/>
              <w:numPr>
                <w:ilvl w:val="0"/>
                <w:numId w:val="13"/>
              </w:numPr>
              <w:spacing w:before="60"/>
              <w:rPr>
                <w:rFonts w:eastAsia="Andale Sans UI" w:cstheme="minorHAnsi"/>
                <w:kern w:val="3"/>
                <w:lang w:eastAsia="en-GB"/>
              </w:rPr>
            </w:pPr>
            <w:proofErr w:type="gramStart"/>
            <w:r>
              <w:rPr>
                <w:rFonts w:eastAsia="Andale Sans UI" w:cstheme="minorHAnsi"/>
                <w:kern w:val="3"/>
                <w:lang w:eastAsia="en-GB"/>
              </w:rPr>
              <w:t>Establish  knowledge</w:t>
            </w:r>
            <w:proofErr w:type="gramEnd"/>
            <w:r>
              <w:rPr>
                <w:rFonts w:eastAsia="Andale Sans UI" w:cstheme="minorHAnsi"/>
                <w:kern w:val="3"/>
                <w:lang w:eastAsia="en-GB"/>
              </w:rPr>
              <w:t xml:space="preserve"> s</w:t>
            </w:r>
            <w:r w:rsidRPr="000F64F8">
              <w:rPr>
                <w:rFonts w:eastAsia="Andale Sans UI" w:cstheme="minorHAnsi"/>
                <w:kern w:val="3"/>
                <w:lang w:eastAsia="en-GB"/>
              </w:rPr>
              <w:t xml:space="preserve">haring </w:t>
            </w:r>
            <w:r>
              <w:rPr>
                <w:rFonts w:eastAsia="Andale Sans UI" w:cstheme="minorHAnsi"/>
                <w:kern w:val="3"/>
                <w:lang w:eastAsia="en-GB"/>
              </w:rPr>
              <w:t xml:space="preserve">models </w:t>
            </w:r>
            <w:r w:rsidRPr="000F64F8">
              <w:rPr>
                <w:rFonts w:eastAsia="Andale Sans UI" w:cstheme="minorHAnsi"/>
                <w:kern w:val="3"/>
                <w:lang w:eastAsia="en-GB"/>
              </w:rPr>
              <w:t xml:space="preserve">and </w:t>
            </w:r>
            <w:r>
              <w:rPr>
                <w:rFonts w:eastAsia="Andale Sans UI" w:cstheme="minorHAnsi"/>
                <w:kern w:val="3"/>
                <w:lang w:eastAsia="en-GB"/>
              </w:rPr>
              <w:t>disseminate lessons l</w:t>
            </w:r>
            <w:r w:rsidRPr="000F64F8">
              <w:rPr>
                <w:rFonts w:eastAsia="Andale Sans UI" w:cstheme="minorHAnsi"/>
                <w:kern w:val="3"/>
                <w:lang w:eastAsia="en-GB"/>
              </w:rPr>
              <w:t xml:space="preserve">earned </w:t>
            </w:r>
          </w:p>
        </w:tc>
      </w:tr>
    </w:tbl>
    <w:p w14:paraId="43096ECA" w14:textId="77777777" w:rsidR="003B7409" w:rsidRDefault="003B7409" w:rsidP="00886A9C">
      <w:pPr>
        <w:rPr>
          <w:rFonts w:ascii="Arial" w:hAnsi="Arial" w:cs="Arial"/>
          <w:color w:val="7030A0"/>
        </w:rPr>
      </w:pPr>
    </w:p>
    <w:p w14:paraId="00646E83" w14:textId="7797A581" w:rsidR="00874035" w:rsidRDefault="00874035" w:rsidP="00886A9C">
      <w:pPr>
        <w:rPr>
          <w:rFonts w:ascii="Arial" w:hAnsi="Arial" w:cs="Arial"/>
          <w:color w:val="7030A0"/>
        </w:rPr>
      </w:pPr>
    </w:p>
    <w:p w14:paraId="48A4DB0A" w14:textId="77777777" w:rsidR="00874035" w:rsidRPr="00FB17CB" w:rsidRDefault="00874035" w:rsidP="00886A9C">
      <w:pPr>
        <w:rPr>
          <w:rFonts w:ascii="Arial" w:hAnsi="Arial" w:cs="Arial"/>
        </w:rPr>
      </w:pPr>
    </w:p>
    <w:p w14:paraId="4D4B054F" w14:textId="42669756" w:rsidR="00874035" w:rsidRPr="00FB17CB" w:rsidRDefault="003B7409" w:rsidP="00886A9C">
      <w:pPr>
        <w:rPr>
          <w:rFonts w:ascii="Arial" w:hAnsi="Arial" w:cs="Arial"/>
        </w:rPr>
      </w:pPr>
      <w:r w:rsidRPr="00FB17CB">
        <w:rPr>
          <w:noProof/>
        </w:rPr>
        <w:drawing>
          <wp:inline distT="0" distB="0" distL="0" distR="0" wp14:anchorId="4C1EE65B" wp14:editId="58780F18">
            <wp:extent cx="1520042" cy="1318330"/>
            <wp:effectExtent l="0" t="0" r="4445" b="2540"/>
            <wp:docPr id="48" name="Picture 48"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Diagram, venn diagram&#10;&#10;Description automatically generated"/>
                    <pic:cNvPicPr/>
                  </pic:nvPicPr>
                  <pic:blipFill>
                    <a:blip r:embed="rId21"/>
                    <a:stretch>
                      <a:fillRect/>
                    </a:stretch>
                  </pic:blipFill>
                  <pic:spPr>
                    <a:xfrm>
                      <a:off x="0" y="0"/>
                      <a:ext cx="1536801" cy="1332865"/>
                    </a:xfrm>
                    <a:prstGeom prst="rect">
                      <a:avLst/>
                    </a:prstGeom>
                  </pic:spPr>
                </pic:pic>
              </a:graphicData>
            </a:graphic>
          </wp:inline>
        </w:drawing>
      </w:r>
      <w:r w:rsidR="00FB17CB" w:rsidRPr="00FB17CB">
        <w:rPr>
          <w:rFonts w:ascii="Arial" w:hAnsi="Arial" w:cs="Arial"/>
        </w:rPr>
        <w:t>Act</w:t>
      </w:r>
    </w:p>
    <w:p w14:paraId="62AB9126" w14:textId="1EA1C3D6" w:rsidR="00886A9C" w:rsidRPr="004D2E04" w:rsidRDefault="00886A9C" w:rsidP="005151A6">
      <w:pPr>
        <w:rPr>
          <w:rFonts w:ascii="Arial" w:hAnsi="Arial" w:cs="Arial"/>
        </w:rPr>
      </w:pPr>
    </w:p>
    <w:p w14:paraId="3EE2B758" w14:textId="601B4B37" w:rsidR="004D2E04" w:rsidRDefault="004D2E04" w:rsidP="004D2E04">
      <w:pPr>
        <w:jc w:val="both"/>
        <w:rPr>
          <w:rFonts w:ascii="Arial" w:hAnsi="Arial" w:cs="Arial"/>
        </w:rPr>
      </w:pPr>
      <w:r w:rsidRPr="004D2E04">
        <w:rPr>
          <w:rFonts w:ascii="Arial" w:hAnsi="Arial" w:cs="Arial"/>
        </w:rPr>
        <w:t xml:space="preserve">It is in this phase </w:t>
      </w:r>
      <w:r>
        <w:rPr>
          <w:rFonts w:ascii="Arial" w:hAnsi="Arial" w:cs="Arial"/>
        </w:rPr>
        <w:t xml:space="preserve">that the project board will decide if the innovation is going to be adopted, </w:t>
      </w:r>
      <w:proofErr w:type="gramStart"/>
      <w:r>
        <w:rPr>
          <w:rFonts w:ascii="Arial" w:hAnsi="Arial" w:cs="Arial"/>
        </w:rPr>
        <w:t>adapted</w:t>
      </w:r>
      <w:proofErr w:type="gramEnd"/>
      <w:r>
        <w:rPr>
          <w:rFonts w:ascii="Arial" w:hAnsi="Arial" w:cs="Arial"/>
        </w:rPr>
        <w:t xml:space="preserve"> or abandoned. If pertinent learning is acquired, then this will be implemented for the next phase of the PDSA cycle.</w:t>
      </w:r>
    </w:p>
    <w:p w14:paraId="2D907D97" w14:textId="77777777" w:rsidR="004D2E04" w:rsidRPr="004D2E04" w:rsidRDefault="004D2E04" w:rsidP="005151A6">
      <w:pPr>
        <w:rPr>
          <w:rFonts w:ascii="Arial" w:hAnsi="Arial" w:cs="Arial"/>
        </w:rPr>
      </w:pPr>
    </w:p>
    <w:p w14:paraId="0EC7B223" w14:textId="79FB18EE" w:rsidR="00E148D9" w:rsidRDefault="00E148D9" w:rsidP="005151A6">
      <w:pPr>
        <w:rPr>
          <w:rFonts w:ascii="Arial" w:hAnsi="Arial" w:cs="Arial"/>
          <w:b/>
          <w:bCs/>
          <w:u w:val="single"/>
        </w:rPr>
      </w:pPr>
    </w:p>
    <w:p w14:paraId="30F8625D" w14:textId="77777777" w:rsidR="00674FBD" w:rsidRDefault="00674FBD" w:rsidP="005151A6">
      <w:pPr>
        <w:rPr>
          <w:rFonts w:ascii="Arial" w:hAnsi="Arial" w:cs="Arial"/>
          <w:b/>
          <w:bCs/>
          <w:u w:val="single"/>
        </w:rPr>
      </w:pPr>
    </w:p>
    <w:p w14:paraId="4F6F527A" w14:textId="66916A5C" w:rsidR="005151A6" w:rsidRDefault="005151A6" w:rsidP="005151A6">
      <w:pPr>
        <w:rPr>
          <w:rFonts w:ascii="Arial" w:hAnsi="Arial" w:cs="Arial"/>
          <w:b/>
          <w:bCs/>
          <w:u w:val="single"/>
        </w:rPr>
      </w:pPr>
      <w:r w:rsidRPr="00ED4E01">
        <w:rPr>
          <w:rFonts w:ascii="Arial" w:hAnsi="Arial" w:cs="Arial"/>
          <w:b/>
          <w:bCs/>
          <w:u w:val="single"/>
        </w:rPr>
        <w:lastRenderedPageBreak/>
        <w:t>Measure that will be Implemented</w:t>
      </w:r>
    </w:p>
    <w:p w14:paraId="73AA415B" w14:textId="77777777" w:rsidR="004D2E04" w:rsidRDefault="004D2E04" w:rsidP="005151A6">
      <w:pPr>
        <w:rPr>
          <w:rFonts w:ascii="Arial" w:hAnsi="Arial" w:cs="Arial"/>
          <w:b/>
          <w:bCs/>
          <w:u w:val="single"/>
        </w:rPr>
      </w:pPr>
    </w:p>
    <w:p w14:paraId="64FEFB6B" w14:textId="0105D331" w:rsidR="00D92E07" w:rsidRDefault="00D92E07" w:rsidP="009752E2">
      <w:pPr>
        <w:jc w:val="both"/>
        <w:rPr>
          <w:rFonts w:ascii="Arial" w:hAnsi="Arial" w:cs="Arial"/>
        </w:rPr>
      </w:pPr>
      <w:r w:rsidRPr="00ED4E01">
        <w:rPr>
          <w:rFonts w:ascii="Arial" w:hAnsi="Arial" w:cs="Arial"/>
        </w:rPr>
        <w:t xml:space="preserve">Telehealth and remote consultations </w:t>
      </w:r>
      <w:proofErr w:type="gramStart"/>
      <w:r w:rsidR="004D2E04">
        <w:rPr>
          <w:rFonts w:ascii="Arial" w:hAnsi="Arial" w:cs="Arial"/>
        </w:rPr>
        <w:t>is</w:t>
      </w:r>
      <w:proofErr w:type="gramEnd"/>
      <w:r w:rsidR="004D2E04">
        <w:rPr>
          <w:rFonts w:ascii="Arial" w:hAnsi="Arial" w:cs="Arial"/>
        </w:rPr>
        <w:t xml:space="preserve"> the primary digital solution that is explored in this project. </w:t>
      </w:r>
      <w:r w:rsidR="00674FBD" w:rsidRPr="009752E2">
        <w:rPr>
          <w:rFonts w:ascii="Arial" w:hAnsi="Arial" w:cs="Arial"/>
        </w:rPr>
        <w:t>T</w:t>
      </w:r>
      <w:r w:rsidR="00674FBD" w:rsidRPr="009752E2">
        <w:rPr>
          <w:rFonts w:ascii="Arial" w:hAnsi="Arial" w:cs="Arial"/>
        </w:rPr>
        <w:t>elehealth is t</w:t>
      </w:r>
      <w:r w:rsidR="00674FBD" w:rsidRPr="009752E2">
        <w:rPr>
          <w:rFonts w:ascii="Arial" w:hAnsi="Arial" w:cs="Arial"/>
        </w:rPr>
        <w:t>he delivery of remote care using equipment to transfer health related information</w:t>
      </w:r>
      <w:r w:rsidR="009752E2" w:rsidRPr="009752E2">
        <w:rPr>
          <w:rFonts w:ascii="Arial" w:hAnsi="Arial" w:cs="Arial"/>
        </w:rPr>
        <w:t xml:space="preserve"> </w:t>
      </w:r>
      <w:r w:rsidR="009752E2" w:rsidRPr="009752E2">
        <w:rPr>
          <w:rFonts w:ascii="Arial" w:hAnsi="Arial" w:cs="Arial"/>
        </w:rPr>
        <w:t>to evaluate</w:t>
      </w:r>
      <w:r w:rsidR="009752E2" w:rsidRPr="009752E2">
        <w:rPr>
          <w:rFonts w:ascii="Arial" w:hAnsi="Arial" w:cs="Arial"/>
        </w:rPr>
        <w:t xml:space="preserve"> </w:t>
      </w:r>
      <w:proofErr w:type="spellStart"/>
      <w:r w:rsidR="009752E2" w:rsidRPr="009752E2">
        <w:rPr>
          <w:rFonts w:ascii="Arial" w:hAnsi="Arial" w:cs="Arial"/>
        </w:rPr>
        <w:t>evaluate</w:t>
      </w:r>
      <w:proofErr w:type="spellEnd"/>
      <w:r w:rsidR="009752E2" w:rsidRPr="009752E2">
        <w:rPr>
          <w:rFonts w:ascii="Arial" w:hAnsi="Arial" w:cs="Arial"/>
        </w:rPr>
        <w:t xml:space="preserve">, </w:t>
      </w:r>
      <w:proofErr w:type="gramStart"/>
      <w:r w:rsidR="009752E2" w:rsidRPr="009752E2">
        <w:rPr>
          <w:rFonts w:ascii="Arial" w:hAnsi="Arial" w:cs="Arial"/>
        </w:rPr>
        <w:t>diagnose</w:t>
      </w:r>
      <w:proofErr w:type="gramEnd"/>
      <w:r w:rsidR="009752E2" w:rsidRPr="009752E2">
        <w:rPr>
          <w:rFonts w:ascii="Arial" w:hAnsi="Arial" w:cs="Arial"/>
        </w:rPr>
        <w:t xml:space="preserve"> and treat patients in remote locations using digital technology</w:t>
      </w:r>
      <w:r w:rsidR="00674FBD" w:rsidRPr="009752E2">
        <w:rPr>
          <w:rFonts w:ascii="Arial" w:hAnsi="Arial" w:cs="Arial"/>
        </w:rPr>
        <w:t xml:space="preserve">. This </w:t>
      </w:r>
      <w:r w:rsidR="009752E2" w:rsidRPr="009752E2">
        <w:rPr>
          <w:rFonts w:ascii="Arial" w:hAnsi="Arial" w:cs="Arial"/>
        </w:rPr>
        <w:t>is often</w:t>
      </w:r>
      <w:r w:rsidR="00674FBD" w:rsidRPr="009752E2">
        <w:rPr>
          <w:rFonts w:ascii="Arial" w:hAnsi="Arial" w:cs="Arial"/>
        </w:rPr>
        <w:t xml:space="preserve"> used interchangeably with telemedicine</w:t>
      </w:r>
      <w:r w:rsidR="009752E2" w:rsidRPr="009752E2">
        <w:rPr>
          <w:rFonts w:ascii="Arial" w:hAnsi="Arial" w:cs="Arial"/>
        </w:rPr>
        <w:t xml:space="preserve"> </w:t>
      </w:r>
      <w:r w:rsidR="009752E2" w:rsidRPr="009752E2">
        <w:rPr>
          <w:rFonts w:ascii="Arial" w:hAnsi="Arial" w:cs="Arial"/>
        </w:rPr>
        <w:fldChar w:fldCharType="begin" w:fldLock="1"/>
      </w:r>
      <w:r w:rsidR="006C2C32">
        <w:rPr>
          <w:rFonts w:ascii="Arial" w:hAnsi="Arial" w:cs="Arial"/>
        </w:rPr>
        <w:instrText>ADDIN CSL_CITATION {"citationItems":[{"id":"ITEM-1","itemData":{"URL":"https://amdtelemedicine.com/telemedicine-defined/","accessed":{"date-parts":[["2021","12","1"]]},"author":[{"dropping-particle":"","family":"Bacon","given":"Eric (AMD Global Telemedicine)","non-dropping-particle":"","parse-names":false,"suffix":""}],"id":"ITEM-1","issued":{"date-parts":[["2021"]]},"title":"Telemedicine Defined","type":"webpage"},"uris":["http://www.mendeley.com/documents/?uuid=e1c23991-c612-490a-bae4-de0c4ab575da"]},{"id":"ITEM-2","itemData":{"DOI":"10.2196/23775","ISBN":"1865617873","ISSN":"14388871","PMID":"33434141","abstract":"Background: COVID-19 has thrust video consulting into the limelight, as health care practitioners worldwide shift to delivering care remotely. Evidence suggests that video consulting is acceptable, safe, and effective in selected conditions and settings. However, research to date has mostly focused on initial adoption, with limited consideration of how video consulting can be mainstreamed and sustained. Objective: This study sought to do the following: (1) review and synthesize reported opportunities, challenges, and lessons learned in the scale-up, spread, and sustainability of video consultations, and (2) identify transferable insights that can inform policy and practice. Methods: We identified papers through systematic searches in PubMed, CINAHL, and Web of Science. Included articles reported on synchronous, video-based consultations that had spread to more than one setting beyond an initial pilot or feasibility stage, and were published since 2010. We used the Nonadoption, Abandonment, and challenges to the Scale-up, Spread, and Sustainability (NASSS) framework to synthesize findings relating to 7 domains: An understanding of the health condition(s) for which video consultations were being used, the material properties of the technological platform and relevant peripherals, the value proposition for patients and developers, the role of the adopter system, organizational factors, wider macro-level considerations, and emergence over time. Results: We identified 13 papers describing 10 different video consultation services in 6 regions, covering the following: (1) video-to-home services, connecting providers directly to the patient; (2) hub-and-spoke models, connecting a provider at a central hub to a patient at a rural center; and (3) large-scale top-down evaluations scaled up or spread across a national health administration. Services covered rehabilitation, geriatrics, cancer surgery, diabetes, and mental health, as well as general specialist care and primary care. Potential enablers of spread and scale-up included embedded leadership and the presence of a telehealth champion, appropriate reimbursement mechanisms, user-friendly technology, pre-existing staff relationships, and adaptation (of technology and services) over time. Challenges tended to be related to service development, such as the absence of a long-term strategic plan, resistance to change, cost and reimbursement issues, and the technical experience of staff. There was limited articulat…","author":[{"dropping-particle":"","family":"James","given":"Hannah M.","non-dropping-particle":"","parse-names":false,"suffix":""},{"dropping-particle":"","family":"Papoutsi","given":"Chrysanthi","non-dropping-particle":"","parse-names":false,"suffix":""},{"dropping-particle":"","family":"Wherton","given":"Joseph","non-dropping-particle":"","parse-names":false,"suffix":""},{"dropping-particle":"","family":"Greenhalgh","given":"Trisha","non-dropping-particle":"","parse-names":false,"suffix":""},{"dropping-particle":"","family":"Shaw","given":"Sara E.","non-dropping-particle":"","parse-names":false,"suffix":""}],"container-title":"Journal of Medical Internet Research","id":"ITEM-2","issue":"1","issued":{"date-parts":[["2021"]]},"title":"Spread, Scale-up, and Sustainability of Video Consulting in Health Care: Systematic Review and Synthesis Guided by the NASSS Framework","type":"article-journal","volume":"23"},"uris":["http://www.mendeley.com/documents/?uuid=6c669b01-25cf-4c10-8c6a-c4125bf56e04"]}],"mendeley":{"formattedCitation":"(Bacon, 2021; James &lt;i&gt;et al.&lt;/i&gt;, 2021)","plainTextFormattedCitation":"(Bacon, 2021; James et al., 2021)","previouslyFormattedCitation":"(Bacon, 2021; James &lt;i&gt;et al.&lt;/i&gt;, 2021)"},"properties":{"noteIndex":0},"schema":"https://github.com/citation-style-language/schema/raw/master/csl-citation.json"}</w:instrText>
      </w:r>
      <w:r w:rsidR="009752E2" w:rsidRPr="009752E2">
        <w:rPr>
          <w:rFonts w:ascii="Arial" w:hAnsi="Arial" w:cs="Arial"/>
        </w:rPr>
        <w:fldChar w:fldCharType="separate"/>
      </w:r>
      <w:r w:rsidR="009752E2" w:rsidRPr="009752E2">
        <w:rPr>
          <w:rFonts w:ascii="Arial" w:hAnsi="Arial" w:cs="Arial"/>
          <w:noProof/>
        </w:rPr>
        <w:t xml:space="preserve">(Bacon, 2021; James </w:t>
      </w:r>
      <w:r w:rsidR="009752E2" w:rsidRPr="009752E2">
        <w:rPr>
          <w:rFonts w:ascii="Arial" w:hAnsi="Arial" w:cs="Arial"/>
          <w:i/>
          <w:noProof/>
        </w:rPr>
        <w:t>et al.</w:t>
      </w:r>
      <w:r w:rsidR="009752E2" w:rsidRPr="009752E2">
        <w:rPr>
          <w:rFonts w:ascii="Arial" w:hAnsi="Arial" w:cs="Arial"/>
          <w:noProof/>
        </w:rPr>
        <w:t>, 2021)</w:t>
      </w:r>
      <w:r w:rsidR="009752E2" w:rsidRPr="009752E2">
        <w:rPr>
          <w:rFonts w:ascii="Arial" w:hAnsi="Arial" w:cs="Arial"/>
        </w:rPr>
        <w:fldChar w:fldCharType="end"/>
      </w:r>
      <w:r w:rsidR="009752E2">
        <w:rPr>
          <w:rFonts w:ascii="Arial" w:hAnsi="Arial" w:cs="Arial"/>
        </w:rPr>
        <w:t xml:space="preserve">. </w:t>
      </w:r>
      <w:r w:rsidR="004D2E04">
        <w:rPr>
          <w:rFonts w:ascii="Arial" w:hAnsi="Arial" w:cs="Arial"/>
        </w:rPr>
        <w:t xml:space="preserve">Video consultations </w:t>
      </w:r>
      <w:r w:rsidRPr="00ED4E01">
        <w:rPr>
          <w:rFonts w:ascii="Arial" w:hAnsi="Arial" w:cs="Arial"/>
        </w:rPr>
        <w:t>have been used by Speech &amp; Language Therapists to assess swallowing difficulties</w:t>
      </w:r>
      <w:r w:rsidR="004D2E04">
        <w:rPr>
          <w:rFonts w:ascii="Arial" w:hAnsi="Arial" w:cs="Arial"/>
        </w:rPr>
        <w:t xml:space="preserve">, </w:t>
      </w:r>
      <w:r w:rsidRPr="00ED4E01">
        <w:rPr>
          <w:rFonts w:ascii="Arial" w:hAnsi="Arial" w:cs="Arial"/>
        </w:rPr>
        <w:t>Dietitians for Medical Nutrition Therapy and Pharmacists for remote Medication Management</w:t>
      </w:r>
      <w:r w:rsidR="004D2E04">
        <w:rPr>
          <w:rFonts w:ascii="Arial" w:hAnsi="Arial" w:cs="Arial"/>
        </w:rPr>
        <w:t xml:space="preserve"> </w:t>
      </w:r>
      <w:r w:rsidR="00A267E3">
        <w:rPr>
          <w:rFonts w:ascii="Arial" w:hAnsi="Arial" w:cs="Arial"/>
        </w:rPr>
        <w:fldChar w:fldCharType="begin" w:fldLock="1"/>
      </w:r>
      <w:r w:rsidR="00A267E3">
        <w:rPr>
          <w:rFonts w:ascii="Arial" w:hAnsi="Arial" w:cs="Arial"/>
        </w:rPr>
        <w:instrText>ADDIN CSL_CITATION {"citationItems":[{"id":"ITEM-1","itemData":{"DOI":"10.1111/1747-0080.12619","ISSN":"17470080","PMID":"32596950","abstract":"It is the position of Dietitians Australia that clients can receive high-quality and effective dietetic services such as Medical Nutrition Therapy (MNT) delivered via telehealth. Outcomes of telehealth-delivered dietetic consultations are comparable to those delivered in-person, without requiring higher levels of additional training nor compromising quality of service provision. Dietitians Australia recommends that policy makers and healthcare funders broaden the recognition for telehealth-delivered dietetic consultations as a responsive and cost-effective alternative or complement to traditional in-person delivery of dietetic services. The successful implementation of telehealth can help to address health and service inequalities, improve access to effective nutrition services, and support people with chronic disease to optimise their diet-related health and well-being, regardless of their location, income or literacy level, thereby addressing current inequities.","author":[{"dropping-particle":"","family":"Kelly","given":"Jaimon T.","non-dropping-particle":"","parse-names":false,"suffix":""},{"dropping-particle":"","family":"Allman-Farinelli","given":"Margaret","non-dropping-particle":"","parse-names":false,"suffix":""},{"dropping-particle":"","family":"Chen","given":"Juliana","non-dropping-particle":"","parse-names":false,"suffix":""},{"dropping-particle":"","family":"Partridge","given":"Stephanie R.","non-dropping-particle":"","parse-names":false,"suffix":""},{"dropping-particle":"","family":"Collins","given":"Clare","non-dropping-particle":"","parse-names":false,"suffix":""},{"dropping-particle":"","family":"Rollo","given":"Megan","non-dropping-particle":"","parse-names":false,"suffix":""},{"dropping-particle":"","family":"Haslam","given":"Rebecca","non-dropping-particle":"","parse-names":false,"suffix":""},{"dropping-particle":"","family":"Diversi","given":"Tara","non-dropping-particle":"","parse-names":false,"suffix":""},{"dropping-particle":"","family":"Campbell","given":"Katrina L.","non-dropping-particle":"","parse-names":false,"suffix":""}],"container-title":"Nutrition and Dietetics","id":"ITEM-1","issue":"4","issued":{"date-parts":[["2020"]]},"page":"406-415","title":"Dietitians Australia position statement on telehealth","type":"article-journal","volume":"77"},"uris":["http://www.mendeley.com/documents/?uuid=b75a3541-44f5-40ee-a0df-89bfa255d18c"]}],"mendeley":{"formattedCitation":"(Kelly &lt;i&gt;et al.&lt;/i&gt;, 2020)","plainTextFormattedCitation":"(Kelly et al., 2020)","previouslyFormattedCitation":"(Kelly &lt;i&gt;et al.&lt;/i&gt;, 2020)"},"properties":{"noteIndex":0},"schema":"https://github.com/citation-style-language/schema/raw/master/csl-citation.json"}</w:instrText>
      </w:r>
      <w:r w:rsidR="00A267E3">
        <w:rPr>
          <w:rFonts w:ascii="Arial" w:hAnsi="Arial" w:cs="Arial"/>
        </w:rPr>
        <w:fldChar w:fldCharType="separate"/>
      </w:r>
      <w:r w:rsidR="00A267E3" w:rsidRPr="00A267E3">
        <w:rPr>
          <w:rFonts w:ascii="Arial" w:hAnsi="Arial" w:cs="Arial"/>
          <w:noProof/>
        </w:rPr>
        <w:t xml:space="preserve">(Kelly </w:t>
      </w:r>
      <w:r w:rsidR="00A267E3" w:rsidRPr="00A267E3">
        <w:rPr>
          <w:rFonts w:ascii="Arial" w:hAnsi="Arial" w:cs="Arial"/>
          <w:i/>
          <w:noProof/>
        </w:rPr>
        <w:t>et al.</w:t>
      </w:r>
      <w:r w:rsidR="00A267E3" w:rsidRPr="00A267E3">
        <w:rPr>
          <w:rFonts w:ascii="Arial" w:hAnsi="Arial" w:cs="Arial"/>
          <w:noProof/>
        </w:rPr>
        <w:t>, 2020)</w:t>
      </w:r>
      <w:r w:rsidR="00A267E3">
        <w:rPr>
          <w:rFonts w:ascii="Arial" w:hAnsi="Arial" w:cs="Arial"/>
        </w:rPr>
        <w:fldChar w:fldCharType="end"/>
      </w:r>
      <w:r w:rsidRPr="00ED4E01">
        <w:rPr>
          <w:rFonts w:ascii="Arial" w:hAnsi="Arial" w:cs="Arial"/>
        </w:rPr>
        <w:t>.</w:t>
      </w:r>
    </w:p>
    <w:p w14:paraId="27510254" w14:textId="1C3C5227" w:rsidR="004D2E04" w:rsidRDefault="004D2E04" w:rsidP="00D92E07">
      <w:pPr>
        <w:jc w:val="both"/>
        <w:rPr>
          <w:rFonts w:ascii="Arial" w:hAnsi="Arial" w:cs="Arial"/>
        </w:rPr>
      </w:pPr>
    </w:p>
    <w:p w14:paraId="6996D18E" w14:textId="3690D5D5" w:rsidR="00A267E3" w:rsidRDefault="007F61D7" w:rsidP="00A267E3">
      <w:pPr>
        <w:jc w:val="both"/>
        <w:rPr>
          <w:rFonts w:ascii="Arial" w:hAnsi="Arial" w:cs="Arial"/>
        </w:rPr>
      </w:pPr>
      <w:r>
        <w:rPr>
          <w:rFonts w:ascii="Arial" w:hAnsi="Arial" w:cs="Arial"/>
        </w:rPr>
        <w:t xml:space="preserve">Speech and Language Therapists was able to fine tune protocols to ensure safety when conducting swallowing assessments that has potential for choking, aspiration pneumonia or provoke anxiety </w:t>
      </w:r>
      <w:r>
        <w:rPr>
          <w:rFonts w:ascii="Arial" w:hAnsi="Arial" w:cs="Arial"/>
        </w:rPr>
        <w:fldChar w:fldCharType="begin" w:fldLock="1"/>
      </w:r>
      <w:r>
        <w:rPr>
          <w:rFonts w:ascii="Arial" w:hAnsi="Arial" w:cs="Arial"/>
        </w:rPr>
        <w:instrText>ADDIN CSL_CITATION {"citationItems":[{"id":"ITEM-1","itemData":{"DOI":"10.1007/s00455-021-10357-6","ISBN":"0045502110","ISSN":"14320460","abstract":"In order to ensure appropriateness and feasibility of examination items for remote evaluation for deglutition disorders, a questionnaire based on the Delphi method was administered to 122 speech–language–hearing therapists (STs), and a set of examination items was selected. The participants were instructed to view a video recording of a remote assessment situation and answer a 30-item questionnaire. Of 19 items ensuring the appropriateness for deglutition disorders detection, 13 items ultimately met the consensus criteria for remote feasibility. Factor analysis extracted three factors: ‘oral observation,’ ‘overall evaluation,’ and ‘perceptual voice judgment.’ In free-text responses, “quality and stability of the voice that may be heard through the device” were the most common concerns, followed by “the need to correct of the camera angle, magnification, and targets that should be projected,” “concerns about the technical aspects of the assistants and their role in relation with the examiner/ST,” and “the need for palpation as well as visual confirmation.” The proposed 13-item examination is considered to capture the characteristics of deglutition disorders, while items that appeared difficult to implement remotely were excluded. The fact that some items could be influenced by the video calling experience when judging the feasibility of remote implementation, the acceptability of such items, is likely to increase in the future.","author":[{"dropping-particle":"","family":"Omori","given":"Fumitaka","non-dropping-particle":"","parse-names":false,"suffix":""},{"dropping-particle":"","family":"Fujiu-Kurachi","given":"Masako","non-dropping-particle":"","parse-names":false,"suffix":""},{"dropping-particle":"","family":"Iiboshi","given":"Kiyoko","non-dropping-particle":"","parse-names":false,"suffix":""},{"dropping-particle":"","family":"Yamano","given":"Takafumi","non-dropping-particle":"","parse-names":false,"suffix":""}],"container-title":"Dysphagia","id":"ITEM-1","issue":"Part I","issued":{"date-parts":[["2021"]]},"page":"5-12","publisher":"Springer US","title":"Development of a Remote Examination of Deglutition Based on Consensus Surveys of Clinicians (Part I): Selection of Examination Items","type":"article-journal"},"uris":["http://www.mendeley.com/documents/?uuid=25adc7db-72f4-4e02-a372-595b150507f1"]},{"id":"ITEM-2","itemData":{"abstract":"The world’s population is increasing and aging due to medical advancements over disease and injury. However, the World Health Organisation (WHO, 2006) in its health report predicts that the loss of health and life in the future will be greater from non-communicable diseases and/or chronic impairments such as cerebrovascular disease (CVA) and cancers than from the better known infectious diseases. With greater numbers of individuals living with disabilities and immobility, healthcare systems as a result will be burdened to provide quality healthcare services. This will be further challenged by impending issues with workforce shortages and the distribution of populations across larger geographical areas. Hence healthcare providers are actively seeking alternate models for providing healthcare services in the future. One such approach is telehealth. Although there exist various definitions of the term “telehealth”, the term quite literally means “the delivery of healthcare services from a distance” (Darkins, &amp; Cary, 2000). Traditionally, the face-to-face consultation is considered by many to be the “gold standard”. However, evidence-based research over the past decade has proven the quality and the benefits of many forms of telehealth service, which has in turn brought about an uptake and acceptance of telehealth in various fields, such as medicine. Speech pathology, like other health professions is embracing the potential of telehealth to provide rehabilitation services via the Internet i.e. telerehabilitation. To this end, the past decade has seen a rapid expansion in research into the use of telerehabilitation across several areas of speech pathology practice such as assessing aphasia, assessing and managing stuttering, treating motor-speech disorders, voice assessment, assessment and therapy for paediatric communication disorders, voice treatment for Parkinson’s disease and post discharge management of patients with laryngectomy. Overall the growing evidence base has demonstrated very positive outcomes. However, at the time this thesis commenced, one aspect of speech pathology practice which had received little systematic investigation was the use of telerehabilitation to provide dysphagia management services. Dysphagia, a swallowing disorder, is a highly prevalent condition. Occurring as a result of abnormal deglutition, it can lead to consequences such as malnutrition, dehydration and aspiration pneumonia which can sometimes become fatal. While dysph…","author":[{"dropping-particle":"","family":"Sharma","given":"Shobha","non-dropping-particle":"","parse-names":false,"suffix":""}],"id":"ITEM-2","issued":{"date-parts":[["2012"]]},"number-of-pages":"297","publisher":"The University of Queensland","title":"Telerehabilitation application for the clinical assessment of dysphagia","type":"thesis"},"uris":["http://www.mendeley.com/documents/?uuid=af662ed1-5487-4e96-9cd5-84febb7a1746"]}],"mendeley":{"formattedCitation":"(Sharma, 2012; Omori &lt;i&gt;et al.&lt;/i&gt;, 2021)","plainTextFormattedCitation":"(Sharma, 2012; Omori et al., 2021)","previouslyFormattedCitation":"(Sharma, 2012; Omori &lt;i&gt;et al.&lt;/i&gt;, 2021)"},"properties":{"noteIndex":0},"schema":"https://github.com/citation-style-language/schema/raw/master/csl-citation.json"}</w:instrText>
      </w:r>
      <w:r>
        <w:rPr>
          <w:rFonts w:ascii="Arial" w:hAnsi="Arial" w:cs="Arial"/>
        </w:rPr>
        <w:fldChar w:fldCharType="separate"/>
      </w:r>
      <w:r w:rsidRPr="007F61D7">
        <w:rPr>
          <w:rFonts w:ascii="Arial" w:hAnsi="Arial" w:cs="Arial"/>
          <w:noProof/>
        </w:rPr>
        <w:t xml:space="preserve">(Sharma, 2012; Omori </w:t>
      </w:r>
      <w:r w:rsidRPr="007F61D7">
        <w:rPr>
          <w:rFonts w:ascii="Arial" w:hAnsi="Arial" w:cs="Arial"/>
          <w:i/>
          <w:noProof/>
        </w:rPr>
        <w:t>et al.</w:t>
      </w:r>
      <w:r w:rsidRPr="007F61D7">
        <w:rPr>
          <w:rFonts w:ascii="Arial" w:hAnsi="Arial" w:cs="Arial"/>
          <w:noProof/>
        </w:rPr>
        <w:t>, 2021)</w:t>
      </w:r>
      <w:r>
        <w:rPr>
          <w:rFonts w:ascii="Arial" w:hAnsi="Arial" w:cs="Arial"/>
        </w:rPr>
        <w:fldChar w:fldCharType="end"/>
      </w:r>
      <w:r>
        <w:rPr>
          <w:rFonts w:ascii="Arial" w:hAnsi="Arial" w:cs="Arial"/>
        </w:rPr>
        <w:t xml:space="preserve">.  </w:t>
      </w:r>
      <w:r>
        <w:rPr>
          <w:rFonts w:ascii="Arial" w:hAnsi="Arial" w:cs="Arial"/>
        </w:rPr>
        <w:fldChar w:fldCharType="begin" w:fldLock="1"/>
      </w:r>
      <w:r w:rsidR="00A267E3">
        <w:rPr>
          <w:rFonts w:ascii="Arial" w:hAnsi="Arial" w:cs="Arial"/>
        </w:rPr>
        <w:instrText>ADDIN CSL_CITATION {"citationItems":[{"id":"ITEM-1","itemData":{"DOI":"10.1007/s00455-011-9390-9","ISSN":"0179051X","PMID":"22271284","abstract":"To assess the validity of conducting clinical dysphagia assessments via telerehabilitation, 40 individuals with dysphagia from various etiologies were assessed simultaneously by a face-to-face speech-language pathologist (FTF-SLP) and a telerehabilitation SLP (T-SLP) via an Internet-based videoconferencing telerehabilitation system. Dysphagia status was assessed using a Clinical Swallowing Examination (CSE) protocol, delivered via a specialized telerehabilitation videoconferencing system and involving the use of an assistant at the patient's end of the consultation to facilitate the assessment. Levels of agreement between the FTF-SLP and T-SLP revealed that the majority of parameters reached set levels of clinically acceptable levels of agreement. Specifically, agreement between the T-SLP and FTF-SLP ratings for the oral, oromotor, and laryngeal function tasks revealed levels of exact agreement ranging from 75 to 100% (kappa = 0.36-1.0), while the parameters relating to food and fluid trials ranged in exact agreement from 79 to 100% (kappa = 0.61-1.0). Across the parameters related to aspiration risk and clinical management, exact agreement ranged between 79 and 100% (kappa = 0.49-1.0). The data show that a CSE conducted via telerehabilitation can provide valid and reliable outcomes comparable to clinical decisions made in the FTF environment. © 2012 Springer Science+Business Media, LLC.","author":[{"dropping-particle":"","family":"Ward","given":"Elizabeth C.","non-dropping-particle":"","parse-names":false,"suffix":""},{"dropping-particle":"","family":"Sharma","given":"Shobha","non-dropping-particle":"","parse-names":false,"suffix":""},{"dropping-particle":"","family":"Burns","given":"Clare","non-dropping-particle":"","parse-names":false,"suffix":""},{"dropping-particle":"","family":"Theodoros","given":"Deborah","non-dropping-particle":"","parse-names":false,"suffix":""},{"dropping-particle":"","family":"Russell","given":"Trevor","non-dropping-particle":"","parse-names":false,"suffix":""}],"container-title":"Dysphagia","id":"ITEM-1","issue":"4","issued":{"date-parts":[["2012"]]},"page":"460-472","title":"Validity of conducting clinical dysphagia assessments for patients with normal to mild cognitive impairment via telerehabilitation","type":"article-journal","volume":"27"},"uris":["http://www.mendeley.com/documents/?uuid=970f4ae6-e62f-4383-a7fb-58eb2146a888"]}],"mendeley":{"formattedCitation":"(Ward &lt;i&gt;et al.&lt;/i&gt;, 2012)","manualFormatting":"Ward et al., (2012)","plainTextFormattedCitation":"(Ward et al., 2012)","previouslyFormattedCitation":"(Ward &lt;i&gt;et al.&lt;/i&gt;, 2012)"},"properties":{"noteIndex":0},"schema":"https://github.com/citation-style-language/schema/raw/master/csl-citation.json"}</w:instrText>
      </w:r>
      <w:r>
        <w:rPr>
          <w:rFonts w:ascii="Arial" w:hAnsi="Arial" w:cs="Arial"/>
        </w:rPr>
        <w:fldChar w:fldCharType="separate"/>
      </w:r>
      <w:r w:rsidRPr="007F61D7">
        <w:rPr>
          <w:rFonts w:ascii="Arial" w:hAnsi="Arial" w:cs="Arial"/>
          <w:noProof/>
        </w:rPr>
        <w:t xml:space="preserve">Ward </w:t>
      </w:r>
      <w:r w:rsidRPr="007F61D7">
        <w:rPr>
          <w:rFonts w:ascii="Arial" w:hAnsi="Arial" w:cs="Arial"/>
          <w:i/>
          <w:noProof/>
        </w:rPr>
        <w:t>et al.</w:t>
      </w:r>
      <w:r w:rsidRPr="007F61D7">
        <w:rPr>
          <w:rFonts w:ascii="Arial" w:hAnsi="Arial" w:cs="Arial"/>
          <w:noProof/>
        </w:rPr>
        <w:t xml:space="preserve">, </w:t>
      </w:r>
      <w:r>
        <w:rPr>
          <w:rFonts w:ascii="Arial" w:hAnsi="Arial" w:cs="Arial"/>
          <w:noProof/>
        </w:rPr>
        <w:t>(</w:t>
      </w:r>
      <w:r w:rsidRPr="007F61D7">
        <w:rPr>
          <w:rFonts w:ascii="Arial" w:hAnsi="Arial" w:cs="Arial"/>
          <w:noProof/>
        </w:rPr>
        <w:t>2012)</w:t>
      </w:r>
      <w:r>
        <w:rPr>
          <w:rFonts w:ascii="Arial" w:hAnsi="Arial" w:cs="Arial"/>
        </w:rPr>
        <w:fldChar w:fldCharType="end"/>
      </w:r>
      <w:r>
        <w:rPr>
          <w:rFonts w:ascii="Arial" w:hAnsi="Arial" w:cs="Arial"/>
        </w:rPr>
        <w:t xml:space="preserve"> was able to prove validity of remote dysphagia assessments for normal or patients with mild cognitive disabilities. Following this study, </w:t>
      </w:r>
      <w:r>
        <w:rPr>
          <w:rFonts w:ascii="Arial" w:hAnsi="Arial" w:cs="Arial"/>
        </w:rPr>
        <w:fldChar w:fldCharType="begin" w:fldLock="1"/>
      </w:r>
      <w:r>
        <w:rPr>
          <w:rFonts w:ascii="Arial" w:hAnsi="Arial" w:cs="Arial"/>
        </w:rPr>
        <w:instrText>ADDIN CSL_CITATION {"citationItems":[{"id":"ITEM-1","itemData":{"DOI":"10.1044/2020_AJSLP-20-00234","ISSN":"15589110","PMID":"33555954","abstract":"Purpose: The COVID-19 pandemic has drastically increased the use of telehealth. Prior studies of telehealth clinical swallowing evaluations provide positive evidence for telemanagement of swallowing. However, the reliability of these measures in clinical practice, as opposed to well-controlled research conditions, remains unknown. This study aimed to investigate the reliability of outcome measures derived from clinical swallowing tele-evaluations in real-world clinical practice (e.g., variability in devices and Internet connectivity, lack of in-person clinician assistance, or remote patient/caregiver training). Method: Seven raters asynchronously judged clinical swallowing tele-evaluations of 12 movement disorders patients. Outcomes included the Timed Water Swallow Test (TWST), Test of Masticating and Swallowing Solids (TOMASS), and common observations of oral intake. Statistical analyses were performed to examine inter-and intrarater reliability, as well as qualitative analyses exploring patient and clinician-specific factors impacting reliability. Results: Forty-four trials were included for reliability analyses. All rater dyads demonstrated “good” to “excellent” interrater reliability for measures of the TWST (intraclass correlation coefficients [ICCs] ≥ .93) and observations of oral intake (≥ 77% agreement). The majority of TOMASS outcomes demonstrated “good” to “excellent” interrater reliability (ICCs ≥ .84), with the exception of the number of bites (ICCs = .43–.99) and swallows (ICCs = .21–.85). Immediate and delayed intrarater reliability were “excellent” for most raters across all tasks, ranging between ICCs of .63 and 1.00. Exploratory factors potentially impacting reliability included infrequent instances of suboptimal video quality, reduced camera stability, camera distance, and obstruction of the patient’s mouth during tasks. Conclusions: Subjective observations of oral intake and objective measures taken from the TWST and the TOMASS can be reliably measured via telehealth in clinical practice. Our results provide support for the feasibility and reliability of telehealth for outpatient clinical swallowing evaluations during COVID-19 and beyond. Supplemental Material: https://doi.org/10.23641/asha. 13661378.","author":[{"dropping-particle":"","family":"Borders","given":"James C.","non-dropping-particle":"","parse-names":false,"suffix":""},{"dropping-particle":"","family":"Sevitz","given":"Jordanna S.","non-dropping-particle":"","parse-names":false,"suffix":""},{"dropping-particle":"","family":"Malandraki","given":"Jaime Bauer","non-dropping-particle":"","parse-names":false,"suffix":""},{"dropping-particle":"","family":"Malandraki","given":"Georgia A.","non-dropping-particle":"","parse-names":false,"suffix":""},{"dropping-particle":"","family":"Troche","given":"Michelle S.","non-dropping-particle":"","parse-names":false,"suffix":""}],"container-title":"American Journal of Speech-Language Pathology","id":"ITEM-1","issue":"2","issued":{"date-parts":[["2021"]]},"page":"598-608","title":"Objective and subjective clinical swallowing outcomes via telehealth: Reliability in outpatient clinical practice","type":"article-journal","volume":"30"},"uris":["http://www.mendeley.com/documents/?uuid=08531966-01d2-49b3-8c83-b10f23dab727"]}],"mendeley":{"formattedCitation":"(Borders &lt;i&gt;et al.&lt;/i&gt;, 2021)","manualFormatting":"Borders et al., (2021)","plainTextFormattedCitation":"(Borders et al., 2021)","previouslyFormattedCitation":"(Borders &lt;i&gt;et al.&lt;/i&gt;, 2021)"},"properties":{"noteIndex":0},"schema":"https://github.com/citation-style-language/schema/raw/master/csl-citation.json"}</w:instrText>
      </w:r>
      <w:r>
        <w:rPr>
          <w:rFonts w:ascii="Arial" w:hAnsi="Arial" w:cs="Arial"/>
        </w:rPr>
        <w:fldChar w:fldCharType="separate"/>
      </w:r>
      <w:r w:rsidRPr="007F61D7">
        <w:rPr>
          <w:rFonts w:ascii="Arial" w:hAnsi="Arial" w:cs="Arial"/>
          <w:noProof/>
        </w:rPr>
        <w:t xml:space="preserve">Borders </w:t>
      </w:r>
      <w:r w:rsidRPr="007F61D7">
        <w:rPr>
          <w:rFonts w:ascii="Arial" w:hAnsi="Arial" w:cs="Arial"/>
          <w:i/>
          <w:noProof/>
        </w:rPr>
        <w:t>et al.</w:t>
      </w:r>
      <w:r w:rsidRPr="007F61D7">
        <w:rPr>
          <w:rFonts w:ascii="Arial" w:hAnsi="Arial" w:cs="Arial"/>
          <w:noProof/>
        </w:rPr>
        <w:t xml:space="preserve">, </w:t>
      </w:r>
      <w:r>
        <w:rPr>
          <w:rFonts w:ascii="Arial" w:hAnsi="Arial" w:cs="Arial"/>
          <w:noProof/>
        </w:rPr>
        <w:t>(</w:t>
      </w:r>
      <w:r w:rsidRPr="007F61D7">
        <w:rPr>
          <w:rFonts w:ascii="Arial" w:hAnsi="Arial" w:cs="Arial"/>
          <w:noProof/>
        </w:rPr>
        <w:t>2021)</w:t>
      </w:r>
      <w:r>
        <w:rPr>
          <w:rFonts w:ascii="Arial" w:hAnsi="Arial" w:cs="Arial"/>
        </w:rPr>
        <w:fldChar w:fldCharType="end"/>
      </w:r>
      <w:r>
        <w:rPr>
          <w:rFonts w:ascii="Arial" w:hAnsi="Arial" w:cs="Arial"/>
        </w:rPr>
        <w:t xml:space="preserve"> presented objective and subjective clinical swallowing outcomes when using telehealth. </w:t>
      </w:r>
      <w:r w:rsidRPr="007F61D7">
        <w:rPr>
          <w:rFonts w:ascii="Arial" w:hAnsi="Arial" w:cs="Arial"/>
        </w:rPr>
        <w:t xml:space="preserve">This has helped to showcase the reliability of </w:t>
      </w:r>
      <w:r w:rsidRPr="007F61D7">
        <w:rPr>
          <w:rFonts w:ascii="Arial" w:hAnsi="Arial" w:cs="Arial"/>
        </w:rPr>
        <w:t xml:space="preserve">outcome measures </w:t>
      </w:r>
      <w:r w:rsidRPr="007F61D7">
        <w:rPr>
          <w:rFonts w:ascii="Arial" w:hAnsi="Arial" w:cs="Arial"/>
        </w:rPr>
        <w:t xml:space="preserve">in </w:t>
      </w:r>
      <w:r w:rsidRPr="007F61D7">
        <w:rPr>
          <w:rFonts w:ascii="Arial" w:hAnsi="Arial" w:cs="Arial"/>
        </w:rPr>
        <w:t>real-world clinical practice</w:t>
      </w:r>
      <w:r>
        <w:rPr>
          <w:rFonts w:ascii="Arial" w:hAnsi="Arial" w:cs="Arial"/>
        </w:rPr>
        <w:t xml:space="preserve"> because it </w:t>
      </w:r>
      <w:proofErr w:type="gramStart"/>
      <w:r>
        <w:rPr>
          <w:rFonts w:ascii="Arial" w:hAnsi="Arial" w:cs="Arial"/>
        </w:rPr>
        <w:t>took into account</w:t>
      </w:r>
      <w:proofErr w:type="gramEnd"/>
      <w:r w:rsidRPr="007F61D7">
        <w:rPr>
          <w:rFonts w:ascii="Arial" w:hAnsi="Arial" w:cs="Arial"/>
        </w:rPr>
        <w:t xml:space="preserve"> variability in devices</w:t>
      </w:r>
      <w:r>
        <w:rPr>
          <w:rFonts w:ascii="Arial" w:hAnsi="Arial" w:cs="Arial"/>
        </w:rPr>
        <w:t xml:space="preserve">, </w:t>
      </w:r>
      <w:proofErr w:type="spellStart"/>
      <w:r>
        <w:rPr>
          <w:rFonts w:ascii="Arial" w:hAnsi="Arial" w:cs="Arial"/>
        </w:rPr>
        <w:t>WifFi</w:t>
      </w:r>
      <w:proofErr w:type="spellEnd"/>
      <w:r>
        <w:rPr>
          <w:rFonts w:ascii="Arial" w:hAnsi="Arial" w:cs="Arial"/>
        </w:rPr>
        <w:t xml:space="preserve"> </w:t>
      </w:r>
      <w:r w:rsidRPr="007F61D7">
        <w:rPr>
          <w:rFonts w:ascii="Arial" w:hAnsi="Arial" w:cs="Arial"/>
        </w:rPr>
        <w:t xml:space="preserve">Internet connectivity, </w:t>
      </w:r>
      <w:r>
        <w:rPr>
          <w:rFonts w:ascii="Arial" w:hAnsi="Arial" w:cs="Arial"/>
        </w:rPr>
        <w:t xml:space="preserve">presence or absence </w:t>
      </w:r>
      <w:r w:rsidRPr="007F61D7">
        <w:rPr>
          <w:rFonts w:ascii="Arial" w:hAnsi="Arial" w:cs="Arial"/>
        </w:rPr>
        <w:t>of assistance, or remote patient/caregiver trainin</w:t>
      </w:r>
      <w:r>
        <w:rPr>
          <w:rFonts w:ascii="Arial" w:hAnsi="Arial" w:cs="Arial"/>
        </w:rPr>
        <w:t xml:space="preserve">g. </w:t>
      </w:r>
      <w:r w:rsidR="00A267E3">
        <w:rPr>
          <w:rFonts w:ascii="Arial" w:hAnsi="Arial" w:cs="Arial"/>
        </w:rPr>
        <w:t xml:space="preserve">Following an increased need for remote dysphagia assessment during the Covid-19 pandemic, </w:t>
      </w:r>
      <w:r w:rsidR="00A267E3">
        <w:rPr>
          <w:rFonts w:ascii="Arial" w:hAnsi="Arial" w:cs="Arial"/>
        </w:rPr>
        <w:fldChar w:fldCharType="begin" w:fldLock="1"/>
      </w:r>
      <w:r w:rsidR="00A267E3">
        <w:rPr>
          <w:rFonts w:ascii="Arial" w:hAnsi="Arial" w:cs="Arial"/>
        </w:rPr>
        <w:instrText>ADDIN CSL_CITATION {"citationItems":[{"id":"ITEM-1","itemData":{"DOI":"10.1044/2021_ajslp-21-00109","ISSN":"1058-0360","abstract":"Purpose: While research has confirmed the feasibility and validity of delivering clinical swallowing evaluations (CSEs) via telepractice, challenges exist for clinical implementation. Using an implementation framework, strategies that supported implementation of CSE services via telepractice within 18 regional/rural sites across five health services were examined. Method: A coordinated implementation strategy involving remote training and support was provided to 18 sites across five health services (five hub and spoke services) that had identified a need to implement CSEs via telepractice. Experiences of all 10 speech-language pathologists involved at the hub sites were examined via interviews 1 year post implementation. Interview content was coded using the Consolidated Framework for Implementation Research (CFIR) and constructs were rated for strength and direction of influence, using published CFIR coding conventions. Results: Services were established and are ongoing at all sites. Although there were site-specific differences, 10 CFIR constructs were positive influencing factors at all five sites. The telepractice model was perceived to provide clear advantages for the service, and clinicians were motivated by positive patient response. Strategies used to support implementation, including having a well-organized implementation resource and an external facilitator who worked closely with the local champions, were highly valued. Two CFIR constructs, Structural Characteristics and Available Resources, were challenges for all sites. Conclusions: A complex interplay of factors influenced service implementation at each site. A strong local commitment to improving patient care, and the assistance of targeted strategies to support local implementation were viewed as central to enabling implementation.","author":[{"dropping-particle":"","family":"Ward","given":"Elizabeth C.","non-dropping-particle":"","parse-names":false,"suffix":""},{"dropping-particle":"","family":"Burns","given":"Clare L.","non-dropping-particle":"","parse-names":false,"suffix":""},{"dropping-particle":"","family":"Gray","given":"Amy","non-dropping-particle":"","parse-names":false,"suffix":""},{"dropping-particle":"","family":"Baker","given":"Lisa","non-dropping-particle":"","parse-names":false,"suffix":""},{"dropping-particle":"","family":"Cowie","given":"Brooke","non-dropping-particle":"","parse-names":false,"suffix":""},{"dropping-particle":"","family":"Winter","given":"Natalie","non-dropping-particle":"","parse-names":false,"suffix":""},{"dropping-particle":"","family":"Rusch","given":"Rukmani","non-dropping-particle":"","parse-names":false,"suffix":""},{"dropping-particle":"","family":"Saxon","given":"Robyn","non-dropping-particle":"","parse-names":false,"suffix":""},{"dropping-particle":"","family":"Barnes","given":"Sarah","non-dropping-particle":"","parse-names":false,"suffix":""},{"dropping-particle":"","family":"Turvey","given":"Jodie","non-dropping-particle":"","parse-names":false,"suffix":""}],"container-title":"American Journal of Speech-Language Pathology","id":"ITEM-1","issue":"6","issued":{"date-parts":[["2021"]]},"page":"2456-2464","title":"Establishing Clinical Swallowing Assessment Services via Telepractice: A Multisite Implementation Evaluation","type":"article-journal","volume":"30"},"uris":["http://www.mendeley.com/documents/?uuid=6f9082a1-7736-4807-bd0d-aff18bbf31ad"]}],"mendeley":{"formattedCitation":"(Ward &lt;i&gt;et al.&lt;/i&gt;, 2021)","manualFormatting":"Ward et al., (2021)","plainTextFormattedCitation":"(Ward et al., 2021)","previouslyFormattedCitation":"(Ward &lt;i&gt;et al.&lt;/i&gt;, 2021)"},"properties":{"noteIndex":0},"schema":"https://github.com/citation-style-language/schema/raw/master/csl-citation.json"}</w:instrText>
      </w:r>
      <w:r w:rsidR="00A267E3">
        <w:rPr>
          <w:rFonts w:ascii="Arial" w:hAnsi="Arial" w:cs="Arial"/>
        </w:rPr>
        <w:fldChar w:fldCharType="separate"/>
      </w:r>
      <w:r w:rsidR="00A267E3" w:rsidRPr="00A267E3">
        <w:rPr>
          <w:rFonts w:ascii="Arial" w:hAnsi="Arial" w:cs="Arial"/>
          <w:noProof/>
        </w:rPr>
        <w:t xml:space="preserve">Ward </w:t>
      </w:r>
      <w:r w:rsidR="00A267E3" w:rsidRPr="00A267E3">
        <w:rPr>
          <w:rFonts w:ascii="Arial" w:hAnsi="Arial" w:cs="Arial"/>
          <w:i/>
          <w:noProof/>
        </w:rPr>
        <w:t>et al.</w:t>
      </w:r>
      <w:r w:rsidR="00A267E3" w:rsidRPr="00A267E3">
        <w:rPr>
          <w:rFonts w:ascii="Arial" w:hAnsi="Arial" w:cs="Arial"/>
          <w:noProof/>
        </w:rPr>
        <w:t xml:space="preserve">, </w:t>
      </w:r>
      <w:r w:rsidR="00A267E3">
        <w:rPr>
          <w:rFonts w:ascii="Arial" w:hAnsi="Arial" w:cs="Arial"/>
          <w:noProof/>
        </w:rPr>
        <w:t>(</w:t>
      </w:r>
      <w:r w:rsidR="00A267E3" w:rsidRPr="00A267E3">
        <w:rPr>
          <w:rFonts w:ascii="Arial" w:hAnsi="Arial" w:cs="Arial"/>
          <w:noProof/>
        </w:rPr>
        <w:t>2021)</w:t>
      </w:r>
      <w:r w:rsidR="00A267E3">
        <w:rPr>
          <w:rFonts w:ascii="Arial" w:hAnsi="Arial" w:cs="Arial"/>
        </w:rPr>
        <w:fldChar w:fldCharType="end"/>
      </w:r>
      <w:r w:rsidR="00A267E3">
        <w:rPr>
          <w:rFonts w:ascii="Arial" w:hAnsi="Arial" w:cs="Arial"/>
        </w:rPr>
        <w:t xml:space="preserve"> </w:t>
      </w:r>
      <w:r w:rsidR="006C2C32">
        <w:rPr>
          <w:rFonts w:ascii="Arial" w:hAnsi="Arial" w:cs="Arial"/>
        </w:rPr>
        <w:t>published</w:t>
      </w:r>
      <w:r w:rsidR="00A267E3">
        <w:rPr>
          <w:rFonts w:ascii="Arial" w:hAnsi="Arial" w:cs="Arial"/>
        </w:rPr>
        <w:t xml:space="preserve"> s</w:t>
      </w:r>
      <w:r w:rsidR="00A267E3">
        <w:rPr>
          <w:rFonts w:ascii="Arial" w:hAnsi="Arial" w:cs="Arial"/>
        </w:rPr>
        <w:t>pecific instructions on how</w:t>
      </w:r>
      <w:r w:rsidR="00A267E3">
        <w:rPr>
          <w:rFonts w:ascii="Arial" w:hAnsi="Arial" w:cs="Arial"/>
        </w:rPr>
        <w:t xml:space="preserve"> to establish multisite remote</w:t>
      </w:r>
      <w:r w:rsidR="00A267E3">
        <w:rPr>
          <w:rFonts w:ascii="Arial" w:hAnsi="Arial" w:cs="Arial"/>
        </w:rPr>
        <w:t xml:space="preserve"> clinics</w:t>
      </w:r>
      <w:r w:rsidR="00A267E3">
        <w:rPr>
          <w:rFonts w:ascii="Arial" w:hAnsi="Arial" w:cs="Arial"/>
        </w:rPr>
        <w:t>.</w:t>
      </w:r>
    </w:p>
    <w:p w14:paraId="0F861B5A" w14:textId="5000ACA9" w:rsidR="00D92E07" w:rsidRPr="00ED4E01" w:rsidRDefault="00D92E07" w:rsidP="00D92E07">
      <w:pPr>
        <w:jc w:val="both"/>
        <w:rPr>
          <w:rFonts w:ascii="Arial" w:hAnsi="Arial" w:cs="Arial"/>
        </w:rPr>
      </w:pPr>
    </w:p>
    <w:p w14:paraId="45F0C8E0" w14:textId="0328B254" w:rsidR="00A267E3" w:rsidRDefault="00A267E3" w:rsidP="00A267E3">
      <w:pPr>
        <w:jc w:val="both"/>
        <w:rPr>
          <w:rFonts w:ascii="Arial" w:hAnsi="Arial" w:cs="Arial"/>
        </w:rPr>
      </w:pPr>
      <w:r>
        <w:rPr>
          <w:rFonts w:ascii="Arial" w:hAnsi="Arial" w:cs="Arial"/>
        </w:rPr>
        <w:t xml:space="preserve">There are a number of multidisciplinary teams that have also used remote telehealth consultation to provide joint care for their patients needing </w:t>
      </w:r>
      <w:r w:rsidR="00081946">
        <w:rPr>
          <w:rFonts w:ascii="Arial" w:hAnsi="Arial" w:cs="Arial"/>
        </w:rPr>
        <w:t>complex dysphagia care</w:t>
      </w:r>
      <w:r>
        <w:rPr>
          <w:rFonts w:ascii="Arial" w:hAnsi="Arial" w:cs="Arial"/>
        </w:rPr>
        <w:t xml:space="preserve">. </w:t>
      </w:r>
      <w:r w:rsidRPr="00ED4E01">
        <w:rPr>
          <w:rFonts w:ascii="Arial" w:hAnsi="Arial" w:cs="Arial"/>
        </w:rPr>
        <w:fldChar w:fldCharType="begin" w:fldLock="1"/>
      </w:r>
      <w:r>
        <w:rPr>
          <w:rFonts w:ascii="Arial" w:hAnsi="Arial" w:cs="Arial"/>
        </w:rPr>
        <w:instrText>ADDIN CSL_CITATION {"citationItems":[{"id":"ITEM-1","itemData":{"DOI":"10.1007/s00455-018-9876-9","ISSN":"1432-0460","abstract":"The study considered the feasibility and impact of interdisciplinary telemedicine discussions in the management of post-treatment dysphagia in patients with head and neck tumors. This is a retrospective analysis of patients with persistent dysphagia after treatment for head and neck pathology, at an institute in India. The cases were discussed in the telemedicine meeting conducted between host institute and a second unit in the United States. A monthly meeting was organized, using an internet-based video conference system. The ongoing swallowing problems and management were presented, and through discussions, a plan for further management was formulated and carried out. The Functional Oral Intake Scale (FOIS) was measured before and after the implementation of the plan. Twenty-six patients were discussed, out of which, 22 were head and neck malignancies. The recommendations concurred with that of the host unit in 18, differed for three and additive in five patients. The pre-treatment mean FOIS was 1.46 with a standard deviation of 0.989 and post-treatment mean improved to 3.92 with a standard deviation of 1.809 (p &lt; 0.0001). The present study supports the success of an interdisciplinary telemedicine meeting to manage difficult cases of dysphagia in head and neck. The outcome in terms of the FOIS score improved significantly after implementing them. In addition to the direct patient benefits, the meeting helped to facilitate interdepartmental collaboration between two units treating similar sets of patients across the globe, in specialized clinical areas like dysphagia management.","author":[{"dropping-particle":"","family":"Mayadevi","given":"Mydhili","non-dropping-particle":"","parse-names":false,"suffix":""},{"dropping-particle":"","family":"Thankappan","given":"Krishnakumar","non-dropping-particle":"","parse-names":false,"suffix":""},{"dropping-particle":"","family":"Limbachiya","given":"Shashikant Vishnubhai","non-dropping-particle":"","parse-names":false,"suffix":""},{"dropping-particle":"","family":"Vidhyadharan","given":"Sivakumar","non-dropping-particle":"","parse-names":false,"suffix":""},{"dropping-particle":"","family":"Villegas","given":"Brenda","non-dropping-particle":"","parse-names":false,"suffix":""},{"dropping-particle":"","family":"Ouyoung","given":"Melody","non-dropping-particle":"","parse-names":false,"suffix":""},{"dropping-particle":"","family":"Balasubramanian","given":"Deepak","non-dropping-particle":"","parse-names":false,"suffix":""},{"dropping-particle":"","family":"Menon","given":"Jayakumar R","non-dropping-particle":"","parse-names":false,"suffix":""},{"dropping-particle":"","family":"Sinha","given":"Uttam","non-dropping-particle":"","parse-names":false,"suffix":""},{"dropping-particle":"","family":"Iyer","given":"Subramania","non-dropping-particle":"","parse-names":false,"suffix":""}],"container-title":"Dysphagia","id":"ITEM-1","issue":"4","issued":{"date-parts":[["2018"]]},"page":"474-480","title":"Interdisciplinary Telemedicine in the Management of Dysphagia in Head and Neck","type":"article-journal","volume":"33"},"uris":["http://www.mendeley.com/documents/?uuid=7b1d72fb-f723-40e8-86b6-4ffad3a281b9"]}],"mendeley":{"formattedCitation":"(Mayadevi &lt;i&gt;et al.&lt;/i&gt;, 2018)","manualFormatting":"Mayadevi et al., (2018)","plainTextFormattedCitation":"(Mayadevi et al., 2018)","previouslyFormattedCitation":"(Mayadevi &lt;i&gt;et al.&lt;/i&gt;, 2018)"},"properties":{"noteIndex":0},"schema":"https://github.com/citation-style-language/schema/raw/master/csl-citation.json"}</w:instrText>
      </w:r>
      <w:r w:rsidRPr="00ED4E01">
        <w:rPr>
          <w:rFonts w:ascii="Arial" w:hAnsi="Arial" w:cs="Arial"/>
        </w:rPr>
        <w:fldChar w:fldCharType="separate"/>
      </w:r>
      <w:r w:rsidRPr="00ED4E01">
        <w:rPr>
          <w:rFonts w:ascii="Arial" w:hAnsi="Arial" w:cs="Arial"/>
          <w:noProof/>
        </w:rPr>
        <w:t xml:space="preserve">Mayadevi </w:t>
      </w:r>
      <w:r w:rsidRPr="00ED4E01">
        <w:rPr>
          <w:rFonts w:ascii="Arial" w:hAnsi="Arial" w:cs="Arial"/>
          <w:i/>
          <w:noProof/>
        </w:rPr>
        <w:t>et al.</w:t>
      </w:r>
      <w:r w:rsidRPr="00ED4E01">
        <w:rPr>
          <w:rFonts w:ascii="Arial" w:hAnsi="Arial" w:cs="Arial"/>
          <w:noProof/>
        </w:rPr>
        <w:t xml:space="preserve">, </w:t>
      </w:r>
      <w:r>
        <w:rPr>
          <w:rFonts w:ascii="Arial" w:hAnsi="Arial" w:cs="Arial"/>
          <w:noProof/>
        </w:rPr>
        <w:t>(</w:t>
      </w:r>
      <w:r w:rsidRPr="00ED4E01">
        <w:rPr>
          <w:rFonts w:ascii="Arial" w:hAnsi="Arial" w:cs="Arial"/>
          <w:noProof/>
        </w:rPr>
        <w:t>2018)</w:t>
      </w:r>
      <w:r w:rsidRPr="00ED4E01">
        <w:rPr>
          <w:rFonts w:ascii="Arial" w:hAnsi="Arial" w:cs="Arial"/>
        </w:rPr>
        <w:fldChar w:fldCharType="end"/>
      </w:r>
      <w:r>
        <w:rPr>
          <w:rFonts w:ascii="Arial" w:hAnsi="Arial" w:cs="Arial"/>
        </w:rPr>
        <w:t xml:space="preserve"> was </w:t>
      </w:r>
      <w:r w:rsidRPr="00A267E3">
        <w:rPr>
          <w:rFonts w:ascii="Arial" w:hAnsi="Arial" w:cs="Arial"/>
        </w:rPr>
        <w:t xml:space="preserve">able </w:t>
      </w:r>
      <w:r w:rsidRPr="00A267E3">
        <w:rPr>
          <w:rFonts w:ascii="Arial" w:hAnsi="Arial" w:cs="Arial"/>
        </w:rPr>
        <w:t xml:space="preserve">to manage difficult cases of dysphagia </w:t>
      </w:r>
      <w:r w:rsidR="00081946">
        <w:rPr>
          <w:rFonts w:ascii="Arial" w:hAnsi="Arial" w:cs="Arial"/>
        </w:rPr>
        <w:t>for their patients with</w:t>
      </w:r>
      <w:r w:rsidRPr="00A267E3">
        <w:rPr>
          <w:rFonts w:ascii="Arial" w:hAnsi="Arial" w:cs="Arial"/>
        </w:rPr>
        <w:t xml:space="preserve"> head and neck</w:t>
      </w:r>
      <w:r w:rsidR="00081946">
        <w:rPr>
          <w:rFonts w:ascii="Arial" w:hAnsi="Arial" w:cs="Arial"/>
        </w:rPr>
        <w:t xml:space="preserve"> cancer by providing an </w:t>
      </w:r>
      <w:proofErr w:type="spellStart"/>
      <w:r w:rsidR="00081946">
        <w:rPr>
          <w:rFonts w:ascii="Arial" w:hAnsi="Arial" w:cs="Arial"/>
        </w:rPr>
        <w:t>multi disciplinary</w:t>
      </w:r>
      <w:proofErr w:type="spellEnd"/>
      <w:r w:rsidR="00081946">
        <w:rPr>
          <w:rFonts w:ascii="Arial" w:hAnsi="Arial" w:cs="Arial"/>
        </w:rPr>
        <w:t xml:space="preserve"> remote video consultation. The sessions helped to facilitate interdepartmental collaboration between two similar clinics. Both clinics provide specialized dysphagia management treating similar sets of patients across the globe.  </w:t>
      </w:r>
    </w:p>
    <w:p w14:paraId="4B4DE408" w14:textId="0631E47F" w:rsidR="00081946" w:rsidRDefault="00081946" w:rsidP="00A267E3">
      <w:pPr>
        <w:jc w:val="both"/>
        <w:rPr>
          <w:rFonts w:ascii="Arial" w:hAnsi="Arial" w:cs="Arial"/>
        </w:rPr>
      </w:pPr>
    </w:p>
    <w:p w14:paraId="21F9668C" w14:textId="20C17A84" w:rsidR="00A267E3" w:rsidRPr="00081946" w:rsidRDefault="00081946" w:rsidP="003406AD">
      <w:pPr>
        <w:pStyle w:val="ListParagraph"/>
        <w:ind w:left="0"/>
        <w:jc w:val="both"/>
        <w:rPr>
          <w:rFonts w:ascii="Arial" w:hAnsi="Arial" w:cs="Arial"/>
        </w:rPr>
      </w:pPr>
      <w:r w:rsidRPr="00ED4E01">
        <w:rPr>
          <w:rFonts w:ascii="Arial" w:hAnsi="Arial" w:cs="Arial"/>
        </w:rPr>
        <w:fldChar w:fldCharType="begin" w:fldLock="1"/>
      </w:r>
      <w:r>
        <w:rPr>
          <w:rFonts w:ascii="Arial" w:hAnsi="Arial" w:cs="Arial"/>
        </w:rPr>
        <w:instrText>ADDIN CSL_CITATION {"citationItems":[{"id":"ITEM-1","itemData":{"DOI":"10.1177/0194599820932167","ISSN":"10976817","PMID":"32484731","abstract":"The emergence of the novel coronavirus disease 2019 (COVID-19) and the subsequent need for physical distancing have necessitated a swift change in health care delivery. Prior to the COVID-19 outbreak, many institutions utilized an interdisciplinary clinic model including both a laryngologist and a speech-language pathologist for the evaluation of patients with voice, swallowing, and upper airway disorders. To improve access, many providers are pursuing the use of interdisciplinary telemedicine to provide individualized patient-centered care while allowing for physical distancing. The purpose of this commentary is to review the current literature regarding telemedicine in laryngology and speech-language pathology as well as the current and future states of practice for interdisciplinary tele-evaluations.","author":[{"dropping-particle":"","family":"Zughni","given":"Lisa A.","non-dropping-particle":"","parse-names":false,"suffix":""},{"dropping-particle":"","family":"Gillespie","given":"Amanda I.","non-dropping-particle":"","parse-names":false,"suffix":""},{"dropping-particle":"","family":"Hatcher","given":"Jeanne L.","non-dropping-particle":"","parse-names":false,"suffix":""},{"dropping-particle":"","family":"Rubin","given":"Adam D.","non-dropping-particle":"","parse-names":false,"suffix":""},{"dropping-particle":"","family":"Giliberto","given":"John Paul","non-dropping-particle":"","parse-names":false,"suffix":""}],"container-title":"Otolaryngology - Head and Neck Surgery (United States)","id":"ITEM-1","issue":"4","issued":{"date-parts":[["2020"]]},"page":"673-675","title":"Telemedicine and the Interdisciplinary Clinic Model: During the COVID-19 Pandemic and Beyond","type":"article-journal","volume":"163"},"uris":["http://www.mendeley.com/documents/?uuid=f635c403-6b40-4de3-ae4a-6171740ba316"]}],"mendeley":{"formattedCitation":"(Zughni &lt;i&gt;et al.&lt;/i&gt;, 2020)","manualFormatting":"Zughni et al., (2020)","plainTextFormattedCitation":"(Zughni et al., 2020)","previouslyFormattedCitation":"(Zughni &lt;i&gt;et al.&lt;/i&gt;, 2020)"},"properties":{"noteIndex":0},"schema":"https://github.com/citation-style-language/schema/raw/master/csl-citation.json"}</w:instrText>
      </w:r>
      <w:r w:rsidRPr="00ED4E01">
        <w:rPr>
          <w:rFonts w:ascii="Arial" w:hAnsi="Arial" w:cs="Arial"/>
        </w:rPr>
        <w:fldChar w:fldCharType="separate"/>
      </w:r>
      <w:r w:rsidRPr="00ED4E01">
        <w:rPr>
          <w:rFonts w:ascii="Arial" w:hAnsi="Arial" w:cs="Arial"/>
          <w:noProof/>
        </w:rPr>
        <w:t xml:space="preserve">Zughni </w:t>
      </w:r>
      <w:r w:rsidRPr="00ED4E01">
        <w:rPr>
          <w:rFonts w:ascii="Arial" w:hAnsi="Arial" w:cs="Arial"/>
          <w:i/>
          <w:noProof/>
        </w:rPr>
        <w:t>et al.</w:t>
      </w:r>
      <w:r w:rsidRPr="00ED4E01">
        <w:rPr>
          <w:rFonts w:ascii="Arial" w:hAnsi="Arial" w:cs="Arial"/>
          <w:noProof/>
        </w:rPr>
        <w:t xml:space="preserve">, </w:t>
      </w:r>
      <w:r>
        <w:rPr>
          <w:rFonts w:ascii="Arial" w:hAnsi="Arial" w:cs="Arial"/>
          <w:noProof/>
        </w:rPr>
        <w:t>(</w:t>
      </w:r>
      <w:r w:rsidRPr="00ED4E01">
        <w:rPr>
          <w:rFonts w:ascii="Arial" w:hAnsi="Arial" w:cs="Arial"/>
          <w:noProof/>
        </w:rPr>
        <w:t>2020)</w:t>
      </w:r>
      <w:r w:rsidRPr="00ED4E01">
        <w:rPr>
          <w:rFonts w:ascii="Arial" w:hAnsi="Arial" w:cs="Arial"/>
        </w:rPr>
        <w:fldChar w:fldCharType="end"/>
      </w:r>
      <w:r>
        <w:rPr>
          <w:rFonts w:ascii="Arial" w:hAnsi="Arial" w:cs="Arial"/>
        </w:rPr>
        <w:t xml:space="preserve"> used </w:t>
      </w:r>
      <w:r w:rsidRPr="00081946">
        <w:rPr>
          <w:rFonts w:ascii="Arial" w:hAnsi="Arial" w:cs="Arial"/>
        </w:rPr>
        <w:t xml:space="preserve">telemedicine for synchronous </w:t>
      </w:r>
      <w:r>
        <w:rPr>
          <w:rFonts w:ascii="Arial" w:hAnsi="Arial" w:cs="Arial"/>
        </w:rPr>
        <w:t xml:space="preserve">or </w:t>
      </w:r>
      <w:r w:rsidRPr="00081946">
        <w:rPr>
          <w:rFonts w:ascii="Arial" w:hAnsi="Arial" w:cs="Arial"/>
        </w:rPr>
        <w:t>real-time</w:t>
      </w:r>
      <w:r>
        <w:rPr>
          <w:rFonts w:ascii="Arial" w:hAnsi="Arial" w:cs="Arial"/>
        </w:rPr>
        <w:t xml:space="preserve"> </w:t>
      </w:r>
      <w:r w:rsidRPr="00081946">
        <w:rPr>
          <w:rFonts w:ascii="Arial" w:hAnsi="Arial" w:cs="Arial"/>
        </w:rPr>
        <w:t>transmission</w:t>
      </w:r>
      <w:r>
        <w:rPr>
          <w:rFonts w:ascii="Arial" w:hAnsi="Arial" w:cs="Arial"/>
        </w:rPr>
        <w:t xml:space="preserve"> to conduct an</w:t>
      </w:r>
      <w:r w:rsidRPr="00081946">
        <w:rPr>
          <w:rFonts w:ascii="Arial" w:hAnsi="Arial" w:cs="Arial"/>
        </w:rPr>
        <w:t xml:space="preserve"> interactive evaluation and treatment of patients</w:t>
      </w:r>
      <w:r>
        <w:rPr>
          <w:rFonts w:ascii="Arial" w:hAnsi="Arial" w:cs="Arial"/>
        </w:rPr>
        <w:t xml:space="preserve"> by </w:t>
      </w:r>
      <w:r w:rsidRPr="00081946">
        <w:rPr>
          <w:rFonts w:ascii="Arial" w:hAnsi="Arial" w:cs="Arial"/>
        </w:rPr>
        <w:t xml:space="preserve">both </w:t>
      </w:r>
      <w:r>
        <w:rPr>
          <w:rFonts w:ascii="Arial" w:hAnsi="Arial" w:cs="Arial"/>
        </w:rPr>
        <w:t>a</w:t>
      </w:r>
      <w:r w:rsidRPr="00081946">
        <w:rPr>
          <w:rFonts w:ascii="Arial" w:hAnsi="Arial" w:cs="Arial"/>
        </w:rPr>
        <w:t xml:space="preserve"> laryngologist and speech-language pathologist</w:t>
      </w:r>
      <w:r>
        <w:rPr>
          <w:rFonts w:ascii="Arial" w:hAnsi="Arial" w:cs="Arial"/>
        </w:rPr>
        <w:t>. They were able to report</w:t>
      </w:r>
      <w:r w:rsidRPr="00081946">
        <w:rPr>
          <w:rFonts w:ascii="Arial" w:hAnsi="Arial" w:cs="Arial"/>
        </w:rPr>
        <w:t xml:space="preserve"> the inclusion of multiple clinicians and health care professionals</w:t>
      </w:r>
      <w:r>
        <w:rPr>
          <w:rFonts w:ascii="Arial" w:hAnsi="Arial" w:cs="Arial"/>
        </w:rPr>
        <w:t xml:space="preserve"> when using the</w:t>
      </w:r>
      <w:r w:rsidRPr="00081946">
        <w:rPr>
          <w:rFonts w:ascii="Arial" w:hAnsi="Arial" w:cs="Arial"/>
        </w:rPr>
        <w:t xml:space="preserve"> tele</w:t>
      </w:r>
      <w:r>
        <w:rPr>
          <w:rFonts w:ascii="Arial" w:hAnsi="Arial" w:cs="Arial"/>
        </w:rPr>
        <w:t xml:space="preserve">health </w:t>
      </w:r>
      <w:r w:rsidRPr="00081946">
        <w:rPr>
          <w:rFonts w:ascii="Arial" w:hAnsi="Arial" w:cs="Arial"/>
        </w:rPr>
        <w:t>platform.</w:t>
      </w:r>
      <w:r w:rsidR="003406AD">
        <w:rPr>
          <w:rFonts w:ascii="Arial" w:hAnsi="Arial" w:cs="Arial"/>
        </w:rPr>
        <w:t xml:space="preserve"> </w:t>
      </w:r>
      <w:r w:rsidRPr="00081946">
        <w:rPr>
          <w:rFonts w:ascii="Arial" w:hAnsi="Arial" w:cs="Arial"/>
        </w:rPr>
        <w:t xml:space="preserve">By using telemedicine for concurrent interdisciplinary appointments, the traditional in-person interdisciplinary model can be simulated while </w:t>
      </w:r>
      <w:r w:rsidR="003406AD">
        <w:rPr>
          <w:rFonts w:ascii="Arial" w:hAnsi="Arial" w:cs="Arial"/>
        </w:rPr>
        <w:t xml:space="preserve">removing the risk of direct patient contact during the Covid-19 pandemic. In </w:t>
      </w:r>
      <w:r w:rsidRPr="00081946">
        <w:rPr>
          <w:rFonts w:ascii="Arial" w:hAnsi="Arial" w:cs="Arial"/>
        </w:rPr>
        <w:t>developing an effective and efficient telemedicine program</w:t>
      </w:r>
      <w:r w:rsidR="003406AD">
        <w:rPr>
          <w:rFonts w:ascii="Arial" w:hAnsi="Arial" w:cs="Arial"/>
        </w:rPr>
        <w:t xml:space="preserve">, they needed to identify </w:t>
      </w:r>
      <w:r w:rsidRPr="00081946">
        <w:rPr>
          <w:rFonts w:ascii="Arial" w:hAnsi="Arial" w:cs="Arial"/>
        </w:rPr>
        <w:t>clear role</w:t>
      </w:r>
      <w:r w:rsidR="003406AD">
        <w:rPr>
          <w:rFonts w:ascii="Arial" w:hAnsi="Arial" w:cs="Arial"/>
        </w:rPr>
        <w:t>s</w:t>
      </w:r>
      <w:r w:rsidRPr="00081946">
        <w:rPr>
          <w:rFonts w:ascii="Arial" w:hAnsi="Arial" w:cs="Arial"/>
        </w:rPr>
        <w:t xml:space="preserve"> of support staff, including the </w:t>
      </w:r>
      <w:r w:rsidR="003406AD">
        <w:rPr>
          <w:rFonts w:ascii="Arial" w:hAnsi="Arial" w:cs="Arial"/>
        </w:rPr>
        <w:t>booking</w:t>
      </w:r>
      <w:r w:rsidRPr="00081946">
        <w:rPr>
          <w:rFonts w:ascii="Arial" w:hAnsi="Arial" w:cs="Arial"/>
        </w:rPr>
        <w:t xml:space="preserve"> team and medical assistants; the creation of dedicated telemedicine </w:t>
      </w:r>
      <w:r w:rsidR="003406AD">
        <w:rPr>
          <w:rFonts w:ascii="Arial" w:hAnsi="Arial" w:cs="Arial"/>
        </w:rPr>
        <w:t>clinic slots</w:t>
      </w:r>
      <w:r w:rsidRPr="00081946">
        <w:rPr>
          <w:rFonts w:ascii="Arial" w:hAnsi="Arial" w:cs="Arial"/>
        </w:rPr>
        <w:t>; the delivery of patient-reported outcome measures; and the development of an evaluation protocol</w:t>
      </w:r>
      <w:r w:rsidR="003406AD">
        <w:rPr>
          <w:rFonts w:ascii="Arial" w:hAnsi="Arial" w:cs="Arial"/>
        </w:rPr>
        <w:t>.</w:t>
      </w:r>
      <w:r w:rsidRPr="00081946">
        <w:rPr>
          <w:rFonts w:ascii="Arial" w:hAnsi="Arial" w:cs="Arial"/>
        </w:rPr>
        <w:t xml:space="preserve"> </w:t>
      </w:r>
    </w:p>
    <w:p w14:paraId="6328418D" w14:textId="77777777" w:rsidR="00A267E3" w:rsidRPr="00ED4E01" w:rsidRDefault="00A267E3" w:rsidP="00D92E07">
      <w:pPr>
        <w:jc w:val="both"/>
        <w:rPr>
          <w:rFonts w:ascii="Arial" w:hAnsi="Arial" w:cs="Arial"/>
        </w:rPr>
      </w:pPr>
    </w:p>
    <w:p w14:paraId="104B16AC" w14:textId="51ADF345" w:rsidR="00D92E07" w:rsidRPr="00A267E3" w:rsidRDefault="00D92E07" w:rsidP="00D92E07">
      <w:pPr>
        <w:jc w:val="both"/>
        <w:rPr>
          <w:rFonts w:ascii="Arial" w:hAnsi="Arial" w:cs="Arial"/>
        </w:rPr>
      </w:pPr>
      <w:r w:rsidRPr="00ED4E01">
        <w:rPr>
          <w:rFonts w:ascii="Arial" w:hAnsi="Arial" w:cs="Arial"/>
        </w:rPr>
        <w:t xml:space="preserve">Care homes have also adopted telehealth practices in providing specialist care to their residents who are more vulnerable to the Covid-19 pathogen and are high risk to suffering </w:t>
      </w:r>
      <w:r w:rsidRPr="00ED4E01">
        <w:rPr>
          <w:rFonts w:ascii="Arial" w:hAnsi="Arial" w:cs="Arial"/>
        </w:rPr>
        <w:lastRenderedPageBreak/>
        <w:t>the effects of long Covid</w:t>
      </w:r>
      <w:r w:rsidR="00A267E3">
        <w:rPr>
          <w:rFonts w:ascii="Arial" w:hAnsi="Arial" w:cs="Arial"/>
        </w:rPr>
        <w:t xml:space="preserve"> </w:t>
      </w:r>
      <w:r w:rsidR="00A267E3">
        <w:rPr>
          <w:rFonts w:ascii="Arial" w:hAnsi="Arial" w:cs="Arial"/>
        </w:rPr>
        <w:fldChar w:fldCharType="begin" w:fldLock="1"/>
      </w:r>
      <w:r w:rsidR="00D449D2">
        <w:rPr>
          <w:rFonts w:ascii="Arial" w:hAnsi="Arial" w:cs="Arial"/>
        </w:rPr>
        <w:instrText>ADDIN CSL_CITATION {"citationItems":[{"id":"ITEM-1","itemData":{"DOI":"10.1590/0101-60830000000052","ISSN":"0101-6083","abstract":"Healthcare providers are continuously challenged to find innovative, cost-effective alternatives and to scale up existent services to meet the growing demand upon mental health care delivery. Due to continuous advances in technologies, telepsychiatry has become an effective tool for psychiatric care. In 2012, the Institute of Psychiatry of the University of São Paulo Medical School started a randomized clinical trial of home-based telepsychiatric outpatient care via videoconferencing. Objective: The objective of this article is to describe the design, methodology and implementation of a pilot project, which aimed to verify the applicability and efficiency of psychiatric attendance via Internet-based videoconferencing in a resource-constrained environment. Methods: The project consisted of a 12 months follow-up study with a randomized clinical trial, which compared various quality indicators between home-based telepsychiatric aftercare via videoconferencing and face-to-face aftercare. Results: The final sample comprised 107 outpatients (53 in the telepsychiatry group and 54 in the control group). Among 1,227 realized consultations, 489 were held by videoconferencing. Satisfaction with the aftercare by videoconferencing and the medication delivery was high among patients. Attending psychiatrists were satisfied with the assistance by videoconferencing. Discussion: The experiences during this pilot project have overall been very positive and psychiatric outpatient care by videoconferencing seems viable to treat patients even in a resource-constrained environment...","author":[{"dropping-particle":"","family":"Hungerbuehler","given":"Ines","non-dropping-particle":"","parse-names":false,"suffix":""},{"dropping-particle":"","family":"Leite","given":"Rodrigo Fonseca Martins","non-dropping-particle":"","parse-names":false,"suffix":""},{"dropping-particle":"Van de","family":"Bilt","given":"Martinus Theodorus","non-dropping-particle":"","parse-names":false,"suffix":""},{"dropping-particle":"","family":"Gattaz","given":"Wagner Farid","non-dropping-particle":"","parse-names":false,"suffix":""}],"container-title":"Rev. psiquiatr. clín. (São Paulo)","id":"ITEM-1","issue":"3","issued":{"date-parts":[["2015"]]},"language":"en","page":"76-78","publisher-place":"Hungerbuehler, Ines; University of São Paulo Medical School. Department and Institute of Psychiatry. Laboratory of Neuroscience. São Paulo. BR","title":"A randomized clinical trial of home-based telepsychiatric outpatient care via videoconferencing: design, methodology, and implementation","type":"article-journal","volume":"42"},"uris":["http://www.mendeley.com/documents/?uuid=cf893777-ef06-46f7-b55c-cb7a79094eee"]}],"mendeley":{"formattedCitation":"(Hungerbuehler &lt;i&gt;et al.&lt;/i&gt;, 2015)","plainTextFormattedCitation":"(Hungerbuehler et al., 2015)","previouslyFormattedCitation":"(Hungerbuehler &lt;i&gt;et al.&lt;/i&gt;, 2015)"},"properties":{"noteIndex":0},"schema":"https://github.com/citation-style-language/schema/raw/master/csl-citation.json"}</w:instrText>
      </w:r>
      <w:r w:rsidR="00A267E3">
        <w:rPr>
          <w:rFonts w:ascii="Arial" w:hAnsi="Arial" w:cs="Arial"/>
        </w:rPr>
        <w:fldChar w:fldCharType="separate"/>
      </w:r>
      <w:r w:rsidR="00A267E3" w:rsidRPr="00A267E3">
        <w:rPr>
          <w:rFonts w:ascii="Arial" w:hAnsi="Arial" w:cs="Arial"/>
          <w:noProof/>
        </w:rPr>
        <w:t xml:space="preserve">(Hungerbuehler </w:t>
      </w:r>
      <w:r w:rsidR="00A267E3" w:rsidRPr="00A267E3">
        <w:rPr>
          <w:rFonts w:ascii="Arial" w:hAnsi="Arial" w:cs="Arial"/>
          <w:i/>
          <w:noProof/>
        </w:rPr>
        <w:t>et al.</w:t>
      </w:r>
      <w:r w:rsidR="00A267E3" w:rsidRPr="00A267E3">
        <w:rPr>
          <w:rFonts w:ascii="Arial" w:hAnsi="Arial" w:cs="Arial"/>
          <w:noProof/>
        </w:rPr>
        <w:t>, 2015)</w:t>
      </w:r>
      <w:r w:rsidR="00A267E3">
        <w:rPr>
          <w:rFonts w:ascii="Arial" w:hAnsi="Arial" w:cs="Arial"/>
        </w:rPr>
        <w:fldChar w:fldCharType="end"/>
      </w:r>
      <w:r w:rsidR="00A267E3">
        <w:rPr>
          <w:rFonts w:ascii="Arial" w:hAnsi="Arial" w:cs="Arial"/>
        </w:rPr>
        <w:t>.</w:t>
      </w:r>
      <w:r w:rsidR="00A267E3">
        <w:rPr>
          <w:rFonts w:ascii="Arial" w:hAnsi="Arial" w:cs="Arial"/>
          <w:i/>
          <w:iCs/>
          <w:color w:val="7030A0"/>
        </w:rPr>
        <w:t xml:space="preserve"> </w:t>
      </w:r>
      <w:proofErr w:type="gramStart"/>
      <w:r w:rsidRPr="00ED4E01">
        <w:rPr>
          <w:rFonts w:ascii="Arial" w:hAnsi="Arial" w:cs="Arial"/>
        </w:rPr>
        <w:t>However</w:t>
      </w:r>
      <w:proofErr w:type="gramEnd"/>
      <w:r w:rsidRPr="00ED4E01">
        <w:rPr>
          <w:rFonts w:ascii="Arial" w:hAnsi="Arial" w:cs="Arial"/>
        </w:rPr>
        <w:t xml:space="preserve"> </w:t>
      </w:r>
      <w:r w:rsidR="003406AD">
        <w:rPr>
          <w:rFonts w:ascii="Arial" w:hAnsi="Arial" w:cs="Arial"/>
        </w:rPr>
        <w:t xml:space="preserve">from a recent limited literature search </w:t>
      </w:r>
      <w:r w:rsidRPr="00ED4E01">
        <w:rPr>
          <w:rFonts w:ascii="Arial" w:hAnsi="Arial" w:cs="Arial"/>
        </w:rPr>
        <w:t xml:space="preserve">there has </w:t>
      </w:r>
      <w:r w:rsidR="003406AD">
        <w:rPr>
          <w:rFonts w:ascii="Arial" w:hAnsi="Arial" w:cs="Arial"/>
        </w:rPr>
        <w:t xml:space="preserve">not </w:t>
      </w:r>
      <w:r w:rsidRPr="00ED4E01">
        <w:rPr>
          <w:rFonts w:ascii="Arial" w:hAnsi="Arial" w:cs="Arial"/>
        </w:rPr>
        <w:t xml:space="preserve">been </w:t>
      </w:r>
      <w:r w:rsidR="003406AD">
        <w:rPr>
          <w:rFonts w:ascii="Arial" w:hAnsi="Arial" w:cs="Arial"/>
        </w:rPr>
        <w:t xml:space="preserve">any </w:t>
      </w:r>
      <w:r w:rsidRPr="00ED4E01">
        <w:rPr>
          <w:rFonts w:ascii="Arial" w:hAnsi="Arial" w:cs="Arial"/>
        </w:rPr>
        <w:t xml:space="preserve">studies </w:t>
      </w:r>
      <w:r w:rsidR="003406AD">
        <w:rPr>
          <w:rFonts w:ascii="Arial" w:hAnsi="Arial" w:cs="Arial"/>
        </w:rPr>
        <w:t xml:space="preserve">that reported </w:t>
      </w:r>
      <w:r w:rsidRPr="00ED4E01">
        <w:rPr>
          <w:rFonts w:ascii="Arial" w:hAnsi="Arial" w:cs="Arial"/>
        </w:rPr>
        <w:t xml:space="preserve">on remote swallowing assessments </w:t>
      </w:r>
      <w:r w:rsidR="000C50A2">
        <w:rPr>
          <w:rFonts w:ascii="Arial" w:hAnsi="Arial" w:cs="Arial"/>
        </w:rPr>
        <w:t>with</w:t>
      </w:r>
      <w:r w:rsidRPr="00ED4E01">
        <w:rPr>
          <w:rFonts w:ascii="Arial" w:hAnsi="Arial" w:cs="Arial"/>
        </w:rPr>
        <w:t xml:space="preserve"> multidisciplinary telemedicine provision </w:t>
      </w:r>
      <w:r w:rsidR="000C50A2">
        <w:rPr>
          <w:rFonts w:ascii="Arial" w:hAnsi="Arial" w:cs="Arial"/>
        </w:rPr>
        <w:t>for</w:t>
      </w:r>
      <w:r w:rsidRPr="00ED4E01">
        <w:rPr>
          <w:rFonts w:ascii="Arial" w:hAnsi="Arial" w:cs="Arial"/>
        </w:rPr>
        <w:t xml:space="preserve"> </w:t>
      </w:r>
      <w:r w:rsidR="000C50A2">
        <w:rPr>
          <w:rFonts w:ascii="Arial" w:hAnsi="Arial" w:cs="Arial"/>
        </w:rPr>
        <w:t>care home residents</w:t>
      </w:r>
      <w:r w:rsidRPr="00ED4E01">
        <w:rPr>
          <w:rFonts w:ascii="Arial" w:hAnsi="Arial" w:cs="Arial"/>
        </w:rPr>
        <w:t xml:space="preserve">. </w:t>
      </w:r>
    </w:p>
    <w:p w14:paraId="14702E5B" w14:textId="77777777" w:rsidR="005151A6" w:rsidRPr="00ED4E01" w:rsidRDefault="005151A6" w:rsidP="005151A6">
      <w:pPr>
        <w:rPr>
          <w:rFonts w:ascii="Arial" w:hAnsi="Arial" w:cs="Arial"/>
        </w:rPr>
      </w:pPr>
    </w:p>
    <w:p w14:paraId="2EAF19B9" w14:textId="77777777" w:rsidR="005151A6" w:rsidRPr="00ED4E01" w:rsidRDefault="005151A6" w:rsidP="005151A6">
      <w:pPr>
        <w:rPr>
          <w:rFonts w:ascii="Arial" w:hAnsi="Arial" w:cs="Arial"/>
        </w:rPr>
      </w:pPr>
    </w:p>
    <w:p w14:paraId="0E7A9EAF" w14:textId="77777777" w:rsidR="005151A6" w:rsidRPr="00ED4E01" w:rsidRDefault="005151A6" w:rsidP="005151A6">
      <w:pPr>
        <w:rPr>
          <w:rFonts w:ascii="Arial" w:hAnsi="Arial" w:cs="Arial"/>
        </w:rPr>
      </w:pPr>
    </w:p>
    <w:p w14:paraId="11265633" w14:textId="77777777" w:rsidR="005151A6" w:rsidRPr="00ED4E01" w:rsidRDefault="005151A6" w:rsidP="005151A6">
      <w:pPr>
        <w:rPr>
          <w:rFonts w:ascii="Arial" w:hAnsi="Arial" w:cs="Arial"/>
          <w:b/>
          <w:bCs/>
          <w:u w:val="single"/>
        </w:rPr>
      </w:pPr>
      <w:r w:rsidRPr="00ED4E01">
        <w:rPr>
          <w:rFonts w:ascii="Arial" w:hAnsi="Arial" w:cs="Arial"/>
          <w:b/>
          <w:bCs/>
          <w:u w:val="single"/>
        </w:rPr>
        <w:t>Future Improvements</w:t>
      </w:r>
    </w:p>
    <w:p w14:paraId="6CCF8BFF" w14:textId="77777777" w:rsidR="00A73470" w:rsidRPr="000C50A2" w:rsidRDefault="00A73470" w:rsidP="000C50A2">
      <w:pPr>
        <w:jc w:val="both"/>
        <w:rPr>
          <w:rFonts w:ascii="Arial" w:hAnsi="Arial" w:cs="Arial"/>
        </w:rPr>
      </w:pPr>
    </w:p>
    <w:p w14:paraId="75F75D8C" w14:textId="6F717470" w:rsidR="003C6CF4" w:rsidRPr="00D34CC3" w:rsidRDefault="000C50A2" w:rsidP="00D34CC3">
      <w:pPr>
        <w:jc w:val="both"/>
        <w:rPr>
          <w:rFonts w:ascii="Arial" w:hAnsi="Arial" w:cs="Arial"/>
          <w:b/>
          <w:bCs/>
          <w:u w:val="single"/>
        </w:rPr>
      </w:pPr>
      <w:r w:rsidRPr="000C50A2">
        <w:rPr>
          <w:rFonts w:ascii="Arial" w:hAnsi="Arial" w:cs="Arial"/>
        </w:rPr>
        <w:t>In the absence of compete dat</w:t>
      </w:r>
      <w:r w:rsidRPr="000C50A2">
        <w:rPr>
          <w:rFonts w:ascii="Arial" w:hAnsi="Arial" w:cs="Arial"/>
        </w:rPr>
        <w:t xml:space="preserve">a, the following possible outcomes and future improvements are identified to implement change strategies when using multidisciplinary video consultation in providing swallowing management for residents in care homes. </w:t>
      </w:r>
    </w:p>
    <w:p w14:paraId="5DE43E33" w14:textId="77777777" w:rsidR="009752E2" w:rsidRDefault="009752E2" w:rsidP="009752E2">
      <w:pPr>
        <w:pStyle w:val="Heading3"/>
        <w:shd w:val="clear" w:color="auto" w:fill="FFFFFF"/>
        <w:spacing w:before="308" w:after="154" w:line="300" w:lineRule="atLeast"/>
        <w:jc w:val="both"/>
        <w:rPr>
          <w:rFonts w:ascii="Arial" w:hAnsi="Arial" w:cs="Arial"/>
          <w:color w:val="auto"/>
        </w:rPr>
      </w:pPr>
      <w:r w:rsidRPr="009752E2">
        <w:rPr>
          <w:rFonts w:ascii="Arial" w:hAnsi="Arial" w:cs="Arial"/>
          <w:color w:val="auto"/>
        </w:rPr>
        <w:t>In 2010</w:t>
      </w:r>
      <w:r w:rsidRPr="009752E2">
        <w:rPr>
          <w:rFonts w:ascii="Arial" w:hAnsi="Arial" w:cs="Arial"/>
          <w:color w:val="auto"/>
        </w:rPr>
        <w:fldChar w:fldCharType="begin" w:fldLock="1"/>
      </w:r>
      <w:r w:rsidRPr="009752E2">
        <w:rPr>
          <w:rFonts w:ascii="Arial" w:hAnsi="Arial" w:cs="Arial"/>
          <w:color w:val="auto"/>
        </w:rPr>
        <w:instrText>ADDIN CSL_CITATION {"citationItems":[{"id":"ITEM-1","itemData":{"DOI":"10.5042/jic.2010.0646","ISSN":"1476-9018","abstract":"Telehealth and telecare innovations have the potential to improve quality of life, reduce unnecessary hospital and care home admissions, and support care integration by providing care and disease management from multi</w:instrText>
      </w:r>
      <w:r w:rsidRPr="009752E2">
        <w:rPr>
          <w:rFonts w:ascii="Cambria Math" w:hAnsi="Cambria Math" w:cs="Cambria Math"/>
          <w:color w:val="auto"/>
        </w:rPr>
        <w:instrText>‐</w:instrText>
      </w:r>
      <w:r w:rsidRPr="009752E2">
        <w:rPr>
          <w:rFonts w:ascii="Arial" w:hAnsi="Arial" w:cs="Arial"/>
          <w:color w:val="auto"/>
        </w:rPr>
        <w:instrText>disciplinary care teams linked remotely to users. About 1.7 million people benefit from telecare services in the UK, but telehealth services have only around 5000 users, many of whom receive services through the Department of Health's Whole System Demonstrator (WSD) Pilot Programme. There is an identifiable chasm between early adopters and wider uptake of telehealth and telecare solutions. Key barriers include lack of robust evidence on cost</w:instrText>
      </w:r>
      <w:r w:rsidRPr="009752E2">
        <w:rPr>
          <w:rFonts w:ascii="Cambria Math" w:hAnsi="Cambria Math" w:cs="Cambria Math"/>
          <w:color w:val="auto"/>
        </w:rPr>
        <w:instrText>‐</w:instrText>
      </w:r>
      <w:r w:rsidRPr="009752E2">
        <w:rPr>
          <w:rFonts w:ascii="Arial" w:hAnsi="Arial" w:cs="Arial"/>
          <w:color w:val="auto"/>
        </w:rPr>
        <w:instrText>effectiveness, of a consumer market and of interoperability of the technology between service sectors, and the implications for professionals and organisations of changing their established methods of practice. Telehealth and telecare could be combined to provide a common platform to integrate care for people requiring both health and social care support, but relatively few people are judged suitable for joint care. This is related both to the nature of the technology and the profile of those people who can use it, and to the different ways in which health and social care systems assess who is most 'at risk', which makes it difficult to assess which individuals might best benefit from an integrated response to their care needs. While there is considerable interest and policy momentum behind the adoption and diffusion of telehealth and telecare in England, more understanding of their benefits is required to convince commissioners and providers of its potential.","author":[{"dropping-particle":"","family":"Goodwin","given":"Nick","non-dropping-particle":"","parse-names":false,"suffix":""}],"container-title":"Journal of Integrated Care","id":"ITEM-1","issue":"6","issued":{"date-parts":[["2010","1","1"]]},"page":"3-10","publisher":"Emerald Group Publishing Limited","title":"The State of Telehealth and Telecare in the UK: Prospects for Integrated Care","type":"article-journal","volume":"18"},"uris":["http://www.mendeley.com/documents/?uuid=ea26b40d-3afb-44bd-ab8f-0833c2f402c3"]}],"mendeley":{"formattedCitation":"(Goodwin, 2010)","manualFormatting":" Goodwin, (2010)","plainTextFormattedCitation":"(Goodwin, 2010)","previouslyFormattedCitation":"(Goodwin, 2010)"},"properties":{"noteIndex":0},"schema":"https://github.com/citation-style-language/schema/raw/master/csl-citation.json"}</w:instrText>
      </w:r>
      <w:r w:rsidRPr="009752E2">
        <w:rPr>
          <w:rFonts w:ascii="Arial" w:hAnsi="Arial" w:cs="Arial"/>
          <w:color w:val="auto"/>
        </w:rPr>
        <w:fldChar w:fldCharType="separate"/>
      </w:r>
      <w:r w:rsidRPr="009752E2">
        <w:rPr>
          <w:rFonts w:ascii="Arial" w:hAnsi="Arial" w:cs="Arial"/>
          <w:noProof/>
          <w:color w:val="auto"/>
        </w:rPr>
        <w:t xml:space="preserve"> Goodwin, (2010)</w:t>
      </w:r>
      <w:r w:rsidRPr="009752E2">
        <w:rPr>
          <w:rFonts w:ascii="Arial" w:hAnsi="Arial" w:cs="Arial"/>
          <w:color w:val="auto"/>
        </w:rPr>
        <w:fldChar w:fldCharType="end"/>
      </w:r>
      <w:r w:rsidRPr="009752E2">
        <w:rPr>
          <w:rFonts w:ascii="Arial" w:hAnsi="Arial" w:cs="Arial"/>
          <w:color w:val="auto"/>
        </w:rPr>
        <w:t xml:space="preserve"> reported that about 1.7 million people benefit from telecare services in the UK. It has not gained traction due to the lack of robust evidence on cost-effectiveness, interoperability of technology between service sectors, and the implications for professionals and organisations in changing their established methods of practice. </w:t>
      </w:r>
    </w:p>
    <w:p w14:paraId="3118D282" w14:textId="04583904" w:rsidR="00D34CC3" w:rsidRPr="00D34CC3" w:rsidRDefault="009752E2" w:rsidP="00D34CC3">
      <w:pPr>
        <w:pStyle w:val="Heading3"/>
        <w:shd w:val="clear" w:color="auto" w:fill="FFFFFF"/>
        <w:spacing w:before="308" w:after="154" w:line="300" w:lineRule="atLeast"/>
        <w:jc w:val="both"/>
        <w:rPr>
          <w:rFonts w:ascii="Arial" w:hAnsi="Arial" w:cs="Arial"/>
          <w:color w:val="auto"/>
        </w:rPr>
      </w:pPr>
      <w:r w:rsidRPr="009752E2">
        <w:rPr>
          <w:rFonts w:ascii="Arial" w:hAnsi="Arial" w:cs="Arial"/>
          <w:color w:val="auto"/>
        </w:rPr>
        <w:fldChar w:fldCharType="begin" w:fldLock="1"/>
      </w:r>
      <w:r w:rsidRPr="009752E2">
        <w:rPr>
          <w:rFonts w:ascii="Arial" w:hAnsi="Arial" w:cs="Arial"/>
          <w:color w:val="auto"/>
        </w:rPr>
        <w:instrText>ADDIN CSL_CITATION {"citationItems":[{"id":"ITEM-1","itemData":{"DOI":"10.1186/s12913-020-05657-w","ISSN":"14726963","PMID":"32873295","abstract":"Background: Telemedicine improves access to health care services enabling remote care diagnosis and treatment of patients at a distance. However, the implementation of telemedicine services often pose challenges stemming from the lack of attention to change management (CM). Health care practitioners and researchers agree that successful telemedicine services require significant organizational and practice change. Despite recognizing the importance of the \"people-side\"of implementation, research on what constitutes best practice CM strategies for telemedicine implementations remains fragmented, offering little cohesive insight into the specific practices involved in the change process. We conducted a systematic scoping review of the literature to examine what and how CM practices have been applied to telemedicine service implementation, spanning a variety of health care areas and countries. Methods: Three bibliographic databases (CINAHL, PubMed, and ISI Web of Science) and four specialist telehealth journals were searched. To keep the review manageable and relevant to contemporary telemedicine technologies and contexts, the search was limited to articles published from 2008 to 2019. Forty-eight articles were selected for inclusion. Results: From the 48 articles, 16 CM practices were identified relating to either strategic or operational aspects of telemedicine implementations. We identify the key CM practices that are recognized in the broader CM literature as essential for successful and sustained change but are not commonly reported in telemedicine implementation studies. We draw on the CM literature to provide a comprehensive process-based, researched-informed, organizing framework to guide future telemedicine service implementations and research. Conclusions: Our findings suggest that the slow rate of adoption of telemedicine may be due to a piecemeal approach to the change process, and a lack of understanding of how to plan, manage and reinforce change when implementing telemedicine services.","author":[{"dropping-particle":"","family":"Kho","given":"Joanna","non-dropping-particle":"","parse-names":false,"suffix":""},{"dropping-particle":"","family":"Gillespie","given":"Nicole","non-dropping-particle":"","parse-names":false,"suffix":""},{"dropping-particle":"","family":"Martin-Khan","given":"Melinda","non-dropping-particle":"","parse-names":false,"suffix":""}],"container-title":"BMC Health Services Research","id":"ITEM-1","issue":"1","issued":{"date-parts":[["2020"]]},"note":"Change Management reference in telehealth. \n\nInclude in conclusion","page":"1-16","publisher":"BMC Health Services Research","title":"A systematic scoping review of change management practices used for telemedicine service implementations","type":"article-journal","volume":"20"},"uris":["http://www.mendeley.com/documents/?uuid=b61acc1f-e306-47ad-9821-b8de2457ed8e"]}],"mendeley":{"formattedCitation":"(Kho, Gillespie and Martin-Khan, 2020)","manualFormatting":"Kho, Gillespie and Martin-Khan, (2020)","plainTextFormattedCitation":"(Kho, Gillespie and Martin-Khan, 2020)","previouslyFormattedCitation":"(Kho, Gillespie and Martin-Khan, 2020)"},"properties":{"noteIndex":0},"schema":"https://github.com/citation-style-language/schema/raw/master/csl-citation.json"}</w:instrText>
      </w:r>
      <w:r w:rsidRPr="009752E2">
        <w:rPr>
          <w:rFonts w:ascii="Arial" w:hAnsi="Arial" w:cs="Arial"/>
          <w:color w:val="auto"/>
        </w:rPr>
        <w:fldChar w:fldCharType="separate"/>
      </w:r>
      <w:r w:rsidRPr="009752E2">
        <w:rPr>
          <w:rFonts w:ascii="Arial" w:hAnsi="Arial" w:cs="Arial"/>
          <w:noProof/>
          <w:color w:val="auto"/>
        </w:rPr>
        <w:t>Kho, Gillespie and Martin-Khan, (2020)</w:t>
      </w:r>
      <w:r w:rsidRPr="009752E2">
        <w:rPr>
          <w:rFonts w:ascii="Arial" w:hAnsi="Arial" w:cs="Arial"/>
          <w:color w:val="auto"/>
        </w:rPr>
        <w:fldChar w:fldCharType="end"/>
      </w:r>
      <w:r w:rsidRPr="009752E2">
        <w:rPr>
          <w:rFonts w:ascii="Arial" w:hAnsi="Arial" w:cs="Arial"/>
          <w:color w:val="auto"/>
        </w:rPr>
        <w:t xml:space="preserve"> suggested that the slow rate of adoption of telemedicine may be due to a piecemeal approach to the change process and the lack of an overarching plan to manage longitudinal change. There needs to be a </w:t>
      </w:r>
      <w:r w:rsidRPr="00D34CC3">
        <w:rPr>
          <w:rFonts w:ascii="Arial" w:hAnsi="Arial" w:cs="Arial"/>
          <w:color w:val="auto"/>
        </w:rPr>
        <w:t xml:space="preserve">wider change management method with a strong evidence framework to ensure telehealth intervention is integrated in clinical practice. </w:t>
      </w:r>
      <w:r w:rsidR="00D34CC3" w:rsidRPr="00D34CC3">
        <w:rPr>
          <w:rFonts w:ascii="Arial" w:hAnsi="Arial" w:cs="Arial"/>
          <w:color w:val="auto"/>
        </w:rPr>
        <w:fldChar w:fldCharType="begin" w:fldLock="1"/>
      </w:r>
      <w:r w:rsidR="00D34CC3" w:rsidRPr="00D34CC3">
        <w:rPr>
          <w:rFonts w:ascii="Arial" w:hAnsi="Arial" w:cs="Arial"/>
          <w:color w:val="auto"/>
        </w:rPr>
        <w:instrText>ADDIN CSL_CITATION {"citationItems":[{"id":"ITEM-1","itemData":{"DOI":"10.1177/1357633X20960638","ISSN":"17581109","PMID":"32985380","abstract":"The current coronavirus pandemic (COVID-19) has resulted in tremendous growth in telehealth services in Australia and around the world. The rapid uptake of telehealth has mainly been due to necessity – following social distancing requirements and the need to reduce the risk of transmission. Although telehealth has been available for many decades, the COVID-19 experience has resulted in heightened awareness of telehealth amongst health service providers, patients and society overall. With increased telehealth uptake in many jurisdictions during the pandemic, it is timely and important to consider what role telehealth will have post-pandemic. In this article, we highlight five key requirements for the long-term sustainability of telehealth. These include: (a) developing a skilled workforce; (b) empowering consumers; (c) reforming funding; (d) improving the digital ecosystems; and (e) integrating telehealth into routine care.","author":[{"dropping-particle":"","family":"Thomas","given":"Emma E.","non-dropping-particle":"","parse-names":false,"suffix":""},{"dropping-particle":"","family":"Haydon","given":"Helen M.","non-dropping-particle":"","parse-names":false,"suffix":""},{"dropping-particle":"","family":"Mehrotra","given":"Ateev","non-dropping-particle":"","parse-names":false,"suffix":""},{"dropping-particle":"","family":"Caffery","given":"Liam J.","non-dropping-particle":"","parse-names":false,"suffix":""},{"dropping-particle":"","family":"Snoswell","given":"Centaine L.","non-dropping-particle":"","parse-names":false,"suffix":""},{"dropping-particle":"","family":"Banbury","given":"Annie","non-dropping-particle":"","parse-names":false,"suffix":""},{"dropping-particle":"","family":"Smith","given":"Anthony C.","non-dropping-particle":"","parse-names":false,"suffix":""}],"container-title":"Journal of Telemedicine and Telecare","id":"ITEM-1","issued":{"date-parts":[["2020"]]},"title":"Building on the momentum: Sustaining telehealth beyond COVID-19","type":"article-journal"},"uris":["http://www.mendeley.com/documents/?uuid=b4f7c634-d243-4e59-b51b-5735a6285660"]}],"mendeley":{"formattedCitation":"(Thomas &lt;i&gt;et al.&lt;/i&gt;, 2020)","manualFormatting":"Thomas et al., (2020)","plainTextFormattedCitation":"(Thomas et al., 2020)","previouslyFormattedCitation":"(Thomas &lt;i&gt;et al.&lt;/i&gt;, 2020)"},"properties":{"noteIndex":0},"schema":"https://github.com/citation-style-language/schema/raw/master/csl-citation.json"}</w:instrText>
      </w:r>
      <w:r w:rsidR="00D34CC3" w:rsidRPr="00D34CC3">
        <w:rPr>
          <w:rFonts w:ascii="Arial" w:hAnsi="Arial" w:cs="Arial"/>
          <w:color w:val="auto"/>
        </w:rPr>
        <w:fldChar w:fldCharType="separate"/>
      </w:r>
      <w:r w:rsidR="00D34CC3" w:rsidRPr="00D34CC3">
        <w:rPr>
          <w:rFonts w:ascii="Arial" w:hAnsi="Arial" w:cs="Arial"/>
          <w:noProof/>
          <w:color w:val="auto"/>
        </w:rPr>
        <w:t xml:space="preserve">Thomas et al., </w:t>
      </w:r>
      <w:r w:rsidR="00D34CC3" w:rsidRPr="00D34CC3">
        <w:rPr>
          <w:rFonts w:ascii="Arial" w:hAnsi="Arial" w:cs="Arial"/>
          <w:noProof/>
          <w:color w:val="auto"/>
        </w:rPr>
        <w:t>(</w:t>
      </w:r>
      <w:r w:rsidR="00D34CC3" w:rsidRPr="00D34CC3">
        <w:rPr>
          <w:rFonts w:ascii="Arial" w:hAnsi="Arial" w:cs="Arial"/>
          <w:noProof/>
          <w:color w:val="auto"/>
        </w:rPr>
        <w:t>2020)</w:t>
      </w:r>
      <w:r w:rsidR="00D34CC3" w:rsidRPr="00D34CC3">
        <w:rPr>
          <w:rFonts w:ascii="Arial" w:hAnsi="Arial" w:cs="Arial"/>
          <w:color w:val="auto"/>
        </w:rPr>
        <w:fldChar w:fldCharType="end"/>
      </w:r>
      <w:r w:rsidR="00D34CC3" w:rsidRPr="00D34CC3">
        <w:rPr>
          <w:rFonts w:ascii="Arial" w:hAnsi="Arial" w:cs="Arial"/>
          <w:color w:val="auto"/>
        </w:rPr>
        <w:t xml:space="preserve"> highlight five key requirements for the long-term sustainability of telehealth. These include: </w:t>
      </w:r>
      <w:r w:rsidR="00D34CC3" w:rsidRPr="00D34CC3">
        <w:rPr>
          <w:rFonts w:ascii="Arial" w:hAnsi="Arial" w:cs="Arial"/>
          <w:color w:val="auto"/>
        </w:rPr>
        <w:t>“</w:t>
      </w:r>
      <w:r w:rsidR="00D34CC3" w:rsidRPr="00D34CC3">
        <w:rPr>
          <w:rFonts w:ascii="Arial" w:hAnsi="Arial" w:cs="Arial"/>
          <w:color w:val="auto"/>
        </w:rPr>
        <w:t>(a) developing a skilled workforce; (b) empowering consumers; (c) reforming funding; (d) improving the digital ecosystems; and (e) integrating telehealth into routine care</w:t>
      </w:r>
      <w:r w:rsidR="00D34CC3" w:rsidRPr="00D34CC3">
        <w:rPr>
          <w:rFonts w:ascii="Arial" w:hAnsi="Arial" w:cs="Arial"/>
          <w:color w:val="auto"/>
        </w:rPr>
        <w:t xml:space="preserve">” </w:t>
      </w:r>
    </w:p>
    <w:p w14:paraId="415A5F3A" w14:textId="7FF615EF" w:rsidR="009752E2" w:rsidRPr="009752E2" w:rsidRDefault="009752E2" w:rsidP="009752E2">
      <w:pPr>
        <w:pStyle w:val="Heading3"/>
        <w:shd w:val="clear" w:color="auto" w:fill="FFFFFF"/>
        <w:spacing w:before="308" w:after="154" w:line="300" w:lineRule="atLeast"/>
        <w:jc w:val="both"/>
        <w:rPr>
          <w:rFonts w:ascii="Arial" w:hAnsi="Arial" w:cs="Arial"/>
          <w:color w:val="auto"/>
        </w:rPr>
      </w:pPr>
      <w:r w:rsidRPr="009752E2">
        <w:rPr>
          <w:rFonts w:ascii="Arial" w:hAnsi="Arial" w:cs="Arial"/>
          <w:color w:val="auto"/>
        </w:rPr>
        <w:fldChar w:fldCharType="begin" w:fldLock="1"/>
      </w:r>
      <w:r w:rsidRPr="009752E2">
        <w:rPr>
          <w:rFonts w:ascii="Arial" w:hAnsi="Arial" w:cs="Arial"/>
          <w:color w:val="auto"/>
        </w:rPr>
        <w:instrText>ADDIN CSL_CITATION {"citationItems":[{"id":"ITEM-1","itemData":{"DOI":"10.2196/13117","ISSN":"14388871","PMID":"31115340","abstract":"Background: Only a few telemedicine applications have made their way into regular care. One reason is the lack of acceptance of telemedicine by potential end users. Objective: The aim of this systematic review was to identify theoretical predictors that influence the acceptance of telemedicine. Methods: An electronic search was conducted in PubMed and PsycINFO in June 2018 and supplemented by a hand search. Articles were identified using predefined inclusion and exclusion criteria. In total, two reviewers independently assessed the title, abstract, and full-text screening and then individually performed a quality assessment of all included studies. Results: Out of 5917 potentially relevant titles (duplicates excluded), 24 studies were included. The Axis Tool for quality assessment of cross-sectional studies revealed a high risk of bias for all studies except for one study. The most commonly used models were the Technology Acceptance Model (n=11) and the Unified Theory of Acceptance and Use of Technology (n=9). The main significant predictors of acceptance were perceived usefulness (n=11), social influences (n=6), and attitude (n=6). The results show a superiority of technology acceptance versus original behavioral models. Conclusions: The main finding of this review is the applicability of technology acceptance models and theories on telemedicine adoption. Characteristics of the technology, such as its usefulness, as well as attributes of the individual, such as his or her need for social support, inform end-user acceptance. Therefore, in the future, requirements of the target group and the group's social environment should already be taken into account when planning telemedicine applications. The results support the importance of theory-guided user-centered design approaches to telemedicine development.","author":[{"dropping-particle":"","family":"Harst","given":"Lorenz","non-dropping-particle":"","parse-names":false,"suffix":""},{"dropping-particle":"","family":"Lantzsch","given":"Hendrikje","non-dropping-particle":"","parse-names":false,"suffix":""},{"dropping-particle":"","family":"Scheibe","given":"Madlen","non-dropping-particle":"","parse-names":false,"suffix":""}],"container-title":"Journal of Medical Internet Research","id":"ITEM-1","issue":"5","issued":{"date-parts":[["2019"]]},"note":"importance of theory-guided user-centered design approaches to telemedicine development.","title":"Theories predicting end-user acceptance of telemedicine use: Systematic review","type":"article-journal","volume":"21"},"uris":["http://www.mendeley.com/documents/?uuid=db610b74-0ce1-47d3-97d8-e9320f0dd915"]}],"mendeley":{"formattedCitation":"(Harst, Lantzsch and Scheibe, 2019)","manualFormatting":"Harst, Lantzsch and Scheibe, (2019)","plainTextFormattedCitation":"(Harst, Lantzsch and Scheibe, 2019)","previouslyFormattedCitation":"(Harst, Lantzsch and Scheibe, 2019)"},"properties":{"noteIndex":0},"schema":"https://github.com/citation-style-language/schema/raw/master/csl-citation.json"}</w:instrText>
      </w:r>
      <w:r w:rsidRPr="009752E2">
        <w:rPr>
          <w:rFonts w:ascii="Arial" w:hAnsi="Arial" w:cs="Arial"/>
          <w:color w:val="auto"/>
        </w:rPr>
        <w:fldChar w:fldCharType="separate"/>
      </w:r>
      <w:r w:rsidRPr="009752E2">
        <w:rPr>
          <w:rFonts w:ascii="Arial" w:hAnsi="Arial" w:cs="Arial"/>
          <w:noProof/>
          <w:color w:val="auto"/>
        </w:rPr>
        <w:t>Harst, Lantzsch and Scheibe, (2019)</w:t>
      </w:r>
      <w:r w:rsidRPr="009752E2">
        <w:rPr>
          <w:rFonts w:ascii="Arial" w:hAnsi="Arial" w:cs="Arial"/>
          <w:color w:val="auto"/>
        </w:rPr>
        <w:fldChar w:fldCharType="end"/>
      </w:r>
      <w:r w:rsidRPr="009752E2">
        <w:rPr>
          <w:rFonts w:ascii="Arial" w:hAnsi="Arial" w:cs="Arial"/>
          <w:color w:val="auto"/>
        </w:rPr>
        <w:t xml:space="preserve"> presented a systematic review of theories on end user acceptance of telehealth. They strongly advocated that the reason for lack of acceptance of telehealth by potential end users is to accommodate the requirements not only of the target group but also the group’s social environment when planning telemedicine applications. These results support the importance of theory-guided user-cantered design approaches to telemedicine development</w:t>
      </w:r>
    </w:p>
    <w:p w14:paraId="4FD39319" w14:textId="77777777" w:rsidR="009752E2" w:rsidRPr="009752E2" w:rsidRDefault="009752E2" w:rsidP="009752E2">
      <w:pPr>
        <w:rPr>
          <w:lang w:eastAsia="en-US"/>
        </w:rPr>
      </w:pPr>
    </w:p>
    <w:p w14:paraId="0D64386F" w14:textId="77777777" w:rsidR="00D34CC3" w:rsidRPr="000C50A2" w:rsidRDefault="000C50A2" w:rsidP="00D34CC3">
      <w:pPr>
        <w:jc w:val="both"/>
        <w:rPr>
          <w:rFonts w:ascii="Arial" w:hAnsi="Arial" w:cs="Arial"/>
        </w:rPr>
      </w:pPr>
      <w:r w:rsidRPr="009752E2">
        <w:rPr>
          <w:rFonts w:ascii="Arial" w:hAnsi="Arial" w:cs="Arial"/>
          <w:lang w:eastAsia="en-US"/>
        </w:rPr>
        <w:t xml:space="preserve">This project will be implemented within the </w:t>
      </w:r>
      <w:r w:rsidR="00850A52" w:rsidRPr="009752E2">
        <w:rPr>
          <w:rFonts w:ascii="Arial" w:hAnsi="Arial" w:cs="Arial"/>
          <w:lang w:eastAsia="en-US"/>
        </w:rPr>
        <w:t xml:space="preserve">Bridgend </w:t>
      </w:r>
      <w:r w:rsidRPr="009752E2">
        <w:rPr>
          <w:rFonts w:ascii="Arial" w:hAnsi="Arial" w:cs="Arial"/>
          <w:lang w:eastAsia="en-US"/>
        </w:rPr>
        <w:t xml:space="preserve">community integrated care for health and social care. </w:t>
      </w:r>
      <w:r w:rsidR="009752E2">
        <w:rPr>
          <w:rFonts w:ascii="Arial" w:hAnsi="Arial" w:cs="Arial"/>
          <w:lang w:eastAsia="en-US"/>
        </w:rPr>
        <w:t xml:space="preserve">A longitudinal assessment to establish integrated systems and engaging with users in co-designing digital health technologies are </w:t>
      </w:r>
      <w:r w:rsidR="00850A52" w:rsidRPr="009752E2">
        <w:rPr>
          <w:rFonts w:ascii="Arial" w:hAnsi="Arial" w:cs="Arial"/>
          <w:lang w:eastAsia="en-US"/>
        </w:rPr>
        <w:t xml:space="preserve">transferable </w:t>
      </w:r>
      <w:r w:rsidR="00884D20" w:rsidRPr="009752E2">
        <w:rPr>
          <w:rFonts w:ascii="Arial" w:hAnsi="Arial" w:cs="Arial"/>
          <w:lang w:eastAsia="en-US"/>
        </w:rPr>
        <w:t xml:space="preserve">principles </w:t>
      </w:r>
      <w:r w:rsidR="00884D20">
        <w:rPr>
          <w:rFonts w:ascii="Arial" w:hAnsi="Arial" w:cs="Arial"/>
          <w:lang w:eastAsia="en-US"/>
        </w:rPr>
        <w:t xml:space="preserve">when applying this digital health project in an integrated health and social care model. </w:t>
      </w:r>
      <w:r w:rsidR="00D34CC3" w:rsidRPr="000C50A2">
        <w:rPr>
          <w:rFonts w:ascii="Arial" w:hAnsi="Arial" w:cs="Arial"/>
        </w:rPr>
        <w:t xml:space="preserve">The success </w:t>
      </w:r>
      <w:r w:rsidR="00D34CC3">
        <w:rPr>
          <w:rFonts w:ascii="Arial" w:hAnsi="Arial" w:cs="Arial"/>
        </w:rPr>
        <w:t>of</w:t>
      </w:r>
      <w:r w:rsidR="00D34CC3" w:rsidRPr="000C50A2">
        <w:rPr>
          <w:rFonts w:ascii="Arial" w:hAnsi="Arial" w:cs="Arial"/>
        </w:rPr>
        <w:t xml:space="preserve"> implement</w:t>
      </w:r>
      <w:r w:rsidR="00D34CC3">
        <w:rPr>
          <w:rFonts w:ascii="Arial" w:hAnsi="Arial" w:cs="Arial"/>
        </w:rPr>
        <w:t xml:space="preserve">ing </w:t>
      </w:r>
      <w:r w:rsidR="00D34CC3" w:rsidRPr="000C50A2">
        <w:rPr>
          <w:rFonts w:ascii="Arial" w:hAnsi="Arial" w:cs="Arial"/>
        </w:rPr>
        <w:t xml:space="preserve">an integrated </w:t>
      </w:r>
      <w:proofErr w:type="spellStart"/>
      <w:r w:rsidR="00D34CC3" w:rsidRPr="000C50A2">
        <w:rPr>
          <w:rFonts w:ascii="Arial" w:hAnsi="Arial" w:cs="Arial"/>
        </w:rPr>
        <w:t>te</w:t>
      </w:r>
      <w:r w:rsidR="00D34CC3">
        <w:rPr>
          <w:rFonts w:ascii="Arial" w:hAnsi="Arial" w:cs="Arial"/>
        </w:rPr>
        <w:t>telehealth</w:t>
      </w:r>
      <w:proofErr w:type="spellEnd"/>
      <w:r w:rsidR="00D34CC3">
        <w:rPr>
          <w:rFonts w:ascii="Arial" w:hAnsi="Arial" w:cs="Arial"/>
        </w:rPr>
        <w:t xml:space="preserve"> service is dependent on </w:t>
      </w:r>
      <w:proofErr w:type="gramStart"/>
      <w:r w:rsidR="00D34CC3">
        <w:rPr>
          <w:rFonts w:ascii="Arial" w:hAnsi="Arial" w:cs="Arial"/>
        </w:rPr>
        <w:t xml:space="preserve">the </w:t>
      </w:r>
      <w:r w:rsidR="00D34CC3" w:rsidRPr="000C50A2">
        <w:rPr>
          <w:rFonts w:ascii="Arial" w:hAnsi="Arial" w:cs="Arial"/>
        </w:rPr>
        <w:t xml:space="preserve"> ability</w:t>
      </w:r>
      <w:proofErr w:type="gramEnd"/>
      <w:r w:rsidR="00D34CC3" w:rsidRPr="000C50A2">
        <w:rPr>
          <w:rFonts w:ascii="Arial" w:hAnsi="Arial" w:cs="Arial"/>
        </w:rPr>
        <w:t xml:space="preserve"> to engage the wider population to ad</w:t>
      </w:r>
      <w:r w:rsidR="00D34CC3">
        <w:rPr>
          <w:rFonts w:ascii="Arial" w:hAnsi="Arial" w:cs="Arial"/>
        </w:rPr>
        <w:t>o</w:t>
      </w:r>
      <w:r w:rsidR="00D34CC3" w:rsidRPr="000C50A2">
        <w:rPr>
          <w:rFonts w:ascii="Arial" w:hAnsi="Arial" w:cs="Arial"/>
        </w:rPr>
        <w:t xml:space="preserve">pt these services. </w:t>
      </w:r>
    </w:p>
    <w:p w14:paraId="592F6B8C" w14:textId="58D5A495" w:rsidR="00850A52" w:rsidRDefault="00850A52" w:rsidP="009752E2">
      <w:pPr>
        <w:jc w:val="both"/>
        <w:rPr>
          <w:rFonts w:ascii="Arial" w:hAnsi="Arial" w:cs="Arial"/>
          <w:lang w:eastAsia="en-US"/>
        </w:rPr>
      </w:pPr>
    </w:p>
    <w:p w14:paraId="5B3A53A5" w14:textId="77777777" w:rsidR="00850A52" w:rsidRDefault="00850A52" w:rsidP="00884D20">
      <w:pPr>
        <w:jc w:val="both"/>
        <w:rPr>
          <w:rFonts w:ascii="Arial" w:hAnsi="Arial" w:cs="Arial"/>
          <w:lang w:eastAsia="en-US"/>
        </w:rPr>
      </w:pPr>
    </w:p>
    <w:p w14:paraId="65A5A791" w14:textId="0B3DC1A3" w:rsidR="000C50A2" w:rsidRDefault="000C50A2" w:rsidP="00884D20">
      <w:pPr>
        <w:jc w:val="both"/>
        <w:rPr>
          <w:rFonts w:ascii="Arial" w:hAnsi="Arial" w:cs="Arial"/>
          <w:shd w:val="clear" w:color="auto" w:fill="FFFFFF"/>
        </w:rPr>
      </w:pPr>
      <w:r w:rsidRPr="000C50A2">
        <w:rPr>
          <w:rFonts w:ascii="Arial" w:hAnsi="Arial" w:cs="Arial"/>
          <w:lang w:eastAsia="en-US"/>
        </w:rPr>
        <w:lastRenderedPageBreak/>
        <w:t xml:space="preserve">When </w:t>
      </w:r>
      <w:r w:rsidRPr="000C50A2">
        <w:rPr>
          <w:rFonts w:ascii="Arial" w:hAnsi="Arial" w:cs="Arial"/>
        </w:rPr>
        <w:fldChar w:fldCharType="begin" w:fldLock="1"/>
      </w:r>
      <w:r w:rsidRPr="000C50A2">
        <w:rPr>
          <w:rFonts w:ascii="Arial" w:hAnsi="Arial" w:cs="Arial"/>
        </w:rPr>
        <w:instrText>ADDIN CSL_CITATION {"citationItems":[{"id":"ITEM-1","itemData":{"DOI":"10.5334/ijic.3051","ISSN":"15684156","abstract":"Shared electronic health and social care records in some service systems are already showing some of the benefits of digital technology and digital data for integrating health and social care. These records are one example of the beginning “digitalisation” of services that gives a glimpse of the potential of digital technology and systems for building coordinated and individualized integrated care. Yet the promise has been greater than the benefits, and progress has been slow compared to other industries. This paper describes for non-technical readers how information technology was used to support integrated care schemes in six EU services, and suggests practical ways forward to use the new opportunities to build person-centered integrated care.","author":[{"dropping-particle":"","family":"Ovretveit","given":"John","non-dropping-particle":"","parse-names":false,"suffix":""}],"container-title":"International Journal of Integrated Care","id":"ITEM-1","issue":"4","issued":{"date-parts":[["2017"]]},"title":"Digital technologies supporting person-centered integrated care - A perspective","type":"article","volume":"17"},"uris":["http://www.mendeley.com/documents/?uuid=c7fba1cf-c12e-4d0c-930c-efb5df0e2550"]}],"mendeley":{"formattedCitation":"(Ovretveit, 2017)","manualFormatting":"(Ovretveit, (2017)","plainTextFormattedCitation":"(Ovretveit, 2017)","previouslyFormattedCitation":"(Ovretveit, 2017)"},"properties":{"noteIndex":0},"schema":"https://github.com/citation-style-language/schema/raw/master/csl-citation.json"}</w:instrText>
      </w:r>
      <w:r w:rsidRPr="000C50A2">
        <w:rPr>
          <w:rFonts w:ascii="Arial" w:hAnsi="Arial" w:cs="Arial"/>
        </w:rPr>
        <w:fldChar w:fldCharType="separate"/>
      </w:r>
      <w:r w:rsidRPr="000C50A2">
        <w:rPr>
          <w:rFonts w:ascii="Arial" w:hAnsi="Arial" w:cs="Arial"/>
          <w:noProof/>
        </w:rPr>
        <w:t xml:space="preserve">(Ovretveit, </w:t>
      </w:r>
      <w:r w:rsidRPr="000C50A2">
        <w:rPr>
          <w:rFonts w:ascii="Arial" w:hAnsi="Arial" w:cs="Arial"/>
          <w:noProof/>
        </w:rPr>
        <w:t>(</w:t>
      </w:r>
      <w:r w:rsidRPr="000C50A2">
        <w:rPr>
          <w:rFonts w:ascii="Arial" w:hAnsi="Arial" w:cs="Arial"/>
          <w:noProof/>
        </w:rPr>
        <w:t>2017)</w:t>
      </w:r>
      <w:r w:rsidRPr="000C50A2">
        <w:rPr>
          <w:rFonts w:ascii="Arial" w:hAnsi="Arial" w:cs="Arial"/>
        </w:rPr>
        <w:fldChar w:fldCharType="end"/>
      </w:r>
      <w:r w:rsidRPr="000C50A2">
        <w:rPr>
          <w:rFonts w:ascii="Arial" w:hAnsi="Arial" w:cs="Arial"/>
        </w:rPr>
        <w:t xml:space="preserve"> </w:t>
      </w:r>
      <w:r w:rsidRPr="000C50A2">
        <w:rPr>
          <w:rFonts w:ascii="Arial" w:hAnsi="Arial" w:cs="Arial"/>
        </w:rPr>
        <w:t xml:space="preserve">described </w:t>
      </w:r>
      <w:r w:rsidRPr="000C50A2">
        <w:rPr>
          <w:rFonts w:ascii="Arial" w:hAnsi="Arial" w:cs="Arial"/>
          <w:shd w:val="clear" w:color="auto" w:fill="FFFFFF"/>
        </w:rPr>
        <w:t xml:space="preserve">how </w:t>
      </w:r>
      <w:r w:rsidRPr="000C50A2">
        <w:rPr>
          <w:rFonts w:ascii="Arial" w:hAnsi="Arial" w:cs="Arial"/>
          <w:color w:val="000000"/>
          <w:shd w:val="clear" w:color="auto" w:fill="FFFFFF"/>
        </w:rPr>
        <w:t>information technology was used to support integrated care schemes in six EU services,</w:t>
      </w:r>
      <w:r w:rsidR="003028A9">
        <w:rPr>
          <w:rFonts w:ascii="Arial" w:hAnsi="Arial" w:cs="Arial"/>
          <w:color w:val="000000"/>
          <w:shd w:val="clear" w:color="auto" w:fill="FFFFFF"/>
        </w:rPr>
        <w:t xml:space="preserve"> he suggested practical ways on how to ensure these new opportunities were exploited. He strongly recommended that data management and designs should not be left with IT technicians or the IT industry alone. There needs to be engagement with users who are coordinating and providing care and users who are receiving care. Their needs and goals are needed to be specified to allow </w:t>
      </w:r>
      <w:r w:rsidR="003028A9" w:rsidRPr="003028A9">
        <w:rPr>
          <w:rFonts w:ascii="Arial" w:hAnsi="Arial" w:cs="Arial"/>
          <w:shd w:val="clear" w:color="auto" w:fill="FFFFFF"/>
        </w:rPr>
        <w:t xml:space="preserve">good quality data that will be used to monitor care plans and in turn provide better clinical outcomes. </w:t>
      </w:r>
      <w:proofErr w:type="gramStart"/>
      <w:r w:rsidR="003028A9" w:rsidRPr="003028A9">
        <w:rPr>
          <w:rFonts w:ascii="Arial" w:hAnsi="Arial" w:cs="Arial"/>
          <w:shd w:val="clear" w:color="auto" w:fill="FFFFFF"/>
        </w:rPr>
        <w:t>Inferring from this, it</w:t>
      </w:r>
      <w:proofErr w:type="gramEnd"/>
      <w:r w:rsidR="003028A9" w:rsidRPr="003028A9">
        <w:rPr>
          <w:rFonts w:ascii="Arial" w:hAnsi="Arial" w:cs="Arial"/>
          <w:shd w:val="clear" w:color="auto" w:fill="FFFFFF"/>
        </w:rPr>
        <w:t xml:space="preserve"> means that co-designer should be chosen carefully to recruit those</w:t>
      </w:r>
      <w:r w:rsidR="003028A9" w:rsidRPr="003028A9">
        <w:rPr>
          <w:rFonts w:ascii="Arial" w:hAnsi="Arial" w:cs="Arial"/>
          <w:shd w:val="clear" w:color="auto" w:fill="FFFFFF"/>
        </w:rPr>
        <w:t xml:space="preserve"> who understand clinical and social care practice and can lead a </w:t>
      </w:r>
      <w:r w:rsidR="003028A9" w:rsidRPr="003028A9">
        <w:rPr>
          <w:rFonts w:ascii="Arial" w:hAnsi="Arial" w:cs="Arial"/>
          <w:shd w:val="clear" w:color="auto" w:fill="FFFFFF"/>
        </w:rPr>
        <w:t xml:space="preserve">successful </w:t>
      </w:r>
      <w:r w:rsidR="003028A9" w:rsidRPr="003028A9">
        <w:rPr>
          <w:rFonts w:ascii="Arial" w:hAnsi="Arial" w:cs="Arial"/>
          <w:shd w:val="clear" w:color="auto" w:fill="FFFFFF"/>
        </w:rPr>
        <w:t>co-design process.</w:t>
      </w:r>
    </w:p>
    <w:p w14:paraId="5FDCEC0A" w14:textId="77777777" w:rsidR="003028A9" w:rsidRPr="003028A9" w:rsidRDefault="003028A9" w:rsidP="00884D20">
      <w:pPr>
        <w:jc w:val="both"/>
        <w:rPr>
          <w:rFonts w:ascii="Arial" w:hAnsi="Arial" w:cs="Arial"/>
          <w:lang w:eastAsia="en-US"/>
        </w:rPr>
      </w:pPr>
    </w:p>
    <w:p w14:paraId="4F0AD71B" w14:textId="39AC7F82" w:rsidR="00850A52" w:rsidRDefault="003028A9" w:rsidP="00884D20">
      <w:pPr>
        <w:jc w:val="both"/>
        <w:rPr>
          <w:rFonts w:ascii="Arial" w:hAnsi="Arial" w:cs="Arial"/>
          <w:shd w:val="clear" w:color="auto" w:fill="FFFFFF"/>
        </w:rPr>
      </w:pPr>
      <w:r w:rsidRPr="00850A52">
        <w:rPr>
          <w:rFonts w:ascii="Arial" w:hAnsi="Arial" w:cs="Arial"/>
        </w:rPr>
        <w:fldChar w:fldCharType="begin" w:fldLock="1"/>
      </w:r>
      <w:r w:rsidRPr="00850A52">
        <w:rPr>
          <w:rFonts w:ascii="Arial" w:hAnsi="Arial" w:cs="Arial"/>
        </w:rPr>
        <w:instrText>ADDIN CSL_CITATION {"citationItems":[{"id":"ITEM-1","itemData":{"DOI":"10.2196/14956","ISSN":"14388871","PMID":"31573914","abstract":"Background: Digital health tools comprise a wide range of technologies to support health processes. The potential of these technologies to effectively support health care transformation is widely accepted. However, wide scale implementation is uneven among countries and regions. Identification of common factors facilitating and hampering the implementation process may be useful for future policy recommendations. Objective: The aim of this study was to analyze the implementation of digital health tools to support health care and social care services, as well as to facilitate the longitudinal assessment of these services, in 17 selected integrated chronic care (ICC) programs from 8 European countries. Methods: A program analysis based on thick descriptions-including document examinations and semistructured interviews with relevant stakeholders-of ICC programs in Austria, Croatia, Germany, Hungary, the Netherlands, Norway, Spain, and the United Kingdom was performed. A total of 233 stakeholders (ie, professionals, providers, patients, carers, and policymakers) were interviewed from November 2014 to September 2016. The overarching analysis focused on the use of digital health tools and program assessment strategies. Results: Supporting digital health tools are implemented in all countries, but different levels of maturity were observed among the programs. Only few ICC programs have well-established strategies for a comprehensive longitudinal assessment. There is a strong relationship between maturity of digital health and proper evaluation strategies of integrated care. Conclusions: Notwithstanding the heterogeneity of the results across countries, most programs aim to evolve toward a digital transformation of integrated care, including implementation of comprehensive assessment strategies. It is widely accepted that the evolution of digital health tools alongside clear policies toward their adoption will facilitate regional uptake and scale-up of services with embedded digital health tools.","author":[{"dropping-particle":"","family":"Baltaxe","given":"Erik","non-dropping-particle":"","parse-names":false,"suffix":""},{"dropping-particle":"","family":"Czypionka","given":"Thomas","non-dropping-particle":"","parse-names":false,"suffix":""},{"dropping-particle":"","family":"Kraus","given":"Markus","non-dropping-particle":"","parse-names":false,"suffix":""},{"dropping-particle":"","family":"Reiss","given":"Miriam","non-dropping-particle":"","parse-names":false,"suffix":""},{"dropping-particle":"","family":"Askildsen","given":"Jan Erik","non-dropping-particle":"","parse-names":false,"suffix":""},{"dropping-particle":"","family":"Grenkovic","given":"Renata","non-dropping-particle":"","parse-names":false,"suffix":""},{"dropping-particle":"","family":"Lindén","given":"Tord Skogedal","non-dropping-particle":"","parse-names":false,"suffix":""},{"dropping-particle":"","family":"Pitter","given":"János György","non-dropping-particle":"","parse-names":false,"suffix":""},{"dropping-particle":"Van","family":"Molken","given":"Maureen Rutten","non-dropping-particle":"","parse-names":false,"suffix":""},{"dropping-particle":"","family":"Solans","given":"Oscar","non-dropping-particle":"","parse-names":false,"suffix":""},{"dropping-particle":"","family":"Stokes","given":"Jonathan","non-dropping-particle":"","parse-names":false,"suffix":""},{"dropping-particle":"","family":"Struckmann","given":"Verena","non-dropping-particle":"","parse-names":false,"suffix":""},{"dropping-particle":"","family":"Roca","given":"Josep","non-dropping-particle":"","parse-names":false,"suffix":""},{"dropping-particle":"","family":"Cano","given":"Isaac","non-dropping-particle":"","parse-names":false,"suffix":""}],"container-title":"Journal of Medical Internet Research","id":"ITEM-1","issue":"99","issued":{"date-parts":[["2019"]]},"page":"1-14","title":"Digital health transformation of integrated care in Europe: Overarching analysis of 17 integrated care programs","type":"article-journal","volume":"21"},"uris":["http://www.mendeley.com/documents/?uuid=f683e3a7-7210-4706-bb59-ddb9904d588f"]}],"mendeley":{"formattedCitation":"(Baltaxe &lt;i&gt;et al.&lt;/i&gt;, 2019)","manualFormatting":"Baltaxe et al., (2019)","plainTextFormattedCitation":"(Baltaxe et al., 2019)","previouslyFormattedCitation":"(Baltaxe &lt;i&gt;et al.&lt;/i&gt;, 2019)"},"properties":{"noteIndex":0},"schema":"https://github.com/citation-style-language/schema/raw/master/csl-citation.json"}</w:instrText>
      </w:r>
      <w:r w:rsidRPr="00850A52">
        <w:rPr>
          <w:rFonts w:ascii="Arial" w:hAnsi="Arial" w:cs="Arial"/>
        </w:rPr>
        <w:fldChar w:fldCharType="separate"/>
      </w:r>
      <w:r w:rsidRPr="00850A52">
        <w:rPr>
          <w:rFonts w:ascii="Arial" w:hAnsi="Arial" w:cs="Arial"/>
          <w:noProof/>
        </w:rPr>
        <w:t xml:space="preserve">Baltaxe </w:t>
      </w:r>
      <w:r w:rsidRPr="00850A52">
        <w:rPr>
          <w:rFonts w:ascii="Arial" w:hAnsi="Arial" w:cs="Arial"/>
          <w:i/>
          <w:noProof/>
        </w:rPr>
        <w:t>et al.</w:t>
      </w:r>
      <w:r w:rsidRPr="00850A52">
        <w:rPr>
          <w:rFonts w:ascii="Arial" w:hAnsi="Arial" w:cs="Arial"/>
          <w:noProof/>
        </w:rPr>
        <w:t xml:space="preserve">, </w:t>
      </w:r>
      <w:r w:rsidRPr="00850A52">
        <w:rPr>
          <w:rFonts w:ascii="Arial" w:hAnsi="Arial" w:cs="Arial"/>
          <w:noProof/>
        </w:rPr>
        <w:t>(</w:t>
      </w:r>
      <w:r w:rsidRPr="00850A52">
        <w:rPr>
          <w:rFonts w:ascii="Arial" w:hAnsi="Arial" w:cs="Arial"/>
          <w:noProof/>
        </w:rPr>
        <w:t>2019)</w:t>
      </w:r>
      <w:r w:rsidRPr="00850A52">
        <w:rPr>
          <w:rFonts w:ascii="Arial" w:hAnsi="Arial" w:cs="Arial"/>
        </w:rPr>
        <w:fldChar w:fldCharType="end"/>
      </w:r>
      <w:r w:rsidRPr="00850A52">
        <w:rPr>
          <w:rFonts w:ascii="Arial" w:hAnsi="Arial" w:cs="Arial"/>
        </w:rPr>
        <w:t xml:space="preserve"> conducted a study to analyse the implementation of digital health tools in integrated health and social care from </w:t>
      </w:r>
      <w:r w:rsidRPr="00850A52">
        <w:rPr>
          <w:rFonts w:ascii="Arial" w:hAnsi="Arial" w:cs="Arial"/>
          <w:shd w:val="clear" w:color="auto" w:fill="FFFFFF"/>
        </w:rPr>
        <w:t>8 European countries</w:t>
      </w:r>
      <w:r w:rsidRPr="00850A52">
        <w:rPr>
          <w:rFonts w:ascii="Arial" w:hAnsi="Arial" w:cs="Arial"/>
          <w:shd w:val="clear" w:color="auto" w:fill="FFFFFF"/>
        </w:rPr>
        <w:t>, namely</w:t>
      </w:r>
      <w:r w:rsidRPr="00850A52">
        <w:rPr>
          <w:rFonts w:ascii="Arial" w:hAnsi="Arial" w:cs="Arial"/>
          <w:shd w:val="clear" w:color="auto" w:fill="FFFFFF"/>
        </w:rPr>
        <w:t xml:space="preserve"> Austria, Croatia, Germany, Hungary, the Netherlands, Norway, Spain, and the United Kingdom</w:t>
      </w:r>
      <w:r w:rsidRPr="00850A52">
        <w:rPr>
          <w:rFonts w:ascii="Arial" w:hAnsi="Arial" w:cs="Arial"/>
          <w:shd w:val="clear" w:color="auto" w:fill="FFFFFF"/>
        </w:rPr>
        <w:t xml:space="preserve">. </w:t>
      </w:r>
      <w:r w:rsidR="00850A52">
        <w:rPr>
          <w:rFonts w:ascii="Arial" w:hAnsi="Arial" w:cs="Arial"/>
          <w:shd w:val="clear" w:color="auto" w:fill="FFFFFF"/>
        </w:rPr>
        <w:t xml:space="preserve">They report that there are different levels of maturing of the integrated systems and this affected implementation of digital health technologies. </w:t>
      </w:r>
      <w:r w:rsidR="00850A52" w:rsidRPr="00850A52">
        <w:rPr>
          <w:rFonts w:ascii="Calibri" w:hAnsi="Calibri" w:cs="Calibri"/>
          <w:shd w:val="clear" w:color="auto" w:fill="FFFFFF"/>
        </w:rPr>
        <w:t>﻿</w:t>
      </w:r>
      <w:r w:rsidR="00850A52">
        <w:rPr>
          <w:rFonts w:ascii="Arial" w:hAnsi="Arial" w:cs="Arial"/>
          <w:shd w:val="clear" w:color="auto" w:fill="FFFFFF"/>
        </w:rPr>
        <w:t>They showed a</w:t>
      </w:r>
      <w:r w:rsidR="00850A52" w:rsidRPr="00850A52">
        <w:rPr>
          <w:rFonts w:ascii="Arial" w:hAnsi="Arial" w:cs="Arial"/>
          <w:shd w:val="clear" w:color="auto" w:fill="FFFFFF"/>
        </w:rPr>
        <w:t xml:space="preserve"> strong </w:t>
      </w:r>
      <w:r w:rsidR="00850A52">
        <w:rPr>
          <w:rFonts w:ascii="Arial" w:hAnsi="Arial" w:cs="Arial"/>
          <w:shd w:val="clear" w:color="auto" w:fill="FFFFFF"/>
        </w:rPr>
        <w:t xml:space="preserve">correlation </w:t>
      </w:r>
      <w:r w:rsidR="00850A52" w:rsidRPr="00850A52">
        <w:rPr>
          <w:rFonts w:ascii="Arial" w:hAnsi="Arial" w:cs="Arial"/>
          <w:shd w:val="clear" w:color="auto" w:fill="FFFFFF"/>
        </w:rPr>
        <w:t>between maturity of digital health and proper evaluation strategies of integrated care.</w:t>
      </w:r>
      <w:r w:rsidR="00850A52">
        <w:rPr>
          <w:rFonts w:ascii="Arial" w:hAnsi="Arial" w:cs="Arial"/>
          <w:shd w:val="clear" w:color="auto" w:fill="FFFFFF"/>
        </w:rPr>
        <w:t xml:space="preserve"> This study suggests that integrated care services need to have </w:t>
      </w:r>
      <w:r w:rsidR="00850A52" w:rsidRPr="00850A52">
        <w:rPr>
          <w:rFonts w:ascii="Arial" w:hAnsi="Arial" w:cs="Arial"/>
          <w:shd w:val="clear" w:color="auto" w:fill="FFFFFF"/>
        </w:rPr>
        <w:t xml:space="preserve">comprehensive </w:t>
      </w:r>
      <w:r w:rsidR="00850A52">
        <w:rPr>
          <w:rFonts w:ascii="Arial" w:hAnsi="Arial" w:cs="Arial"/>
          <w:shd w:val="clear" w:color="auto" w:fill="FFFFFF"/>
        </w:rPr>
        <w:t xml:space="preserve">longitudinal </w:t>
      </w:r>
      <w:r w:rsidR="00850A52" w:rsidRPr="00850A52">
        <w:rPr>
          <w:rFonts w:ascii="Arial" w:hAnsi="Arial" w:cs="Arial"/>
          <w:shd w:val="clear" w:color="auto" w:fill="FFFFFF"/>
        </w:rPr>
        <w:t>assessment strategies to measure integrated care</w:t>
      </w:r>
      <w:r w:rsidR="00850A52">
        <w:rPr>
          <w:rFonts w:ascii="Arial" w:hAnsi="Arial" w:cs="Arial"/>
          <w:shd w:val="clear" w:color="auto" w:fill="FFFFFF"/>
        </w:rPr>
        <w:t xml:space="preserve"> principles for digital health innovations to be successful. </w:t>
      </w:r>
    </w:p>
    <w:p w14:paraId="6D08C084" w14:textId="77777777" w:rsidR="00850A52" w:rsidRDefault="00850A52" w:rsidP="00D34CC3">
      <w:pPr>
        <w:jc w:val="both"/>
        <w:rPr>
          <w:rFonts w:ascii="Arial" w:hAnsi="Arial" w:cs="Arial"/>
          <w:shd w:val="clear" w:color="auto" w:fill="FFFFFF"/>
        </w:rPr>
      </w:pPr>
    </w:p>
    <w:p w14:paraId="51DC2F46" w14:textId="453F2DC5" w:rsidR="00D34CC3" w:rsidRPr="000C50A2" w:rsidRDefault="00D34CC3" w:rsidP="00D34CC3">
      <w:pPr>
        <w:jc w:val="both"/>
        <w:rPr>
          <w:rFonts w:ascii="Arial" w:hAnsi="Arial" w:cs="Arial"/>
        </w:rPr>
      </w:pPr>
      <w:r w:rsidRPr="00C2428E">
        <w:rPr>
          <w:rFonts w:ascii="Arial" w:hAnsi="Arial" w:cs="Arial"/>
        </w:rPr>
        <w:fldChar w:fldCharType="begin" w:fldLock="1"/>
      </w:r>
      <w:r>
        <w:rPr>
          <w:rFonts w:ascii="Arial" w:hAnsi="Arial" w:cs="Arial"/>
        </w:rPr>
        <w:instrText>ADDIN CSL_CITATION {"citationItems":[{"id":"ITEM-1","itemData":{"DOI":"10.2196/14956","ISSN":"14388871","PMID":"31573914","abstract":"Background: Digital health tools comprise a wide range of technologies to support health processes. The potential of these technologies to effectively support health care transformation is widely accepted. However, wide scale implementation is uneven among countries and regions. Identification of common factors facilitating and hampering the implementation process may be useful for future policy recommendations. Objective: The aim of this study was to analyze the implementation of digital health tools to support health care and social care services, as well as to facilitate the longitudinal assessment of these services, in 17 selected integrated chronic care (ICC) programs from 8 European countries. Methods: A program analysis based on thick descriptions-including document examinations and semistructured interviews with relevant stakeholders-of ICC programs in Austria, Croatia, Germany, Hungary, the Netherlands, Norway, Spain, and the United Kingdom was performed. A total of 233 stakeholders (ie, professionals, providers, patients, carers, and policymakers) were interviewed from November 2014 to September 2016. The overarching analysis focused on the use of digital health tools and program assessment strategies. Results: Supporting digital health tools are implemented in all countries, but different levels of maturity were observed among the programs. Only few ICC programs have well-established strategies for a comprehensive longitudinal assessment. There is a strong relationship between maturity of digital health and proper evaluation strategies of integrated care. Conclusions: Notwithstanding the heterogeneity of the results across countries, most programs aim to evolve toward a digital transformation of integrated care, including implementation of comprehensive assessment strategies. It is widely accepted that the evolution of digital health tools alongside clear policies toward their adoption will facilitate regional uptake and scale-up of services with embedded digital health tools.","author":[{"dropping-particle":"","family":"Baltaxe","given":"Erik","non-dropping-particle":"","parse-names":false,"suffix":""},{"dropping-particle":"","family":"Czypionka","given":"Thomas","non-dropping-particle":"","parse-names":false,"suffix":""},{"dropping-particle":"","family":"Kraus","given":"Markus","non-dropping-particle":"","parse-names":false,"suffix":""},{"dropping-particle":"","family":"Reiss","given":"Miriam","non-dropping-particle":"","parse-names":false,"suffix":""},{"dropping-particle":"","family":"Askildsen","given":"Jan Erik","non-dropping-particle":"","parse-names":false,"suffix":""},{"dropping-particle":"","family":"Grenkovic","given":"Renata","non-dropping-particle":"","parse-names":false,"suffix":""},{"dropping-particle":"","family":"Lindén","given":"Tord Skogedal","non-dropping-particle":"","parse-names":false,"suffix":""},{"dropping-particle":"","family":"Pitter","given":"János György","non-dropping-particle":"","parse-names":false,"suffix":""},{"dropping-particle":"Van","family":"Molken","given":"Maureen Rutten","non-dropping-particle":"","parse-names":false,"suffix":""},{"dropping-particle":"","family":"Solans","given":"Oscar","non-dropping-particle":"","parse-names":false,"suffix":""},{"dropping-particle":"","family":"Stokes","given":"Jonathan","non-dropping-particle":"","parse-names":false,"suffix":""},{"dropping-particle":"","family":"Struckmann","given":"Verena","non-dropping-particle":"","parse-names":false,"suffix":""},{"dropping-particle":"","family":"Roca","given":"Josep","non-dropping-particle":"","parse-names":false,"suffix":""},{"dropping-particle":"","family":"Cano","given":"Isaac","non-dropping-particle":"","parse-names":false,"suffix":""}],"container-title":"Journal of Medical Internet Research","id":"ITEM-1","issue":"99","issued":{"date-parts":[["2019"]]},"page":"1-14","title":"Digital health transformation of integrated care in Europe: Overarching analysis of 17 integrated care programs","type":"article-journal","volume":"21"},"uris":["http://www.mendeley.com/documents/?uuid=f683e3a7-7210-4706-bb59-ddb9904d588f"]}],"mendeley":{"formattedCitation":"(Baltaxe &lt;i&gt;et al.&lt;/i&gt;, 2019)","manualFormatting":"Baltaxe et al., (2019)","plainTextFormattedCitation":"(Baltaxe et al., 2019)","previouslyFormattedCitation":"(Baltaxe &lt;i&gt;et al.&lt;/i&gt;, 2019)"},"properties":{"noteIndex":0},"schema":"https://github.com/citation-style-language/schema/raw/master/csl-citation.json"}</w:instrText>
      </w:r>
      <w:r w:rsidRPr="00C2428E">
        <w:rPr>
          <w:rFonts w:ascii="Arial" w:hAnsi="Arial" w:cs="Arial"/>
        </w:rPr>
        <w:fldChar w:fldCharType="separate"/>
      </w:r>
      <w:r w:rsidRPr="00C2428E">
        <w:rPr>
          <w:rFonts w:ascii="Arial" w:hAnsi="Arial" w:cs="Arial"/>
          <w:noProof/>
        </w:rPr>
        <w:t xml:space="preserve">Baltaxe </w:t>
      </w:r>
      <w:r w:rsidRPr="00C2428E">
        <w:rPr>
          <w:rFonts w:ascii="Arial" w:hAnsi="Arial" w:cs="Arial"/>
          <w:i/>
          <w:noProof/>
        </w:rPr>
        <w:t>et al.</w:t>
      </w:r>
      <w:r w:rsidRPr="00C2428E">
        <w:rPr>
          <w:rFonts w:ascii="Arial" w:hAnsi="Arial" w:cs="Arial"/>
          <w:noProof/>
        </w:rPr>
        <w:t xml:space="preserve">, </w:t>
      </w:r>
      <w:r>
        <w:rPr>
          <w:rFonts w:ascii="Arial" w:hAnsi="Arial" w:cs="Arial"/>
          <w:noProof/>
        </w:rPr>
        <w:t>(</w:t>
      </w:r>
      <w:r w:rsidRPr="00C2428E">
        <w:rPr>
          <w:rFonts w:ascii="Arial" w:hAnsi="Arial" w:cs="Arial"/>
          <w:noProof/>
        </w:rPr>
        <w:t>2019)</w:t>
      </w:r>
      <w:r w:rsidRPr="00C2428E">
        <w:rPr>
          <w:rFonts w:ascii="Arial" w:hAnsi="Arial" w:cs="Arial"/>
        </w:rPr>
        <w:fldChar w:fldCharType="end"/>
      </w:r>
      <w:r w:rsidRPr="00C2428E">
        <w:rPr>
          <w:rFonts w:ascii="Arial" w:hAnsi="Arial" w:cs="Arial"/>
        </w:rPr>
        <w:t xml:space="preserve"> identified the lack of well-defined macro-</w:t>
      </w:r>
      <w:r w:rsidRPr="000C50A2">
        <w:rPr>
          <w:rFonts w:ascii="Arial" w:hAnsi="Arial" w:cs="Arial"/>
        </w:rPr>
        <w:t xml:space="preserve">level policies, with effective operational implementation plans in the health care systems in which most </w:t>
      </w:r>
      <w:r>
        <w:rPr>
          <w:rFonts w:ascii="Arial" w:hAnsi="Arial" w:cs="Arial"/>
        </w:rPr>
        <w:t>integrated care</w:t>
      </w:r>
      <w:r w:rsidRPr="000C50A2">
        <w:rPr>
          <w:rFonts w:ascii="Arial" w:hAnsi="Arial" w:cs="Arial"/>
        </w:rPr>
        <w:t xml:space="preserve"> programs operate. Often, the use and scope of digital health tools depends on local or regional initiatives of individual providers involved in </w:t>
      </w:r>
      <w:r>
        <w:rPr>
          <w:rFonts w:ascii="Arial" w:hAnsi="Arial" w:cs="Arial"/>
        </w:rPr>
        <w:t>these</w:t>
      </w:r>
      <w:r w:rsidRPr="000C50A2">
        <w:rPr>
          <w:rFonts w:ascii="Arial" w:hAnsi="Arial" w:cs="Arial"/>
        </w:rPr>
        <w:t xml:space="preserve"> programs.</w:t>
      </w:r>
      <w:r w:rsidR="006C2C32">
        <w:rPr>
          <w:rFonts w:ascii="Arial" w:hAnsi="Arial" w:cs="Arial"/>
        </w:rPr>
        <w:t xml:space="preserve"> </w:t>
      </w:r>
      <w:proofErr w:type="gramStart"/>
      <w:r>
        <w:rPr>
          <w:rFonts w:ascii="Arial" w:hAnsi="Arial" w:cs="Arial"/>
        </w:rPr>
        <w:t>T</w:t>
      </w:r>
      <w:r w:rsidRPr="000C50A2">
        <w:rPr>
          <w:rFonts w:ascii="Arial" w:hAnsi="Arial" w:cs="Arial"/>
        </w:rPr>
        <w:t>he</w:t>
      </w:r>
      <w:proofErr w:type="gramEnd"/>
      <w:r w:rsidRPr="000C50A2">
        <w:rPr>
          <w:rFonts w:ascii="Arial" w:hAnsi="Arial" w:cs="Arial"/>
        </w:rPr>
        <w:t xml:space="preserve"> maturity of </w:t>
      </w:r>
      <w:r>
        <w:rPr>
          <w:rFonts w:ascii="Arial" w:hAnsi="Arial" w:cs="Arial"/>
        </w:rPr>
        <w:t xml:space="preserve">digital </w:t>
      </w:r>
      <w:r w:rsidRPr="000C50A2">
        <w:rPr>
          <w:rFonts w:ascii="Arial" w:hAnsi="Arial" w:cs="Arial"/>
        </w:rPr>
        <w:t xml:space="preserve">implementation </w:t>
      </w:r>
      <w:r>
        <w:rPr>
          <w:rFonts w:ascii="Arial" w:hAnsi="Arial" w:cs="Arial"/>
        </w:rPr>
        <w:t xml:space="preserve">for non-established program </w:t>
      </w:r>
      <w:r w:rsidRPr="000C50A2">
        <w:rPr>
          <w:rFonts w:ascii="Arial" w:hAnsi="Arial" w:cs="Arial"/>
        </w:rPr>
        <w:t xml:space="preserve">is currently rather poor. </w:t>
      </w:r>
    </w:p>
    <w:p w14:paraId="35027420" w14:textId="77777777" w:rsidR="00FD49EE" w:rsidRPr="000C50A2" w:rsidRDefault="00FD49EE" w:rsidP="00D34CC3">
      <w:pPr>
        <w:tabs>
          <w:tab w:val="left" w:pos="1902"/>
        </w:tabs>
        <w:jc w:val="both"/>
        <w:rPr>
          <w:rFonts w:ascii="Arial" w:hAnsi="Arial" w:cs="Arial"/>
        </w:rPr>
      </w:pPr>
    </w:p>
    <w:p w14:paraId="17B2B853" w14:textId="77777777" w:rsidR="00D34CC3" w:rsidRPr="00D34CC3" w:rsidRDefault="00D34CC3" w:rsidP="00D34CC3">
      <w:pPr>
        <w:rPr>
          <w:rFonts w:ascii="Arial" w:hAnsi="Arial" w:cs="Arial"/>
        </w:rPr>
      </w:pPr>
      <w:r w:rsidRPr="00D34CC3">
        <w:rPr>
          <w:rFonts w:ascii="Arial" w:hAnsi="Arial" w:cs="Arial"/>
        </w:rPr>
        <w:t xml:space="preserve">There remains a significant lack of evidence that can support the spread and scale-up of video consulting </w:t>
      </w:r>
      <w:r w:rsidRPr="00D34CC3">
        <w:rPr>
          <w:rFonts w:ascii="Arial" w:hAnsi="Arial" w:cs="Arial"/>
        </w:rPr>
        <w:fldChar w:fldCharType="begin" w:fldLock="1"/>
      </w:r>
      <w:r w:rsidRPr="00D34CC3">
        <w:rPr>
          <w:rFonts w:ascii="Arial" w:hAnsi="Arial" w:cs="Arial"/>
        </w:rPr>
        <w:instrText>ADDIN CSL_CITATION {"citationItems":[{"id":"ITEM-1","itemData":{"DOI":"10.2196/23775","ISBN":"1865617873","ISSN":"14388871","PMID":"33434141","abstract":"Background: COVID-19 has thrust video consulting into the limelight, as health care practitioners worldwide shift to delivering care remotely. Evidence suggests that video consulting is acceptable, safe, and effective in selected conditions and settings. However, research to date has mostly focused on initial adoption, with limited consideration of how video consulting can be mainstreamed and sustained. Objective: This study sought to do the following: (1) review and synthesize reported opportunities, challenges, and lessons learned in the scale-up, spread, and sustainability of video consultations, and (2) identify transferable insights that can inform policy and practice. Methods: We identified papers through systematic searches in PubMed, CINAHL, and Web of Science. Included articles reported on synchronous, video-based consultations that had spread to more than one setting beyond an initial pilot or feasibility stage, and were published since 2010. We used the Nonadoption, Abandonment, and challenges to the Scale-up, Spread, and Sustainability (NASSS) framework to synthesize findings relating to 7 domains: An understanding of the health condition(s) for which video consultations were being used, the material properties of the technological platform and relevant peripherals, the value proposition for patients and developers, the role of the adopter system, organizational factors, wider macro-level considerations, and emergence over time. Results: We identified 13 papers describing 10 different video consultation services in 6 regions, covering the following: (1) video-to-home services, connecting providers directly to the patient; (2) hub-and-spoke models, connecting a provider at a central hub to a patient at a rural center; and (3) large-scale top-down evaluations scaled up or spread across a national health administration. Services covered rehabilitation, geriatrics, cancer surgery, diabetes, and mental health, as well as general specialist care and primary care. Potential enablers of spread and scale-up included embedded leadership and the presence of a telehealth champion, appropriate reimbursement mechanisms, user-friendly technology, pre-existing staff relationships, and adaptation (of technology and services) over time. Challenges tended to be related to service development, such as the absence of a long-term strategic plan, resistance to change, cost and reimbursement issues, and the technical experience of staff. There was limited articulat…","author":[{"dropping-particle":"","family":"James","given":"Hannah M.","non-dropping-particle":"","parse-names":false,"suffix":""},{"dropping-particle":"","family":"Papoutsi","given":"Chrysanthi","non-dropping-particle":"","parse-names":false,"suffix":""},{"dropping-particle":"","family":"Wherton","given":"Joseph","non-dropping-particle":"","parse-names":false,"suffix":""},{"dropping-particle":"","family":"Greenhalgh","given":"Trisha","non-dropping-particle":"","parse-names":false,"suffix":""},{"dropping-particle":"","family":"Shaw","given":"Sara E.","non-dropping-particle":"","parse-names":false,"suffix":""}],"container-title":"Journal of Medical Internet Research","id":"ITEM-1","issue":"1","issued":{"date-parts":[["2021"]]},"title":"Spread, Scale-up, and Sustainability of Video Consulting in Health Care: Systematic Review and Synthesis Guided by the NASSS Framework","type":"article-journal","volume":"23"},"uris":["http://www.mendeley.com/documents/?uuid=6c669b01-25cf-4c10-8c6a-c4125bf56e04"]}],"mendeley":{"formattedCitation":"(James &lt;i&gt;et al.&lt;/i&gt;, 2021)","plainTextFormattedCitation":"(James et al., 2021)","previouslyFormattedCitation":"(James &lt;i&gt;et al.&lt;/i&gt;, 2021)"},"properties":{"noteIndex":0},"schema":"https://github.com/citation-style-language/schema/raw/master/csl-citation.json"}</w:instrText>
      </w:r>
      <w:r w:rsidRPr="00D34CC3">
        <w:rPr>
          <w:rFonts w:ascii="Arial" w:hAnsi="Arial" w:cs="Arial"/>
        </w:rPr>
        <w:fldChar w:fldCharType="separate"/>
      </w:r>
      <w:r w:rsidRPr="00D34CC3">
        <w:rPr>
          <w:rFonts w:ascii="Arial" w:hAnsi="Arial" w:cs="Arial"/>
          <w:noProof/>
        </w:rPr>
        <w:t xml:space="preserve">(James </w:t>
      </w:r>
      <w:r w:rsidRPr="00D34CC3">
        <w:rPr>
          <w:rFonts w:ascii="Arial" w:hAnsi="Arial" w:cs="Arial"/>
          <w:i/>
          <w:noProof/>
        </w:rPr>
        <w:t>et al.</w:t>
      </w:r>
      <w:r w:rsidRPr="00D34CC3">
        <w:rPr>
          <w:rFonts w:ascii="Arial" w:hAnsi="Arial" w:cs="Arial"/>
          <w:noProof/>
        </w:rPr>
        <w:t>, 2021)</w:t>
      </w:r>
      <w:r w:rsidRPr="00D34CC3">
        <w:rPr>
          <w:rFonts w:ascii="Arial" w:hAnsi="Arial" w:cs="Arial"/>
        </w:rPr>
        <w:fldChar w:fldCharType="end"/>
      </w:r>
      <w:r w:rsidRPr="00D34CC3">
        <w:rPr>
          <w:rFonts w:ascii="Arial" w:hAnsi="Arial" w:cs="Arial"/>
        </w:rPr>
        <w:t>. Given the recent pace of change due to COVID-19, a more definitive evidence base is urgently needed to support global efforts and match enthusiasm for extending use.</w:t>
      </w:r>
    </w:p>
    <w:p w14:paraId="609D57C2" w14:textId="09E5A54C" w:rsidR="00884D20" w:rsidRPr="000C50A2" w:rsidRDefault="00884D20" w:rsidP="00884D20">
      <w:pPr>
        <w:pBdr>
          <w:bottom w:val="single" w:sz="6" w:space="1" w:color="auto"/>
        </w:pBdr>
        <w:tabs>
          <w:tab w:val="left" w:pos="924"/>
        </w:tabs>
        <w:rPr>
          <w:rFonts w:ascii="Arial" w:hAnsi="Arial" w:cs="Arial"/>
        </w:rPr>
      </w:pPr>
    </w:p>
    <w:p w14:paraId="0F3C9110" w14:textId="1EFEA9F7" w:rsidR="00884D20" w:rsidRDefault="00884D20" w:rsidP="00884D20">
      <w:pPr>
        <w:pBdr>
          <w:bottom w:val="single" w:sz="6" w:space="1" w:color="auto"/>
        </w:pBdr>
        <w:tabs>
          <w:tab w:val="left" w:pos="924"/>
        </w:tabs>
        <w:rPr>
          <w:rFonts w:ascii="Arial" w:hAnsi="Arial" w:cs="Arial"/>
        </w:rPr>
      </w:pPr>
    </w:p>
    <w:p w14:paraId="2ACB2B91" w14:textId="360D319A" w:rsidR="00674FBD" w:rsidRDefault="00674FBD" w:rsidP="00884D20">
      <w:pPr>
        <w:pBdr>
          <w:bottom w:val="single" w:sz="6" w:space="1" w:color="auto"/>
        </w:pBdr>
        <w:tabs>
          <w:tab w:val="left" w:pos="924"/>
        </w:tabs>
        <w:rPr>
          <w:rFonts w:ascii="Arial" w:hAnsi="Arial" w:cs="Arial"/>
        </w:rPr>
      </w:pPr>
    </w:p>
    <w:p w14:paraId="3334AD00" w14:textId="06DD9A7E" w:rsidR="00674FBD" w:rsidRDefault="00674FBD" w:rsidP="00884D20">
      <w:pPr>
        <w:pBdr>
          <w:bottom w:val="single" w:sz="6" w:space="1" w:color="auto"/>
        </w:pBdr>
        <w:tabs>
          <w:tab w:val="left" w:pos="924"/>
        </w:tabs>
        <w:rPr>
          <w:rFonts w:ascii="Arial" w:hAnsi="Arial" w:cs="Arial"/>
        </w:rPr>
      </w:pPr>
    </w:p>
    <w:p w14:paraId="7E7C7DCE" w14:textId="08F34438" w:rsidR="00674FBD" w:rsidRDefault="00674FBD" w:rsidP="00884D20">
      <w:pPr>
        <w:pBdr>
          <w:bottom w:val="single" w:sz="6" w:space="1" w:color="auto"/>
        </w:pBdr>
        <w:tabs>
          <w:tab w:val="left" w:pos="924"/>
        </w:tabs>
        <w:rPr>
          <w:rFonts w:ascii="Arial" w:hAnsi="Arial" w:cs="Arial"/>
        </w:rPr>
      </w:pPr>
    </w:p>
    <w:p w14:paraId="7276664D" w14:textId="1BDBA444" w:rsidR="00674FBD" w:rsidRPr="000C50A2" w:rsidRDefault="00674FBD" w:rsidP="00674FBD">
      <w:pPr>
        <w:rPr>
          <w:rFonts w:ascii="Arial" w:hAnsi="Arial" w:cs="Arial"/>
        </w:rPr>
      </w:pPr>
      <w:r w:rsidRPr="000C50A2">
        <w:rPr>
          <w:rFonts w:ascii="Arial" w:hAnsi="Arial" w:cs="Arial"/>
        </w:rPr>
        <w:t>.</w:t>
      </w:r>
    </w:p>
    <w:p w14:paraId="778CDFE6" w14:textId="77777777" w:rsidR="00674FBD" w:rsidRDefault="00674FBD" w:rsidP="00884D20">
      <w:pPr>
        <w:pBdr>
          <w:bottom w:val="single" w:sz="6" w:space="1" w:color="auto"/>
        </w:pBdr>
        <w:tabs>
          <w:tab w:val="left" w:pos="924"/>
        </w:tabs>
        <w:rPr>
          <w:rFonts w:ascii="Arial" w:hAnsi="Arial" w:cs="Arial"/>
        </w:rPr>
      </w:pPr>
    </w:p>
    <w:p w14:paraId="460E9F13" w14:textId="403E4D85" w:rsidR="00674FBD" w:rsidRDefault="00674FBD" w:rsidP="00884D20">
      <w:pPr>
        <w:pBdr>
          <w:bottom w:val="single" w:sz="6" w:space="1" w:color="auto"/>
        </w:pBdr>
        <w:tabs>
          <w:tab w:val="left" w:pos="924"/>
        </w:tabs>
        <w:rPr>
          <w:rFonts w:ascii="Arial" w:hAnsi="Arial" w:cs="Arial"/>
        </w:rPr>
      </w:pPr>
    </w:p>
    <w:p w14:paraId="306C1F9D" w14:textId="39896DA7" w:rsidR="00674FBD" w:rsidRDefault="00674FBD" w:rsidP="00884D20">
      <w:pPr>
        <w:pBdr>
          <w:bottom w:val="single" w:sz="6" w:space="1" w:color="auto"/>
        </w:pBdr>
        <w:tabs>
          <w:tab w:val="left" w:pos="924"/>
        </w:tabs>
        <w:rPr>
          <w:rFonts w:ascii="Arial" w:hAnsi="Arial" w:cs="Arial"/>
        </w:rPr>
      </w:pPr>
    </w:p>
    <w:p w14:paraId="684084AC" w14:textId="0E2EA5A3" w:rsidR="00674FBD" w:rsidRDefault="00674FBD" w:rsidP="00884D20">
      <w:pPr>
        <w:pBdr>
          <w:bottom w:val="single" w:sz="6" w:space="1" w:color="auto"/>
        </w:pBdr>
        <w:tabs>
          <w:tab w:val="left" w:pos="924"/>
        </w:tabs>
        <w:rPr>
          <w:rFonts w:ascii="Arial" w:hAnsi="Arial" w:cs="Arial"/>
        </w:rPr>
      </w:pPr>
    </w:p>
    <w:p w14:paraId="2E9507F4" w14:textId="265ED5C9" w:rsidR="00674FBD" w:rsidRDefault="00674FBD" w:rsidP="00884D20">
      <w:pPr>
        <w:pBdr>
          <w:bottom w:val="single" w:sz="6" w:space="1" w:color="auto"/>
        </w:pBdr>
        <w:tabs>
          <w:tab w:val="left" w:pos="924"/>
        </w:tabs>
        <w:rPr>
          <w:rFonts w:ascii="Arial" w:hAnsi="Arial" w:cs="Arial"/>
        </w:rPr>
      </w:pPr>
    </w:p>
    <w:p w14:paraId="1F3C5810" w14:textId="690B21B2" w:rsidR="00674FBD" w:rsidRDefault="00674FBD" w:rsidP="00884D20">
      <w:pPr>
        <w:pBdr>
          <w:bottom w:val="single" w:sz="6" w:space="1" w:color="auto"/>
        </w:pBdr>
        <w:tabs>
          <w:tab w:val="left" w:pos="924"/>
        </w:tabs>
        <w:rPr>
          <w:rFonts w:ascii="Arial" w:hAnsi="Arial" w:cs="Arial"/>
        </w:rPr>
      </w:pPr>
    </w:p>
    <w:p w14:paraId="6B18993B" w14:textId="2F4D1DAD" w:rsidR="00674FBD" w:rsidRDefault="006C2C32" w:rsidP="00884D20">
      <w:pPr>
        <w:pBdr>
          <w:bottom w:val="single" w:sz="6" w:space="1" w:color="auto"/>
        </w:pBdr>
        <w:tabs>
          <w:tab w:val="left" w:pos="924"/>
        </w:tabs>
        <w:rPr>
          <w:rFonts w:ascii="Arial" w:hAnsi="Arial" w:cs="Arial"/>
        </w:rPr>
      </w:pPr>
      <w:r>
        <w:rPr>
          <w:rFonts w:ascii="Arial" w:hAnsi="Arial" w:cs="Arial"/>
        </w:rPr>
        <w:lastRenderedPageBreak/>
        <w:t>Bibliography</w:t>
      </w:r>
    </w:p>
    <w:p w14:paraId="311036E9" w14:textId="77777777" w:rsidR="00DF1331" w:rsidRPr="000C50A2" w:rsidRDefault="00DF1331">
      <w:pPr>
        <w:rPr>
          <w:rFonts w:ascii="Arial" w:hAnsi="Arial" w:cs="Arial"/>
          <w:b/>
          <w:bCs/>
          <w:u w:val="single"/>
        </w:rPr>
      </w:pPr>
    </w:p>
    <w:p w14:paraId="05BBFA24" w14:textId="77777777" w:rsidR="00DF1331" w:rsidRPr="000C50A2" w:rsidRDefault="00DF1331">
      <w:pPr>
        <w:rPr>
          <w:rFonts w:ascii="Arial" w:hAnsi="Arial" w:cs="Arial"/>
          <w:b/>
          <w:bCs/>
          <w:u w:val="single"/>
        </w:rPr>
      </w:pPr>
    </w:p>
    <w:p w14:paraId="6C18AD04" w14:textId="7D6FE451" w:rsidR="006C2C32" w:rsidRPr="006C2C32" w:rsidRDefault="006C2C32" w:rsidP="006C2C32">
      <w:pPr>
        <w:widowControl w:val="0"/>
        <w:autoSpaceDE w:val="0"/>
        <w:autoSpaceDN w:val="0"/>
        <w:adjustRightInd w:val="0"/>
        <w:rPr>
          <w:rFonts w:ascii="Arial" w:hAnsi="Arial" w:cs="Arial"/>
          <w:noProof/>
        </w:rPr>
      </w:pPr>
      <w:r>
        <w:rPr>
          <w:rFonts w:ascii="Arial" w:hAnsi="Arial" w:cs="Arial"/>
          <w:color w:val="7030A0"/>
        </w:rPr>
        <w:fldChar w:fldCharType="begin" w:fldLock="1"/>
      </w:r>
      <w:r>
        <w:rPr>
          <w:rFonts w:ascii="Arial" w:hAnsi="Arial" w:cs="Arial"/>
          <w:color w:val="7030A0"/>
        </w:rPr>
        <w:instrText xml:space="preserve">ADDIN Mendeley Bibliography CSL_BIBLIOGRAPHY </w:instrText>
      </w:r>
      <w:r>
        <w:rPr>
          <w:rFonts w:ascii="Arial" w:hAnsi="Arial" w:cs="Arial"/>
          <w:color w:val="7030A0"/>
        </w:rPr>
        <w:fldChar w:fldCharType="separate"/>
      </w:r>
      <w:r w:rsidRPr="006C2C32">
        <w:rPr>
          <w:rFonts w:ascii="Arial" w:hAnsi="Arial" w:cs="Arial"/>
          <w:noProof/>
        </w:rPr>
        <w:t xml:space="preserve">Age Cymru (2021) </w:t>
      </w:r>
      <w:r w:rsidRPr="006C2C32">
        <w:rPr>
          <w:rFonts w:ascii="Arial" w:hAnsi="Arial" w:cs="Arial"/>
          <w:i/>
          <w:iCs/>
          <w:noProof/>
        </w:rPr>
        <w:t>Senedd Elections 2021</w:t>
      </w:r>
      <w:r w:rsidRPr="006C2C32">
        <w:rPr>
          <w:rFonts w:ascii="Arial" w:hAnsi="Arial" w:cs="Arial"/>
          <w:noProof/>
        </w:rPr>
        <w:t>.</w:t>
      </w:r>
    </w:p>
    <w:p w14:paraId="09B250A4"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Age UK (2019) ‘Later life in the United Kingdom 2019 - Factsheet’, (May), p. 27. Available at: https://www.ageuk.org.uk/globalassets/age-uk/documents/reports-and-publications/later_life_uk_factsheet.pdf.</w:t>
      </w:r>
    </w:p>
    <w:p w14:paraId="18CC637F"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Antonacci, G. </w:t>
      </w:r>
      <w:r w:rsidRPr="006C2C32">
        <w:rPr>
          <w:rFonts w:ascii="Arial" w:hAnsi="Arial" w:cs="Arial"/>
          <w:i/>
          <w:iCs/>
          <w:noProof/>
        </w:rPr>
        <w:t>et al.</w:t>
      </w:r>
      <w:r w:rsidRPr="006C2C32">
        <w:rPr>
          <w:rFonts w:ascii="Arial" w:hAnsi="Arial" w:cs="Arial"/>
          <w:noProof/>
        </w:rPr>
        <w:t xml:space="preserve"> (2018) ‘The use of process mapping in healthcare quality improvement projects’, </w:t>
      </w:r>
      <w:r w:rsidRPr="006C2C32">
        <w:rPr>
          <w:rFonts w:ascii="Arial" w:hAnsi="Arial" w:cs="Arial"/>
          <w:i/>
          <w:iCs/>
          <w:noProof/>
        </w:rPr>
        <w:t>Health services management research</w:t>
      </w:r>
      <w:r w:rsidRPr="006C2C32">
        <w:rPr>
          <w:rFonts w:ascii="Arial" w:hAnsi="Arial" w:cs="Arial"/>
          <w:noProof/>
        </w:rPr>
        <w:t>. SAGE Publications Sage UK: London, England, 31(2), pp. 74–84.</w:t>
      </w:r>
    </w:p>
    <w:p w14:paraId="7411B049"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Attend Anywhere (2021) </w:t>
      </w:r>
      <w:r w:rsidRPr="006C2C32">
        <w:rPr>
          <w:rFonts w:ascii="Arial" w:hAnsi="Arial" w:cs="Arial"/>
          <w:i/>
          <w:iCs/>
          <w:noProof/>
        </w:rPr>
        <w:t>Make Travel Optional</w:t>
      </w:r>
      <w:r w:rsidRPr="006C2C32">
        <w:rPr>
          <w:rFonts w:ascii="Arial" w:hAnsi="Arial" w:cs="Arial"/>
          <w:noProof/>
        </w:rPr>
        <w:t>. Available at: https://www.attendanywhere.com/ (Accessed: 4 December 2021).</w:t>
      </w:r>
    </w:p>
    <w:p w14:paraId="65A4E6B7"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Bacon, E. (AMD G. T. (2021) </w:t>
      </w:r>
      <w:r w:rsidRPr="006C2C32">
        <w:rPr>
          <w:rFonts w:ascii="Arial" w:hAnsi="Arial" w:cs="Arial"/>
          <w:i/>
          <w:iCs/>
          <w:noProof/>
        </w:rPr>
        <w:t>Telemedicine Defined</w:t>
      </w:r>
      <w:r w:rsidRPr="006C2C32">
        <w:rPr>
          <w:rFonts w:ascii="Arial" w:hAnsi="Arial" w:cs="Arial"/>
          <w:noProof/>
        </w:rPr>
        <w:t>. Available at: https://amdtelemedicine.com/telemedicine-defined/ (Accessed: 1 December 2021).</w:t>
      </w:r>
    </w:p>
    <w:p w14:paraId="0233E09D"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Baijens, L. W. J. </w:t>
      </w:r>
      <w:r w:rsidRPr="006C2C32">
        <w:rPr>
          <w:rFonts w:ascii="Arial" w:hAnsi="Arial" w:cs="Arial"/>
          <w:i/>
          <w:iCs/>
          <w:noProof/>
        </w:rPr>
        <w:t>et al.</w:t>
      </w:r>
      <w:r w:rsidRPr="006C2C32">
        <w:rPr>
          <w:rFonts w:ascii="Arial" w:hAnsi="Arial" w:cs="Arial"/>
          <w:noProof/>
        </w:rPr>
        <w:t xml:space="preserve"> (2016) ‘European society for swallowing disorders - European union geriatric medicine society white paper: Oropharyngeal dysphagia as a geriatric syndrome’, </w:t>
      </w:r>
      <w:r w:rsidRPr="006C2C32">
        <w:rPr>
          <w:rFonts w:ascii="Arial" w:hAnsi="Arial" w:cs="Arial"/>
          <w:i/>
          <w:iCs/>
          <w:noProof/>
        </w:rPr>
        <w:t>Clinical Interventions in Aging</w:t>
      </w:r>
      <w:r w:rsidRPr="006C2C32">
        <w:rPr>
          <w:rFonts w:ascii="Arial" w:hAnsi="Arial" w:cs="Arial"/>
          <w:noProof/>
        </w:rPr>
        <w:t>, 11, pp. 1403–1428. doi: 10.2147/CIA.S107750.</w:t>
      </w:r>
    </w:p>
    <w:p w14:paraId="1B3C8A41"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Baltaxe, E. </w:t>
      </w:r>
      <w:r w:rsidRPr="006C2C32">
        <w:rPr>
          <w:rFonts w:ascii="Arial" w:hAnsi="Arial" w:cs="Arial"/>
          <w:i/>
          <w:iCs/>
          <w:noProof/>
        </w:rPr>
        <w:t>et al.</w:t>
      </w:r>
      <w:r w:rsidRPr="006C2C32">
        <w:rPr>
          <w:rFonts w:ascii="Arial" w:hAnsi="Arial" w:cs="Arial"/>
          <w:noProof/>
        </w:rPr>
        <w:t xml:space="preserve"> (2019) ‘Digital health transformation of integrated care in Europe: Overarching analysis of 17 integrated care programs’, </w:t>
      </w:r>
      <w:r w:rsidRPr="006C2C32">
        <w:rPr>
          <w:rFonts w:ascii="Arial" w:hAnsi="Arial" w:cs="Arial"/>
          <w:i/>
          <w:iCs/>
          <w:noProof/>
        </w:rPr>
        <w:t>Journal of Medical Internet Research</w:t>
      </w:r>
      <w:r w:rsidRPr="006C2C32">
        <w:rPr>
          <w:rFonts w:ascii="Arial" w:hAnsi="Arial" w:cs="Arial"/>
          <w:noProof/>
        </w:rPr>
        <w:t>, 21(99), pp. 1–14. doi: 10.2196/14956.</w:t>
      </w:r>
    </w:p>
    <w:p w14:paraId="7C90A153"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Barnett, K. </w:t>
      </w:r>
      <w:r w:rsidRPr="006C2C32">
        <w:rPr>
          <w:rFonts w:ascii="Arial" w:hAnsi="Arial" w:cs="Arial"/>
          <w:i/>
          <w:iCs/>
          <w:noProof/>
        </w:rPr>
        <w:t>et al.</w:t>
      </w:r>
      <w:r w:rsidRPr="006C2C32">
        <w:rPr>
          <w:rFonts w:ascii="Arial" w:hAnsi="Arial" w:cs="Arial"/>
          <w:noProof/>
        </w:rPr>
        <w:t xml:space="preserve"> (2012) ‘Epidemiology of multimorbidity and implications for health care, research, and medical education: A cross-sectional study’, </w:t>
      </w:r>
      <w:r w:rsidRPr="006C2C32">
        <w:rPr>
          <w:rFonts w:ascii="Arial" w:hAnsi="Arial" w:cs="Arial"/>
          <w:i/>
          <w:iCs/>
          <w:noProof/>
        </w:rPr>
        <w:t>The Lancet</w:t>
      </w:r>
      <w:r w:rsidRPr="006C2C32">
        <w:rPr>
          <w:rFonts w:ascii="Arial" w:hAnsi="Arial" w:cs="Arial"/>
          <w:noProof/>
        </w:rPr>
        <w:t>, pp. 37–43. doi: 10.1016/S0140-6736(12)60240-2.</w:t>
      </w:r>
    </w:p>
    <w:p w14:paraId="5389E975"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Borders, J. C. </w:t>
      </w:r>
      <w:r w:rsidRPr="006C2C32">
        <w:rPr>
          <w:rFonts w:ascii="Arial" w:hAnsi="Arial" w:cs="Arial"/>
          <w:i/>
          <w:iCs/>
          <w:noProof/>
        </w:rPr>
        <w:t>et al.</w:t>
      </w:r>
      <w:r w:rsidRPr="006C2C32">
        <w:rPr>
          <w:rFonts w:ascii="Arial" w:hAnsi="Arial" w:cs="Arial"/>
          <w:noProof/>
        </w:rPr>
        <w:t xml:space="preserve"> (2021) ‘Objective and subjective clinical swallowing outcomes via telehealth: Reliability in outpatient clinical practice’, </w:t>
      </w:r>
      <w:r w:rsidRPr="006C2C32">
        <w:rPr>
          <w:rFonts w:ascii="Arial" w:hAnsi="Arial" w:cs="Arial"/>
          <w:i/>
          <w:iCs/>
          <w:noProof/>
        </w:rPr>
        <w:t>American Journal of Speech-Language Pathology</w:t>
      </w:r>
      <w:r w:rsidRPr="006C2C32">
        <w:rPr>
          <w:rFonts w:ascii="Arial" w:hAnsi="Arial" w:cs="Arial"/>
          <w:noProof/>
        </w:rPr>
        <w:t>, 30(2), pp. 598–608. doi: 10.1044/2020_AJSLP-20-00234.</w:t>
      </w:r>
    </w:p>
    <w:p w14:paraId="6CCE1487"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Chen, S. </w:t>
      </w:r>
      <w:r w:rsidRPr="006C2C32">
        <w:rPr>
          <w:rFonts w:ascii="Arial" w:hAnsi="Arial" w:cs="Arial"/>
          <w:i/>
          <w:iCs/>
          <w:noProof/>
        </w:rPr>
        <w:t>et al.</w:t>
      </w:r>
      <w:r w:rsidRPr="006C2C32">
        <w:rPr>
          <w:rFonts w:ascii="Arial" w:hAnsi="Arial" w:cs="Arial"/>
          <w:noProof/>
        </w:rPr>
        <w:t xml:space="preserve"> (2020) ‘Prevalence and risk factors of dysphagia among nursing home residents in eastern China: a cross-sectional study’, </w:t>
      </w:r>
      <w:r w:rsidRPr="006C2C32">
        <w:rPr>
          <w:rFonts w:ascii="Arial" w:hAnsi="Arial" w:cs="Arial"/>
          <w:i/>
          <w:iCs/>
          <w:noProof/>
        </w:rPr>
        <w:t>BMC Geriatrics</w:t>
      </w:r>
      <w:r w:rsidRPr="006C2C32">
        <w:rPr>
          <w:rFonts w:ascii="Arial" w:hAnsi="Arial" w:cs="Arial"/>
          <w:noProof/>
        </w:rPr>
        <w:t>. BMC Geriatrics, 20(1), pp. 1–11. doi: 10.1186/s12877-020-01752-z.</w:t>
      </w:r>
    </w:p>
    <w:p w14:paraId="38F675E1"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Chen, S., Kent, B. and Cui, Y. (2021) ‘Interventions to prevent aspiration in older adults with dysphagia living in nursing homes: a scoping review’, </w:t>
      </w:r>
      <w:r w:rsidRPr="006C2C32">
        <w:rPr>
          <w:rFonts w:ascii="Arial" w:hAnsi="Arial" w:cs="Arial"/>
          <w:i/>
          <w:iCs/>
          <w:noProof/>
        </w:rPr>
        <w:t>BMC Geriatrics</w:t>
      </w:r>
      <w:r w:rsidRPr="006C2C32">
        <w:rPr>
          <w:rFonts w:ascii="Arial" w:hAnsi="Arial" w:cs="Arial"/>
          <w:noProof/>
        </w:rPr>
        <w:t>. BMC Geriatrics, 21(1), pp. 1–14. doi: 10.1186/s12877-021-02366-9.</w:t>
      </w:r>
    </w:p>
    <w:p w14:paraId="621515DF"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Christoff, P. (2018) ‘Running PDSA cycles’, </w:t>
      </w:r>
      <w:r w:rsidRPr="006C2C32">
        <w:rPr>
          <w:rFonts w:ascii="Arial" w:hAnsi="Arial" w:cs="Arial"/>
          <w:i/>
          <w:iCs/>
          <w:noProof/>
        </w:rPr>
        <w:t>Current Problems in Pediatric and Adolescent Health Care</w:t>
      </w:r>
      <w:r w:rsidRPr="006C2C32">
        <w:rPr>
          <w:rFonts w:ascii="Arial" w:hAnsi="Arial" w:cs="Arial"/>
          <w:noProof/>
        </w:rPr>
        <w:t>. Elsevier Inc., 48(8), pp. 198–201. doi: 10.1016/j.cppeds.2018.08.006.</w:t>
      </w:r>
    </w:p>
    <w:p w14:paraId="5DF503BF"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Cichero, J. and Altman, K. W. (2011) ‘Definition, Prevalence and Burden of Oropharyngeal Dysphagia: A Serious Problem among Older Adults Worldwide and the Impact on Prognosis and Hospital Resources’, in Cichero, J. and Clavé, P. (eds) </w:t>
      </w:r>
      <w:r w:rsidRPr="006C2C32">
        <w:rPr>
          <w:rFonts w:ascii="Arial" w:hAnsi="Arial" w:cs="Arial"/>
          <w:i/>
          <w:iCs/>
          <w:noProof/>
        </w:rPr>
        <w:t>72nd Nestlé Nutrition Institute Workshop</w:t>
      </w:r>
      <w:r w:rsidRPr="006C2C32">
        <w:rPr>
          <w:rFonts w:ascii="Arial" w:hAnsi="Arial" w:cs="Arial"/>
          <w:noProof/>
        </w:rPr>
        <w:t>. Barcelona, p. 12. Available at: https://www.karger.com/Article/Abstract/339974.</w:t>
      </w:r>
    </w:p>
    <w:p w14:paraId="1B9D9A45"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Davies, S. (2002) ‘An interdisciplinary approach to the management of dysphagia’, </w:t>
      </w:r>
      <w:r w:rsidRPr="006C2C32">
        <w:rPr>
          <w:rFonts w:ascii="Arial" w:hAnsi="Arial" w:cs="Arial"/>
          <w:i/>
          <w:iCs/>
          <w:noProof/>
        </w:rPr>
        <w:t>Professional nurse (London, England)</w:t>
      </w:r>
      <w:r w:rsidRPr="006C2C32">
        <w:rPr>
          <w:rFonts w:ascii="Arial" w:hAnsi="Arial" w:cs="Arial"/>
          <w:noProof/>
        </w:rPr>
        <w:t xml:space="preserve">. Queen Elizabeth Hospital, Gateshead., 18(1), </w:t>
      </w:r>
      <w:r w:rsidRPr="006C2C32">
        <w:rPr>
          <w:rFonts w:ascii="Arial" w:hAnsi="Arial" w:cs="Arial"/>
          <w:noProof/>
        </w:rPr>
        <w:lastRenderedPageBreak/>
        <w:t>pp. 22–25. Available at: http://europepmc.org/abstract/MED/12238717.</w:t>
      </w:r>
    </w:p>
    <w:p w14:paraId="0834016B"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Goodwin, N. (2010) ‘The State of Telehealth and Telecare in the UK: Prospects for Integrated Care’, </w:t>
      </w:r>
      <w:r w:rsidRPr="006C2C32">
        <w:rPr>
          <w:rFonts w:ascii="Arial" w:hAnsi="Arial" w:cs="Arial"/>
          <w:i/>
          <w:iCs/>
          <w:noProof/>
        </w:rPr>
        <w:t>Journal of Integrated Care</w:t>
      </w:r>
      <w:r w:rsidRPr="006C2C32">
        <w:rPr>
          <w:rFonts w:ascii="Arial" w:hAnsi="Arial" w:cs="Arial"/>
          <w:noProof/>
        </w:rPr>
        <w:t>. Emerald Group Publishing Limited, 18(6), pp. 3–10. doi: 10.5042/jic.2010.0646.</w:t>
      </w:r>
    </w:p>
    <w:p w14:paraId="4E2709C3"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Greenhalgh, T. </w:t>
      </w:r>
      <w:r w:rsidRPr="006C2C32">
        <w:rPr>
          <w:rFonts w:ascii="Arial" w:hAnsi="Arial" w:cs="Arial"/>
          <w:i/>
          <w:iCs/>
          <w:noProof/>
        </w:rPr>
        <w:t>et al.</w:t>
      </w:r>
      <w:r w:rsidRPr="006C2C32">
        <w:rPr>
          <w:rFonts w:ascii="Arial" w:hAnsi="Arial" w:cs="Arial"/>
          <w:noProof/>
        </w:rPr>
        <w:t xml:space="preserve"> (2017) ‘Beyond adoption: A new framework for theorizing and evaluating nonadoption, abandonment, and challenges to the scale-up, spread, and sustainability of health and care technologies’, </w:t>
      </w:r>
      <w:r w:rsidRPr="006C2C32">
        <w:rPr>
          <w:rFonts w:ascii="Arial" w:hAnsi="Arial" w:cs="Arial"/>
          <w:i/>
          <w:iCs/>
          <w:noProof/>
        </w:rPr>
        <w:t>Journal of Medical Internet Research</w:t>
      </w:r>
      <w:r w:rsidRPr="006C2C32">
        <w:rPr>
          <w:rFonts w:ascii="Arial" w:hAnsi="Arial" w:cs="Arial"/>
          <w:noProof/>
        </w:rPr>
        <w:t>, 19(11). doi: 10.2196/jmir.8775.</w:t>
      </w:r>
    </w:p>
    <w:p w14:paraId="4AAE57E7"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Griffiths, C. and Brock, A. (2003) ‘Twentieth century mortality trends in England and Wales.’, </w:t>
      </w:r>
      <w:r w:rsidRPr="006C2C32">
        <w:rPr>
          <w:rFonts w:ascii="Arial" w:hAnsi="Arial" w:cs="Arial"/>
          <w:i/>
          <w:iCs/>
          <w:noProof/>
        </w:rPr>
        <w:t>Health Statistics Quarterly</w:t>
      </w:r>
      <w:r w:rsidRPr="006C2C32">
        <w:rPr>
          <w:rFonts w:ascii="Arial" w:hAnsi="Arial" w:cs="Arial"/>
          <w:noProof/>
        </w:rPr>
        <w:t>, 18, pp. 5–16. Available at: http://eglobalmed.com/opt/FreeBooks/www.statistics.gov.uk/downloads/theme_health/HSQ18_revised_21Aug03.pdf#page=6.</w:t>
      </w:r>
    </w:p>
    <w:p w14:paraId="1D6F1F7F"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Harst, L., Lantzsch, H. and Scheibe, M. (2019) ‘Theories predicting end-user acceptance of telemedicine use: Systematic review’, </w:t>
      </w:r>
      <w:r w:rsidRPr="006C2C32">
        <w:rPr>
          <w:rFonts w:ascii="Arial" w:hAnsi="Arial" w:cs="Arial"/>
          <w:i/>
          <w:iCs/>
          <w:noProof/>
        </w:rPr>
        <w:t>Journal of Medical Internet Research</w:t>
      </w:r>
      <w:r w:rsidRPr="006C2C32">
        <w:rPr>
          <w:rFonts w:ascii="Arial" w:hAnsi="Arial" w:cs="Arial"/>
          <w:noProof/>
        </w:rPr>
        <w:t>, 21(5). doi: 10.2196/13117.</w:t>
      </w:r>
    </w:p>
    <w:p w14:paraId="4B18182A"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Hungerbuehler, I. </w:t>
      </w:r>
      <w:r w:rsidRPr="006C2C32">
        <w:rPr>
          <w:rFonts w:ascii="Arial" w:hAnsi="Arial" w:cs="Arial"/>
          <w:i/>
          <w:iCs/>
          <w:noProof/>
        </w:rPr>
        <w:t>et al.</w:t>
      </w:r>
      <w:r w:rsidRPr="006C2C32">
        <w:rPr>
          <w:rFonts w:ascii="Arial" w:hAnsi="Arial" w:cs="Arial"/>
          <w:noProof/>
        </w:rPr>
        <w:t xml:space="preserve"> (2015) ‘A randomized clinical trial of home-based telepsychiatric outpatient care via videoconferencing: design, methodology, and implementation’, </w:t>
      </w:r>
      <w:r w:rsidRPr="006C2C32">
        <w:rPr>
          <w:rFonts w:ascii="Arial" w:hAnsi="Arial" w:cs="Arial"/>
          <w:i/>
          <w:iCs/>
          <w:noProof/>
        </w:rPr>
        <w:t>Rev. psiquiatr. clín. (São Paulo)</w:t>
      </w:r>
      <w:r w:rsidRPr="006C2C32">
        <w:rPr>
          <w:rFonts w:ascii="Arial" w:hAnsi="Arial" w:cs="Arial"/>
          <w:noProof/>
        </w:rPr>
        <w:t>. Hungerbuehler, Ines; University of São Paulo Medical School. Department and Institute of Psychiatry. Laboratory of Neuroscience. São Paulo. BR, 42(3), pp. 76–78. doi: 10.1590/0101-60830000000052.</w:t>
      </w:r>
    </w:p>
    <w:p w14:paraId="7663D29B"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Inouye, S. K. </w:t>
      </w:r>
      <w:r w:rsidRPr="006C2C32">
        <w:rPr>
          <w:rFonts w:ascii="Arial" w:hAnsi="Arial" w:cs="Arial"/>
          <w:i/>
          <w:iCs/>
          <w:noProof/>
        </w:rPr>
        <w:t>et al.</w:t>
      </w:r>
      <w:r w:rsidRPr="006C2C32">
        <w:rPr>
          <w:rFonts w:ascii="Arial" w:hAnsi="Arial" w:cs="Arial"/>
          <w:noProof/>
        </w:rPr>
        <w:t xml:space="preserve"> (2007) ‘Geriatric syndromes: Clinical, research, and policy implications of a core geriatric concept’, </w:t>
      </w:r>
      <w:r w:rsidRPr="006C2C32">
        <w:rPr>
          <w:rFonts w:ascii="Arial" w:hAnsi="Arial" w:cs="Arial"/>
          <w:i/>
          <w:iCs/>
          <w:noProof/>
        </w:rPr>
        <w:t>Journal of the American Geriatrics Society</w:t>
      </w:r>
      <w:r w:rsidRPr="006C2C32">
        <w:rPr>
          <w:rFonts w:ascii="Arial" w:hAnsi="Arial" w:cs="Arial"/>
          <w:noProof/>
        </w:rPr>
        <w:t>, 55(5), pp. 780–791. doi: 10.1111/j.1532-5415.2007.01156.x.</w:t>
      </w:r>
    </w:p>
    <w:p w14:paraId="6E936BDB"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James, H. M. </w:t>
      </w:r>
      <w:r w:rsidRPr="006C2C32">
        <w:rPr>
          <w:rFonts w:ascii="Arial" w:hAnsi="Arial" w:cs="Arial"/>
          <w:i/>
          <w:iCs/>
          <w:noProof/>
        </w:rPr>
        <w:t>et al.</w:t>
      </w:r>
      <w:r w:rsidRPr="006C2C32">
        <w:rPr>
          <w:rFonts w:ascii="Arial" w:hAnsi="Arial" w:cs="Arial"/>
          <w:noProof/>
        </w:rPr>
        <w:t xml:space="preserve"> (2021) ‘Spread, Scale-up, and Sustainability of Video Consulting in Health Care: Systematic Review and Synthesis Guided by the NASSS Framework’, </w:t>
      </w:r>
      <w:r w:rsidRPr="006C2C32">
        <w:rPr>
          <w:rFonts w:ascii="Arial" w:hAnsi="Arial" w:cs="Arial"/>
          <w:i/>
          <w:iCs/>
          <w:noProof/>
        </w:rPr>
        <w:t>Journal of Medical Internet Research</w:t>
      </w:r>
      <w:r w:rsidRPr="006C2C32">
        <w:rPr>
          <w:rFonts w:ascii="Arial" w:hAnsi="Arial" w:cs="Arial"/>
          <w:noProof/>
        </w:rPr>
        <w:t>, 23(1). doi: 10.2196/23775.</w:t>
      </w:r>
    </w:p>
    <w:p w14:paraId="289DB1F6"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Kelly, J. T. </w:t>
      </w:r>
      <w:r w:rsidRPr="006C2C32">
        <w:rPr>
          <w:rFonts w:ascii="Arial" w:hAnsi="Arial" w:cs="Arial"/>
          <w:i/>
          <w:iCs/>
          <w:noProof/>
        </w:rPr>
        <w:t>et al.</w:t>
      </w:r>
      <w:r w:rsidRPr="006C2C32">
        <w:rPr>
          <w:rFonts w:ascii="Arial" w:hAnsi="Arial" w:cs="Arial"/>
          <w:noProof/>
        </w:rPr>
        <w:t xml:space="preserve"> (2020) ‘Dietitians Australia position statement on telehealth’, </w:t>
      </w:r>
      <w:r w:rsidRPr="006C2C32">
        <w:rPr>
          <w:rFonts w:ascii="Arial" w:hAnsi="Arial" w:cs="Arial"/>
          <w:i/>
          <w:iCs/>
          <w:noProof/>
        </w:rPr>
        <w:t>Nutrition and Dietetics</w:t>
      </w:r>
      <w:r w:rsidRPr="006C2C32">
        <w:rPr>
          <w:rFonts w:ascii="Arial" w:hAnsi="Arial" w:cs="Arial"/>
          <w:noProof/>
        </w:rPr>
        <w:t>, 77(4), pp. 406–415. doi: 10.1111/1747-0080.12619.</w:t>
      </w:r>
    </w:p>
    <w:p w14:paraId="44C0F884"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Kho, J., Gillespie, N. and Martin-Khan, M. (2020) ‘A systematic scoping review of change management practices used for telemedicine service implementations’, </w:t>
      </w:r>
      <w:r w:rsidRPr="006C2C32">
        <w:rPr>
          <w:rFonts w:ascii="Arial" w:hAnsi="Arial" w:cs="Arial"/>
          <w:i/>
          <w:iCs/>
          <w:noProof/>
        </w:rPr>
        <w:t>BMC Health Services Research</w:t>
      </w:r>
      <w:r w:rsidRPr="006C2C32">
        <w:rPr>
          <w:rFonts w:ascii="Arial" w:hAnsi="Arial" w:cs="Arial"/>
          <w:noProof/>
        </w:rPr>
        <w:t>. BMC Health Services Research, 20(1), pp. 1–16. doi: 10.1186/s12913-020-05657-w.</w:t>
      </w:r>
    </w:p>
    <w:p w14:paraId="3A0ACB1A"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Knudsen, S. V. (2018) ‘Can Quality Improvement improve the Quality of Care? A systematic review of effects and methodological rigor of the Plan-Do-Study-Act (PDSA) method’, </w:t>
      </w:r>
      <w:r w:rsidRPr="006C2C32">
        <w:rPr>
          <w:rFonts w:ascii="Arial" w:hAnsi="Arial" w:cs="Arial"/>
          <w:i/>
          <w:iCs/>
          <w:noProof/>
        </w:rPr>
        <w:t>Bmj Quality and Safety</w:t>
      </w:r>
      <w:r w:rsidRPr="006C2C32">
        <w:rPr>
          <w:rFonts w:ascii="Arial" w:hAnsi="Arial" w:cs="Arial"/>
          <w:noProof/>
        </w:rPr>
        <w:t>. BMC Health Services Research, 6, pp. 1–10. Available at: http://www.forskningsdatabasen.dk/en/catalog/2396085451.</w:t>
      </w:r>
    </w:p>
    <w:p w14:paraId="4B1E748B"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Madhavan, A. </w:t>
      </w:r>
      <w:r w:rsidRPr="006C2C32">
        <w:rPr>
          <w:rFonts w:ascii="Arial" w:hAnsi="Arial" w:cs="Arial"/>
          <w:i/>
          <w:iCs/>
          <w:noProof/>
        </w:rPr>
        <w:t>et al.</w:t>
      </w:r>
      <w:r w:rsidRPr="006C2C32">
        <w:rPr>
          <w:rFonts w:ascii="Arial" w:hAnsi="Arial" w:cs="Arial"/>
          <w:noProof/>
        </w:rPr>
        <w:t xml:space="preserve"> (2016) ‘Prevalence of and risk factors for dysphagia in the community dwelling elderly: A systematic review’, </w:t>
      </w:r>
      <w:r w:rsidRPr="006C2C32">
        <w:rPr>
          <w:rFonts w:ascii="Arial" w:hAnsi="Arial" w:cs="Arial"/>
          <w:i/>
          <w:iCs/>
          <w:noProof/>
        </w:rPr>
        <w:t>Journal of Nutrition, Health and Aging</w:t>
      </w:r>
      <w:r w:rsidRPr="006C2C32">
        <w:rPr>
          <w:rFonts w:ascii="Arial" w:hAnsi="Arial" w:cs="Arial"/>
          <w:noProof/>
        </w:rPr>
        <w:t>, 20(8), pp. 806–815. doi: 10.1007/s12603-016-0712-3.</w:t>
      </w:r>
    </w:p>
    <w:p w14:paraId="6A69D900"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Marquis, J. </w:t>
      </w:r>
      <w:r w:rsidRPr="006C2C32">
        <w:rPr>
          <w:rFonts w:ascii="Arial" w:hAnsi="Arial" w:cs="Arial"/>
          <w:i/>
          <w:iCs/>
          <w:noProof/>
        </w:rPr>
        <w:t>et al.</w:t>
      </w:r>
      <w:r w:rsidRPr="006C2C32">
        <w:rPr>
          <w:rFonts w:ascii="Arial" w:hAnsi="Arial" w:cs="Arial"/>
          <w:noProof/>
        </w:rPr>
        <w:t xml:space="preserve"> (2013) ‘Swallowing difficulties with oral drugs among polypharmacy patients attending community pharmacies’, </w:t>
      </w:r>
      <w:r w:rsidRPr="006C2C32">
        <w:rPr>
          <w:rFonts w:ascii="Arial" w:hAnsi="Arial" w:cs="Arial"/>
          <w:i/>
          <w:iCs/>
          <w:noProof/>
        </w:rPr>
        <w:t>International Journal of Clinical Pharmacy</w:t>
      </w:r>
      <w:r w:rsidRPr="006C2C32">
        <w:rPr>
          <w:rFonts w:ascii="Arial" w:hAnsi="Arial" w:cs="Arial"/>
          <w:noProof/>
        </w:rPr>
        <w:t>, 35(6), pp. 1130–1136. doi: 10.1007/s11096-013-9836-2.</w:t>
      </w:r>
    </w:p>
    <w:p w14:paraId="79B6D367"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Martino, R. and McCulloch, T. (2016) ‘Therapeutic intervention in oropharyngeal </w:t>
      </w:r>
      <w:r w:rsidRPr="006C2C32">
        <w:rPr>
          <w:rFonts w:ascii="Arial" w:hAnsi="Arial" w:cs="Arial"/>
          <w:noProof/>
        </w:rPr>
        <w:lastRenderedPageBreak/>
        <w:t xml:space="preserve">dysphagia’, </w:t>
      </w:r>
      <w:r w:rsidRPr="006C2C32">
        <w:rPr>
          <w:rFonts w:ascii="Arial" w:hAnsi="Arial" w:cs="Arial"/>
          <w:i/>
          <w:iCs/>
          <w:noProof/>
        </w:rPr>
        <w:t>Nature Reviews Gastroenterology and Hepatology</w:t>
      </w:r>
      <w:r w:rsidRPr="006C2C32">
        <w:rPr>
          <w:rFonts w:ascii="Arial" w:hAnsi="Arial" w:cs="Arial"/>
          <w:noProof/>
        </w:rPr>
        <w:t>. Nature Publishing Group, 13(11), pp. 665–679. doi: 10.1038/nrgastro.2016.127.</w:t>
      </w:r>
    </w:p>
    <w:p w14:paraId="75D900AA"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Mayadevi, M. </w:t>
      </w:r>
      <w:r w:rsidRPr="006C2C32">
        <w:rPr>
          <w:rFonts w:ascii="Arial" w:hAnsi="Arial" w:cs="Arial"/>
          <w:i/>
          <w:iCs/>
          <w:noProof/>
        </w:rPr>
        <w:t>et al.</w:t>
      </w:r>
      <w:r w:rsidRPr="006C2C32">
        <w:rPr>
          <w:rFonts w:ascii="Arial" w:hAnsi="Arial" w:cs="Arial"/>
          <w:noProof/>
        </w:rPr>
        <w:t xml:space="preserve"> (2018) ‘Interdisciplinary Telemedicine in the Management of Dysphagia in Head and Neck’, </w:t>
      </w:r>
      <w:r w:rsidRPr="006C2C32">
        <w:rPr>
          <w:rFonts w:ascii="Arial" w:hAnsi="Arial" w:cs="Arial"/>
          <w:i/>
          <w:iCs/>
          <w:noProof/>
        </w:rPr>
        <w:t>Dysphagia</w:t>
      </w:r>
      <w:r w:rsidRPr="006C2C32">
        <w:rPr>
          <w:rFonts w:ascii="Arial" w:hAnsi="Arial" w:cs="Arial"/>
          <w:noProof/>
        </w:rPr>
        <w:t>, 33(4), pp. 474–480. doi: 10.1007/s00455-018-9876-9.</w:t>
      </w:r>
    </w:p>
    <w:p w14:paraId="20FB697A"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McGinnis, C. M. </w:t>
      </w:r>
      <w:r w:rsidRPr="006C2C32">
        <w:rPr>
          <w:rFonts w:ascii="Arial" w:hAnsi="Arial" w:cs="Arial"/>
          <w:i/>
          <w:iCs/>
          <w:noProof/>
        </w:rPr>
        <w:t>et al.</w:t>
      </w:r>
      <w:r w:rsidRPr="006C2C32">
        <w:rPr>
          <w:rFonts w:ascii="Arial" w:hAnsi="Arial" w:cs="Arial"/>
          <w:noProof/>
        </w:rPr>
        <w:t xml:space="preserve"> (2019) ‘Dysphagia: Interprofessional Management, Impact, and Patient-Centered Care’, </w:t>
      </w:r>
      <w:r w:rsidRPr="006C2C32">
        <w:rPr>
          <w:rFonts w:ascii="Arial" w:hAnsi="Arial" w:cs="Arial"/>
          <w:i/>
          <w:iCs/>
          <w:noProof/>
        </w:rPr>
        <w:t>Nutrition in Clinical Practice</w:t>
      </w:r>
      <w:r w:rsidRPr="006C2C32">
        <w:rPr>
          <w:rFonts w:ascii="Arial" w:hAnsi="Arial" w:cs="Arial"/>
          <w:noProof/>
        </w:rPr>
        <w:t>, 34(1), pp. 80–95. doi: 10.1002/ncp.10239.</w:t>
      </w:r>
    </w:p>
    <w:p w14:paraId="680A4090"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Morelli, M. S. (2016) ‘Using the Plan, Do, Study, Act Model to Implement a Quality Improvement Program in Your Practice’, </w:t>
      </w:r>
      <w:r w:rsidRPr="006C2C32">
        <w:rPr>
          <w:rFonts w:ascii="Arial" w:hAnsi="Arial" w:cs="Arial"/>
          <w:i/>
          <w:iCs/>
          <w:noProof/>
        </w:rPr>
        <w:t>American Journal of Gastroenterology</w:t>
      </w:r>
      <w:r w:rsidRPr="006C2C32">
        <w:rPr>
          <w:rFonts w:ascii="Arial" w:hAnsi="Arial" w:cs="Arial"/>
          <w:noProof/>
        </w:rPr>
        <w:t>. Nature Publishing Group, 111(9), pp. 1220–1222. doi: 10.1038/ajg.2016.321.</w:t>
      </w:r>
    </w:p>
    <w:p w14:paraId="6C5BCCF2"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Nawaz, S. and Tulunay-Ugur, O. E. (2018) ‘Dysphagia in the older patient’, </w:t>
      </w:r>
      <w:r w:rsidRPr="006C2C32">
        <w:rPr>
          <w:rFonts w:ascii="Arial" w:hAnsi="Arial" w:cs="Arial"/>
          <w:i/>
          <w:iCs/>
          <w:noProof/>
        </w:rPr>
        <w:t>Otolaryngologic Clinics of North America</w:t>
      </w:r>
      <w:r w:rsidRPr="006C2C32">
        <w:rPr>
          <w:rFonts w:ascii="Arial" w:hAnsi="Arial" w:cs="Arial"/>
          <w:noProof/>
        </w:rPr>
        <w:t>. Elsevier, 51(4), pp. 769–777.</w:t>
      </w:r>
    </w:p>
    <w:p w14:paraId="18D24AB1"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NHS England (NHS-E) and NHS Improvement (NHS-I) (2020) ‘Online library of Quality, Service Improvement and Redesign tools Plan, Do, Study, Act (PDSA) cycles and the model for improvement’, pp. 1–8. Available at: https://www.england.nhs.uk/wp-content/uploads/2021/03/qsir-plan-do-study-act.pdf.</w:t>
      </w:r>
    </w:p>
    <w:p w14:paraId="568815A2"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Omori, F. </w:t>
      </w:r>
      <w:r w:rsidRPr="006C2C32">
        <w:rPr>
          <w:rFonts w:ascii="Arial" w:hAnsi="Arial" w:cs="Arial"/>
          <w:i/>
          <w:iCs/>
          <w:noProof/>
        </w:rPr>
        <w:t>et al.</w:t>
      </w:r>
      <w:r w:rsidRPr="006C2C32">
        <w:rPr>
          <w:rFonts w:ascii="Arial" w:hAnsi="Arial" w:cs="Arial"/>
          <w:noProof/>
        </w:rPr>
        <w:t xml:space="preserve"> (2021) ‘Development of a Remote Examination of Deglutition Based on Consensus Surveys of Clinicians (Part I): Selection of Examination Items’, </w:t>
      </w:r>
      <w:r w:rsidRPr="006C2C32">
        <w:rPr>
          <w:rFonts w:ascii="Arial" w:hAnsi="Arial" w:cs="Arial"/>
          <w:i/>
          <w:iCs/>
          <w:noProof/>
        </w:rPr>
        <w:t>Dysphagia</w:t>
      </w:r>
      <w:r w:rsidRPr="006C2C32">
        <w:rPr>
          <w:rFonts w:ascii="Arial" w:hAnsi="Arial" w:cs="Arial"/>
          <w:noProof/>
        </w:rPr>
        <w:t>. Springer US, (Part I), pp. 5–12. doi: 10.1007/s00455-021-10357-6.</w:t>
      </w:r>
    </w:p>
    <w:p w14:paraId="3DB2BD92"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Ovretveit, J. (2017) ‘Digital technologies supporting person-centered integrated care - A perspective’, </w:t>
      </w:r>
      <w:r w:rsidRPr="006C2C32">
        <w:rPr>
          <w:rFonts w:ascii="Arial" w:hAnsi="Arial" w:cs="Arial"/>
          <w:i/>
          <w:iCs/>
          <w:noProof/>
        </w:rPr>
        <w:t>International Journal of Integrated Care</w:t>
      </w:r>
      <w:r w:rsidRPr="006C2C32">
        <w:rPr>
          <w:rFonts w:ascii="Arial" w:hAnsi="Arial" w:cs="Arial"/>
          <w:noProof/>
        </w:rPr>
        <w:t>. doi: 10.5334/ijic.3051.</w:t>
      </w:r>
    </w:p>
    <w:p w14:paraId="0D1F5C17"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Park, Y. H. </w:t>
      </w:r>
      <w:r w:rsidRPr="006C2C32">
        <w:rPr>
          <w:rFonts w:ascii="Arial" w:hAnsi="Arial" w:cs="Arial"/>
          <w:i/>
          <w:iCs/>
          <w:noProof/>
        </w:rPr>
        <w:t>et al.</w:t>
      </w:r>
      <w:r w:rsidRPr="006C2C32">
        <w:rPr>
          <w:rFonts w:ascii="Arial" w:hAnsi="Arial" w:cs="Arial"/>
          <w:noProof/>
        </w:rPr>
        <w:t xml:space="preserve"> (2013) ‘Prevalence and associated factors of dysphagia in nursing home residents’, </w:t>
      </w:r>
      <w:r w:rsidRPr="006C2C32">
        <w:rPr>
          <w:rFonts w:ascii="Arial" w:hAnsi="Arial" w:cs="Arial"/>
          <w:i/>
          <w:iCs/>
          <w:noProof/>
        </w:rPr>
        <w:t>Geriatric Nursing</w:t>
      </w:r>
      <w:r w:rsidRPr="006C2C32">
        <w:rPr>
          <w:rFonts w:ascii="Arial" w:hAnsi="Arial" w:cs="Arial"/>
          <w:noProof/>
        </w:rPr>
        <w:t>. Elsevier Ltd, 34(3), pp. 212–217. doi: 10.1016/j.gerinurse.2013.02.014.</w:t>
      </w:r>
    </w:p>
    <w:p w14:paraId="071C8DDD"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Reed, J. E. and Card, A. J. (2016) ‘The problem with plan-do-study-act cycles’, </w:t>
      </w:r>
      <w:r w:rsidRPr="006C2C32">
        <w:rPr>
          <w:rFonts w:ascii="Arial" w:hAnsi="Arial" w:cs="Arial"/>
          <w:i/>
          <w:iCs/>
          <w:noProof/>
        </w:rPr>
        <w:t>BMJ Quality and Safety</w:t>
      </w:r>
      <w:r w:rsidRPr="006C2C32">
        <w:rPr>
          <w:rFonts w:ascii="Arial" w:hAnsi="Arial" w:cs="Arial"/>
          <w:noProof/>
        </w:rPr>
        <w:t>, 25(3), pp. 147–152. doi: 10.1136/bmjqs-2015-005076.</w:t>
      </w:r>
    </w:p>
    <w:p w14:paraId="6D7B10E7"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Sharma, S. (2012) </w:t>
      </w:r>
      <w:r w:rsidRPr="006C2C32">
        <w:rPr>
          <w:rFonts w:ascii="Arial" w:hAnsi="Arial" w:cs="Arial"/>
          <w:i/>
          <w:iCs/>
          <w:noProof/>
        </w:rPr>
        <w:t>Telerehabilitation application for the clinical assessment of dysphagia</w:t>
      </w:r>
      <w:r w:rsidRPr="006C2C32">
        <w:rPr>
          <w:rFonts w:ascii="Arial" w:hAnsi="Arial" w:cs="Arial"/>
          <w:noProof/>
        </w:rPr>
        <w:t>. The University of Queensland. Available at: https://espace.library.uq.edu.au/view/UQ:282069.</w:t>
      </w:r>
    </w:p>
    <w:p w14:paraId="254461E9"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Thomas, E. E. </w:t>
      </w:r>
      <w:r w:rsidRPr="006C2C32">
        <w:rPr>
          <w:rFonts w:ascii="Arial" w:hAnsi="Arial" w:cs="Arial"/>
          <w:i/>
          <w:iCs/>
          <w:noProof/>
        </w:rPr>
        <w:t>et al.</w:t>
      </w:r>
      <w:r w:rsidRPr="006C2C32">
        <w:rPr>
          <w:rFonts w:ascii="Arial" w:hAnsi="Arial" w:cs="Arial"/>
          <w:noProof/>
        </w:rPr>
        <w:t xml:space="preserve"> (2020) ‘Building on the momentum: Sustaining telehealth beyond COVID-19’, </w:t>
      </w:r>
      <w:r w:rsidRPr="006C2C32">
        <w:rPr>
          <w:rFonts w:ascii="Arial" w:hAnsi="Arial" w:cs="Arial"/>
          <w:i/>
          <w:iCs/>
          <w:noProof/>
        </w:rPr>
        <w:t>Journal of Telemedicine and Telecare</w:t>
      </w:r>
      <w:r w:rsidRPr="006C2C32">
        <w:rPr>
          <w:rFonts w:ascii="Arial" w:hAnsi="Arial" w:cs="Arial"/>
          <w:noProof/>
        </w:rPr>
        <w:t>. doi: 10.1177/1357633X20960638.</w:t>
      </w:r>
    </w:p>
    <w:p w14:paraId="4B6CE203"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Trebble, T. M. </w:t>
      </w:r>
      <w:r w:rsidRPr="006C2C32">
        <w:rPr>
          <w:rFonts w:ascii="Arial" w:hAnsi="Arial" w:cs="Arial"/>
          <w:i/>
          <w:iCs/>
          <w:noProof/>
        </w:rPr>
        <w:t>et al.</w:t>
      </w:r>
      <w:r w:rsidRPr="006C2C32">
        <w:rPr>
          <w:rFonts w:ascii="Arial" w:hAnsi="Arial" w:cs="Arial"/>
          <w:noProof/>
        </w:rPr>
        <w:t xml:space="preserve"> (2010) ‘Process mapping the patient journey: an introduction’, </w:t>
      </w:r>
      <w:r w:rsidRPr="006C2C32">
        <w:rPr>
          <w:rFonts w:ascii="Arial" w:hAnsi="Arial" w:cs="Arial"/>
          <w:i/>
          <w:iCs/>
          <w:noProof/>
        </w:rPr>
        <w:t>BMJ</w:t>
      </w:r>
      <w:r w:rsidRPr="006C2C32">
        <w:rPr>
          <w:rFonts w:ascii="Arial" w:hAnsi="Arial" w:cs="Arial"/>
          <w:noProof/>
        </w:rPr>
        <w:t>. BMJ Publishing Group Ltd, 341. doi: 10.1136/bmj.c4078.</w:t>
      </w:r>
    </w:p>
    <w:p w14:paraId="2B277A0A"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Wall, L. R. </w:t>
      </w:r>
      <w:r w:rsidRPr="006C2C32">
        <w:rPr>
          <w:rFonts w:ascii="Arial" w:hAnsi="Arial" w:cs="Arial"/>
          <w:i/>
          <w:iCs/>
          <w:noProof/>
        </w:rPr>
        <w:t>et al.</w:t>
      </w:r>
      <w:r w:rsidRPr="006C2C32">
        <w:rPr>
          <w:rFonts w:ascii="Arial" w:hAnsi="Arial" w:cs="Arial"/>
          <w:noProof/>
        </w:rPr>
        <w:t xml:space="preserve"> (2016) ‘Evaluation of a weekly speech pathology/dietetic service model for providing supportive care intervention to head and neck cancer patients and their carers during (chemo)radiotherapy’, </w:t>
      </w:r>
      <w:r w:rsidRPr="006C2C32">
        <w:rPr>
          <w:rFonts w:ascii="Arial" w:hAnsi="Arial" w:cs="Arial"/>
          <w:i/>
          <w:iCs/>
          <w:noProof/>
        </w:rPr>
        <w:t>Supportive Care in Cancer</w:t>
      </w:r>
      <w:r w:rsidRPr="006C2C32">
        <w:rPr>
          <w:rFonts w:ascii="Arial" w:hAnsi="Arial" w:cs="Arial"/>
          <w:noProof/>
        </w:rPr>
        <w:t>. Supportive Care in Cancer, 24(3), pp. 1227–1234. doi: 10.1007/s00520-015-2912-5.</w:t>
      </w:r>
    </w:p>
    <w:p w14:paraId="24818928"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Ward, E. C. </w:t>
      </w:r>
      <w:r w:rsidRPr="006C2C32">
        <w:rPr>
          <w:rFonts w:ascii="Arial" w:hAnsi="Arial" w:cs="Arial"/>
          <w:i/>
          <w:iCs/>
          <w:noProof/>
        </w:rPr>
        <w:t>et al.</w:t>
      </w:r>
      <w:r w:rsidRPr="006C2C32">
        <w:rPr>
          <w:rFonts w:ascii="Arial" w:hAnsi="Arial" w:cs="Arial"/>
          <w:noProof/>
        </w:rPr>
        <w:t xml:space="preserve"> (2012) ‘Validity of conducting clinical dysphagia assessments for patients with normal to mild cognitive impairment via telerehabilitation’, </w:t>
      </w:r>
      <w:r w:rsidRPr="006C2C32">
        <w:rPr>
          <w:rFonts w:ascii="Arial" w:hAnsi="Arial" w:cs="Arial"/>
          <w:i/>
          <w:iCs/>
          <w:noProof/>
        </w:rPr>
        <w:t>Dysphagia</w:t>
      </w:r>
      <w:r w:rsidRPr="006C2C32">
        <w:rPr>
          <w:rFonts w:ascii="Arial" w:hAnsi="Arial" w:cs="Arial"/>
          <w:noProof/>
        </w:rPr>
        <w:t>, 27(4), pp. 460–472. doi: 10.1007/s00455-011-9390-9.</w:t>
      </w:r>
    </w:p>
    <w:p w14:paraId="18778DDD"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Ward, E. C. </w:t>
      </w:r>
      <w:r w:rsidRPr="006C2C32">
        <w:rPr>
          <w:rFonts w:ascii="Arial" w:hAnsi="Arial" w:cs="Arial"/>
          <w:i/>
          <w:iCs/>
          <w:noProof/>
        </w:rPr>
        <w:t>et al.</w:t>
      </w:r>
      <w:r w:rsidRPr="006C2C32">
        <w:rPr>
          <w:rFonts w:ascii="Arial" w:hAnsi="Arial" w:cs="Arial"/>
          <w:noProof/>
        </w:rPr>
        <w:t xml:space="preserve"> (2021) ‘Establishing Clinical Swallowing Assessment Services via Telepractice: A Multisite Implementation Evaluation’, </w:t>
      </w:r>
      <w:r w:rsidRPr="006C2C32">
        <w:rPr>
          <w:rFonts w:ascii="Arial" w:hAnsi="Arial" w:cs="Arial"/>
          <w:i/>
          <w:iCs/>
          <w:noProof/>
        </w:rPr>
        <w:t>American Journal of Speech-</w:t>
      </w:r>
      <w:r w:rsidRPr="006C2C32">
        <w:rPr>
          <w:rFonts w:ascii="Arial" w:hAnsi="Arial" w:cs="Arial"/>
          <w:i/>
          <w:iCs/>
          <w:noProof/>
        </w:rPr>
        <w:lastRenderedPageBreak/>
        <w:t>Language Pathology</w:t>
      </w:r>
      <w:r w:rsidRPr="006C2C32">
        <w:rPr>
          <w:rFonts w:ascii="Arial" w:hAnsi="Arial" w:cs="Arial"/>
          <w:noProof/>
        </w:rPr>
        <w:t>, 30(6), pp. 2456–2464. doi: 10.1044/2021_ajslp-21-00109.</w:t>
      </w:r>
    </w:p>
    <w:p w14:paraId="3D8A11F4"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Welsh Government (2020) ‘Age Friendly Wales: Our Strategy for an Ageing Society Consultation Document’, (March). Available at: https://llyw.cymru/strategaeth-ar-gyfer-cymdeithas-.</w:t>
      </w:r>
    </w:p>
    <w:p w14:paraId="74DFA018"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World Bank (2019) </w:t>
      </w:r>
      <w:r w:rsidRPr="006C2C32">
        <w:rPr>
          <w:rFonts w:ascii="Arial" w:hAnsi="Arial" w:cs="Arial"/>
          <w:i/>
          <w:iCs/>
          <w:noProof/>
        </w:rPr>
        <w:t>World Population Ageing 2019</w:t>
      </w:r>
      <w:r w:rsidRPr="006C2C32">
        <w:rPr>
          <w:rFonts w:ascii="Arial" w:hAnsi="Arial" w:cs="Arial"/>
          <w:noProof/>
        </w:rPr>
        <w:t xml:space="preserve">, </w:t>
      </w:r>
      <w:r w:rsidRPr="006C2C32">
        <w:rPr>
          <w:rFonts w:ascii="Arial" w:hAnsi="Arial" w:cs="Arial"/>
          <w:i/>
          <w:iCs/>
          <w:noProof/>
        </w:rPr>
        <w:t>World Population Ageing 2019</w:t>
      </w:r>
      <w:r w:rsidRPr="006C2C32">
        <w:rPr>
          <w:rFonts w:ascii="Arial" w:hAnsi="Arial" w:cs="Arial"/>
          <w:noProof/>
        </w:rPr>
        <w:t>. Available at: http://link.springer.com/chapter/10.1007/978-94-007-5204-7_6.</w:t>
      </w:r>
    </w:p>
    <w:p w14:paraId="420DAC7C"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World Helath Organisation (2021) </w:t>
      </w:r>
      <w:r w:rsidRPr="006C2C32">
        <w:rPr>
          <w:rFonts w:ascii="Arial" w:hAnsi="Arial" w:cs="Arial"/>
          <w:i/>
          <w:iCs/>
          <w:noProof/>
        </w:rPr>
        <w:t>Ageing and Health</w:t>
      </w:r>
      <w:r w:rsidRPr="006C2C32">
        <w:rPr>
          <w:rFonts w:ascii="Arial" w:hAnsi="Arial" w:cs="Arial"/>
          <w:noProof/>
        </w:rPr>
        <w:t>.</w:t>
      </w:r>
    </w:p>
    <w:p w14:paraId="219EDCF4" w14:textId="77777777" w:rsidR="006C2C32" w:rsidRPr="006C2C32" w:rsidRDefault="006C2C32" w:rsidP="006C2C32">
      <w:pPr>
        <w:widowControl w:val="0"/>
        <w:autoSpaceDE w:val="0"/>
        <w:autoSpaceDN w:val="0"/>
        <w:adjustRightInd w:val="0"/>
        <w:rPr>
          <w:rFonts w:ascii="Arial" w:hAnsi="Arial" w:cs="Arial"/>
          <w:noProof/>
        </w:rPr>
      </w:pPr>
      <w:r w:rsidRPr="006C2C32">
        <w:rPr>
          <w:rFonts w:ascii="Arial" w:hAnsi="Arial" w:cs="Arial"/>
          <w:noProof/>
        </w:rPr>
        <w:t xml:space="preserve">Zughni, L. A. </w:t>
      </w:r>
      <w:r w:rsidRPr="006C2C32">
        <w:rPr>
          <w:rFonts w:ascii="Arial" w:hAnsi="Arial" w:cs="Arial"/>
          <w:i/>
          <w:iCs/>
          <w:noProof/>
        </w:rPr>
        <w:t>et al.</w:t>
      </w:r>
      <w:r w:rsidRPr="006C2C32">
        <w:rPr>
          <w:rFonts w:ascii="Arial" w:hAnsi="Arial" w:cs="Arial"/>
          <w:noProof/>
        </w:rPr>
        <w:t xml:space="preserve"> (2020) ‘Telemedicine and the Interdisciplinary Clinic Model: During the COVID-19 Pandemic and Beyond’, </w:t>
      </w:r>
      <w:r w:rsidRPr="006C2C32">
        <w:rPr>
          <w:rFonts w:ascii="Arial" w:hAnsi="Arial" w:cs="Arial"/>
          <w:i/>
          <w:iCs/>
          <w:noProof/>
        </w:rPr>
        <w:t>Otolaryngology - Head and Neck Surgery (United States)</w:t>
      </w:r>
      <w:r w:rsidRPr="006C2C32">
        <w:rPr>
          <w:rFonts w:ascii="Arial" w:hAnsi="Arial" w:cs="Arial"/>
          <w:noProof/>
        </w:rPr>
        <w:t>, 163(4), pp. 673–675. doi: 10.1177/0194599820932167.</w:t>
      </w:r>
    </w:p>
    <w:p w14:paraId="7F5F7F30" w14:textId="668F3030" w:rsidR="00E56DA2" w:rsidRPr="000C50A2" w:rsidRDefault="006C2C32">
      <w:pPr>
        <w:rPr>
          <w:rFonts w:ascii="Arial" w:hAnsi="Arial" w:cs="Arial"/>
          <w:color w:val="7030A0"/>
        </w:rPr>
      </w:pPr>
      <w:r>
        <w:rPr>
          <w:rFonts w:ascii="Arial" w:hAnsi="Arial" w:cs="Arial"/>
          <w:color w:val="7030A0"/>
        </w:rPr>
        <w:fldChar w:fldCharType="end"/>
      </w:r>
    </w:p>
    <w:p w14:paraId="3B43DCD3" w14:textId="77777777" w:rsidR="007C1960" w:rsidRPr="000C50A2" w:rsidRDefault="007C1960">
      <w:pPr>
        <w:rPr>
          <w:rFonts w:ascii="Arial" w:hAnsi="Arial" w:cs="Arial"/>
          <w:color w:val="7030A0"/>
        </w:rPr>
      </w:pPr>
    </w:p>
    <w:p w14:paraId="14E244EC" w14:textId="488E0A7B" w:rsidR="0078610C" w:rsidRPr="000C50A2" w:rsidRDefault="0078610C" w:rsidP="0014720B">
      <w:pPr>
        <w:jc w:val="both"/>
        <w:rPr>
          <w:rFonts w:ascii="Arial" w:hAnsi="Arial" w:cs="Arial"/>
          <w:color w:val="7030A0"/>
        </w:rPr>
      </w:pPr>
    </w:p>
    <w:sectPr w:rsidR="0078610C" w:rsidRPr="000C50A2" w:rsidSect="00E31354">
      <w:headerReference w:type="default" r:id="rId22"/>
      <w:footerReference w:type="even" r:id="rId23"/>
      <w:footerReference w:type="default" r:id="rId24"/>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5A7BD" w14:textId="77777777" w:rsidR="007B47C4" w:rsidRDefault="007B47C4" w:rsidP="003D400F">
      <w:r>
        <w:separator/>
      </w:r>
    </w:p>
  </w:endnote>
  <w:endnote w:type="continuationSeparator" w:id="0">
    <w:p w14:paraId="03CDCC43" w14:textId="77777777" w:rsidR="007B47C4" w:rsidRDefault="007B47C4" w:rsidP="003D4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rebuchet MS">
    <w:altName w:val="﷽﷽﷽﷽﷽﷽﷽﷽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ndale Sans UI">
    <w:altName w:val="Arial"/>
    <w:panose1 w:val="020B0604020202020204"/>
    <w:charset w:val="00"/>
    <w:family w:val="swiss"/>
    <w:pitch w:val="variable"/>
    <w:sig w:usb0="00000001"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5054458"/>
      <w:docPartObj>
        <w:docPartGallery w:val="Page Numbers (Bottom of Page)"/>
        <w:docPartUnique/>
      </w:docPartObj>
    </w:sdtPr>
    <w:sdtEndPr>
      <w:rPr>
        <w:rStyle w:val="PageNumber"/>
      </w:rPr>
    </w:sdtEndPr>
    <w:sdtContent>
      <w:p w14:paraId="5FEF9875" w14:textId="1AA35E7E" w:rsidR="00E31354" w:rsidRDefault="00E31354" w:rsidP="000A15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C72C7C" w14:textId="77777777" w:rsidR="00E31354" w:rsidRDefault="00E31354" w:rsidP="00E3135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65932183"/>
      <w:docPartObj>
        <w:docPartGallery w:val="Page Numbers (Bottom of Page)"/>
        <w:docPartUnique/>
      </w:docPartObj>
    </w:sdtPr>
    <w:sdtEndPr>
      <w:rPr>
        <w:rStyle w:val="PageNumber"/>
      </w:rPr>
    </w:sdtEndPr>
    <w:sdtContent>
      <w:p w14:paraId="35FB7D5A" w14:textId="654B65B7" w:rsidR="00E31354" w:rsidRDefault="00E31354" w:rsidP="000A15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73A493" w14:textId="631CA5F7" w:rsidR="003D400F" w:rsidRPr="00E31354" w:rsidRDefault="003D400F" w:rsidP="00E3135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0B88A" w14:textId="77777777" w:rsidR="007B47C4" w:rsidRDefault="007B47C4" w:rsidP="003D400F">
      <w:r>
        <w:separator/>
      </w:r>
    </w:p>
  </w:footnote>
  <w:footnote w:type="continuationSeparator" w:id="0">
    <w:p w14:paraId="7434AB86" w14:textId="77777777" w:rsidR="007B47C4" w:rsidRDefault="007B47C4" w:rsidP="003D40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B0E63" w14:textId="4A342154" w:rsidR="003D400F" w:rsidRDefault="003D400F" w:rsidP="00E31354">
    <w:pPr>
      <w:pStyle w:val="Header"/>
      <w:jc w:val="center"/>
      <w:rPr>
        <w:b/>
        <w:bCs/>
        <w:sz w:val="28"/>
        <w:szCs w:val="28"/>
      </w:rPr>
    </w:pPr>
    <w:r w:rsidRPr="003D400F">
      <w:rPr>
        <w:b/>
        <w:bCs/>
        <w:sz w:val="28"/>
        <w:szCs w:val="28"/>
      </w:rPr>
      <w:t>Multidisciplinary Telehealth Solution to</w:t>
    </w:r>
    <w:r w:rsidR="00E31354">
      <w:rPr>
        <w:b/>
        <w:bCs/>
        <w:sz w:val="28"/>
        <w:szCs w:val="28"/>
      </w:rPr>
      <w:t xml:space="preserve"> Manage Swallowing Difficulties of Residents in Care Homes</w:t>
    </w:r>
  </w:p>
  <w:p w14:paraId="65D898E7" w14:textId="1D6E017F" w:rsidR="00E31354" w:rsidRDefault="00E31354" w:rsidP="00E31354">
    <w:pPr>
      <w:pStyle w:val="Footer"/>
      <w:pBdr>
        <w:bottom w:val="single" w:sz="6" w:space="1" w:color="auto"/>
      </w:pBdr>
      <w:jc w:val="right"/>
    </w:pPr>
    <w:r>
      <w:t>Sheiladen Aquino- 2115317</w:t>
    </w:r>
  </w:p>
  <w:p w14:paraId="23A9D21F" w14:textId="77777777" w:rsidR="00D449D2" w:rsidRDefault="00D449D2" w:rsidP="00E31354">
    <w:pPr>
      <w:pStyle w:val="Footer"/>
      <w:jc w:val="right"/>
    </w:pPr>
  </w:p>
  <w:p w14:paraId="77E34B9C" w14:textId="77777777" w:rsidR="00E31354" w:rsidRPr="003D400F" w:rsidRDefault="00E31354">
    <w:pPr>
      <w:pStyle w:val="Header"/>
      <w:rPr>
        <w:b/>
        <w:bCs/>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F2E57"/>
    <w:multiLevelType w:val="multilevel"/>
    <w:tmpl w:val="E1F64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9E4183"/>
    <w:multiLevelType w:val="hybridMultilevel"/>
    <w:tmpl w:val="A4BC2DC6"/>
    <w:lvl w:ilvl="0" w:tplc="1B70FBC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D2692C"/>
    <w:multiLevelType w:val="hybridMultilevel"/>
    <w:tmpl w:val="14B84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E24DF9"/>
    <w:multiLevelType w:val="hybridMultilevel"/>
    <w:tmpl w:val="E5103EEA"/>
    <w:lvl w:ilvl="0" w:tplc="79C871F2">
      <w:start w:val="2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AE582F"/>
    <w:multiLevelType w:val="hybridMultilevel"/>
    <w:tmpl w:val="BA6AE6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E3C4117"/>
    <w:multiLevelType w:val="hybridMultilevel"/>
    <w:tmpl w:val="0542380A"/>
    <w:lvl w:ilvl="0" w:tplc="91A28A9C">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CE6F57"/>
    <w:multiLevelType w:val="hybridMultilevel"/>
    <w:tmpl w:val="0346FFB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7A67F0"/>
    <w:multiLevelType w:val="hybridMultilevel"/>
    <w:tmpl w:val="5C662E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F359A0"/>
    <w:multiLevelType w:val="hybridMultilevel"/>
    <w:tmpl w:val="20802D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B7405F"/>
    <w:multiLevelType w:val="hybridMultilevel"/>
    <w:tmpl w:val="5F547CE0"/>
    <w:lvl w:ilvl="0" w:tplc="4ADC7146">
      <w:start w:val="1"/>
      <w:numFmt w:val="decimal"/>
      <w:pStyle w:val="Header"/>
      <w:lvlText w:val="%1."/>
      <w:lvlJc w:val="left"/>
      <w:pPr>
        <w:ind w:left="720" w:hanging="360"/>
      </w:pPr>
      <w:rPr>
        <w:rFonts w:ascii="Trebuchet MS" w:hAnsi="Trebuchet MS" w:hint="default"/>
        <w:b w:val="0"/>
        <w:bCs w:val="0"/>
        <w:i w:val="0"/>
        <w:i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2A3C71"/>
    <w:multiLevelType w:val="hybridMultilevel"/>
    <w:tmpl w:val="73667CE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2" w15:restartNumberingAfterBreak="0">
    <w:nsid w:val="7B565B54"/>
    <w:multiLevelType w:val="hybridMultilevel"/>
    <w:tmpl w:val="D5C6BE1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3"/>
  </w:num>
  <w:num w:numId="3">
    <w:abstractNumId w:val="7"/>
  </w:num>
  <w:num w:numId="4">
    <w:abstractNumId w:val="6"/>
  </w:num>
  <w:num w:numId="5">
    <w:abstractNumId w:val="10"/>
  </w:num>
  <w:num w:numId="6">
    <w:abstractNumId w:val="12"/>
  </w:num>
  <w:num w:numId="7">
    <w:abstractNumId w:val="1"/>
  </w:num>
  <w:num w:numId="8">
    <w:abstractNumId w:val="8"/>
  </w:num>
  <w:num w:numId="9">
    <w:abstractNumId w:val="0"/>
  </w:num>
  <w:num w:numId="10">
    <w:abstractNumId w:val="5"/>
  </w:num>
  <w:num w:numId="11">
    <w:abstractNumId w:val="11"/>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35B"/>
    <w:rsid w:val="00042CF5"/>
    <w:rsid w:val="00054348"/>
    <w:rsid w:val="00064D9A"/>
    <w:rsid w:val="00065E59"/>
    <w:rsid w:val="00067254"/>
    <w:rsid w:val="0007665D"/>
    <w:rsid w:val="00081946"/>
    <w:rsid w:val="000A12ED"/>
    <w:rsid w:val="000C50A2"/>
    <w:rsid w:val="000E4BE0"/>
    <w:rsid w:val="00123EE9"/>
    <w:rsid w:val="00127821"/>
    <w:rsid w:val="0014720B"/>
    <w:rsid w:val="00163880"/>
    <w:rsid w:val="00190A66"/>
    <w:rsid w:val="0019297B"/>
    <w:rsid w:val="00200F97"/>
    <w:rsid w:val="00254AD1"/>
    <w:rsid w:val="00267EB6"/>
    <w:rsid w:val="002A3E61"/>
    <w:rsid w:val="002A678A"/>
    <w:rsid w:val="002C67A0"/>
    <w:rsid w:val="003028A9"/>
    <w:rsid w:val="003071E1"/>
    <w:rsid w:val="003254D6"/>
    <w:rsid w:val="003406AD"/>
    <w:rsid w:val="00361C67"/>
    <w:rsid w:val="00367C6F"/>
    <w:rsid w:val="003B32AC"/>
    <w:rsid w:val="003B7409"/>
    <w:rsid w:val="003C6CF4"/>
    <w:rsid w:val="003D400F"/>
    <w:rsid w:val="003D57FB"/>
    <w:rsid w:val="00463751"/>
    <w:rsid w:val="004906AD"/>
    <w:rsid w:val="004C2906"/>
    <w:rsid w:val="004C4E2C"/>
    <w:rsid w:val="004D2E04"/>
    <w:rsid w:val="004E0773"/>
    <w:rsid w:val="004E68A7"/>
    <w:rsid w:val="005151A6"/>
    <w:rsid w:val="005314D5"/>
    <w:rsid w:val="005420ED"/>
    <w:rsid w:val="005845C3"/>
    <w:rsid w:val="00586382"/>
    <w:rsid w:val="005B7234"/>
    <w:rsid w:val="005F6EF8"/>
    <w:rsid w:val="00610F11"/>
    <w:rsid w:val="006321FD"/>
    <w:rsid w:val="00633031"/>
    <w:rsid w:val="0066131C"/>
    <w:rsid w:val="00674FBD"/>
    <w:rsid w:val="00674FC1"/>
    <w:rsid w:val="00694A10"/>
    <w:rsid w:val="006C2C32"/>
    <w:rsid w:val="006F2E74"/>
    <w:rsid w:val="006F379D"/>
    <w:rsid w:val="006F7DC5"/>
    <w:rsid w:val="00741D0E"/>
    <w:rsid w:val="00742216"/>
    <w:rsid w:val="00761B85"/>
    <w:rsid w:val="0077435B"/>
    <w:rsid w:val="0078610C"/>
    <w:rsid w:val="00792FA3"/>
    <w:rsid w:val="007B47C4"/>
    <w:rsid w:val="007C0495"/>
    <w:rsid w:val="007C1960"/>
    <w:rsid w:val="007D6DEB"/>
    <w:rsid w:val="007F61D7"/>
    <w:rsid w:val="008356E7"/>
    <w:rsid w:val="00850A52"/>
    <w:rsid w:val="008510C5"/>
    <w:rsid w:val="008610DF"/>
    <w:rsid w:val="00874035"/>
    <w:rsid w:val="00884D20"/>
    <w:rsid w:val="00886A9C"/>
    <w:rsid w:val="008C7C24"/>
    <w:rsid w:val="008D44D5"/>
    <w:rsid w:val="008D5544"/>
    <w:rsid w:val="009069B1"/>
    <w:rsid w:val="009622D3"/>
    <w:rsid w:val="009752E2"/>
    <w:rsid w:val="0098632A"/>
    <w:rsid w:val="009976B8"/>
    <w:rsid w:val="009A170A"/>
    <w:rsid w:val="009C461A"/>
    <w:rsid w:val="00A02A35"/>
    <w:rsid w:val="00A25801"/>
    <w:rsid w:val="00A267E3"/>
    <w:rsid w:val="00A42F28"/>
    <w:rsid w:val="00A54C97"/>
    <w:rsid w:val="00A54CE6"/>
    <w:rsid w:val="00A649FE"/>
    <w:rsid w:val="00A73470"/>
    <w:rsid w:val="00A8696E"/>
    <w:rsid w:val="00A941EB"/>
    <w:rsid w:val="00AA1BB5"/>
    <w:rsid w:val="00AB0FD1"/>
    <w:rsid w:val="00AB769A"/>
    <w:rsid w:val="00AC3678"/>
    <w:rsid w:val="00AC75C7"/>
    <w:rsid w:val="00B1206E"/>
    <w:rsid w:val="00B1207A"/>
    <w:rsid w:val="00B24EF7"/>
    <w:rsid w:val="00B327F1"/>
    <w:rsid w:val="00B3419A"/>
    <w:rsid w:val="00B42679"/>
    <w:rsid w:val="00B43641"/>
    <w:rsid w:val="00B46512"/>
    <w:rsid w:val="00B46764"/>
    <w:rsid w:val="00B86820"/>
    <w:rsid w:val="00BB2B97"/>
    <w:rsid w:val="00BD6ADC"/>
    <w:rsid w:val="00BF5C2A"/>
    <w:rsid w:val="00C2428E"/>
    <w:rsid w:val="00C264CA"/>
    <w:rsid w:val="00C9660F"/>
    <w:rsid w:val="00CA5988"/>
    <w:rsid w:val="00CD1218"/>
    <w:rsid w:val="00D34CC3"/>
    <w:rsid w:val="00D449D2"/>
    <w:rsid w:val="00D56FB2"/>
    <w:rsid w:val="00D83ED4"/>
    <w:rsid w:val="00D92E07"/>
    <w:rsid w:val="00DA0479"/>
    <w:rsid w:val="00DA4568"/>
    <w:rsid w:val="00DC0058"/>
    <w:rsid w:val="00DC545B"/>
    <w:rsid w:val="00DF1331"/>
    <w:rsid w:val="00DF4BF4"/>
    <w:rsid w:val="00E108C5"/>
    <w:rsid w:val="00E148D9"/>
    <w:rsid w:val="00E31354"/>
    <w:rsid w:val="00E56DA2"/>
    <w:rsid w:val="00E60269"/>
    <w:rsid w:val="00E61426"/>
    <w:rsid w:val="00E63CD0"/>
    <w:rsid w:val="00E750C8"/>
    <w:rsid w:val="00E87B30"/>
    <w:rsid w:val="00E917E6"/>
    <w:rsid w:val="00ED4E01"/>
    <w:rsid w:val="00F46C5F"/>
    <w:rsid w:val="00F64FA6"/>
    <w:rsid w:val="00FA6098"/>
    <w:rsid w:val="00FB03E7"/>
    <w:rsid w:val="00FB17CB"/>
    <w:rsid w:val="00FD49EE"/>
    <w:rsid w:val="00FE3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8AFE45"/>
  <w15:chartTrackingRefBased/>
  <w15:docId w15:val="{B8ADB1D4-9845-CB48-B91B-07B7F29A8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0F11"/>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F1331"/>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link w:val="Heading2Char"/>
    <w:uiPriority w:val="9"/>
    <w:qFormat/>
    <w:rsid w:val="007D6DEB"/>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FD49EE"/>
    <w:pPr>
      <w:keepNext/>
      <w:keepLines/>
      <w:spacing w:before="40"/>
      <w:outlineLvl w:val="2"/>
    </w:pPr>
    <w:rPr>
      <w:rFonts w:asciiTheme="majorHAnsi" w:eastAsiaTheme="majorEastAsia" w:hAnsiTheme="majorHAnsi" w:cstheme="majorBidi"/>
      <w:color w:val="1F3763" w:themeColor="accent1" w:themeShade="7F"/>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7C6F"/>
    <w:pPr>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3D400F"/>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3D400F"/>
  </w:style>
  <w:style w:type="paragraph" w:styleId="Footer">
    <w:name w:val="footer"/>
    <w:basedOn w:val="Normal"/>
    <w:link w:val="FooterChar"/>
    <w:uiPriority w:val="99"/>
    <w:unhideWhenUsed/>
    <w:rsid w:val="003D400F"/>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3D400F"/>
  </w:style>
  <w:style w:type="character" w:styleId="CommentReference">
    <w:name w:val="annotation reference"/>
    <w:basedOn w:val="DefaultParagraphFont"/>
    <w:uiPriority w:val="99"/>
    <w:semiHidden/>
    <w:unhideWhenUsed/>
    <w:rsid w:val="00E63CD0"/>
    <w:rPr>
      <w:sz w:val="16"/>
      <w:szCs w:val="16"/>
    </w:rPr>
  </w:style>
  <w:style w:type="paragraph" w:styleId="CommentText">
    <w:name w:val="annotation text"/>
    <w:basedOn w:val="Normal"/>
    <w:link w:val="CommentTextChar"/>
    <w:uiPriority w:val="99"/>
    <w:semiHidden/>
    <w:unhideWhenUsed/>
    <w:rsid w:val="00E63CD0"/>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E63CD0"/>
    <w:rPr>
      <w:sz w:val="20"/>
      <w:szCs w:val="20"/>
    </w:rPr>
  </w:style>
  <w:style w:type="paragraph" w:styleId="CommentSubject">
    <w:name w:val="annotation subject"/>
    <w:basedOn w:val="CommentText"/>
    <w:next w:val="CommentText"/>
    <w:link w:val="CommentSubjectChar"/>
    <w:uiPriority w:val="99"/>
    <w:semiHidden/>
    <w:unhideWhenUsed/>
    <w:rsid w:val="00E63CD0"/>
    <w:rPr>
      <w:b/>
      <w:bCs/>
    </w:rPr>
  </w:style>
  <w:style w:type="character" w:customStyle="1" w:styleId="CommentSubjectChar">
    <w:name w:val="Comment Subject Char"/>
    <w:basedOn w:val="CommentTextChar"/>
    <w:link w:val="CommentSubject"/>
    <w:uiPriority w:val="99"/>
    <w:semiHidden/>
    <w:rsid w:val="00E63CD0"/>
    <w:rPr>
      <w:b/>
      <w:bCs/>
      <w:sz w:val="20"/>
      <w:szCs w:val="20"/>
    </w:rPr>
  </w:style>
  <w:style w:type="paragraph" w:styleId="NormalWeb">
    <w:name w:val="Normal (Web)"/>
    <w:basedOn w:val="Normal"/>
    <w:uiPriority w:val="99"/>
    <w:unhideWhenUsed/>
    <w:rsid w:val="002A678A"/>
    <w:pPr>
      <w:spacing w:before="100" w:beforeAutospacing="1" w:after="100" w:afterAutospacing="1"/>
    </w:pPr>
  </w:style>
  <w:style w:type="character" w:styleId="Hyperlink">
    <w:name w:val="Hyperlink"/>
    <w:basedOn w:val="DefaultParagraphFont"/>
    <w:uiPriority w:val="99"/>
    <w:semiHidden/>
    <w:unhideWhenUsed/>
    <w:rsid w:val="00A42F28"/>
    <w:rPr>
      <w:color w:val="0000FF"/>
      <w:u w:val="single"/>
    </w:rPr>
  </w:style>
  <w:style w:type="character" w:styleId="Emphasis">
    <w:name w:val="Emphasis"/>
    <w:basedOn w:val="DefaultParagraphFont"/>
    <w:uiPriority w:val="20"/>
    <w:qFormat/>
    <w:rsid w:val="00A42F28"/>
    <w:rPr>
      <w:i/>
      <w:iCs/>
    </w:rPr>
  </w:style>
  <w:style w:type="paragraph" w:customStyle="1" w:styleId="myvuie">
    <w:name w:val="myvuie"/>
    <w:basedOn w:val="Normal"/>
    <w:rsid w:val="00A42F28"/>
    <w:pPr>
      <w:spacing w:before="100" w:beforeAutospacing="1" w:after="100" w:afterAutospacing="1"/>
    </w:pPr>
  </w:style>
  <w:style w:type="character" w:customStyle="1" w:styleId="Heading2Char">
    <w:name w:val="Heading 2 Char"/>
    <w:basedOn w:val="DefaultParagraphFont"/>
    <w:link w:val="Heading2"/>
    <w:uiPriority w:val="9"/>
    <w:rsid w:val="007D6DEB"/>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DF1331"/>
    <w:rPr>
      <w:rFonts w:asciiTheme="majorHAnsi" w:eastAsiaTheme="majorEastAsia" w:hAnsiTheme="majorHAnsi" w:cstheme="majorBidi"/>
      <w:color w:val="2F5496" w:themeColor="accent1" w:themeShade="BF"/>
      <w:sz w:val="32"/>
      <w:szCs w:val="32"/>
    </w:rPr>
  </w:style>
  <w:style w:type="character" w:styleId="PageNumber">
    <w:name w:val="page number"/>
    <w:basedOn w:val="DefaultParagraphFont"/>
    <w:uiPriority w:val="99"/>
    <w:semiHidden/>
    <w:unhideWhenUsed/>
    <w:rsid w:val="00E31354"/>
  </w:style>
  <w:style w:type="paragraph" w:styleId="NoSpacing">
    <w:name w:val="No Spacing"/>
    <w:link w:val="NoSpacingChar"/>
    <w:uiPriority w:val="1"/>
    <w:qFormat/>
    <w:rsid w:val="00E31354"/>
    <w:rPr>
      <w:rFonts w:eastAsiaTheme="minorEastAsia"/>
      <w:sz w:val="22"/>
      <w:szCs w:val="22"/>
      <w:lang w:val="en-US" w:eastAsia="zh-CN"/>
    </w:rPr>
  </w:style>
  <w:style w:type="character" w:customStyle="1" w:styleId="NoSpacingChar">
    <w:name w:val="No Spacing Char"/>
    <w:basedOn w:val="DefaultParagraphFont"/>
    <w:link w:val="NoSpacing"/>
    <w:uiPriority w:val="1"/>
    <w:rsid w:val="00E31354"/>
    <w:rPr>
      <w:rFonts w:eastAsiaTheme="minorEastAsia"/>
      <w:sz w:val="22"/>
      <w:szCs w:val="22"/>
      <w:lang w:val="en-US" w:eastAsia="zh-CN"/>
    </w:rPr>
  </w:style>
  <w:style w:type="character" w:customStyle="1" w:styleId="Heading3Char">
    <w:name w:val="Heading 3 Char"/>
    <w:basedOn w:val="DefaultParagraphFont"/>
    <w:link w:val="Heading3"/>
    <w:uiPriority w:val="9"/>
    <w:rsid w:val="00FD49EE"/>
    <w:rPr>
      <w:rFonts w:asciiTheme="majorHAnsi" w:eastAsiaTheme="majorEastAsia" w:hAnsiTheme="majorHAnsi" w:cstheme="majorBidi"/>
      <w:color w:val="1F3763" w:themeColor="accent1" w:themeShade="7F"/>
    </w:rPr>
  </w:style>
  <w:style w:type="character" w:customStyle="1" w:styleId="a">
    <w:name w:val="_"/>
    <w:basedOn w:val="DefaultParagraphFont"/>
    <w:rsid w:val="008C7C24"/>
  </w:style>
  <w:style w:type="character" w:customStyle="1" w:styleId="acopre1">
    <w:name w:val="acopre1"/>
    <w:basedOn w:val="DefaultParagraphFont"/>
    <w:rsid w:val="006F2E74"/>
  </w:style>
  <w:style w:type="table" w:styleId="TableGrid">
    <w:name w:val="Table Grid"/>
    <w:basedOn w:val="TableNormal"/>
    <w:uiPriority w:val="59"/>
    <w:rsid w:val="0087403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81946"/>
    <w:pPr>
      <w:keepNext/>
      <w:spacing w:before="120"/>
      <w:jc w:val="both"/>
    </w:pPr>
    <w:rPr>
      <w:rFonts w:asciiTheme="majorHAnsi" w:eastAsiaTheme="majorEastAsia" w:hAnsiTheme="majorHAnsi" w:cstheme="majorBidi"/>
      <w:b/>
      <w:b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69223">
      <w:bodyDiv w:val="1"/>
      <w:marLeft w:val="0"/>
      <w:marRight w:val="0"/>
      <w:marTop w:val="0"/>
      <w:marBottom w:val="0"/>
      <w:divBdr>
        <w:top w:val="none" w:sz="0" w:space="0" w:color="auto"/>
        <w:left w:val="none" w:sz="0" w:space="0" w:color="auto"/>
        <w:bottom w:val="none" w:sz="0" w:space="0" w:color="auto"/>
        <w:right w:val="none" w:sz="0" w:space="0" w:color="auto"/>
      </w:divBdr>
    </w:div>
    <w:div w:id="38170124">
      <w:bodyDiv w:val="1"/>
      <w:marLeft w:val="0"/>
      <w:marRight w:val="0"/>
      <w:marTop w:val="0"/>
      <w:marBottom w:val="0"/>
      <w:divBdr>
        <w:top w:val="none" w:sz="0" w:space="0" w:color="auto"/>
        <w:left w:val="none" w:sz="0" w:space="0" w:color="auto"/>
        <w:bottom w:val="none" w:sz="0" w:space="0" w:color="auto"/>
        <w:right w:val="none" w:sz="0" w:space="0" w:color="auto"/>
      </w:divBdr>
    </w:div>
    <w:div w:id="40520763">
      <w:bodyDiv w:val="1"/>
      <w:marLeft w:val="0"/>
      <w:marRight w:val="0"/>
      <w:marTop w:val="0"/>
      <w:marBottom w:val="0"/>
      <w:divBdr>
        <w:top w:val="none" w:sz="0" w:space="0" w:color="auto"/>
        <w:left w:val="none" w:sz="0" w:space="0" w:color="auto"/>
        <w:bottom w:val="none" w:sz="0" w:space="0" w:color="auto"/>
        <w:right w:val="none" w:sz="0" w:space="0" w:color="auto"/>
      </w:divBdr>
    </w:div>
    <w:div w:id="42411227">
      <w:bodyDiv w:val="1"/>
      <w:marLeft w:val="0"/>
      <w:marRight w:val="0"/>
      <w:marTop w:val="0"/>
      <w:marBottom w:val="0"/>
      <w:divBdr>
        <w:top w:val="none" w:sz="0" w:space="0" w:color="auto"/>
        <w:left w:val="none" w:sz="0" w:space="0" w:color="auto"/>
        <w:bottom w:val="none" w:sz="0" w:space="0" w:color="auto"/>
        <w:right w:val="none" w:sz="0" w:space="0" w:color="auto"/>
      </w:divBdr>
    </w:div>
    <w:div w:id="43065014">
      <w:bodyDiv w:val="1"/>
      <w:marLeft w:val="0"/>
      <w:marRight w:val="0"/>
      <w:marTop w:val="0"/>
      <w:marBottom w:val="0"/>
      <w:divBdr>
        <w:top w:val="none" w:sz="0" w:space="0" w:color="auto"/>
        <w:left w:val="none" w:sz="0" w:space="0" w:color="auto"/>
        <w:bottom w:val="none" w:sz="0" w:space="0" w:color="auto"/>
        <w:right w:val="none" w:sz="0" w:space="0" w:color="auto"/>
      </w:divBdr>
    </w:div>
    <w:div w:id="96294484">
      <w:bodyDiv w:val="1"/>
      <w:marLeft w:val="0"/>
      <w:marRight w:val="0"/>
      <w:marTop w:val="0"/>
      <w:marBottom w:val="0"/>
      <w:divBdr>
        <w:top w:val="none" w:sz="0" w:space="0" w:color="auto"/>
        <w:left w:val="none" w:sz="0" w:space="0" w:color="auto"/>
        <w:bottom w:val="none" w:sz="0" w:space="0" w:color="auto"/>
        <w:right w:val="none" w:sz="0" w:space="0" w:color="auto"/>
      </w:divBdr>
    </w:div>
    <w:div w:id="102190292">
      <w:bodyDiv w:val="1"/>
      <w:marLeft w:val="0"/>
      <w:marRight w:val="0"/>
      <w:marTop w:val="0"/>
      <w:marBottom w:val="0"/>
      <w:divBdr>
        <w:top w:val="none" w:sz="0" w:space="0" w:color="auto"/>
        <w:left w:val="none" w:sz="0" w:space="0" w:color="auto"/>
        <w:bottom w:val="none" w:sz="0" w:space="0" w:color="auto"/>
        <w:right w:val="none" w:sz="0" w:space="0" w:color="auto"/>
      </w:divBdr>
    </w:div>
    <w:div w:id="104036576">
      <w:bodyDiv w:val="1"/>
      <w:marLeft w:val="0"/>
      <w:marRight w:val="0"/>
      <w:marTop w:val="0"/>
      <w:marBottom w:val="0"/>
      <w:divBdr>
        <w:top w:val="none" w:sz="0" w:space="0" w:color="auto"/>
        <w:left w:val="none" w:sz="0" w:space="0" w:color="auto"/>
        <w:bottom w:val="none" w:sz="0" w:space="0" w:color="auto"/>
        <w:right w:val="none" w:sz="0" w:space="0" w:color="auto"/>
      </w:divBdr>
    </w:div>
    <w:div w:id="106585394">
      <w:bodyDiv w:val="1"/>
      <w:marLeft w:val="0"/>
      <w:marRight w:val="0"/>
      <w:marTop w:val="0"/>
      <w:marBottom w:val="0"/>
      <w:divBdr>
        <w:top w:val="none" w:sz="0" w:space="0" w:color="auto"/>
        <w:left w:val="none" w:sz="0" w:space="0" w:color="auto"/>
        <w:bottom w:val="none" w:sz="0" w:space="0" w:color="auto"/>
        <w:right w:val="none" w:sz="0" w:space="0" w:color="auto"/>
      </w:divBdr>
    </w:div>
    <w:div w:id="159276271">
      <w:bodyDiv w:val="1"/>
      <w:marLeft w:val="0"/>
      <w:marRight w:val="0"/>
      <w:marTop w:val="0"/>
      <w:marBottom w:val="0"/>
      <w:divBdr>
        <w:top w:val="none" w:sz="0" w:space="0" w:color="auto"/>
        <w:left w:val="none" w:sz="0" w:space="0" w:color="auto"/>
        <w:bottom w:val="none" w:sz="0" w:space="0" w:color="auto"/>
        <w:right w:val="none" w:sz="0" w:space="0" w:color="auto"/>
      </w:divBdr>
    </w:div>
    <w:div w:id="205148107">
      <w:bodyDiv w:val="1"/>
      <w:marLeft w:val="0"/>
      <w:marRight w:val="0"/>
      <w:marTop w:val="0"/>
      <w:marBottom w:val="0"/>
      <w:divBdr>
        <w:top w:val="none" w:sz="0" w:space="0" w:color="auto"/>
        <w:left w:val="none" w:sz="0" w:space="0" w:color="auto"/>
        <w:bottom w:val="none" w:sz="0" w:space="0" w:color="auto"/>
        <w:right w:val="none" w:sz="0" w:space="0" w:color="auto"/>
      </w:divBdr>
    </w:div>
    <w:div w:id="250353109">
      <w:bodyDiv w:val="1"/>
      <w:marLeft w:val="0"/>
      <w:marRight w:val="0"/>
      <w:marTop w:val="0"/>
      <w:marBottom w:val="0"/>
      <w:divBdr>
        <w:top w:val="none" w:sz="0" w:space="0" w:color="auto"/>
        <w:left w:val="none" w:sz="0" w:space="0" w:color="auto"/>
        <w:bottom w:val="none" w:sz="0" w:space="0" w:color="auto"/>
        <w:right w:val="none" w:sz="0" w:space="0" w:color="auto"/>
      </w:divBdr>
    </w:div>
    <w:div w:id="262686533">
      <w:bodyDiv w:val="1"/>
      <w:marLeft w:val="0"/>
      <w:marRight w:val="0"/>
      <w:marTop w:val="0"/>
      <w:marBottom w:val="0"/>
      <w:divBdr>
        <w:top w:val="none" w:sz="0" w:space="0" w:color="auto"/>
        <w:left w:val="none" w:sz="0" w:space="0" w:color="auto"/>
        <w:bottom w:val="none" w:sz="0" w:space="0" w:color="auto"/>
        <w:right w:val="none" w:sz="0" w:space="0" w:color="auto"/>
      </w:divBdr>
    </w:div>
    <w:div w:id="263000656">
      <w:bodyDiv w:val="1"/>
      <w:marLeft w:val="0"/>
      <w:marRight w:val="0"/>
      <w:marTop w:val="0"/>
      <w:marBottom w:val="0"/>
      <w:divBdr>
        <w:top w:val="none" w:sz="0" w:space="0" w:color="auto"/>
        <w:left w:val="none" w:sz="0" w:space="0" w:color="auto"/>
        <w:bottom w:val="none" w:sz="0" w:space="0" w:color="auto"/>
        <w:right w:val="none" w:sz="0" w:space="0" w:color="auto"/>
      </w:divBdr>
    </w:div>
    <w:div w:id="308752168">
      <w:bodyDiv w:val="1"/>
      <w:marLeft w:val="0"/>
      <w:marRight w:val="0"/>
      <w:marTop w:val="0"/>
      <w:marBottom w:val="0"/>
      <w:divBdr>
        <w:top w:val="none" w:sz="0" w:space="0" w:color="auto"/>
        <w:left w:val="none" w:sz="0" w:space="0" w:color="auto"/>
        <w:bottom w:val="none" w:sz="0" w:space="0" w:color="auto"/>
        <w:right w:val="none" w:sz="0" w:space="0" w:color="auto"/>
      </w:divBdr>
    </w:div>
    <w:div w:id="331689754">
      <w:bodyDiv w:val="1"/>
      <w:marLeft w:val="0"/>
      <w:marRight w:val="0"/>
      <w:marTop w:val="0"/>
      <w:marBottom w:val="0"/>
      <w:divBdr>
        <w:top w:val="none" w:sz="0" w:space="0" w:color="auto"/>
        <w:left w:val="none" w:sz="0" w:space="0" w:color="auto"/>
        <w:bottom w:val="none" w:sz="0" w:space="0" w:color="auto"/>
        <w:right w:val="none" w:sz="0" w:space="0" w:color="auto"/>
      </w:divBdr>
    </w:div>
    <w:div w:id="350113801">
      <w:bodyDiv w:val="1"/>
      <w:marLeft w:val="0"/>
      <w:marRight w:val="0"/>
      <w:marTop w:val="0"/>
      <w:marBottom w:val="0"/>
      <w:divBdr>
        <w:top w:val="none" w:sz="0" w:space="0" w:color="auto"/>
        <w:left w:val="none" w:sz="0" w:space="0" w:color="auto"/>
        <w:bottom w:val="none" w:sz="0" w:space="0" w:color="auto"/>
        <w:right w:val="none" w:sz="0" w:space="0" w:color="auto"/>
      </w:divBdr>
    </w:div>
    <w:div w:id="378819573">
      <w:bodyDiv w:val="1"/>
      <w:marLeft w:val="0"/>
      <w:marRight w:val="0"/>
      <w:marTop w:val="0"/>
      <w:marBottom w:val="0"/>
      <w:divBdr>
        <w:top w:val="none" w:sz="0" w:space="0" w:color="auto"/>
        <w:left w:val="none" w:sz="0" w:space="0" w:color="auto"/>
        <w:bottom w:val="none" w:sz="0" w:space="0" w:color="auto"/>
        <w:right w:val="none" w:sz="0" w:space="0" w:color="auto"/>
      </w:divBdr>
    </w:div>
    <w:div w:id="383066247">
      <w:bodyDiv w:val="1"/>
      <w:marLeft w:val="0"/>
      <w:marRight w:val="0"/>
      <w:marTop w:val="0"/>
      <w:marBottom w:val="0"/>
      <w:divBdr>
        <w:top w:val="none" w:sz="0" w:space="0" w:color="auto"/>
        <w:left w:val="none" w:sz="0" w:space="0" w:color="auto"/>
        <w:bottom w:val="none" w:sz="0" w:space="0" w:color="auto"/>
        <w:right w:val="none" w:sz="0" w:space="0" w:color="auto"/>
      </w:divBdr>
    </w:div>
    <w:div w:id="384061715">
      <w:bodyDiv w:val="1"/>
      <w:marLeft w:val="0"/>
      <w:marRight w:val="0"/>
      <w:marTop w:val="0"/>
      <w:marBottom w:val="0"/>
      <w:divBdr>
        <w:top w:val="none" w:sz="0" w:space="0" w:color="auto"/>
        <w:left w:val="none" w:sz="0" w:space="0" w:color="auto"/>
        <w:bottom w:val="none" w:sz="0" w:space="0" w:color="auto"/>
        <w:right w:val="none" w:sz="0" w:space="0" w:color="auto"/>
      </w:divBdr>
    </w:div>
    <w:div w:id="406879663">
      <w:bodyDiv w:val="1"/>
      <w:marLeft w:val="0"/>
      <w:marRight w:val="0"/>
      <w:marTop w:val="0"/>
      <w:marBottom w:val="0"/>
      <w:divBdr>
        <w:top w:val="none" w:sz="0" w:space="0" w:color="auto"/>
        <w:left w:val="none" w:sz="0" w:space="0" w:color="auto"/>
        <w:bottom w:val="none" w:sz="0" w:space="0" w:color="auto"/>
        <w:right w:val="none" w:sz="0" w:space="0" w:color="auto"/>
      </w:divBdr>
    </w:div>
    <w:div w:id="481629526">
      <w:bodyDiv w:val="1"/>
      <w:marLeft w:val="0"/>
      <w:marRight w:val="0"/>
      <w:marTop w:val="0"/>
      <w:marBottom w:val="0"/>
      <w:divBdr>
        <w:top w:val="none" w:sz="0" w:space="0" w:color="auto"/>
        <w:left w:val="none" w:sz="0" w:space="0" w:color="auto"/>
        <w:bottom w:val="none" w:sz="0" w:space="0" w:color="auto"/>
        <w:right w:val="none" w:sz="0" w:space="0" w:color="auto"/>
      </w:divBdr>
    </w:div>
    <w:div w:id="487286324">
      <w:bodyDiv w:val="1"/>
      <w:marLeft w:val="0"/>
      <w:marRight w:val="0"/>
      <w:marTop w:val="0"/>
      <w:marBottom w:val="0"/>
      <w:divBdr>
        <w:top w:val="none" w:sz="0" w:space="0" w:color="auto"/>
        <w:left w:val="none" w:sz="0" w:space="0" w:color="auto"/>
        <w:bottom w:val="none" w:sz="0" w:space="0" w:color="auto"/>
        <w:right w:val="none" w:sz="0" w:space="0" w:color="auto"/>
      </w:divBdr>
      <w:divsChild>
        <w:div w:id="797334281">
          <w:marLeft w:val="0"/>
          <w:marRight w:val="0"/>
          <w:marTop w:val="0"/>
          <w:marBottom w:val="0"/>
          <w:divBdr>
            <w:top w:val="none" w:sz="0" w:space="0" w:color="auto"/>
            <w:left w:val="none" w:sz="0" w:space="0" w:color="auto"/>
            <w:bottom w:val="none" w:sz="0" w:space="0" w:color="auto"/>
            <w:right w:val="none" w:sz="0" w:space="0" w:color="auto"/>
          </w:divBdr>
          <w:divsChild>
            <w:div w:id="97796599">
              <w:marLeft w:val="0"/>
              <w:marRight w:val="0"/>
              <w:marTop w:val="0"/>
              <w:marBottom w:val="0"/>
              <w:divBdr>
                <w:top w:val="none" w:sz="0" w:space="0" w:color="auto"/>
                <w:left w:val="none" w:sz="0" w:space="0" w:color="auto"/>
                <w:bottom w:val="none" w:sz="0" w:space="0" w:color="auto"/>
                <w:right w:val="none" w:sz="0" w:space="0" w:color="auto"/>
              </w:divBdr>
              <w:divsChild>
                <w:div w:id="1915822299">
                  <w:marLeft w:val="0"/>
                  <w:marRight w:val="0"/>
                  <w:marTop w:val="0"/>
                  <w:marBottom w:val="0"/>
                  <w:divBdr>
                    <w:top w:val="none" w:sz="0" w:space="0" w:color="auto"/>
                    <w:left w:val="none" w:sz="0" w:space="0" w:color="auto"/>
                    <w:bottom w:val="none" w:sz="0" w:space="0" w:color="auto"/>
                    <w:right w:val="none" w:sz="0" w:space="0" w:color="auto"/>
                  </w:divBdr>
                  <w:divsChild>
                    <w:div w:id="57567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00406">
          <w:marLeft w:val="0"/>
          <w:marRight w:val="0"/>
          <w:marTop w:val="0"/>
          <w:marBottom w:val="0"/>
          <w:divBdr>
            <w:top w:val="none" w:sz="0" w:space="0" w:color="auto"/>
            <w:left w:val="none" w:sz="0" w:space="0" w:color="auto"/>
            <w:bottom w:val="none" w:sz="0" w:space="0" w:color="auto"/>
            <w:right w:val="none" w:sz="0" w:space="0" w:color="auto"/>
          </w:divBdr>
          <w:divsChild>
            <w:div w:id="959188042">
              <w:marLeft w:val="0"/>
              <w:marRight w:val="0"/>
              <w:marTop w:val="0"/>
              <w:marBottom w:val="0"/>
              <w:divBdr>
                <w:top w:val="none" w:sz="0" w:space="0" w:color="auto"/>
                <w:left w:val="none" w:sz="0" w:space="0" w:color="auto"/>
                <w:bottom w:val="none" w:sz="0" w:space="0" w:color="auto"/>
                <w:right w:val="none" w:sz="0" w:space="0" w:color="auto"/>
              </w:divBdr>
              <w:divsChild>
                <w:div w:id="33993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307360">
      <w:bodyDiv w:val="1"/>
      <w:marLeft w:val="0"/>
      <w:marRight w:val="0"/>
      <w:marTop w:val="0"/>
      <w:marBottom w:val="0"/>
      <w:divBdr>
        <w:top w:val="none" w:sz="0" w:space="0" w:color="auto"/>
        <w:left w:val="none" w:sz="0" w:space="0" w:color="auto"/>
        <w:bottom w:val="none" w:sz="0" w:space="0" w:color="auto"/>
        <w:right w:val="none" w:sz="0" w:space="0" w:color="auto"/>
      </w:divBdr>
    </w:div>
    <w:div w:id="538317924">
      <w:bodyDiv w:val="1"/>
      <w:marLeft w:val="0"/>
      <w:marRight w:val="0"/>
      <w:marTop w:val="0"/>
      <w:marBottom w:val="0"/>
      <w:divBdr>
        <w:top w:val="none" w:sz="0" w:space="0" w:color="auto"/>
        <w:left w:val="none" w:sz="0" w:space="0" w:color="auto"/>
        <w:bottom w:val="none" w:sz="0" w:space="0" w:color="auto"/>
        <w:right w:val="none" w:sz="0" w:space="0" w:color="auto"/>
      </w:divBdr>
    </w:div>
    <w:div w:id="565995478">
      <w:bodyDiv w:val="1"/>
      <w:marLeft w:val="0"/>
      <w:marRight w:val="0"/>
      <w:marTop w:val="0"/>
      <w:marBottom w:val="0"/>
      <w:divBdr>
        <w:top w:val="none" w:sz="0" w:space="0" w:color="auto"/>
        <w:left w:val="none" w:sz="0" w:space="0" w:color="auto"/>
        <w:bottom w:val="none" w:sz="0" w:space="0" w:color="auto"/>
        <w:right w:val="none" w:sz="0" w:space="0" w:color="auto"/>
      </w:divBdr>
    </w:div>
    <w:div w:id="593590243">
      <w:bodyDiv w:val="1"/>
      <w:marLeft w:val="0"/>
      <w:marRight w:val="0"/>
      <w:marTop w:val="0"/>
      <w:marBottom w:val="0"/>
      <w:divBdr>
        <w:top w:val="none" w:sz="0" w:space="0" w:color="auto"/>
        <w:left w:val="none" w:sz="0" w:space="0" w:color="auto"/>
        <w:bottom w:val="none" w:sz="0" w:space="0" w:color="auto"/>
        <w:right w:val="none" w:sz="0" w:space="0" w:color="auto"/>
      </w:divBdr>
    </w:div>
    <w:div w:id="599333451">
      <w:bodyDiv w:val="1"/>
      <w:marLeft w:val="0"/>
      <w:marRight w:val="0"/>
      <w:marTop w:val="0"/>
      <w:marBottom w:val="0"/>
      <w:divBdr>
        <w:top w:val="none" w:sz="0" w:space="0" w:color="auto"/>
        <w:left w:val="none" w:sz="0" w:space="0" w:color="auto"/>
        <w:bottom w:val="none" w:sz="0" w:space="0" w:color="auto"/>
        <w:right w:val="none" w:sz="0" w:space="0" w:color="auto"/>
      </w:divBdr>
    </w:div>
    <w:div w:id="654795163">
      <w:bodyDiv w:val="1"/>
      <w:marLeft w:val="0"/>
      <w:marRight w:val="0"/>
      <w:marTop w:val="0"/>
      <w:marBottom w:val="0"/>
      <w:divBdr>
        <w:top w:val="none" w:sz="0" w:space="0" w:color="auto"/>
        <w:left w:val="none" w:sz="0" w:space="0" w:color="auto"/>
        <w:bottom w:val="none" w:sz="0" w:space="0" w:color="auto"/>
        <w:right w:val="none" w:sz="0" w:space="0" w:color="auto"/>
      </w:divBdr>
      <w:divsChild>
        <w:div w:id="1092162185">
          <w:marLeft w:val="0"/>
          <w:marRight w:val="0"/>
          <w:marTop w:val="0"/>
          <w:marBottom w:val="0"/>
          <w:divBdr>
            <w:top w:val="none" w:sz="0" w:space="0" w:color="auto"/>
            <w:left w:val="none" w:sz="0" w:space="0" w:color="auto"/>
            <w:bottom w:val="none" w:sz="0" w:space="0" w:color="auto"/>
            <w:right w:val="none" w:sz="0" w:space="0" w:color="auto"/>
          </w:divBdr>
          <w:divsChild>
            <w:div w:id="1711033441">
              <w:marLeft w:val="0"/>
              <w:marRight w:val="0"/>
              <w:marTop w:val="0"/>
              <w:marBottom w:val="0"/>
              <w:divBdr>
                <w:top w:val="none" w:sz="0" w:space="0" w:color="auto"/>
                <w:left w:val="none" w:sz="0" w:space="0" w:color="auto"/>
                <w:bottom w:val="none" w:sz="0" w:space="0" w:color="auto"/>
                <w:right w:val="none" w:sz="0" w:space="0" w:color="auto"/>
              </w:divBdr>
              <w:divsChild>
                <w:div w:id="127494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809643">
      <w:bodyDiv w:val="1"/>
      <w:marLeft w:val="0"/>
      <w:marRight w:val="0"/>
      <w:marTop w:val="0"/>
      <w:marBottom w:val="0"/>
      <w:divBdr>
        <w:top w:val="none" w:sz="0" w:space="0" w:color="auto"/>
        <w:left w:val="none" w:sz="0" w:space="0" w:color="auto"/>
        <w:bottom w:val="none" w:sz="0" w:space="0" w:color="auto"/>
        <w:right w:val="none" w:sz="0" w:space="0" w:color="auto"/>
      </w:divBdr>
    </w:div>
    <w:div w:id="724983532">
      <w:bodyDiv w:val="1"/>
      <w:marLeft w:val="0"/>
      <w:marRight w:val="0"/>
      <w:marTop w:val="0"/>
      <w:marBottom w:val="0"/>
      <w:divBdr>
        <w:top w:val="none" w:sz="0" w:space="0" w:color="auto"/>
        <w:left w:val="none" w:sz="0" w:space="0" w:color="auto"/>
        <w:bottom w:val="none" w:sz="0" w:space="0" w:color="auto"/>
        <w:right w:val="none" w:sz="0" w:space="0" w:color="auto"/>
      </w:divBdr>
    </w:div>
    <w:div w:id="738791827">
      <w:bodyDiv w:val="1"/>
      <w:marLeft w:val="0"/>
      <w:marRight w:val="0"/>
      <w:marTop w:val="0"/>
      <w:marBottom w:val="0"/>
      <w:divBdr>
        <w:top w:val="none" w:sz="0" w:space="0" w:color="auto"/>
        <w:left w:val="none" w:sz="0" w:space="0" w:color="auto"/>
        <w:bottom w:val="none" w:sz="0" w:space="0" w:color="auto"/>
        <w:right w:val="none" w:sz="0" w:space="0" w:color="auto"/>
      </w:divBdr>
    </w:div>
    <w:div w:id="747384852">
      <w:bodyDiv w:val="1"/>
      <w:marLeft w:val="0"/>
      <w:marRight w:val="0"/>
      <w:marTop w:val="0"/>
      <w:marBottom w:val="0"/>
      <w:divBdr>
        <w:top w:val="none" w:sz="0" w:space="0" w:color="auto"/>
        <w:left w:val="none" w:sz="0" w:space="0" w:color="auto"/>
        <w:bottom w:val="none" w:sz="0" w:space="0" w:color="auto"/>
        <w:right w:val="none" w:sz="0" w:space="0" w:color="auto"/>
      </w:divBdr>
    </w:div>
    <w:div w:id="751509498">
      <w:bodyDiv w:val="1"/>
      <w:marLeft w:val="0"/>
      <w:marRight w:val="0"/>
      <w:marTop w:val="0"/>
      <w:marBottom w:val="0"/>
      <w:divBdr>
        <w:top w:val="none" w:sz="0" w:space="0" w:color="auto"/>
        <w:left w:val="none" w:sz="0" w:space="0" w:color="auto"/>
        <w:bottom w:val="none" w:sz="0" w:space="0" w:color="auto"/>
        <w:right w:val="none" w:sz="0" w:space="0" w:color="auto"/>
      </w:divBdr>
    </w:div>
    <w:div w:id="757294433">
      <w:bodyDiv w:val="1"/>
      <w:marLeft w:val="0"/>
      <w:marRight w:val="0"/>
      <w:marTop w:val="0"/>
      <w:marBottom w:val="0"/>
      <w:divBdr>
        <w:top w:val="none" w:sz="0" w:space="0" w:color="auto"/>
        <w:left w:val="none" w:sz="0" w:space="0" w:color="auto"/>
        <w:bottom w:val="none" w:sz="0" w:space="0" w:color="auto"/>
        <w:right w:val="none" w:sz="0" w:space="0" w:color="auto"/>
      </w:divBdr>
    </w:div>
    <w:div w:id="764544700">
      <w:bodyDiv w:val="1"/>
      <w:marLeft w:val="0"/>
      <w:marRight w:val="0"/>
      <w:marTop w:val="0"/>
      <w:marBottom w:val="0"/>
      <w:divBdr>
        <w:top w:val="none" w:sz="0" w:space="0" w:color="auto"/>
        <w:left w:val="none" w:sz="0" w:space="0" w:color="auto"/>
        <w:bottom w:val="none" w:sz="0" w:space="0" w:color="auto"/>
        <w:right w:val="none" w:sz="0" w:space="0" w:color="auto"/>
      </w:divBdr>
    </w:div>
    <w:div w:id="863710720">
      <w:bodyDiv w:val="1"/>
      <w:marLeft w:val="0"/>
      <w:marRight w:val="0"/>
      <w:marTop w:val="0"/>
      <w:marBottom w:val="0"/>
      <w:divBdr>
        <w:top w:val="none" w:sz="0" w:space="0" w:color="auto"/>
        <w:left w:val="none" w:sz="0" w:space="0" w:color="auto"/>
        <w:bottom w:val="none" w:sz="0" w:space="0" w:color="auto"/>
        <w:right w:val="none" w:sz="0" w:space="0" w:color="auto"/>
      </w:divBdr>
    </w:div>
    <w:div w:id="878401258">
      <w:bodyDiv w:val="1"/>
      <w:marLeft w:val="0"/>
      <w:marRight w:val="0"/>
      <w:marTop w:val="0"/>
      <w:marBottom w:val="0"/>
      <w:divBdr>
        <w:top w:val="none" w:sz="0" w:space="0" w:color="auto"/>
        <w:left w:val="none" w:sz="0" w:space="0" w:color="auto"/>
        <w:bottom w:val="none" w:sz="0" w:space="0" w:color="auto"/>
        <w:right w:val="none" w:sz="0" w:space="0" w:color="auto"/>
      </w:divBdr>
    </w:div>
    <w:div w:id="948272990">
      <w:bodyDiv w:val="1"/>
      <w:marLeft w:val="0"/>
      <w:marRight w:val="0"/>
      <w:marTop w:val="0"/>
      <w:marBottom w:val="0"/>
      <w:divBdr>
        <w:top w:val="none" w:sz="0" w:space="0" w:color="auto"/>
        <w:left w:val="none" w:sz="0" w:space="0" w:color="auto"/>
        <w:bottom w:val="none" w:sz="0" w:space="0" w:color="auto"/>
        <w:right w:val="none" w:sz="0" w:space="0" w:color="auto"/>
      </w:divBdr>
    </w:div>
    <w:div w:id="983772983">
      <w:bodyDiv w:val="1"/>
      <w:marLeft w:val="0"/>
      <w:marRight w:val="0"/>
      <w:marTop w:val="0"/>
      <w:marBottom w:val="0"/>
      <w:divBdr>
        <w:top w:val="none" w:sz="0" w:space="0" w:color="auto"/>
        <w:left w:val="none" w:sz="0" w:space="0" w:color="auto"/>
        <w:bottom w:val="none" w:sz="0" w:space="0" w:color="auto"/>
        <w:right w:val="none" w:sz="0" w:space="0" w:color="auto"/>
      </w:divBdr>
      <w:divsChild>
        <w:div w:id="16123649">
          <w:marLeft w:val="0"/>
          <w:marRight w:val="0"/>
          <w:marTop w:val="0"/>
          <w:marBottom w:val="0"/>
          <w:divBdr>
            <w:top w:val="none" w:sz="0" w:space="0" w:color="auto"/>
            <w:left w:val="none" w:sz="0" w:space="0" w:color="auto"/>
            <w:bottom w:val="none" w:sz="0" w:space="0" w:color="auto"/>
            <w:right w:val="none" w:sz="0" w:space="0" w:color="auto"/>
          </w:divBdr>
          <w:divsChild>
            <w:div w:id="1547520138">
              <w:marLeft w:val="0"/>
              <w:marRight w:val="0"/>
              <w:marTop w:val="0"/>
              <w:marBottom w:val="0"/>
              <w:divBdr>
                <w:top w:val="none" w:sz="0" w:space="0" w:color="auto"/>
                <w:left w:val="none" w:sz="0" w:space="0" w:color="auto"/>
                <w:bottom w:val="none" w:sz="0" w:space="0" w:color="auto"/>
                <w:right w:val="none" w:sz="0" w:space="0" w:color="auto"/>
              </w:divBdr>
              <w:divsChild>
                <w:div w:id="397872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596871">
      <w:bodyDiv w:val="1"/>
      <w:marLeft w:val="0"/>
      <w:marRight w:val="0"/>
      <w:marTop w:val="0"/>
      <w:marBottom w:val="0"/>
      <w:divBdr>
        <w:top w:val="none" w:sz="0" w:space="0" w:color="auto"/>
        <w:left w:val="none" w:sz="0" w:space="0" w:color="auto"/>
        <w:bottom w:val="none" w:sz="0" w:space="0" w:color="auto"/>
        <w:right w:val="none" w:sz="0" w:space="0" w:color="auto"/>
      </w:divBdr>
    </w:div>
    <w:div w:id="1009333467">
      <w:bodyDiv w:val="1"/>
      <w:marLeft w:val="0"/>
      <w:marRight w:val="0"/>
      <w:marTop w:val="0"/>
      <w:marBottom w:val="0"/>
      <w:divBdr>
        <w:top w:val="none" w:sz="0" w:space="0" w:color="auto"/>
        <w:left w:val="none" w:sz="0" w:space="0" w:color="auto"/>
        <w:bottom w:val="none" w:sz="0" w:space="0" w:color="auto"/>
        <w:right w:val="none" w:sz="0" w:space="0" w:color="auto"/>
      </w:divBdr>
      <w:divsChild>
        <w:div w:id="1912037855">
          <w:marLeft w:val="0"/>
          <w:marRight w:val="0"/>
          <w:marTop w:val="0"/>
          <w:marBottom w:val="0"/>
          <w:divBdr>
            <w:top w:val="none" w:sz="0" w:space="0" w:color="auto"/>
            <w:left w:val="none" w:sz="0" w:space="0" w:color="auto"/>
            <w:bottom w:val="none" w:sz="0" w:space="0" w:color="auto"/>
            <w:right w:val="none" w:sz="0" w:space="0" w:color="auto"/>
          </w:divBdr>
          <w:divsChild>
            <w:div w:id="1363363664">
              <w:marLeft w:val="0"/>
              <w:marRight w:val="0"/>
              <w:marTop w:val="0"/>
              <w:marBottom w:val="0"/>
              <w:divBdr>
                <w:top w:val="none" w:sz="0" w:space="0" w:color="auto"/>
                <w:left w:val="none" w:sz="0" w:space="0" w:color="auto"/>
                <w:bottom w:val="none" w:sz="0" w:space="0" w:color="auto"/>
                <w:right w:val="none" w:sz="0" w:space="0" w:color="auto"/>
              </w:divBdr>
              <w:divsChild>
                <w:div w:id="51662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910588">
      <w:bodyDiv w:val="1"/>
      <w:marLeft w:val="0"/>
      <w:marRight w:val="0"/>
      <w:marTop w:val="0"/>
      <w:marBottom w:val="0"/>
      <w:divBdr>
        <w:top w:val="none" w:sz="0" w:space="0" w:color="auto"/>
        <w:left w:val="none" w:sz="0" w:space="0" w:color="auto"/>
        <w:bottom w:val="none" w:sz="0" w:space="0" w:color="auto"/>
        <w:right w:val="none" w:sz="0" w:space="0" w:color="auto"/>
      </w:divBdr>
    </w:div>
    <w:div w:id="1061363352">
      <w:bodyDiv w:val="1"/>
      <w:marLeft w:val="0"/>
      <w:marRight w:val="0"/>
      <w:marTop w:val="0"/>
      <w:marBottom w:val="0"/>
      <w:divBdr>
        <w:top w:val="none" w:sz="0" w:space="0" w:color="auto"/>
        <w:left w:val="none" w:sz="0" w:space="0" w:color="auto"/>
        <w:bottom w:val="none" w:sz="0" w:space="0" w:color="auto"/>
        <w:right w:val="none" w:sz="0" w:space="0" w:color="auto"/>
      </w:divBdr>
    </w:div>
    <w:div w:id="1121923231">
      <w:bodyDiv w:val="1"/>
      <w:marLeft w:val="0"/>
      <w:marRight w:val="0"/>
      <w:marTop w:val="0"/>
      <w:marBottom w:val="0"/>
      <w:divBdr>
        <w:top w:val="none" w:sz="0" w:space="0" w:color="auto"/>
        <w:left w:val="none" w:sz="0" w:space="0" w:color="auto"/>
        <w:bottom w:val="none" w:sz="0" w:space="0" w:color="auto"/>
        <w:right w:val="none" w:sz="0" w:space="0" w:color="auto"/>
      </w:divBdr>
    </w:div>
    <w:div w:id="1142581810">
      <w:bodyDiv w:val="1"/>
      <w:marLeft w:val="0"/>
      <w:marRight w:val="0"/>
      <w:marTop w:val="0"/>
      <w:marBottom w:val="0"/>
      <w:divBdr>
        <w:top w:val="none" w:sz="0" w:space="0" w:color="auto"/>
        <w:left w:val="none" w:sz="0" w:space="0" w:color="auto"/>
        <w:bottom w:val="none" w:sz="0" w:space="0" w:color="auto"/>
        <w:right w:val="none" w:sz="0" w:space="0" w:color="auto"/>
      </w:divBdr>
    </w:div>
    <w:div w:id="1163354916">
      <w:bodyDiv w:val="1"/>
      <w:marLeft w:val="0"/>
      <w:marRight w:val="0"/>
      <w:marTop w:val="0"/>
      <w:marBottom w:val="0"/>
      <w:divBdr>
        <w:top w:val="none" w:sz="0" w:space="0" w:color="auto"/>
        <w:left w:val="none" w:sz="0" w:space="0" w:color="auto"/>
        <w:bottom w:val="none" w:sz="0" w:space="0" w:color="auto"/>
        <w:right w:val="none" w:sz="0" w:space="0" w:color="auto"/>
      </w:divBdr>
    </w:div>
    <w:div w:id="1172842593">
      <w:bodyDiv w:val="1"/>
      <w:marLeft w:val="0"/>
      <w:marRight w:val="0"/>
      <w:marTop w:val="0"/>
      <w:marBottom w:val="0"/>
      <w:divBdr>
        <w:top w:val="none" w:sz="0" w:space="0" w:color="auto"/>
        <w:left w:val="none" w:sz="0" w:space="0" w:color="auto"/>
        <w:bottom w:val="none" w:sz="0" w:space="0" w:color="auto"/>
        <w:right w:val="none" w:sz="0" w:space="0" w:color="auto"/>
      </w:divBdr>
    </w:div>
    <w:div w:id="1193609188">
      <w:bodyDiv w:val="1"/>
      <w:marLeft w:val="0"/>
      <w:marRight w:val="0"/>
      <w:marTop w:val="0"/>
      <w:marBottom w:val="0"/>
      <w:divBdr>
        <w:top w:val="none" w:sz="0" w:space="0" w:color="auto"/>
        <w:left w:val="none" w:sz="0" w:space="0" w:color="auto"/>
        <w:bottom w:val="none" w:sz="0" w:space="0" w:color="auto"/>
        <w:right w:val="none" w:sz="0" w:space="0" w:color="auto"/>
      </w:divBdr>
    </w:div>
    <w:div w:id="1216576749">
      <w:bodyDiv w:val="1"/>
      <w:marLeft w:val="0"/>
      <w:marRight w:val="0"/>
      <w:marTop w:val="0"/>
      <w:marBottom w:val="0"/>
      <w:divBdr>
        <w:top w:val="none" w:sz="0" w:space="0" w:color="auto"/>
        <w:left w:val="none" w:sz="0" w:space="0" w:color="auto"/>
        <w:bottom w:val="none" w:sz="0" w:space="0" w:color="auto"/>
        <w:right w:val="none" w:sz="0" w:space="0" w:color="auto"/>
      </w:divBdr>
    </w:div>
    <w:div w:id="1216964432">
      <w:bodyDiv w:val="1"/>
      <w:marLeft w:val="0"/>
      <w:marRight w:val="0"/>
      <w:marTop w:val="0"/>
      <w:marBottom w:val="0"/>
      <w:divBdr>
        <w:top w:val="none" w:sz="0" w:space="0" w:color="auto"/>
        <w:left w:val="none" w:sz="0" w:space="0" w:color="auto"/>
        <w:bottom w:val="none" w:sz="0" w:space="0" w:color="auto"/>
        <w:right w:val="none" w:sz="0" w:space="0" w:color="auto"/>
      </w:divBdr>
    </w:div>
    <w:div w:id="1220940781">
      <w:bodyDiv w:val="1"/>
      <w:marLeft w:val="0"/>
      <w:marRight w:val="0"/>
      <w:marTop w:val="0"/>
      <w:marBottom w:val="0"/>
      <w:divBdr>
        <w:top w:val="none" w:sz="0" w:space="0" w:color="auto"/>
        <w:left w:val="none" w:sz="0" w:space="0" w:color="auto"/>
        <w:bottom w:val="none" w:sz="0" w:space="0" w:color="auto"/>
        <w:right w:val="none" w:sz="0" w:space="0" w:color="auto"/>
      </w:divBdr>
    </w:div>
    <w:div w:id="1289629620">
      <w:bodyDiv w:val="1"/>
      <w:marLeft w:val="0"/>
      <w:marRight w:val="0"/>
      <w:marTop w:val="0"/>
      <w:marBottom w:val="0"/>
      <w:divBdr>
        <w:top w:val="none" w:sz="0" w:space="0" w:color="auto"/>
        <w:left w:val="none" w:sz="0" w:space="0" w:color="auto"/>
        <w:bottom w:val="none" w:sz="0" w:space="0" w:color="auto"/>
        <w:right w:val="none" w:sz="0" w:space="0" w:color="auto"/>
      </w:divBdr>
    </w:div>
    <w:div w:id="1358847341">
      <w:bodyDiv w:val="1"/>
      <w:marLeft w:val="0"/>
      <w:marRight w:val="0"/>
      <w:marTop w:val="0"/>
      <w:marBottom w:val="0"/>
      <w:divBdr>
        <w:top w:val="none" w:sz="0" w:space="0" w:color="auto"/>
        <w:left w:val="none" w:sz="0" w:space="0" w:color="auto"/>
        <w:bottom w:val="none" w:sz="0" w:space="0" w:color="auto"/>
        <w:right w:val="none" w:sz="0" w:space="0" w:color="auto"/>
      </w:divBdr>
    </w:div>
    <w:div w:id="1361275654">
      <w:bodyDiv w:val="1"/>
      <w:marLeft w:val="0"/>
      <w:marRight w:val="0"/>
      <w:marTop w:val="0"/>
      <w:marBottom w:val="0"/>
      <w:divBdr>
        <w:top w:val="none" w:sz="0" w:space="0" w:color="auto"/>
        <w:left w:val="none" w:sz="0" w:space="0" w:color="auto"/>
        <w:bottom w:val="none" w:sz="0" w:space="0" w:color="auto"/>
        <w:right w:val="none" w:sz="0" w:space="0" w:color="auto"/>
      </w:divBdr>
    </w:div>
    <w:div w:id="1365443719">
      <w:bodyDiv w:val="1"/>
      <w:marLeft w:val="0"/>
      <w:marRight w:val="0"/>
      <w:marTop w:val="0"/>
      <w:marBottom w:val="0"/>
      <w:divBdr>
        <w:top w:val="none" w:sz="0" w:space="0" w:color="auto"/>
        <w:left w:val="none" w:sz="0" w:space="0" w:color="auto"/>
        <w:bottom w:val="none" w:sz="0" w:space="0" w:color="auto"/>
        <w:right w:val="none" w:sz="0" w:space="0" w:color="auto"/>
      </w:divBdr>
    </w:div>
    <w:div w:id="1375426098">
      <w:bodyDiv w:val="1"/>
      <w:marLeft w:val="0"/>
      <w:marRight w:val="0"/>
      <w:marTop w:val="0"/>
      <w:marBottom w:val="0"/>
      <w:divBdr>
        <w:top w:val="none" w:sz="0" w:space="0" w:color="auto"/>
        <w:left w:val="none" w:sz="0" w:space="0" w:color="auto"/>
        <w:bottom w:val="none" w:sz="0" w:space="0" w:color="auto"/>
        <w:right w:val="none" w:sz="0" w:space="0" w:color="auto"/>
      </w:divBdr>
    </w:div>
    <w:div w:id="1396471543">
      <w:bodyDiv w:val="1"/>
      <w:marLeft w:val="0"/>
      <w:marRight w:val="0"/>
      <w:marTop w:val="0"/>
      <w:marBottom w:val="0"/>
      <w:divBdr>
        <w:top w:val="none" w:sz="0" w:space="0" w:color="auto"/>
        <w:left w:val="none" w:sz="0" w:space="0" w:color="auto"/>
        <w:bottom w:val="none" w:sz="0" w:space="0" w:color="auto"/>
        <w:right w:val="none" w:sz="0" w:space="0" w:color="auto"/>
      </w:divBdr>
    </w:div>
    <w:div w:id="1417283854">
      <w:bodyDiv w:val="1"/>
      <w:marLeft w:val="0"/>
      <w:marRight w:val="0"/>
      <w:marTop w:val="0"/>
      <w:marBottom w:val="0"/>
      <w:divBdr>
        <w:top w:val="none" w:sz="0" w:space="0" w:color="auto"/>
        <w:left w:val="none" w:sz="0" w:space="0" w:color="auto"/>
        <w:bottom w:val="none" w:sz="0" w:space="0" w:color="auto"/>
        <w:right w:val="none" w:sz="0" w:space="0" w:color="auto"/>
      </w:divBdr>
    </w:div>
    <w:div w:id="1433236104">
      <w:bodyDiv w:val="1"/>
      <w:marLeft w:val="0"/>
      <w:marRight w:val="0"/>
      <w:marTop w:val="0"/>
      <w:marBottom w:val="0"/>
      <w:divBdr>
        <w:top w:val="none" w:sz="0" w:space="0" w:color="auto"/>
        <w:left w:val="none" w:sz="0" w:space="0" w:color="auto"/>
        <w:bottom w:val="none" w:sz="0" w:space="0" w:color="auto"/>
        <w:right w:val="none" w:sz="0" w:space="0" w:color="auto"/>
      </w:divBdr>
    </w:div>
    <w:div w:id="1435394602">
      <w:bodyDiv w:val="1"/>
      <w:marLeft w:val="0"/>
      <w:marRight w:val="0"/>
      <w:marTop w:val="0"/>
      <w:marBottom w:val="0"/>
      <w:divBdr>
        <w:top w:val="none" w:sz="0" w:space="0" w:color="auto"/>
        <w:left w:val="none" w:sz="0" w:space="0" w:color="auto"/>
        <w:bottom w:val="none" w:sz="0" w:space="0" w:color="auto"/>
        <w:right w:val="none" w:sz="0" w:space="0" w:color="auto"/>
      </w:divBdr>
    </w:div>
    <w:div w:id="1436823044">
      <w:bodyDiv w:val="1"/>
      <w:marLeft w:val="0"/>
      <w:marRight w:val="0"/>
      <w:marTop w:val="0"/>
      <w:marBottom w:val="0"/>
      <w:divBdr>
        <w:top w:val="none" w:sz="0" w:space="0" w:color="auto"/>
        <w:left w:val="none" w:sz="0" w:space="0" w:color="auto"/>
        <w:bottom w:val="none" w:sz="0" w:space="0" w:color="auto"/>
        <w:right w:val="none" w:sz="0" w:space="0" w:color="auto"/>
      </w:divBdr>
    </w:div>
    <w:div w:id="1461609313">
      <w:bodyDiv w:val="1"/>
      <w:marLeft w:val="0"/>
      <w:marRight w:val="0"/>
      <w:marTop w:val="0"/>
      <w:marBottom w:val="0"/>
      <w:divBdr>
        <w:top w:val="none" w:sz="0" w:space="0" w:color="auto"/>
        <w:left w:val="none" w:sz="0" w:space="0" w:color="auto"/>
        <w:bottom w:val="none" w:sz="0" w:space="0" w:color="auto"/>
        <w:right w:val="none" w:sz="0" w:space="0" w:color="auto"/>
      </w:divBdr>
    </w:div>
    <w:div w:id="1495022836">
      <w:bodyDiv w:val="1"/>
      <w:marLeft w:val="0"/>
      <w:marRight w:val="0"/>
      <w:marTop w:val="0"/>
      <w:marBottom w:val="0"/>
      <w:divBdr>
        <w:top w:val="none" w:sz="0" w:space="0" w:color="auto"/>
        <w:left w:val="none" w:sz="0" w:space="0" w:color="auto"/>
        <w:bottom w:val="none" w:sz="0" w:space="0" w:color="auto"/>
        <w:right w:val="none" w:sz="0" w:space="0" w:color="auto"/>
      </w:divBdr>
    </w:div>
    <w:div w:id="1510943293">
      <w:bodyDiv w:val="1"/>
      <w:marLeft w:val="0"/>
      <w:marRight w:val="0"/>
      <w:marTop w:val="0"/>
      <w:marBottom w:val="0"/>
      <w:divBdr>
        <w:top w:val="none" w:sz="0" w:space="0" w:color="auto"/>
        <w:left w:val="none" w:sz="0" w:space="0" w:color="auto"/>
        <w:bottom w:val="none" w:sz="0" w:space="0" w:color="auto"/>
        <w:right w:val="none" w:sz="0" w:space="0" w:color="auto"/>
      </w:divBdr>
    </w:div>
    <w:div w:id="1521238964">
      <w:bodyDiv w:val="1"/>
      <w:marLeft w:val="0"/>
      <w:marRight w:val="0"/>
      <w:marTop w:val="0"/>
      <w:marBottom w:val="0"/>
      <w:divBdr>
        <w:top w:val="none" w:sz="0" w:space="0" w:color="auto"/>
        <w:left w:val="none" w:sz="0" w:space="0" w:color="auto"/>
        <w:bottom w:val="none" w:sz="0" w:space="0" w:color="auto"/>
        <w:right w:val="none" w:sz="0" w:space="0" w:color="auto"/>
      </w:divBdr>
      <w:divsChild>
        <w:div w:id="473378374">
          <w:marLeft w:val="0"/>
          <w:marRight w:val="0"/>
          <w:marTop w:val="0"/>
          <w:marBottom w:val="0"/>
          <w:divBdr>
            <w:top w:val="none" w:sz="0" w:space="0" w:color="auto"/>
            <w:left w:val="none" w:sz="0" w:space="0" w:color="auto"/>
            <w:bottom w:val="none" w:sz="0" w:space="0" w:color="auto"/>
            <w:right w:val="none" w:sz="0" w:space="0" w:color="auto"/>
          </w:divBdr>
          <w:divsChild>
            <w:div w:id="193614764">
              <w:marLeft w:val="0"/>
              <w:marRight w:val="0"/>
              <w:marTop w:val="0"/>
              <w:marBottom w:val="0"/>
              <w:divBdr>
                <w:top w:val="none" w:sz="0" w:space="0" w:color="auto"/>
                <w:left w:val="none" w:sz="0" w:space="0" w:color="auto"/>
                <w:bottom w:val="none" w:sz="0" w:space="0" w:color="auto"/>
                <w:right w:val="none" w:sz="0" w:space="0" w:color="auto"/>
              </w:divBdr>
              <w:divsChild>
                <w:div w:id="32493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457222">
      <w:bodyDiv w:val="1"/>
      <w:marLeft w:val="0"/>
      <w:marRight w:val="0"/>
      <w:marTop w:val="0"/>
      <w:marBottom w:val="0"/>
      <w:divBdr>
        <w:top w:val="none" w:sz="0" w:space="0" w:color="auto"/>
        <w:left w:val="none" w:sz="0" w:space="0" w:color="auto"/>
        <w:bottom w:val="none" w:sz="0" w:space="0" w:color="auto"/>
        <w:right w:val="none" w:sz="0" w:space="0" w:color="auto"/>
      </w:divBdr>
      <w:divsChild>
        <w:div w:id="302732646">
          <w:marLeft w:val="0"/>
          <w:marRight w:val="0"/>
          <w:marTop w:val="0"/>
          <w:marBottom w:val="0"/>
          <w:divBdr>
            <w:top w:val="none" w:sz="0" w:space="0" w:color="auto"/>
            <w:left w:val="none" w:sz="0" w:space="0" w:color="auto"/>
            <w:bottom w:val="none" w:sz="0" w:space="0" w:color="auto"/>
            <w:right w:val="none" w:sz="0" w:space="0" w:color="auto"/>
          </w:divBdr>
        </w:div>
      </w:divsChild>
    </w:div>
    <w:div w:id="1537307838">
      <w:bodyDiv w:val="1"/>
      <w:marLeft w:val="0"/>
      <w:marRight w:val="0"/>
      <w:marTop w:val="0"/>
      <w:marBottom w:val="0"/>
      <w:divBdr>
        <w:top w:val="none" w:sz="0" w:space="0" w:color="auto"/>
        <w:left w:val="none" w:sz="0" w:space="0" w:color="auto"/>
        <w:bottom w:val="none" w:sz="0" w:space="0" w:color="auto"/>
        <w:right w:val="none" w:sz="0" w:space="0" w:color="auto"/>
      </w:divBdr>
    </w:div>
    <w:div w:id="1539858432">
      <w:bodyDiv w:val="1"/>
      <w:marLeft w:val="0"/>
      <w:marRight w:val="0"/>
      <w:marTop w:val="0"/>
      <w:marBottom w:val="0"/>
      <w:divBdr>
        <w:top w:val="none" w:sz="0" w:space="0" w:color="auto"/>
        <w:left w:val="none" w:sz="0" w:space="0" w:color="auto"/>
        <w:bottom w:val="none" w:sz="0" w:space="0" w:color="auto"/>
        <w:right w:val="none" w:sz="0" w:space="0" w:color="auto"/>
      </w:divBdr>
    </w:div>
    <w:div w:id="1578051790">
      <w:bodyDiv w:val="1"/>
      <w:marLeft w:val="0"/>
      <w:marRight w:val="0"/>
      <w:marTop w:val="0"/>
      <w:marBottom w:val="0"/>
      <w:divBdr>
        <w:top w:val="none" w:sz="0" w:space="0" w:color="auto"/>
        <w:left w:val="none" w:sz="0" w:space="0" w:color="auto"/>
        <w:bottom w:val="none" w:sz="0" w:space="0" w:color="auto"/>
        <w:right w:val="none" w:sz="0" w:space="0" w:color="auto"/>
      </w:divBdr>
    </w:div>
    <w:div w:id="1583681227">
      <w:bodyDiv w:val="1"/>
      <w:marLeft w:val="0"/>
      <w:marRight w:val="0"/>
      <w:marTop w:val="0"/>
      <w:marBottom w:val="0"/>
      <w:divBdr>
        <w:top w:val="none" w:sz="0" w:space="0" w:color="auto"/>
        <w:left w:val="none" w:sz="0" w:space="0" w:color="auto"/>
        <w:bottom w:val="none" w:sz="0" w:space="0" w:color="auto"/>
        <w:right w:val="none" w:sz="0" w:space="0" w:color="auto"/>
      </w:divBdr>
    </w:div>
    <w:div w:id="1589077342">
      <w:bodyDiv w:val="1"/>
      <w:marLeft w:val="0"/>
      <w:marRight w:val="0"/>
      <w:marTop w:val="0"/>
      <w:marBottom w:val="0"/>
      <w:divBdr>
        <w:top w:val="none" w:sz="0" w:space="0" w:color="auto"/>
        <w:left w:val="none" w:sz="0" w:space="0" w:color="auto"/>
        <w:bottom w:val="none" w:sz="0" w:space="0" w:color="auto"/>
        <w:right w:val="none" w:sz="0" w:space="0" w:color="auto"/>
      </w:divBdr>
      <w:divsChild>
        <w:div w:id="40639375">
          <w:marLeft w:val="0"/>
          <w:marRight w:val="0"/>
          <w:marTop w:val="0"/>
          <w:marBottom w:val="0"/>
          <w:divBdr>
            <w:top w:val="none" w:sz="0" w:space="0" w:color="auto"/>
            <w:left w:val="none" w:sz="0" w:space="0" w:color="auto"/>
            <w:bottom w:val="none" w:sz="0" w:space="0" w:color="auto"/>
            <w:right w:val="none" w:sz="0" w:space="0" w:color="auto"/>
          </w:divBdr>
        </w:div>
        <w:div w:id="1463112736">
          <w:marLeft w:val="0"/>
          <w:marRight w:val="0"/>
          <w:marTop w:val="0"/>
          <w:marBottom w:val="0"/>
          <w:divBdr>
            <w:top w:val="none" w:sz="0" w:space="0" w:color="auto"/>
            <w:left w:val="none" w:sz="0" w:space="0" w:color="auto"/>
            <w:bottom w:val="none" w:sz="0" w:space="0" w:color="auto"/>
            <w:right w:val="none" w:sz="0" w:space="0" w:color="auto"/>
          </w:divBdr>
        </w:div>
      </w:divsChild>
    </w:div>
    <w:div w:id="1603999875">
      <w:bodyDiv w:val="1"/>
      <w:marLeft w:val="0"/>
      <w:marRight w:val="0"/>
      <w:marTop w:val="0"/>
      <w:marBottom w:val="0"/>
      <w:divBdr>
        <w:top w:val="none" w:sz="0" w:space="0" w:color="auto"/>
        <w:left w:val="none" w:sz="0" w:space="0" w:color="auto"/>
        <w:bottom w:val="none" w:sz="0" w:space="0" w:color="auto"/>
        <w:right w:val="none" w:sz="0" w:space="0" w:color="auto"/>
      </w:divBdr>
    </w:div>
    <w:div w:id="1627851807">
      <w:bodyDiv w:val="1"/>
      <w:marLeft w:val="0"/>
      <w:marRight w:val="0"/>
      <w:marTop w:val="0"/>
      <w:marBottom w:val="0"/>
      <w:divBdr>
        <w:top w:val="none" w:sz="0" w:space="0" w:color="auto"/>
        <w:left w:val="none" w:sz="0" w:space="0" w:color="auto"/>
        <w:bottom w:val="none" w:sz="0" w:space="0" w:color="auto"/>
        <w:right w:val="none" w:sz="0" w:space="0" w:color="auto"/>
      </w:divBdr>
    </w:div>
    <w:div w:id="1641230988">
      <w:bodyDiv w:val="1"/>
      <w:marLeft w:val="0"/>
      <w:marRight w:val="0"/>
      <w:marTop w:val="0"/>
      <w:marBottom w:val="0"/>
      <w:divBdr>
        <w:top w:val="none" w:sz="0" w:space="0" w:color="auto"/>
        <w:left w:val="none" w:sz="0" w:space="0" w:color="auto"/>
        <w:bottom w:val="none" w:sz="0" w:space="0" w:color="auto"/>
        <w:right w:val="none" w:sz="0" w:space="0" w:color="auto"/>
      </w:divBdr>
    </w:div>
    <w:div w:id="1692952771">
      <w:bodyDiv w:val="1"/>
      <w:marLeft w:val="0"/>
      <w:marRight w:val="0"/>
      <w:marTop w:val="0"/>
      <w:marBottom w:val="0"/>
      <w:divBdr>
        <w:top w:val="none" w:sz="0" w:space="0" w:color="auto"/>
        <w:left w:val="none" w:sz="0" w:space="0" w:color="auto"/>
        <w:bottom w:val="none" w:sz="0" w:space="0" w:color="auto"/>
        <w:right w:val="none" w:sz="0" w:space="0" w:color="auto"/>
      </w:divBdr>
    </w:div>
    <w:div w:id="1705666819">
      <w:bodyDiv w:val="1"/>
      <w:marLeft w:val="0"/>
      <w:marRight w:val="0"/>
      <w:marTop w:val="0"/>
      <w:marBottom w:val="0"/>
      <w:divBdr>
        <w:top w:val="none" w:sz="0" w:space="0" w:color="auto"/>
        <w:left w:val="none" w:sz="0" w:space="0" w:color="auto"/>
        <w:bottom w:val="none" w:sz="0" w:space="0" w:color="auto"/>
        <w:right w:val="none" w:sz="0" w:space="0" w:color="auto"/>
      </w:divBdr>
    </w:div>
    <w:div w:id="1724597127">
      <w:bodyDiv w:val="1"/>
      <w:marLeft w:val="0"/>
      <w:marRight w:val="0"/>
      <w:marTop w:val="0"/>
      <w:marBottom w:val="0"/>
      <w:divBdr>
        <w:top w:val="none" w:sz="0" w:space="0" w:color="auto"/>
        <w:left w:val="none" w:sz="0" w:space="0" w:color="auto"/>
        <w:bottom w:val="none" w:sz="0" w:space="0" w:color="auto"/>
        <w:right w:val="none" w:sz="0" w:space="0" w:color="auto"/>
      </w:divBdr>
    </w:div>
    <w:div w:id="1808278830">
      <w:bodyDiv w:val="1"/>
      <w:marLeft w:val="0"/>
      <w:marRight w:val="0"/>
      <w:marTop w:val="0"/>
      <w:marBottom w:val="0"/>
      <w:divBdr>
        <w:top w:val="none" w:sz="0" w:space="0" w:color="auto"/>
        <w:left w:val="none" w:sz="0" w:space="0" w:color="auto"/>
        <w:bottom w:val="none" w:sz="0" w:space="0" w:color="auto"/>
        <w:right w:val="none" w:sz="0" w:space="0" w:color="auto"/>
      </w:divBdr>
    </w:div>
    <w:div w:id="1819032857">
      <w:bodyDiv w:val="1"/>
      <w:marLeft w:val="0"/>
      <w:marRight w:val="0"/>
      <w:marTop w:val="0"/>
      <w:marBottom w:val="0"/>
      <w:divBdr>
        <w:top w:val="none" w:sz="0" w:space="0" w:color="auto"/>
        <w:left w:val="none" w:sz="0" w:space="0" w:color="auto"/>
        <w:bottom w:val="none" w:sz="0" w:space="0" w:color="auto"/>
        <w:right w:val="none" w:sz="0" w:space="0" w:color="auto"/>
      </w:divBdr>
    </w:div>
    <w:div w:id="1831359909">
      <w:bodyDiv w:val="1"/>
      <w:marLeft w:val="0"/>
      <w:marRight w:val="0"/>
      <w:marTop w:val="0"/>
      <w:marBottom w:val="0"/>
      <w:divBdr>
        <w:top w:val="none" w:sz="0" w:space="0" w:color="auto"/>
        <w:left w:val="none" w:sz="0" w:space="0" w:color="auto"/>
        <w:bottom w:val="none" w:sz="0" w:space="0" w:color="auto"/>
        <w:right w:val="none" w:sz="0" w:space="0" w:color="auto"/>
      </w:divBdr>
    </w:div>
    <w:div w:id="1835148342">
      <w:bodyDiv w:val="1"/>
      <w:marLeft w:val="0"/>
      <w:marRight w:val="0"/>
      <w:marTop w:val="0"/>
      <w:marBottom w:val="0"/>
      <w:divBdr>
        <w:top w:val="none" w:sz="0" w:space="0" w:color="auto"/>
        <w:left w:val="none" w:sz="0" w:space="0" w:color="auto"/>
        <w:bottom w:val="none" w:sz="0" w:space="0" w:color="auto"/>
        <w:right w:val="none" w:sz="0" w:space="0" w:color="auto"/>
      </w:divBdr>
    </w:div>
    <w:div w:id="1870799527">
      <w:bodyDiv w:val="1"/>
      <w:marLeft w:val="0"/>
      <w:marRight w:val="0"/>
      <w:marTop w:val="0"/>
      <w:marBottom w:val="0"/>
      <w:divBdr>
        <w:top w:val="none" w:sz="0" w:space="0" w:color="auto"/>
        <w:left w:val="none" w:sz="0" w:space="0" w:color="auto"/>
        <w:bottom w:val="none" w:sz="0" w:space="0" w:color="auto"/>
        <w:right w:val="none" w:sz="0" w:space="0" w:color="auto"/>
      </w:divBdr>
    </w:div>
    <w:div w:id="1914192357">
      <w:bodyDiv w:val="1"/>
      <w:marLeft w:val="0"/>
      <w:marRight w:val="0"/>
      <w:marTop w:val="0"/>
      <w:marBottom w:val="0"/>
      <w:divBdr>
        <w:top w:val="none" w:sz="0" w:space="0" w:color="auto"/>
        <w:left w:val="none" w:sz="0" w:space="0" w:color="auto"/>
        <w:bottom w:val="none" w:sz="0" w:space="0" w:color="auto"/>
        <w:right w:val="none" w:sz="0" w:space="0" w:color="auto"/>
      </w:divBdr>
    </w:div>
    <w:div w:id="1943801097">
      <w:bodyDiv w:val="1"/>
      <w:marLeft w:val="0"/>
      <w:marRight w:val="0"/>
      <w:marTop w:val="0"/>
      <w:marBottom w:val="0"/>
      <w:divBdr>
        <w:top w:val="none" w:sz="0" w:space="0" w:color="auto"/>
        <w:left w:val="none" w:sz="0" w:space="0" w:color="auto"/>
        <w:bottom w:val="none" w:sz="0" w:space="0" w:color="auto"/>
        <w:right w:val="none" w:sz="0" w:space="0" w:color="auto"/>
      </w:divBdr>
      <w:divsChild>
        <w:div w:id="1851943370">
          <w:marLeft w:val="0"/>
          <w:marRight w:val="0"/>
          <w:marTop w:val="0"/>
          <w:marBottom w:val="0"/>
          <w:divBdr>
            <w:top w:val="none" w:sz="0" w:space="0" w:color="auto"/>
            <w:left w:val="none" w:sz="0" w:space="0" w:color="auto"/>
            <w:bottom w:val="none" w:sz="0" w:space="0" w:color="auto"/>
            <w:right w:val="none" w:sz="0" w:space="0" w:color="auto"/>
          </w:divBdr>
        </w:div>
        <w:div w:id="465320190">
          <w:marLeft w:val="0"/>
          <w:marRight w:val="0"/>
          <w:marTop w:val="0"/>
          <w:marBottom w:val="0"/>
          <w:divBdr>
            <w:top w:val="none" w:sz="0" w:space="0" w:color="auto"/>
            <w:left w:val="none" w:sz="0" w:space="0" w:color="auto"/>
            <w:bottom w:val="none" w:sz="0" w:space="0" w:color="auto"/>
            <w:right w:val="none" w:sz="0" w:space="0" w:color="auto"/>
          </w:divBdr>
        </w:div>
      </w:divsChild>
    </w:div>
    <w:div w:id="1958103953">
      <w:bodyDiv w:val="1"/>
      <w:marLeft w:val="0"/>
      <w:marRight w:val="0"/>
      <w:marTop w:val="0"/>
      <w:marBottom w:val="0"/>
      <w:divBdr>
        <w:top w:val="none" w:sz="0" w:space="0" w:color="auto"/>
        <w:left w:val="none" w:sz="0" w:space="0" w:color="auto"/>
        <w:bottom w:val="none" w:sz="0" w:space="0" w:color="auto"/>
        <w:right w:val="none" w:sz="0" w:space="0" w:color="auto"/>
      </w:divBdr>
    </w:div>
    <w:div w:id="1976519610">
      <w:bodyDiv w:val="1"/>
      <w:marLeft w:val="0"/>
      <w:marRight w:val="0"/>
      <w:marTop w:val="0"/>
      <w:marBottom w:val="0"/>
      <w:divBdr>
        <w:top w:val="none" w:sz="0" w:space="0" w:color="auto"/>
        <w:left w:val="none" w:sz="0" w:space="0" w:color="auto"/>
        <w:bottom w:val="none" w:sz="0" w:space="0" w:color="auto"/>
        <w:right w:val="none" w:sz="0" w:space="0" w:color="auto"/>
      </w:divBdr>
    </w:div>
    <w:div w:id="1990596257">
      <w:bodyDiv w:val="1"/>
      <w:marLeft w:val="0"/>
      <w:marRight w:val="0"/>
      <w:marTop w:val="0"/>
      <w:marBottom w:val="0"/>
      <w:divBdr>
        <w:top w:val="none" w:sz="0" w:space="0" w:color="auto"/>
        <w:left w:val="none" w:sz="0" w:space="0" w:color="auto"/>
        <w:bottom w:val="none" w:sz="0" w:space="0" w:color="auto"/>
        <w:right w:val="none" w:sz="0" w:space="0" w:color="auto"/>
      </w:divBdr>
    </w:div>
    <w:div w:id="2037077268">
      <w:bodyDiv w:val="1"/>
      <w:marLeft w:val="0"/>
      <w:marRight w:val="0"/>
      <w:marTop w:val="0"/>
      <w:marBottom w:val="0"/>
      <w:divBdr>
        <w:top w:val="none" w:sz="0" w:space="0" w:color="auto"/>
        <w:left w:val="none" w:sz="0" w:space="0" w:color="auto"/>
        <w:bottom w:val="none" w:sz="0" w:space="0" w:color="auto"/>
        <w:right w:val="none" w:sz="0" w:space="0" w:color="auto"/>
      </w:divBdr>
    </w:div>
    <w:div w:id="2039432362">
      <w:bodyDiv w:val="1"/>
      <w:marLeft w:val="0"/>
      <w:marRight w:val="0"/>
      <w:marTop w:val="0"/>
      <w:marBottom w:val="0"/>
      <w:divBdr>
        <w:top w:val="none" w:sz="0" w:space="0" w:color="auto"/>
        <w:left w:val="none" w:sz="0" w:space="0" w:color="auto"/>
        <w:bottom w:val="none" w:sz="0" w:space="0" w:color="auto"/>
        <w:right w:val="none" w:sz="0" w:space="0" w:color="auto"/>
      </w:divBdr>
    </w:div>
    <w:div w:id="2059238770">
      <w:bodyDiv w:val="1"/>
      <w:marLeft w:val="0"/>
      <w:marRight w:val="0"/>
      <w:marTop w:val="0"/>
      <w:marBottom w:val="0"/>
      <w:divBdr>
        <w:top w:val="none" w:sz="0" w:space="0" w:color="auto"/>
        <w:left w:val="none" w:sz="0" w:space="0" w:color="auto"/>
        <w:bottom w:val="none" w:sz="0" w:space="0" w:color="auto"/>
        <w:right w:val="none" w:sz="0" w:space="0" w:color="auto"/>
      </w:divBdr>
    </w:div>
    <w:div w:id="2072578829">
      <w:bodyDiv w:val="1"/>
      <w:marLeft w:val="0"/>
      <w:marRight w:val="0"/>
      <w:marTop w:val="0"/>
      <w:marBottom w:val="0"/>
      <w:divBdr>
        <w:top w:val="none" w:sz="0" w:space="0" w:color="auto"/>
        <w:left w:val="none" w:sz="0" w:space="0" w:color="auto"/>
        <w:bottom w:val="none" w:sz="0" w:space="0" w:color="auto"/>
        <w:right w:val="none" w:sz="0" w:space="0" w:color="auto"/>
      </w:divBdr>
    </w:div>
    <w:div w:id="2092659468">
      <w:bodyDiv w:val="1"/>
      <w:marLeft w:val="0"/>
      <w:marRight w:val="0"/>
      <w:marTop w:val="0"/>
      <w:marBottom w:val="0"/>
      <w:divBdr>
        <w:top w:val="none" w:sz="0" w:space="0" w:color="auto"/>
        <w:left w:val="none" w:sz="0" w:space="0" w:color="auto"/>
        <w:bottom w:val="none" w:sz="0" w:space="0" w:color="auto"/>
        <w:right w:val="none" w:sz="0" w:space="0" w:color="auto"/>
      </w:divBdr>
      <w:divsChild>
        <w:div w:id="798693584">
          <w:marLeft w:val="0"/>
          <w:marRight w:val="0"/>
          <w:marTop w:val="0"/>
          <w:marBottom w:val="0"/>
          <w:divBdr>
            <w:top w:val="none" w:sz="0" w:space="0" w:color="auto"/>
            <w:left w:val="none" w:sz="0" w:space="0" w:color="auto"/>
            <w:bottom w:val="none" w:sz="0" w:space="0" w:color="auto"/>
            <w:right w:val="none" w:sz="0" w:space="0" w:color="auto"/>
          </w:divBdr>
          <w:divsChild>
            <w:div w:id="2106071433">
              <w:marLeft w:val="0"/>
              <w:marRight w:val="0"/>
              <w:marTop w:val="0"/>
              <w:marBottom w:val="0"/>
              <w:divBdr>
                <w:top w:val="none" w:sz="0" w:space="0" w:color="auto"/>
                <w:left w:val="none" w:sz="0" w:space="0" w:color="auto"/>
                <w:bottom w:val="none" w:sz="0" w:space="0" w:color="auto"/>
                <w:right w:val="none" w:sz="0" w:space="0" w:color="auto"/>
              </w:divBdr>
              <w:divsChild>
                <w:div w:id="105126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463226">
      <w:bodyDiv w:val="1"/>
      <w:marLeft w:val="0"/>
      <w:marRight w:val="0"/>
      <w:marTop w:val="0"/>
      <w:marBottom w:val="0"/>
      <w:divBdr>
        <w:top w:val="none" w:sz="0" w:space="0" w:color="auto"/>
        <w:left w:val="none" w:sz="0" w:space="0" w:color="auto"/>
        <w:bottom w:val="none" w:sz="0" w:space="0" w:color="auto"/>
        <w:right w:val="none" w:sz="0" w:space="0" w:color="auto"/>
      </w:divBdr>
    </w:div>
    <w:div w:id="2114280935">
      <w:bodyDiv w:val="1"/>
      <w:marLeft w:val="0"/>
      <w:marRight w:val="0"/>
      <w:marTop w:val="0"/>
      <w:marBottom w:val="0"/>
      <w:divBdr>
        <w:top w:val="none" w:sz="0" w:space="0" w:color="auto"/>
        <w:left w:val="none" w:sz="0" w:space="0" w:color="auto"/>
        <w:bottom w:val="none" w:sz="0" w:space="0" w:color="auto"/>
        <w:right w:val="none" w:sz="0" w:space="0" w:color="auto"/>
      </w:divBdr>
    </w:div>
    <w:div w:id="2116440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2021-12-10T00:00:00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A12CAA-246F-A74F-BA09-AA47CBAB7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TotalTime>
  <Pages>25</Pages>
  <Words>26828</Words>
  <Characters>152922</Characters>
  <Application>Microsoft Office Word</Application>
  <DocSecurity>0</DocSecurity>
  <Lines>1274</Lines>
  <Paragraphs>358</Paragraphs>
  <ScaleCrop>false</ScaleCrop>
  <HeadingPairs>
    <vt:vector size="2" baseType="variant">
      <vt:variant>
        <vt:lpstr>Title</vt:lpstr>
      </vt:variant>
      <vt:variant>
        <vt:i4>1</vt:i4>
      </vt:variant>
    </vt:vector>
  </HeadingPairs>
  <TitlesOfParts>
    <vt:vector size="1" baseType="lpstr">
      <vt:lpstr>Multidisciplinary Telehealth Solution to Manage Swallowing Difficulties of Residents in Care Homes</vt:lpstr>
    </vt:vector>
  </TitlesOfParts>
  <Company>2115317</Company>
  <LinksUpToDate>false</LinksUpToDate>
  <CharactersWithSpaces>179392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Multidisciplinary Telehealth Solution to Manage Swallowing Difficulties of Residents in Care Homes</dc:title>
  <dc:subject>System Improvement Programme Assignment</dc:subject>
  <dc:creator>Sheiladen Aquino</dc:creator>
  <cp:keywords/>
  <dc:description/>
  <cp:lastModifiedBy>Sheiladen Aquino</cp:lastModifiedBy>
  <cp:revision>7</cp:revision>
  <dcterms:created xsi:type="dcterms:W3CDTF">2021-12-10T15:33:00Z</dcterms:created>
  <dcterms:modified xsi:type="dcterms:W3CDTF">2021-12-10T23:37:00Z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e5824b82-7c0e-3eb0-bbdc-c43bf2d44481</vt:lpwstr>
  </property>
  <property fmtid="{D5CDD505-2E9C-101B-9397-08002B2CF9AE}" pid="24" name="Mendeley Citation Style_1">
    <vt:lpwstr>http://www.zotero.org/styles/harvard1</vt:lpwstr>
  </property>
</Properties>
</file>