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3EDF3" w14:textId="77777777" w:rsidR="00606458" w:rsidRDefault="00606458" w:rsidP="007416B8">
      <w:pPr>
        <w:pStyle w:val="Title"/>
      </w:pPr>
    </w:p>
    <w:p w14:paraId="7DCBABD3" w14:textId="77777777" w:rsidR="000B0D81" w:rsidRDefault="002F6B56" w:rsidP="007416B8">
      <w:pPr>
        <w:pStyle w:val="Title"/>
        <w:rPr>
          <w:rFonts w:asciiTheme="minorHAnsi" w:eastAsia="Times New Roman" w:hAnsiTheme="minorHAnsi" w:cs="Open Sans"/>
          <w:color w:val="333333"/>
          <w:shd w:val="clear" w:color="auto" w:fill="FFFFFF"/>
        </w:rPr>
      </w:pPr>
      <w:r>
        <w:t xml:space="preserve">Article review </w:t>
      </w:r>
      <w:r w:rsidR="0099424C">
        <w:t xml:space="preserve">of </w:t>
      </w:r>
      <w:r w:rsidR="0099424C" w:rsidRPr="00606458">
        <w:rPr>
          <w:rFonts w:asciiTheme="minorHAnsi" w:eastAsia="Times New Roman" w:hAnsiTheme="minorHAnsi" w:cs="Open Sans"/>
          <w:color w:val="333333"/>
          <w:shd w:val="clear" w:color="auto" w:fill="FFFFFF"/>
        </w:rPr>
        <w:t>Ward, C. (2003) ‘Pomegranates in eastern Mediterranean contexts during the Late Bronze Age’,</w:t>
      </w:r>
      <w:r w:rsidR="0099424C" w:rsidRPr="00606458">
        <w:rPr>
          <w:rStyle w:val="apple-converted-space"/>
          <w:rFonts w:asciiTheme="minorHAnsi" w:eastAsia="Times New Roman" w:hAnsiTheme="minorHAnsi" w:cs="Open Sans"/>
          <w:color w:val="333333"/>
          <w:shd w:val="clear" w:color="auto" w:fill="FFFFFF"/>
        </w:rPr>
        <w:t> </w:t>
      </w:r>
      <w:r w:rsidR="0099424C" w:rsidRPr="00606458">
        <w:rPr>
          <w:rFonts w:asciiTheme="minorHAnsi" w:eastAsia="Times New Roman" w:hAnsiTheme="minorHAnsi" w:cs="Open Sans"/>
          <w:color w:val="333333"/>
        </w:rPr>
        <w:t>World Archaeology</w:t>
      </w:r>
      <w:r w:rsidR="0099424C" w:rsidRPr="00606458">
        <w:rPr>
          <w:rFonts w:asciiTheme="minorHAnsi" w:eastAsia="Times New Roman" w:hAnsiTheme="minorHAnsi" w:cs="Open Sans"/>
          <w:color w:val="333333"/>
          <w:shd w:val="clear" w:color="auto" w:fill="FFFFFF"/>
        </w:rPr>
        <w:t>, 34(3), pp. 529–541.</w:t>
      </w:r>
    </w:p>
    <w:p w14:paraId="0E9F89C3" w14:textId="768A731D" w:rsidR="002F6B56" w:rsidRDefault="0099424C" w:rsidP="007416B8">
      <w:pPr>
        <w:pStyle w:val="Title"/>
        <w:rPr>
          <w:rStyle w:val="SubtitleChar"/>
        </w:rPr>
      </w:pPr>
      <w:r w:rsidRPr="00606458">
        <w:rPr>
          <w:rFonts w:asciiTheme="minorHAnsi" w:eastAsia="Times New Roman" w:hAnsiTheme="minorHAnsi" w:cs="Open Sans"/>
          <w:color w:val="333333"/>
          <w:shd w:val="clear" w:color="auto" w:fill="FFFFFF"/>
        </w:rPr>
        <w:t xml:space="preserve"> </w:t>
      </w:r>
      <w:r w:rsidR="006341B1">
        <w:rPr>
          <w:rFonts w:asciiTheme="minorHAnsi" w:eastAsia="Times New Roman" w:hAnsiTheme="minorHAnsi" w:cs="Open Sans"/>
          <w:color w:val="333333"/>
          <w:shd w:val="clear" w:color="auto" w:fill="FFFFFF"/>
        </w:rPr>
        <w:t xml:space="preserve">            </w:t>
      </w:r>
      <w:proofErr w:type="spellStart"/>
      <w:r w:rsidRPr="000B0D81">
        <w:rPr>
          <w:rStyle w:val="SubtitleChar"/>
        </w:rPr>
        <w:t>doi</w:t>
      </w:r>
      <w:proofErr w:type="spellEnd"/>
      <w:r w:rsidRPr="000B0D81">
        <w:rPr>
          <w:rStyle w:val="SubtitleChar"/>
        </w:rPr>
        <w:t>: 10.1080/0043824021000026495.</w:t>
      </w:r>
    </w:p>
    <w:p w14:paraId="1A736966" w14:textId="42A00DEC" w:rsidR="00902952" w:rsidRPr="00902952" w:rsidRDefault="006341B1" w:rsidP="00902952">
      <w:pPr>
        <w:rPr>
          <w:rStyle w:val="SubtleEmphasis"/>
        </w:rPr>
      </w:pPr>
      <w:r>
        <w:rPr>
          <w:rStyle w:val="SubtleEmphasis"/>
        </w:rPr>
        <w:t xml:space="preserve">                                                     </w:t>
      </w:r>
      <w:r w:rsidR="00902952">
        <w:rPr>
          <w:rStyle w:val="SubtleEmphasis"/>
        </w:rPr>
        <w:t xml:space="preserve">Lillian </w:t>
      </w:r>
      <w:r>
        <w:rPr>
          <w:rStyle w:val="SubtleEmphasis"/>
        </w:rPr>
        <w:t>York 2317170</w:t>
      </w:r>
    </w:p>
    <w:p w14:paraId="38F28FD3" w14:textId="77777777" w:rsidR="00B6690A" w:rsidRDefault="00B6690A">
      <w:pPr>
        <w:rPr>
          <w:i/>
          <w:iCs/>
        </w:rPr>
      </w:pPr>
    </w:p>
    <w:p w14:paraId="0218810F" w14:textId="484C7A09" w:rsidR="00010CE4" w:rsidRDefault="00AE361F">
      <w:r>
        <w:t>Ward</w:t>
      </w:r>
      <w:r w:rsidR="00FB1FD7">
        <w:t xml:space="preserve"> </w:t>
      </w:r>
      <w:r w:rsidR="002A6793">
        <w:t>authors</w:t>
      </w:r>
      <w:r w:rsidR="004C6325">
        <w:t xml:space="preserve"> this article in 2</w:t>
      </w:r>
      <w:r w:rsidR="002A6793">
        <w:t>0</w:t>
      </w:r>
      <w:r w:rsidR="004C6325">
        <w:t xml:space="preserve">03 and </w:t>
      </w:r>
      <w:r w:rsidR="000F449A">
        <w:t xml:space="preserve">looks </w:t>
      </w:r>
      <w:r>
        <w:t>a</w:t>
      </w:r>
      <w:r w:rsidR="000F449A">
        <w:t>t the argument ‘we</w:t>
      </w:r>
      <w:r>
        <w:t>r</w:t>
      </w:r>
      <w:r w:rsidR="000F449A">
        <w:t>e pomegranates se</w:t>
      </w:r>
      <w:r w:rsidR="008E24D6">
        <w:t>e</w:t>
      </w:r>
      <w:r w:rsidR="000F449A">
        <w:t xml:space="preserve">n as a luxurious </w:t>
      </w:r>
      <w:r w:rsidR="00D511C0">
        <w:t xml:space="preserve">fruit </w:t>
      </w:r>
      <w:r>
        <w:t>within</w:t>
      </w:r>
      <w:r w:rsidR="00D511C0">
        <w:t xml:space="preserve"> the </w:t>
      </w:r>
      <w:r w:rsidR="0086335D">
        <w:t>Late Bronze Age</w:t>
      </w:r>
      <w:r w:rsidR="008E24D6">
        <w:t>?’</w:t>
      </w:r>
    </w:p>
    <w:p w14:paraId="20444875" w14:textId="229F8EF9" w:rsidR="00010CE4" w:rsidRDefault="004731C1">
      <w:r>
        <w:t>This article looks at the</w:t>
      </w:r>
      <w:r w:rsidR="00406B4C">
        <w:t xml:space="preserve"> Uluburun shipwreck, which was near Kaş, Türkiye in the Late Fourteenth BC to argue that the </w:t>
      </w:r>
      <w:r w:rsidR="004A44D8">
        <w:t xml:space="preserve">botanical </w:t>
      </w:r>
      <w:bookmarkStart w:id="0" w:name="_Int_q7o6JA0V"/>
      <w:r>
        <w:t>remains</w:t>
      </w:r>
      <w:bookmarkEnd w:id="0"/>
      <w:r>
        <w:t xml:space="preserve"> of </w:t>
      </w:r>
      <w:r w:rsidR="00406B4C">
        <w:t xml:space="preserve">pomegranates </w:t>
      </w:r>
      <w:r w:rsidR="004A44D8">
        <w:t>recovered suggests</w:t>
      </w:r>
      <w:r w:rsidR="005600B7">
        <w:t xml:space="preserve"> that pomegranates </w:t>
      </w:r>
      <w:r w:rsidR="004A44D8">
        <w:t xml:space="preserve">were in fact seen as a luxury good. </w:t>
      </w:r>
    </w:p>
    <w:p w14:paraId="7D8CC0F7" w14:textId="16FEBC15" w:rsidR="00B6690A" w:rsidRPr="009C4131" w:rsidRDefault="004731C1">
      <w:r>
        <w:t xml:space="preserve"> </w:t>
      </w:r>
      <w:r w:rsidR="00F06298">
        <w:t xml:space="preserve">Amongst the remains which </w:t>
      </w:r>
      <w:bookmarkStart w:id="1" w:name="_Int_kaBD8AbA"/>
      <w:r w:rsidR="00F06298">
        <w:t>were recorded</w:t>
      </w:r>
      <w:bookmarkEnd w:id="1"/>
      <w:r w:rsidR="00F06298">
        <w:t xml:space="preserve"> from this shipwreck include raw materials and finished products. </w:t>
      </w:r>
      <w:r w:rsidR="002C05CC">
        <w:t xml:space="preserve"> </w:t>
      </w:r>
      <w:r w:rsidR="00573472">
        <w:t>All</w:t>
      </w:r>
      <w:r w:rsidR="002C05CC">
        <w:t xml:space="preserve"> these materials were all seen as luxurious, </w:t>
      </w:r>
      <w:r w:rsidR="00297F27">
        <w:t xml:space="preserve">which Ward suggests that because </w:t>
      </w:r>
      <w:r w:rsidR="009C6B6C">
        <w:t>remains of pomegranates were amongst these luxury materials</w:t>
      </w:r>
      <w:r w:rsidR="009C4131">
        <w:t xml:space="preserve"> this</w:t>
      </w:r>
      <w:r w:rsidR="009C6B6C">
        <w:t xml:space="preserve"> could suggest </w:t>
      </w:r>
      <w:r w:rsidR="00EF136E">
        <w:t xml:space="preserve">that pomegranates </w:t>
      </w:r>
      <w:bookmarkStart w:id="2" w:name="_Int_gF7SZLLv"/>
      <w:r w:rsidR="00EF136E">
        <w:t>were seen</w:t>
      </w:r>
      <w:bookmarkEnd w:id="2"/>
      <w:r w:rsidR="00EF136E">
        <w:t xml:space="preserve"> as luxurious.</w:t>
      </w:r>
    </w:p>
    <w:p w14:paraId="4D5F1161" w14:textId="0A190977" w:rsidR="002F6B56" w:rsidRPr="00E21AB5" w:rsidRDefault="007E748B">
      <w:r>
        <w:t>The purpose of this article is to look at the Ulu</w:t>
      </w:r>
      <w:r w:rsidR="00B57A53">
        <w:t xml:space="preserve">burun shipwreck and other locations within the Late Bronze Age </w:t>
      </w:r>
      <w:r w:rsidR="00B22DF1">
        <w:t>where</w:t>
      </w:r>
      <w:r w:rsidR="00B57A53">
        <w:t xml:space="preserve"> </w:t>
      </w:r>
      <w:r w:rsidR="00B22DF1">
        <w:t>either</w:t>
      </w:r>
      <w:r w:rsidR="00B57A53">
        <w:t xml:space="preserve"> </w:t>
      </w:r>
      <w:r w:rsidR="00523589">
        <w:t xml:space="preserve">botanical </w:t>
      </w:r>
      <w:r w:rsidR="00B22DF1">
        <w:t>or</w:t>
      </w:r>
      <w:r w:rsidR="00523589">
        <w:t xml:space="preserve"> </w:t>
      </w:r>
      <w:r w:rsidR="00260742">
        <w:t xml:space="preserve">iconographic </w:t>
      </w:r>
      <w:r w:rsidR="00040D17">
        <w:t>pomegranates</w:t>
      </w:r>
      <w:r w:rsidR="00B22DF1">
        <w:t xml:space="preserve"> have </w:t>
      </w:r>
      <w:bookmarkStart w:id="3" w:name="_Int_wsEa69Pl"/>
      <w:r w:rsidR="00B22DF1">
        <w:t xml:space="preserve">been </w:t>
      </w:r>
      <w:r w:rsidR="002E1C3F">
        <w:t>discovered</w:t>
      </w:r>
      <w:bookmarkEnd w:id="3"/>
      <w:r w:rsidR="002E1C3F">
        <w:t xml:space="preserve"> </w:t>
      </w:r>
      <w:r w:rsidR="003E5155">
        <w:t xml:space="preserve">and to </w:t>
      </w:r>
      <w:r w:rsidR="00AE5C82">
        <w:t xml:space="preserve">gain a deeper understanding on the origins and usefulness of pomegranates and if they were a luxury </w:t>
      </w:r>
      <w:r w:rsidR="001E6D35">
        <w:t xml:space="preserve">good or not. </w:t>
      </w:r>
    </w:p>
    <w:p w14:paraId="4056E7F9" w14:textId="40FCFE9E" w:rsidR="002F6B56" w:rsidRDefault="007F0625">
      <w:r>
        <w:t xml:space="preserve">To begin with, the article starts with a brief description of the luxury goods which were </w:t>
      </w:r>
      <w:r w:rsidR="003E466F">
        <w:t xml:space="preserve">recovered from the shipwreck. </w:t>
      </w:r>
      <w:r w:rsidR="00F52122">
        <w:t xml:space="preserve">Ward then explains </w:t>
      </w:r>
      <w:r w:rsidR="005C6881">
        <w:t xml:space="preserve">the association between pomegranates and fertility and how </w:t>
      </w:r>
      <w:r w:rsidR="0080547A">
        <w:t xml:space="preserve">in the Aegean, the pomegranate vases </w:t>
      </w:r>
      <w:r w:rsidR="00820FD2">
        <w:t xml:space="preserve">played a symbolic role within the afterlife. </w:t>
      </w:r>
      <w:r w:rsidR="00065853">
        <w:t xml:space="preserve">Ward argues that this suggests that pomegranates are luxury. </w:t>
      </w:r>
    </w:p>
    <w:p w14:paraId="588C3AFD" w14:textId="0B8869F7" w:rsidR="00BA2E0C" w:rsidRDefault="006D1D5E">
      <w:r>
        <w:t>War</w:t>
      </w:r>
      <w:r w:rsidR="0041505C">
        <w:t>d</w:t>
      </w:r>
      <w:r>
        <w:t xml:space="preserve"> then informs the reader of some of the ancient</w:t>
      </w:r>
      <w:r w:rsidR="00C77B5A">
        <w:t xml:space="preserve"> usages</w:t>
      </w:r>
      <w:r>
        <w:t xml:space="preserve"> pomegranates had. This included </w:t>
      </w:r>
      <w:r w:rsidR="00981FB2">
        <w:t xml:space="preserve">perfume, tanning (for materials) as well as medicine. </w:t>
      </w:r>
      <w:r w:rsidR="00367405">
        <w:t xml:space="preserve">The article then goes into the significance pomegranates had to the Zoroastrian culture and </w:t>
      </w:r>
      <w:r w:rsidR="0066033D">
        <w:t xml:space="preserve">the use of the </w:t>
      </w:r>
      <w:r w:rsidR="003D0F6C">
        <w:t xml:space="preserve">pomegranate within the rituals and ceremonies. </w:t>
      </w:r>
    </w:p>
    <w:p w14:paraId="22A5FD46" w14:textId="27427843" w:rsidR="00D857EA" w:rsidRDefault="0041505C">
      <w:r>
        <w:lastRenderedPageBreak/>
        <w:t xml:space="preserve">The article explains how the pomegranates </w:t>
      </w:r>
      <w:r w:rsidR="004E161A">
        <w:t xml:space="preserve">are very common today </w:t>
      </w:r>
      <w:r w:rsidR="00A114DD">
        <w:t>but within the</w:t>
      </w:r>
      <w:r w:rsidR="00830409">
        <w:t xml:space="preserve"> Bronze Age </w:t>
      </w:r>
      <w:r w:rsidR="00A114DD">
        <w:t xml:space="preserve">Aegean </w:t>
      </w:r>
      <w:r w:rsidR="00685B68">
        <w:t>world</w:t>
      </w:r>
      <w:r w:rsidR="00830409">
        <w:t xml:space="preserve"> they were not. </w:t>
      </w:r>
      <w:r w:rsidR="00143689">
        <w:t xml:space="preserve">Ward then describes </w:t>
      </w:r>
      <w:r w:rsidR="00CA0647">
        <w:t>a pattern of when pomegranates become more of a common feature, such as in texts</w:t>
      </w:r>
      <w:r w:rsidR="0037142F">
        <w:t xml:space="preserve">, artefacts and decorated motifs. This displayed a symbolic </w:t>
      </w:r>
      <w:r w:rsidR="00F43551">
        <w:t xml:space="preserve">message which was in abundance </w:t>
      </w:r>
      <w:r w:rsidR="008C7A26">
        <w:t xml:space="preserve">during the Iron Age. </w:t>
      </w:r>
    </w:p>
    <w:p w14:paraId="4328F931" w14:textId="6EC2EFA5" w:rsidR="00B32C13" w:rsidRDefault="00AD6FE5">
      <w:r>
        <w:t>Ward states that</w:t>
      </w:r>
      <w:r w:rsidR="00B32C13">
        <w:t xml:space="preserve"> </w:t>
      </w:r>
      <w:r w:rsidR="00670715">
        <w:t xml:space="preserve">pomegranates do not grow wild within the levant, </w:t>
      </w:r>
      <w:r>
        <w:t xml:space="preserve">and </w:t>
      </w:r>
      <w:r w:rsidR="00670715">
        <w:t xml:space="preserve">this suggests </w:t>
      </w:r>
      <w:r w:rsidR="00234C6B">
        <w:t xml:space="preserve">there was an introduction and a spread </w:t>
      </w:r>
      <w:r w:rsidR="0090319B">
        <w:t xml:space="preserve">of pomegranates. This quite possibly could show the popularity </w:t>
      </w:r>
      <w:r w:rsidR="007E2BA3">
        <w:t xml:space="preserve">and the importance of pomegranates to the elites. </w:t>
      </w:r>
    </w:p>
    <w:p w14:paraId="0982B25A" w14:textId="7DA36C22" w:rsidR="009A385D" w:rsidRDefault="009A385D">
      <w:r>
        <w:t xml:space="preserve">To end the article Ward lists examples of some places were the two different types of remains of pomegranates </w:t>
      </w:r>
      <w:r w:rsidR="00EC4730">
        <w:t xml:space="preserve">have been discovered. This was firstly within a table. After the table Ward then explains in detail about a selected few of these sites. </w:t>
      </w:r>
    </w:p>
    <w:p w14:paraId="0C2E52A1" w14:textId="24A9314E" w:rsidR="00C06D25" w:rsidRDefault="0089090D">
      <w:r>
        <w:t xml:space="preserve">One of these sites include a </w:t>
      </w:r>
      <w:r w:rsidR="00766913">
        <w:t>woode</w:t>
      </w:r>
      <w:r>
        <w:t>n pomegranate shaped box</w:t>
      </w:r>
      <w:r w:rsidR="00E14436">
        <w:t xml:space="preserve"> which had </w:t>
      </w:r>
      <w:r w:rsidR="00B74EDB">
        <w:t xml:space="preserve">at least six dried fruits inside. This box </w:t>
      </w:r>
      <w:bookmarkStart w:id="4" w:name="_Int_h8KNtxgy"/>
      <w:r w:rsidR="00B74EDB">
        <w:t>was found</w:t>
      </w:r>
      <w:bookmarkEnd w:id="4"/>
      <w:r w:rsidR="00B74EDB">
        <w:t xml:space="preserve"> in Jericho </w:t>
      </w:r>
      <w:r w:rsidR="00C06D25">
        <w:t>at Hyksos, dated to c.1600 BC.</w:t>
      </w:r>
    </w:p>
    <w:p w14:paraId="7D74E436" w14:textId="273481E9" w:rsidR="001730D1" w:rsidRPr="00015BCF" w:rsidRDefault="00C06D25">
      <w:r>
        <w:t xml:space="preserve">Another example was that </w:t>
      </w:r>
      <w:proofErr w:type="spellStart"/>
      <w:r>
        <w:t>Thutmose</w:t>
      </w:r>
      <w:proofErr w:type="spellEnd"/>
      <w:r>
        <w:t xml:space="preserve"> I courtier, </w:t>
      </w:r>
      <w:proofErr w:type="spellStart"/>
      <w:r w:rsidR="003B14D6">
        <w:t>Ineni</w:t>
      </w:r>
      <w:proofErr w:type="spellEnd"/>
      <w:r w:rsidR="003B14D6">
        <w:t xml:space="preserve"> had the first written reference to pomegranates in Egypt within the 16</w:t>
      </w:r>
      <w:r w:rsidR="003B14D6" w:rsidRPr="003B14D6">
        <w:rPr>
          <w:vertAlign w:val="superscript"/>
        </w:rPr>
        <w:t>th</w:t>
      </w:r>
      <w:r w:rsidR="003B14D6">
        <w:t xml:space="preserve"> century BC. </w:t>
      </w:r>
      <w:proofErr w:type="spellStart"/>
      <w:r w:rsidR="009F0A31">
        <w:t>Thutmose’s</w:t>
      </w:r>
      <w:proofErr w:type="spellEnd"/>
      <w:r w:rsidR="009F0A31">
        <w:t xml:space="preserve"> son, </w:t>
      </w:r>
      <w:proofErr w:type="spellStart"/>
      <w:r w:rsidR="009F0A31">
        <w:t>Thutmose</w:t>
      </w:r>
      <w:proofErr w:type="spellEnd"/>
      <w:r w:rsidR="009F0A31">
        <w:t xml:space="preserve"> III also included the pomegranate tree as well as other Syrian exotics in his </w:t>
      </w:r>
      <w:r w:rsidR="00E97D88">
        <w:t xml:space="preserve">contribution to the religious complex at Karnak. Ward believes that the pomegranate was introduced to Egypt </w:t>
      </w:r>
      <w:r w:rsidR="00FA2CED">
        <w:t>in the 18</w:t>
      </w:r>
      <w:r w:rsidR="00FA2CED" w:rsidRPr="00FA2CED">
        <w:rPr>
          <w:vertAlign w:val="superscript"/>
        </w:rPr>
        <w:t>th</w:t>
      </w:r>
      <w:r w:rsidR="00FA2CED">
        <w:t xml:space="preserve"> Dynasty Egypt, assumed from Syria through war exposure or </w:t>
      </w:r>
      <w:bookmarkStart w:id="5" w:name="_Int_kzwqq4Pd"/>
      <w:r w:rsidR="00FA2CED">
        <w:t>possibly trade</w:t>
      </w:r>
      <w:bookmarkEnd w:id="5"/>
      <w:r w:rsidR="00FA2CED">
        <w:t xml:space="preserve"> with the Syrian-Palestinians. </w:t>
      </w:r>
      <w:r w:rsidR="001730D1">
        <w:t xml:space="preserve">From these examples Ward suggests that pomegranates were in fact luxury and were mainly </w:t>
      </w:r>
      <w:r w:rsidR="00B63826">
        <w:t xml:space="preserve">used for the elite and wealthy as a statement piece. </w:t>
      </w:r>
    </w:p>
    <w:p w14:paraId="1896731C" w14:textId="280EB73B" w:rsidR="006D76A6" w:rsidRDefault="004300DA">
      <w:r>
        <w:t xml:space="preserve">Within this article </w:t>
      </w:r>
      <w:r w:rsidR="00097F44">
        <w:t xml:space="preserve">Ward uses </w:t>
      </w:r>
      <w:r w:rsidR="008073E2">
        <w:t>several different methods to conduct her research</w:t>
      </w:r>
      <w:r w:rsidR="00596348">
        <w:t>.</w:t>
      </w:r>
      <w:r w:rsidR="0053331A">
        <w:t xml:space="preserve"> A </w:t>
      </w:r>
      <w:r w:rsidR="00144DE8">
        <w:t xml:space="preserve"> substantial </w:t>
      </w:r>
      <w:r w:rsidR="0053331A">
        <w:t xml:space="preserve">part of the research </w:t>
      </w:r>
      <w:r w:rsidR="00144DE8">
        <w:t xml:space="preserve">was conducted through archaeological evidence </w:t>
      </w:r>
      <w:r w:rsidR="00164A89">
        <w:t xml:space="preserve">such as examining </w:t>
      </w:r>
      <w:r w:rsidR="00146C41">
        <w:t xml:space="preserve">pomegranate shaped objects, like vessels and shaped containers found in the Late Bronze Age. </w:t>
      </w:r>
    </w:p>
    <w:p w14:paraId="020740B4" w14:textId="6DFDAA2F" w:rsidR="00146C41" w:rsidRDefault="00146C41">
      <w:r>
        <w:t xml:space="preserve">Another type of methodology which was used was the </w:t>
      </w:r>
      <w:r w:rsidR="00EA4F04">
        <w:t xml:space="preserve">use of </w:t>
      </w:r>
      <w:r w:rsidR="002A6386">
        <w:t>archaeo</w:t>
      </w:r>
      <w:r w:rsidR="0033685A">
        <w:t>botany. Ward was ab</w:t>
      </w:r>
      <w:r w:rsidR="009470AF">
        <w:t>le</w:t>
      </w:r>
      <w:r w:rsidR="00420D2C">
        <w:t xml:space="preserve"> to </w:t>
      </w:r>
      <w:r w:rsidR="004C30E4">
        <w:t xml:space="preserve">analyse pomegranate remains, </w:t>
      </w:r>
      <w:r w:rsidR="007D4894">
        <w:t xml:space="preserve">and </w:t>
      </w:r>
      <w:r w:rsidR="00C73955">
        <w:t xml:space="preserve">draw date from the Uluburun </w:t>
      </w:r>
      <w:r w:rsidR="00274473">
        <w:t xml:space="preserve">shipwreck </w:t>
      </w:r>
      <w:r w:rsidR="00395BB0">
        <w:t xml:space="preserve">which </w:t>
      </w:r>
      <w:r w:rsidR="00053AE4">
        <w:t xml:space="preserve">has botanical </w:t>
      </w:r>
      <w:r w:rsidR="006873DF">
        <w:t xml:space="preserve">remains. </w:t>
      </w:r>
    </w:p>
    <w:p w14:paraId="5B1A9264" w14:textId="66F37E8B" w:rsidR="00E031B1" w:rsidRDefault="0091223D">
      <w:r>
        <w:t xml:space="preserve">By ward using and comparing these two methods </w:t>
      </w:r>
      <w:r w:rsidR="00C452DE">
        <w:t xml:space="preserve">of research, she is able to </w:t>
      </w:r>
      <w:r w:rsidR="0084422A">
        <w:t xml:space="preserve">look at the geographical spread and tracing of pomegranates </w:t>
      </w:r>
      <w:r w:rsidR="00334C1F">
        <w:t xml:space="preserve">as well as having a greater understanding of the </w:t>
      </w:r>
      <w:r w:rsidR="004E2B78">
        <w:t>symbolic significance and status of pomegranates</w:t>
      </w:r>
      <w:r w:rsidR="00CC2DEF">
        <w:t xml:space="preserve"> within the Bronze Age. </w:t>
      </w:r>
    </w:p>
    <w:p w14:paraId="78A4B59A" w14:textId="22DDE87E" w:rsidR="00E60A55" w:rsidRPr="00F81798" w:rsidRDefault="00BE5E61">
      <w:pPr>
        <w:pStyle w:val="p1"/>
        <w:rPr>
          <w:rFonts w:asciiTheme="minorHAnsi" w:hAnsiTheme="minorHAnsi"/>
          <w:sz w:val="24"/>
          <w:szCs w:val="24"/>
        </w:rPr>
      </w:pPr>
      <w:r w:rsidRPr="00F81798">
        <w:rPr>
          <w:rFonts w:asciiTheme="minorHAnsi" w:hAnsiTheme="minorHAnsi"/>
          <w:sz w:val="24"/>
          <w:szCs w:val="24"/>
        </w:rPr>
        <w:t xml:space="preserve">Ward looks at iconography </w:t>
      </w:r>
      <w:r w:rsidR="000E7BB0" w:rsidRPr="00F81798">
        <w:rPr>
          <w:rFonts w:asciiTheme="minorHAnsi" w:hAnsiTheme="minorHAnsi"/>
          <w:sz w:val="24"/>
          <w:szCs w:val="24"/>
        </w:rPr>
        <w:t xml:space="preserve">of pomegranates found within elite tombs, which supports her argument that pomegranates </w:t>
      </w:r>
      <w:r w:rsidR="008E6BA1" w:rsidRPr="00F81798">
        <w:rPr>
          <w:rFonts w:asciiTheme="minorHAnsi" w:hAnsiTheme="minorHAnsi"/>
          <w:sz w:val="24"/>
          <w:szCs w:val="24"/>
        </w:rPr>
        <w:t>were a luxury food.</w:t>
      </w:r>
      <w:r w:rsidR="009406AF">
        <w:rPr>
          <w:rFonts w:asciiTheme="minorHAnsi" w:hAnsiTheme="minorHAnsi"/>
          <w:sz w:val="24"/>
          <w:szCs w:val="24"/>
        </w:rPr>
        <w:t xml:space="preserve"> Ward </w:t>
      </w:r>
      <w:r w:rsidR="00044C82">
        <w:rPr>
          <w:rFonts w:asciiTheme="minorHAnsi" w:hAnsiTheme="minorHAnsi"/>
          <w:sz w:val="24"/>
          <w:szCs w:val="24"/>
        </w:rPr>
        <w:t>(2003) states that</w:t>
      </w:r>
      <w:r w:rsidR="008E6BA1" w:rsidRPr="00F81798">
        <w:rPr>
          <w:rFonts w:asciiTheme="minorHAnsi" w:hAnsiTheme="minorHAnsi"/>
          <w:sz w:val="24"/>
          <w:szCs w:val="24"/>
        </w:rPr>
        <w:t xml:space="preserve"> </w:t>
      </w:r>
      <w:r w:rsidR="00044C82">
        <w:rPr>
          <w:rStyle w:val="s1"/>
          <w:rFonts w:asciiTheme="minorHAnsi" w:hAnsiTheme="minorHAnsi"/>
          <w:sz w:val="24"/>
          <w:szCs w:val="24"/>
        </w:rPr>
        <w:t>“t</w:t>
      </w:r>
      <w:r w:rsidR="00E60A55" w:rsidRPr="00F81798">
        <w:rPr>
          <w:rStyle w:val="s1"/>
          <w:rFonts w:asciiTheme="minorHAnsi" w:hAnsiTheme="minorHAnsi"/>
          <w:sz w:val="24"/>
          <w:szCs w:val="24"/>
        </w:rPr>
        <w:t>he</w:t>
      </w:r>
    </w:p>
    <w:p w14:paraId="245A4372" w14:textId="6D4060B5" w:rsidR="00E60A55" w:rsidRPr="00F81798" w:rsidRDefault="00E60A55">
      <w:pPr>
        <w:pStyle w:val="p1"/>
        <w:rPr>
          <w:rFonts w:asciiTheme="minorHAnsi" w:hAnsiTheme="minorHAnsi"/>
          <w:sz w:val="24"/>
          <w:szCs w:val="24"/>
        </w:rPr>
      </w:pPr>
      <w:r w:rsidRPr="00F81798">
        <w:rPr>
          <w:rStyle w:val="s1"/>
          <w:rFonts w:asciiTheme="minorHAnsi" w:hAnsiTheme="minorHAnsi"/>
          <w:sz w:val="24"/>
          <w:szCs w:val="24"/>
        </w:rPr>
        <w:t>association of pomegranates with aspects of life (fertility) and death through iconography</w:t>
      </w:r>
      <w:r w:rsidR="00044C82">
        <w:rPr>
          <w:rFonts w:asciiTheme="minorHAnsi" w:hAnsiTheme="minorHAnsi"/>
          <w:sz w:val="24"/>
          <w:szCs w:val="24"/>
        </w:rPr>
        <w:t xml:space="preserve"> </w:t>
      </w:r>
      <w:bookmarkStart w:id="6" w:name="_Int_Pi2JbbrL"/>
      <w:r w:rsidRPr="00F81798">
        <w:rPr>
          <w:rStyle w:val="s1"/>
          <w:rFonts w:asciiTheme="minorHAnsi" w:hAnsiTheme="minorHAnsi"/>
          <w:sz w:val="24"/>
          <w:szCs w:val="24"/>
        </w:rPr>
        <w:t>is well established</w:t>
      </w:r>
      <w:bookmarkEnd w:id="6"/>
      <w:r w:rsidRPr="00F81798">
        <w:rPr>
          <w:rStyle w:val="s1"/>
          <w:rFonts w:asciiTheme="minorHAnsi" w:hAnsiTheme="minorHAnsi"/>
          <w:sz w:val="24"/>
          <w:szCs w:val="24"/>
        </w:rPr>
        <w:t xml:space="preserve"> by the early Iron Age in the eastern Mediterranean </w:t>
      </w:r>
      <w:r w:rsidR="00044C82" w:rsidRPr="00F81798">
        <w:rPr>
          <w:rStyle w:val="s1"/>
          <w:rFonts w:asciiTheme="minorHAnsi" w:hAnsiTheme="minorHAnsi"/>
          <w:sz w:val="24"/>
          <w:szCs w:val="24"/>
        </w:rPr>
        <w:t>world and</w:t>
      </w:r>
      <w:r w:rsidRPr="00F81798">
        <w:rPr>
          <w:rStyle w:val="s1"/>
          <w:rFonts w:asciiTheme="minorHAnsi" w:hAnsiTheme="minorHAnsi"/>
          <w:sz w:val="24"/>
          <w:szCs w:val="24"/>
        </w:rPr>
        <w:t xml:space="preserve"> </w:t>
      </w:r>
      <w:bookmarkStart w:id="7" w:name="_Int_5Ciu13sC"/>
      <w:r w:rsidRPr="00F81798">
        <w:rPr>
          <w:rStyle w:val="s1"/>
          <w:rFonts w:asciiTheme="minorHAnsi" w:hAnsiTheme="minorHAnsi"/>
          <w:sz w:val="24"/>
          <w:szCs w:val="24"/>
        </w:rPr>
        <w:t>is further</w:t>
      </w:r>
      <w:r w:rsidR="00044C82">
        <w:rPr>
          <w:rFonts w:asciiTheme="minorHAnsi" w:hAnsiTheme="minorHAnsi"/>
          <w:sz w:val="24"/>
          <w:szCs w:val="24"/>
        </w:rPr>
        <w:t xml:space="preserve"> </w:t>
      </w:r>
      <w:r w:rsidRPr="00F81798">
        <w:rPr>
          <w:rStyle w:val="s1"/>
          <w:rFonts w:asciiTheme="minorHAnsi" w:hAnsiTheme="minorHAnsi"/>
          <w:sz w:val="24"/>
          <w:szCs w:val="24"/>
        </w:rPr>
        <w:t>elaborated</w:t>
      </w:r>
      <w:bookmarkEnd w:id="7"/>
      <w:r w:rsidRPr="00F81798">
        <w:rPr>
          <w:rStyle w:val="s1"/>
          <w:rFonts w:asciiTheme="minorHAnsi" w:hAnsiTheme="minorHAnsi"/>
          <w:sz w:val="24"/>
          <w:szCs w:val="24"/>
        </w:rPr>
        <w:t xml:space="preserve"> by texts and images dating to Classical times, although Bronze Age antecedents</w:t>
      </w:r>
      <w:r w:rsidR="00044C82">
        <w:rPr>
          <w:rFonts w:asciiTheme="minorHAnsi" w:hAnsiTheme="minorHAnsi"/>
          <w:sz w:val="24"/>
          <w:szCs w:val="24"/>
        </w:rPr>
        <w:t xml:space="preserve"> </w:t>
      </w:r>
      <w:r w:rsidRPr="00F81798">
        <w:rPr>
          <w:rStyle w:val="s1"/>
          <w:rFonts w:asciiTheme="minorHAnsi" w:hAnsiTheme="minorHAnsi"/>
          <w:sz w:val="24"/>
          <w:szCs w:val="24"/>
        </w:rPr>
        <w:t>are less clearly define</w:t>
      </w:r>
      <w:r w:rsidR="00044C82">
        <w:rPr>
          <w:rStyle w:val="s1"/>
          <w:rFonts w:asciiTheme="minorHAnsi" w:hAnsiTheme="minorHAnsi"/>
          <w:sz w:val="24"/>
          <w:szCs w:val="24"/>
        </w:rPr>
        <w:t xml:space="preserve">d.” </w:t>
      </w:r>
      <w:r w:rsidRPr="00F81798">
        <w:rPr>
          <w:rStyle w:val="apple-converted-space"/>
          <w:rFonts w:asciiTheme="minorHAnsi" w:hAnsiTheme="minorHAnsi"/>
          <w:sz w:val="24"/>
          <w:szCs w:val="24"/>
        </w:rPr>
        <w:t> </w:t>
      </w:r>
    </w:p>
    <w:p w14:paraId="7B1642B2" w14:textId="35DA31CC" w:rsidR="00BE5E61" w:rsidRPr="00F81798" w:rsidRDefault="00BE5E61"/>
    <w:p w14:paraId="75269729" w14:textId="27ED10E2" w:rsidR="002F6B56" w:rsidRPr="001A13D4" w:rsidRDefault="002755DC">
      <w:r>
        <w:t xml:space="preserve">This artificial is able to </w:t>
      </w:r>
      <w:r w:rsidR="00C742FE">
        <w:t xml:space="preserve">contribute to our understanding of the Aegean world by informing </w:t>
      </w:r>
      <w:r w:rsidR="00EB0FDB">
        <w:t xml:space="preserve">the reader </w:t>
      </w:r>
      <w:r w:rsidR="00362648">
        <w:t>that the Aegeans were connected with the Near Easte</w:t>
      </w:r>
      <w:r w:rsidR="00BE2B7C">
        <w:t>rn regions</w:t>
      </w:r>
      <w:r w:rsidR="000708E3">
        <w:t>, and</w:t>
      </w:r>
      <w:r w:rsidR="007917F9">
        <w:t xml:space="preserve"> </w:t>
      </w:r>
      <w:r w:rsidR="00D705EE">
        <w:t>t</w:t>
      </w:r>
      <w:r w:rsidR="007917F9">
        <w:t>hat the Mycenaeans had complex trade routes</w:t>
      </w:r>
      <w:r w:rsidR="00932CDD">
        <w:t xml:space="preserve"> </w:t>
      </w:r>
      <w:r w:rsidR="00BE2B7C">
        <w:t xml:space="preserve">which </w:t>
      </w:r>
      <w:bookmarkStart w:id="8" w:name="_Int_AsNWQOPO"/>
      <w:r w:rsidR="00BE2B7C">
        <w:t>is shown</w:t>
      </w:r>
      <w:bookmarkEnd w:id="8"/>
      <w:r w:rsidR="00BE2B7C">
        <w:t xml:space="preserve"> through the Uluburun </w:t>
      </w:r>
      <w:r w:rsidR="005045FF">
        <w:t>shipwreck.</w:t>
      </w:r>
      <w:r w:rsidR="001A6202">
        <w:t xml:space="preserve"> This gives us an </w:t>
      </w:r>
      <w:r w:rsidR="00556DF2">
        <w:t>insight</w:t>
      </w:r>
      <w:r w:rsidR="001A6202">
        <w:t xml:space="preserve"> </w:t>
      </w:r>
      <w:r w:rsidR="00386996">
        <w:t>on Bronze Age ec</w:t>
      </w:r>
      <w:r w:rsidR="005727EC">
        <w:t xml:space="preserve">onomies </w:t>
      </w:r>
      <w:r w:rsidR="00185336">
        <w:t xml:space="preserve">and highlights trade links which may have been missed. </w:t>
      </w:r>
    </w:p>
    <w:p w14:paraId="1A78BABA" w14:textId="1EF03E0D" w:rsidR="002F6B56" w:rsidRPr="00506EEC" w:rsidRDefault="00506EEC">
      <w:r>
        <w:t xml:space="preserve">In conclusion </w:t>
      </w:r>
      <w:r w:rsidR="00A235C1">
        <w:t xml:space="preserve">Ward provides valuable insights within her article </w:t>
      </w:r>
      <w:r w:rsidR="0012600D">
        <w:t xml:space="preserve">around the role of the pomegranates in the </w:t>
      </w:r>
      <w:r w:rsidR="00757C96">
        <w:t>Eastern Mediterranean L</w:t>
      </w:r>
      <w:r w:rsidR="0012600D">
        <w:t>ate Bronze Age</w:t>
      </w:r>
      <w:r w:rsidR="00584C9D">
        <w:t xml:space="preserve">. This includes the combination of archaeological </w:t>
      </w:r>
      <w:r w:rsidR="00E92399">
        <w:t>material culture with archaeobotanical evidence</w:t>
      </w:r>
      <w:r w:rsidR="00E11B8A">
        <w:t xml:space="preserve">. By using these two methods </w:t>
      </w:r>
      <w:r w:rsidR="00BD48C8">
        <w:t xml:space="preserve">Ward is able to demonstrate how something as simple as a fruit can show a wider pattern of trade, status and different cultural interactions between counties and communities. </w:t>
      </w:r>
      <w:r w:rsidR="00743BF7">
        <w:t>Ward was able to suggest that the pomegranates did in fact function more than just a fruit</w:t>
      </w:r>
      <w:r w:rsidR="00581F04">
        <w:t xml:space="preserve">, and that </w:t>
      </w:r>
      <w:r w:rsidR="000F56F8">
        <w:t>they had</w:t>
      </w:r>
      <w:r w:rsidR="00BB1407">
        <w:t xml:space="preserve"> a shared meaning across the Eastern Mediterranean. </w:t>
      </w:r>
    </w:p>
    <w:p w14:paraId="0CD2343B" w14:textId="557F733F" w:rsidR="002F6B56" w:rsidRDefault="00C070E3">
      <w:r>
        <w:t xml:space="preserve">This article has many strengths which makes it </w:t>
      </w:r>
      <w:r w:rsidR="0028305B">
        <w:t xml:space="preserve">a beneficial read for anyone who wishes to enhance their understanding of the Late Bronze Age. </w:t>
      </w:r>
      <w:r w:rsidR="004775C2">
        <w:t xml:space="preserve">Ward </w:t>
      </w:r>
      <w:r w:rsidR="00296B60">
        <w:t xml:space="preserve">does this </w:t>
      </w:r>
      <w:r w:rsidR="003F1325">
        <w:t xml:space="preserve">by </w:t>
      </w:r>
      <w:r w:rsidR="00296B60">
        <w:t>drawing her argument</w:t>
      </w:r>
      <w:r w:rsidR="003F1325">
        <w:t xml:space="preserve"> on well </w:t>
      </w:r>
      <w:r w:rsidR="00E428C2">
        <w:t xml:space="preserve">documented archaeological </w:t>
      </w:r>
      <w:r w:rsidR="00A93A3F">
        <w:t>contexts, such as elite sites and the Uluburun shipwreck</w:t>
      </w:r>
      <w:r w:rsidR="00E66C56">
        <w:t xml:space="preserve">. This shows the reliability of her findings. </w:t>
      </w:r>
      <w:r w:rsidR="002D5B4C">
        <w:t xml:space="preserve">Ward is also able to link </w:t>
      </w:r>
      <w:r w:rsidR="007232A8">
        <w:t>iconography to wider cultural practices</w:t>
      </w:r>
      <w:r w:rsidR="006F16D2">
        <w:t xml:space="preserve">, like symbolism and trade, Ward is able to connect her theory to </w:t>
      </w:r>
      <w:r w:rsidR="00B31A03">
        <w:t xml:space="preserve">material which grounds her beliefs. </w:t>
      </w:r>
      <w:r w:rsidR="00E03F2B">
        <w:t xml:space="preserve">By comparing </w:t>
      </w:r>
      <w:r w:rsidR="004B48FA">
        <w:t xml:space="preserve">the </w:t>
      </w:r>
      <w:r w:rsidR="00E03F2B">
        <w:t>evidence from different regions</w:t>
      </w:r>
      <w:r w:rsidR="004B48FA">
        <w:t xml:space="preserve"> Ward is able to illustrate the Mediterranean cultural sp</w:t>
      </w:r>
      <w:r w:rsidR="003F1DAE">
        <w:t xml:space="preserve">here and shows the interconnectedness many regions had due to trade. </w:t>
      </w:r>
    </w:p>
    <w:p w14:paraId="53D63421" w14:textId="77777777" w:rsidR="001A13D4" w:rsidRDefault="001F151E">
      <w:pPr>
        <w:rPr>
          <w:i/>
          <w:iCs/>
        </w:rPr>
      </w:pPr>
      <w:r>
        <w:t xml:space="preserve">Although Ward tries to illustrate </w:t>
      </w:r>
      <w:r w:rsidR="006F247E">
        <w:t xml:space="preserve">her </w:t>
      </w:r>
      <w:r>
        <w:t>interpretation of the significance of pomegranates</w:t>
      </w:r>
      <w:r w:rsidR="006F247E">
        <w:t xml:space="preserve"> and uses sources such as the </w:t>
      </w:r>
      <w:r w:rsidR="006E0781">
        <w:t xml:space="preserve">Uluburun shipwreck, this becomes quite limiting </w:t>
      </w:r>
      <w:r w:rsidR="00900DE3">
        <w:t xml:space="preserve">as it is not a full representation across </w:t>
      </w:r>
      <w:r w:rsidR="00B64585">
        <w:t>all</w:t>
      </w:r>
      <w:r w:rsidR="00900DE3">
        <w:t xml:space="preserve"> the Eastern Mediterranean regions. </w:t>
      </w:r>
      <w:r w:rsidR="006842E7">
        <w:t xml:space="preserve">The studies in this article are </w:t>
      </w:r>
      <w:bookmarkStart w:id="9" w:name="_Int_RzbKVDDI"/>
      <w:r w:rsidR="006842E7">
        <w:t>almost only</w:t>
      </w:r>
      <w:bookmarkEnd w:id="9"/>
      <w:r w:rsidR="006842E7">
        <w:t xml:space="preserve"> from elite </w:t>
      </w:r>
      <w:r w:rsidR="00FD142D">
        <w:t xml:space="preserve">or </w:t>
      </w:r>
      <w:r w:rsidR="00B64585">
        <w:t>high-status</w:t>
      </w:r>
      <w:r w:rsidR="00FD142D">
        <w:t xml:space="preserve"> contexts. This leaves the reader with questions about how pomegranates could have been used by the non-elite population</w:t>
      </w:r>
      <w:r w:rsidR="00E27BD5">
        <w:t xml:space="preserve">. </w:t>
      </w:r>
      <w:r w:rsidR="006052AF">
        <w:t xml:space="preserve"> </w:t>
      </w:r>
    </w:p>
    <w:p w14:paraId="762101D7" w14:textId="70FA77E3" w:rsidR="00B64585" w:rsidRPr="001A13D4" w:rsidRDefault="00B64585">
      <w:pPr>
        <w:rPr>
          <w:i/>
          <w:iCs/>
        </w:rPr>
      </w:pPr>
      <w:r>
        <w:t xml:space="preserve">This article would be beneficial to a reader who does not have a broad understanding or knowledge of the Aegeans and would like to know </w:t>
      </w:r>
      <w:r w:rsidR="00F818BF">
        <w:t xml:space="preserve">more about their unique culture and how </w:t>
      </w:r>
      <w:r w:rsidR="00204E2E">
        <w:t xml:space="preserve">certain fruits held ritual significance </w:t>
      </w:r>
      <w:r w:rsidR="00911837">
        <w:t xml:space="preserve">and </w:t>
      </w:r>
      <w:r w:rsidR="00AA4AF7">
        <w:t xml:space="preserve">represented more then just being of a food source. </w:t>
      </w:r>
      <w:r w:rsidR="00062852">
        <w:t xml:space="preserve">The article has an easy flow and layout which </w:t>
      </w:r>
      <w:r w:rsidR="000E2CAC">
        <w:t xml:space="preserve">makes it possible for readers of any </w:t>
      </w:r>
      <w:r w:rsidR="00F837C8">
        <w:t xml:space="preserve">academic background to understand and appreciate the argument which is </w:t>
      </w:r>
      <w:r w:rsidR="001D0639">
        <w:t>being</w:t>
      </w:r>
      <w:r w:rsidR="00F837C8">
        <w:t xml:space="preserve"> presented. </w:t>
      </w:r>
    </w:p>
    <w:p w14:paraId="0AE4277B" w14:textId="77777777" w:rsidR="00C307E5" w:rsidRDefault="008303E8">
      <w:r>
        <w:t>War</w:t>
      </w:r>
      <w:r w:rsidR="00272E98">
        <w:t>d</w:t>
      </w:r>
      <w:r>
        <w:t xml:space="preserve"> </w:t>
      </w:r>
      <w:bookmarkStart w:id="10" w:name="_Int_0hCASQvk"/>
      <w:r>
        <w:t>is able to</w:t>
      </w:r>
      <w:bookmarkEnd w:id="10"/>
      <w:r>
        <w:t xml:space="preserve"> use botanical evidence to reveal patterns of trade, cultural exchange and </w:t>
      </w:r>
      <w:r w:rsidR="007174AA">
        <w:t>elite beliefs within the Late Bronze Age Mediterranean.</w:t>
      </w:r>
      <w:r w:rsidR="00272E98">
        <w:t xml:space="preserve"> This contributes to the wider discourse</w:t>
      </w:r>
      <w:r w:rsidR="00F72D76">
        <w:t xml:space="preserve"> </w:t>
      </w:r>
      <w:r w:rsidR="006A4A74">
        <w:t>by expanding th</w:t>
      </w:r>
      <w:r w:rsidR="003A6065">
        <w:t xml:space="preserve">e discussion </w:t>
      </w:r>
      <w:r w:rsidR="00F9568B">
        <w:t xml:space="preserve">surrounding perishable goods and highlights </w:t>
      </w:r>
      <w:r w:rsidR="00AA0FBA">
        <w:t>the importance of these goods in the understanding of the Aegean’s and their connectivity.</w:t>
      </w:r>
    </w:p>
    <w:p w14:paraId="433D4879" w14:textId="0B9BD30B" w:rsidR="00837C89" w:rsidRDefault="00C307E5">
      <w:r>
        <w:lastRenderedPageBreak/>
        <w:t xml:space="preserve">If we compare Wards article to </w:t>
      </w:r>
      <w:r w:rsidR="005029B9">
        <w:t xml:space="preserve">the article </w:t>
      </w:r>
      <w:r w:rsidR="00AA44B1">
        <w:t>‘How to Compare Re-examination of the Inscribed Pomegranate</w:t>
      </w:r>
      <w:r w:rsidR="00F24147">
        <w:t>’ written by Andr</w:t>
      </w:r>
      <w:r w:rsidR="00975044">
        <w:t>é Lemaire</w:t>
      </w:r>
      <w:r w:rsidR="003458A5">
        <w:t xml:space="preserve"> (2006)</w:t>
      </w:r>
      <w:r w:rsidR="00694E8B">
        <w:t xml:space="preserve"> we </w:t>
      </w:r>
      <w:r w:rsidR="0058150E">
        <w:t>can</w:t>
      </w:r>
      <w:r w:rsidR="00694E8B">
        <w:t xml:space="preserve"> </w:t>
      </w:r>
      <w:r w:rsidR="00F342C4">
        <w:t xml:space="preserve">conclude how significant pomegranates have been to </w:t>
      </w:r>
      <w:r w:rsidR="000727F9">
        <w:t xml:space="preserve">many </w:t>
      </w:r>
      <w:r w:rsidR="0058150E">
        <w:t>distinct cultures</w:t>
      </w:r>
      <w:r w:rsidR="000727F9">
        <w:t xml:space="preserve"> and regions across the globe. </w:t>
      </w:r>
      <w:r w:rsidR="007F34A8">
        <w:t xml:space="preserve">Lemaire is studying a single ivory </w:t>
      </w:r>
      <w:r w:rsidR="0079208D">
        <w:t>pomegranate artefact from a temple in Israel, wher</w:t>
      </w:r>
      <w:r w:rsidR="00545E0C">
        <w:t xml:space="preserve">e as Ward is </w:t>
      </w:r>
      <w:r w:rsidR="0056605C">
        <w:t xml:space="preserve">studying </w:t>
      </w:r>
      <w:r w:rsidR="007A550D">
        <w:t>symbolicalness of</w:t>
      </w:r>
      <w:r w:rsidR="00D60883">
        <w:t xml:space="preserve"> pomegranates </w:t>
      </w:r>
      <w:r w:rsidR="007A550D">
        <w:t>across the Bronze Age.</w:t>
      </w:r>
      <w:r w:rsidR="0058150E">
        <w:t xml:space="preserve"> </w:t>
      </w:r>
      <w:r w:rsidR="00C20F30">
        <w:t xml:space="preserve">By comparing both articles, it informs the reader </w:t>
      </w:r>
      <w:r w:rsidR="00F808E8">
        <w:t xml:space="preserve">on </w:t>
      </w:r>
      <w:r w:rsidR="00C20F30">
        <w:t>ho</w:t>
      </w:r>
      <w:r w:rsidR="00DB6036">
        <w:t xml:space="preserve">w the pomegranate can help contribute to </w:t>
      </w:r>
      <w:r w:rsidR="000D71A6">
        <w:t xml:space="preserve">eastern Mediterranean archaeology as well as Hebrew epigraphic. </w:t>
      </w:r>
      <w:r w:rsidR="00E813B6">
        <w:t xml:space="preserve">Both articles show that the pomegranate can be examined from a scientific (Ward) and a textual (Lemaire) perspective. </w:t>
      </w:r>
      <w:r w:rsidR="005029B9">
        <w:t xml:space="preserve">This reveals the significance of the pomegranate. </w:t>
      </w:r>
    </w:p>
    <w:p w14:paraId="099832A2" w14:textId="77777777" w:rsidR="00D0067D" w:rsidRDefault="00D0067D"/>
    <w:p w14:paraId="26B48BB5" w14:textId="286FD44C" w:rsidR="00D0067D" w:rsidRDefault="006A6357" w:rsidP="006A6357">
      <w:pPr>
        <w:pStyle w:val="Heading2"/>
      </w:pPr>
      <w:r>
        <w:t xml:space="preserve">Bibliography </w:t>
      </w:r>
    </w:p>
    <w:p w14:paraId="04466D3E" w14:textId="0620CD22" w:rsidR="006A6357" w:rsidRDefault="006A6357" w:rsidP="006A6357">
      <w:pPr>
        <w:rPr>
          <w:rFonts w:eastAsia="Times New Roman" w:cs="Open Sans"/>
          <w:color w:val="000000" w:themeColor="text1"/>
          <w:shd w:val="clear" w:color="auto" w:fill="FFFFFF"/>
        </w:rPr>
      </w:pPr>
      <w:r>
        <w:t xml:space="preserve">Ward, C. </w:t>
      </w:r>
      <w:r w:rsidR="00633D04">
        <w:t xml:space="preserve">(2003) </w:t>
      </w:r>
      <w:r w:rsidR="00633D04" w:rsidRPr="005B6C59">
        <w:rPr>
          <w:rFonts w:eastAsia="Times New Roman" w:cs="Open Sans"/>
          <w:color w:val="000000" w:themeColor="text1"/>
          <w:shd w:val="clear" w:color="auto" w:fill="FFFFFF"/>
        </w:rPr>
        <w:t>Pomegranates in eastern Mediterranean contexts during the Late Bronze Age’,</w:t>
      </w:r>
      <w:r w:rsidR="00633D04" w:rsidRPr="005B6C59">
        <w:rPr>
          <w:rStyle w:val="apple-converted-space"/>
          <w:rFonts w:eastAsia="Times New Roman" w:cs="Open Sans"/>
          <w:color w:val="000000" w:themeColor="text1"/>
          <w:shd w:val="clear" w:color="auto" w:fill="FFFFFF"/>
        </w:rPr>
        <w:t> </w:t>
      </w:r>
      <w:r w:rsidR="00633D04" w:rsidRPr="005B6C59">
        <w:rPr>
          <w:rFonts w:eastAsia="Times New Roman" w:cs="Open Sans"/>
          <w:color w:val="000000" w:themeColor="text1"/>
        </w:rPr>
        <w:t>World Archaeology</w:t>
      </w:r>
      <w:r w:rsidR="00633D04" w:rsidRPr="005B6C59">
        <w:rPr>
          <w:rFonts w:eastAsia="Times New Roman" w:cs="Open Sans"/>
          <w:color w:val="000000" w:themeColor="text1"/>
          <w:shd w:val="clear" w:color="auto" w:fill="FFFFFF"/>
        </w:rPr>
        <w:t>, 34(3), pp. 529–541</w:t>
      </w:r>
    </w:p>
    <w:p w14:paraId="3218E6A5" w14:textId="4728CDE8" w:rsidR="005B6C59" w:rsidRPr="005B6C59" w:rsidRDefault="005B6C59" w:rsidP="006A6357">
      <w:pPr>
        <w:rPr>
          <w:color w:val="000000" w:themeColor="text1"/>
        </w:rPr>
      </w:pPr>
      <w:r>
        <w:rPr>
          <w:rFonts w:eastAsia="Times New Roman" w:cs="Open Sans"/>
          <w:color w:val="000000" w:themeColor="text1"/>
          <w:shd w:val="clear" w:color="auto" w:fill="FFFFFF"/>
        </w:rPr>
        <w:t>Lemaire, A. (2006)</w:t>
      </w:r>
      <w:r w:rsidR="009C5A07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r w:rsidR="008B3427">
        <w:t xml:space="preserve">A </w:t>
      </w:r>
      <w:r w:rsidR="009C5A07">
        <w:t>Re-examination of the Inscribed Pomegranate</w:t>
      </w:r>
      <w:r w:rsidR="00674928">
        <w:t>: A Rejoinder</w:t>
      </w:r>
      <w:r w:rsidR="008B3427">
        <w:t>, vol.56, No.2</w:t>
      </w:r>
      <w:r w:rsidR="00F23517">
        <w:t xml:space="preserve">, pp. 167-177. </w:t>
      </w:r>
    </w:p>
    <w:sectPr w:rsidR="005B6C59" w:rsidRPr="005B6C59" w:rsidSect="00996E0B">
      <w:headerReference w:type="default" r:id="rId6"/>
      <w:footerReference w:type="even" r:id="rId7"/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7147E" w14:textId="77777777" w:rsidR="00581F0E" w:rsidRDefault="00581F0E" w:rsidP="0068299E">
      <w:pPr>
        <w:spacing w:after="0" w:line="240" w:lineRule="auto"/>
      </w:pPr>
      <w:r>
        <w:separator/>
      </w:r>
    </w:p>
  </w:endnote>
  <w:endnote w:type="continuationSeparator" w:id="0">
    <w:p w14:paraId="365ADDC7" w14:textId="77777777" w:rsidR="00581F0E" w:rsidRDefault="00581F0E" w:rsidP="00682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073728399"/>
      <w:docPartObj>
        <w:docPartGallery w:val="Page Numbers (Bottom of Page)"/>
        <w:docPartUnique/>
      </w:docPartObj>
    </w:sdtPr>
    <w:sdtContent>
      <w:p w14:paraId="203F0F6E" w14:textId="5F15BD02" w:rsidR="0036081C" w:rsidRDefault="0036081C" w:rsidP="005724E1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2E8211E" w14:textId="77777777" w:rsidR="0036081C" w:rsidRDefault="0036081C" w:rsidP="0036081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587468100"/>
      <w:docPartObj>
        <w:docPartGallery w:val="Page Numbers (Bottom of Page)"/>
        <w:docPartUnique/>
      </w:docPartObj>
    </w:sdtPr>
    <w:sdtContent>
      <w:p w14:paraId="178B0E11" w14:textId="4848E959" w:rsidR="0036081C" w:rsidRDefault="0036081C" w:rsidP="005724E1">
        <w:pPr>
          <w:pStyle w:val="Footer"/>
          <w:framePr w:wrap="none" w:vAnchor="text" w:hAnchor="margin" w:xAlign="right" w:y="1"/>
          <w:jc w:val="right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EA8D3C8" w14:textId="77777777" w:rsidR="0036081C" w:rsidRDefault="0036081C" w:rsidP="0036081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14A7C" w14:textId="77777777" w:rsidR="00581F0E" w:rsidRDefault="00581F0E" w:rsidP="0068299E">
      <w:pPr>
        <w:spacing w:after="0" w:line="240" w:lineRule="auto"/>
      </w:pPr>
      <w:r>
        <w:separator/>
      </w:r>
    </w:p>
  </w:footnote>
  <w:footnote w:type="continuationSeparator" w:id="0">
    <w:p w14:paraId="4A729B6B" w14:textId="77777777" w:rsidR="00581F0E" w:rsidRDefault="00581F0E" w:rsidP="00682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3868E" w14:textId="67577A0D" w:rsidR="00606458" w:rsidRPr="00996E0B" w:rsidRDefault="00606458">
    <w:pPr>
      <w:pStyle w:val="Header"/>
      <w:rPr>
        <w:sz w:val="18"/>
        <w:szCs w:val="18"/>
      </w:rPr>
    </w:pPr>
    <w:r w:rsidRPr="00996E0B">
      <w:rPr>
        <w:sz w:val="18"/>
        <w:szCs w:val="18"/>
      </w:rPr>
      <w:t xml:space="preserve">Article review of </w:t>
    </w:r>
    <w:r w:rsidRPr="00996E0B">
      <w:rPr>
        <w:rFonts w:eastAsia="Times New Roman" w:cs="Open Sans"/>
        <w:color w:val="333333"/>
        <w:sz w:val="18"/>
        <w:szCs w:val="18"/>
        <w:shd w:val="clear" w:color="auto" w:fill="FFFFFF"/>
      </w:rPr>
      <w:t>Ward, C. (2003) ‘Pomegranates in eastern Mediterranean contexts during the Late Bronze Age’,</w:t>
    </w:r>
    <w:r w:rsidRPr="00996E0B">
      <w:rPr>
        <w:rStyle w:val="apple-converted-space"/>
        <w:rFonts w:eastAsia="Times New Roman" w:cs="Open Sans"/>
        <w:color w:val="333333"/>
        <w:sz w:val="18"/>
        <w:szCs w:val="18"/>
        <w:shd w:val="clear" w:color="auto" w:fill="FFFFFF"/>
      </w:rPr>
      <w:t> </w:t>
    </w:r>
    <w:r w:rsidRPr="00996E0B">
      <w:rPr>
        <w:rFonts w:eastAsia="Times New Roman" w:cs="Open Sans"/>
        <w:color w:val="333333"/>
        <w:sz w:val="18"/>
        <w:szCs w:val="18"/>
      </w:rPr>
      <w:t>World Archaeology</w:t>
    </w:r>
    <w:r w:rsidRPr="00996E0B">
      <w:rPr>
        <w:rFonts w:eastAsia="Times New Roman" w:cs="Open Sans"/>
        <w:color w:val="333333"/>
        <w:sz w:val="18"/>
        <w:szCs w:val="18"/>
        <w:shd w:val="clear" w:color="auto" w:fill="FFFFFF"/>
      </w:rPr>
      <w:t>, 34(3), pp. 529–541. Lillian York</w:t>
    </w:r>
    <w:r w:rsidR="006341B1">
      <w:rPr>
        <w:rFonts w:eastAsia="Times New Roman" w:cs="Open Sans"/>
        <w:color w:val="333333"/>
        <w:sz w:val="18"/>
        <w:szCs w:val="18"/>
        <w:shd w:val="clear" w:color="auto" w:fill="FFFFFF"/>
      </w:rPr>
      <w:t xml:space="preserve"> 2317170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q7o6JA0V" int2:invalidationBookmarkName="" int2:hashCode="dalNooyseA++F1" int2:id="PiXr5IKk">
      <int2:state int2:value="Rejected" int2:type="style"/>
    </int2:bookmark>
    <int2:bookmark int2:bookmarkName="_Int_kaBD8AbA" int2:invalidationBookmarkName="" int2:hashCode="H69B9RWvLzeS4I" int2:id="1c0V0fQS">
      <int2:state int2:value="Rejected" int2:type="style"/>
    </int2:bookmark>
    <int2:bookmark int2:bookmarkName="_Int_gF7SZLLv" int2:invalidationBookmarkName="" int2:hashCode="O701nMMBPVyqMQ" int2:id="CHq48ZSw">
      <int2:state int2:value="Rejected" int2:type="style"/>
    </int2:bookmark>
    <int2:bookmark int2:bookmarkName="_Int_wsEa69Pl" int2:invalidationBookmarkName="" int2:hashCode="Oj8DPwopa6+AEr" int2:id="fwmWgb61">
      <int2:state int2:value="Rejected" int2:type="style"/>
    </int2:bookmark>
    <int2:bookmark int2:bookmarkName="_Int_h8KNtxgy" int2:invalidationBookmarkName="" int2:hashCode="ZIa8R1N0LCHqNL" int2:id="HuEyCut3">
      <int2:state int2:value="Rejected" int2:type="style"/>
    </int2:bookmark>
    <int2:bookmark int2:bookmarkName="_Int_kzwqq4Pd" int2:invalidationBookmarkName="" int2:hashCode="nAPZmBitH14rPT" int2:id="cFZiNHHb">
      <int2:state int2:value="Rejected" int2:type="style"/>
    </int2:bookmark>
    <int2:bookmark int2:bookmarkName="_Int_AsNWQOPO" int2:invalidationBookmarkName="" int2:hashCode="bRUzPgMfLXYBK8" int2:id="MzFptTlo">
      <int2:state int2:value="Rejected" int2:type="style"/>
    </int2:bookmark>
    <int2:bookmark int2:bookmarkName="_Int_RzbKVDDI" int2:invalidationBookmarkName="" int2:hashCode="I3PC6SVW4947NB" int2:id="wmtymg2q">
      <int2:state int2:value="Rejected" int2:type="style"/>
    </int2:bookmark>
    <int2:bookmark int2:bookmarkName="_Int_Pi2JbbrL" int2:invalidationBookmarkName="" int2:hashCode="Dr9GE/nmo33wHp" int2:id="fI8jmLkt">
      <int2:state int2:value="Rejected" int2:type="style"/>
    </int2:bookmark>
    <int2:bookmark int2:bookmarkName="_Int_5Ciu13sC" int2:invalidationBookmarkName="" int2:hashCode="wrTyN/bdEDwyr2" int2:id="s76rBl9s">
      <int2:state int2:value="Rejected" int2:type="style"/>
    </int2:bookmark>
    <int2:bookmark int2:bookmarkName="_Int_0hCASQvk" int2:invalidationBookmarkName="" int2:hashCode="XEbAsqc9Rn7weH" int2:id="oZdCfhr0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B56"/>
    <w:rsid w:val="00010CE4"/>
    <w:rsid w:val="00015BCF"/>
    <w:rsid w:val="00040D17"/>
    <w:rsid w:val="00044C82"/>
    <w:rsid w:val="00053AE4"/>
    <w:rsid w:val="00062852"/>
    <w:rsid w:val="00063723"/>
    <w:rsid w:val="00065853"/>
    <w:rsid w:val="000708E3"/>
    <w:rsid w:val="000727F9"/>
    <w:rsid w:val="000760D3"/>
    <w:rsid w:val="00097F44"/>
    <w:rsid w:val="000A36E0"/>
    <w:rsid w:val="000A736C"/>
    <w:rsid w:val="000B0D81"/>
    <w:rsid w:val="000D71A6"/>
    <w:rsid w:val="000E2474"/>
    <w:rsid w:val="000E2CAC"/>
    <w:rsid w:val="000E7BB0"/>
    <w:rsid w:val="000F449A"/>
    <w:rsid w:val="000F56F8"/>
    <w:rsid w:val="0012600D"/>
    <w:rsid w:val="00143689"/>
    <w:rsid w:val="00144DE8"/>
    <w:rsid w:val="00146C41"/>
    <w:rsid w:val="00151B8E"/>
    <w:rsid w:val="00164A89"/>
    <w:rsid w:val="00172B64"/>
    <w:rsid w:val="001730D1"/>
    <w:rsid w:val="00184F65"/>
    <w:rsid w:val="00185336"/>
    <w:rsid w:val="00191B8A"/>
    <w:rsid w:val="001A13D4"/>
    <w:rsid w:val="001A6202"/>
    <w:rsid w:val="001B6E9D"/>
    <w:rsid w:val="001D0639"/>
    <w:rsid w:val="001E6D35"/>
    <w:rsid w:val="001F151E"/>
    <w:rsid w:val="00204E2E"/>
    <w:rsid w:val="00220973"/>
    <w:rsid w:val="00226123"/>
    <w:rsid w:val="0022783E"/>
    <w:rsid w:val="00234C6B"/>
    <w:rsid w:val="00260742"/>
    <w:rsid w:val="00272E98"/>
    <w:rsid w:val="00274473"/>
    <w:rsid w:val="002755DC"/>
    <w:rsid w:val="002757C6"/>
    <w:rsid w:val="0028305B"/>
    <w:rsid w:val="00296B60"/>
    <w:rsid w:val="00297F27"/>
    <w:rsid w:val="002A6386"/>
    <w:rsid w:val="002A6793"/>
    <w:rsid w:val="002B07EB"/>
    <w:rsid w:val="002B0A5E"/>
    <w:rsid w:val="002C05CC"/>
    <w:rsid w:val="002C2B89"/>
    <w:rsid w:val="002D5B4C"/>
    <w:rsid w:val="002E1C3F"/>
    <w:rsid w:val="002E2918"/>
    <w:rsid w:val="002F6B56"/>
    <w:rsid w:val="003034E6"/>
    <w:rsid w:val="003338DF"/>
    <w:rsid w:val="00334C1F"/>
    <w:rsid w:val="0033685A"/>
    <w:rsid w:val="003458A5"/>
    <w:rsid w:val="0036081C"/>
    <w:rsid w:val="00362648"/>
    <w:rsid w:val="00367405"/>
    <w:rsid w:val="0037142F"/>
    <w:rsid w:val="00386996"/>
    <w:rsid w:val="00391062"/>
    <w:rsid w:val="00395BB0"/>
    <w:rsid w:val="003A6065"/>
    <w:rsid w:val="003B14D6"/>
    <w:rsid w:val="003D0F6C"/>
    <w:rsid w:val="003D5677"/>
    <w:rsid w:val="003E466F"/>
    <w:rsid w:val="003E5155"/>
    <w:rsid w:val="003F0F11"/>
    <w:rsid w:val="003F1325"/>
    <w:rsid w:val="003F1DAE"/>
    <w:rsid w:val="00406B4C"/>
    <w:rsid w:val="0041505C"/>
    <w:rsid w:val="00420D2C"/>
    <w:rsid w:val="004300DA"/>
    <w:rsid w:val="00460431"/>
    <w:rsid w:val="004731C1"/>
    <w:rsid w:val="004775C2"/>
    <w:rsid w:val="004A44D8"/>
    <w:rsid w:val="004A4C1A"/>
    <w:rsid w:val="004B48FA"/>
    <w:rsid w:val="004B4E74"/>
    <w:rsid w:val="004C30E4"/>
    <w:rsid w:val="004C6325"/>
    <w:rsid w:val="004E161A"/>
    <w:rsid w:val="004E2B78"/>
    <w:rsid w:val="004F222B"/>
    <w:rsid w:val="004F2A77"/>
    <w:rsid w:val="004F7749"/>
    <w:rsid w:val="005029B9"/>
    <w:rsid w:val="005045FF"/>
    <w:rsid w:val="00506EEC"/>
    <w:rsid w:val="00522339"/>
    <w:rsid w:val="00523136"/>
    <w:rsid w:val="00523589"/>
    <w:rsid w:val="0053331A"/>
    <w:rsid w:val="0053369B"/>
    <w:rsid w:val="00545E0C"/>
    <w:rsid w:val="00556DF2"/>
    <w:rsid w:val="0055779C"/>
    <w:rsid w:val="005600B7"/>
    <w:rsid w:val="0056605C"/>
    <w:rsid w:val="005727EC"/>
    <w:rsid w:val="00573472"/>
    <w:rsid w:val="0058150E"/>
    <w:rsid w:val="00581F04"/>
    <w:rsid w:val="00581F0E"/>
    <w:rsid w:val="00584C9D"/>
    <w:rsid w:val="00596348"/>
    <w:rsid w:val="00597D96"/>
    <w:rsid w:val="005A5F66"/>
    <w:rsid w:val="005A7BCB"/>
    <w:rsid w:val="005B6C59"/>
    <w:rsid w:val="005C6881"/>
    <w:rsid w:val="005D018E"/>
    <w:rsid w:val="005F0978"/>
    <w:rsid w:val="006052AF"/>
    <w:rsid w:val="00606458"/>
    <w:rsid w:val="00616977"/>
    <w:rsid w:val="00633D04"/>
    <w:rsid w:val="006341B1"/>
    <w:rsid w:val="0065687A"/>
    <w:rsid w:val="0066033D"/>
    <w:rsid w:val="00670715"/>
    <w:rsid w:val="00670A49"/>
    <w:rsid w:val="00674928"/>
    <w:rsid w:val="0068299E"/>
    <w:rsid w:val="006842E7"/>
    <w:rsid w:val="00685B68"/>
    <w:rsid w:val="006873DF"/>
    <w:rsid w:val="00694E8B"/>
    <w:rsid w:val="006A4A74"/>
    <w:rsid w:val="006A6357"/>
    <w:rsid w:val="006D14E7"/>
    <w:rsid w:val="006D1D5E"/>
    <w:rsid w:val="006D76A6"/>
    <w:rsid w:val="006E0781"/>
    <w:rsid w:val="006F16D2"/>
    <w:rsid w:val="006F247E"/>
    <w:rsid w:val="0070380B"/>
    <w:rsid w:val="007174AA"/>
    <w:rsid w:val="007232A8"/>
    <w:rsid w:val="00732384"/>
    <w:rsid w:val="007416B8"/>
    <w:rsid w:val="00743BF7"/>
    <w:rsid w:val="007551EA"/>
    <w:rsid w:val="00756197"/>
    <w:rsid w:val="00757C96"/>
    <w:rsid w:val="00766913"/>
    <w:rsid w:val="007809BC"/>
    <w:rsid w:val="007917F9"/>
    <w:rsid w:val="0079208D"/>
    <w:rsid w:val="007A550D"/>
    <w:rsid w:val="007D3B5B"/>
    <w:rsid w:val="007D4894"/>
    <w:rsid w:val="007E2BA3"/>
    <w:rsid w:val="007E748B"/>
    <w:rsid w:val="007F0625"/>
    <w:rsid w:val="007F34A8"/>
    <w:rsid w:val="0080547A"/>
    <w:rsid w:val="008073E2"/>
    <w:rsid w:val="00820FD2"/>
    <w:rsid w:val="008303E8"/>
    <w:rsid w:val="00830409"/>
    <w:rsid w:val="00837C89"/>
    <w:rsid w:val="0084422A"/>
    <w:rsid w:val="0085081C"/>
    <w:rsid w:val="0086335D"/>
    <w:rsid w:val="00880262"/>
    <w:rsid w:val="0089090D"/>
    <w:rsid w:val="008B3427"/>
    <w:rsid w:val="008C5DC9"/>
    <w:rsid w:val="008C7A26"/>
    <w:rsid w:val="008E05D4"/>
    <w:rsid w:val="008E24D6"/>
    <w:rsid w:val="008E6BA1"/>
    <w:rsid w:val="008F6BD2"/>
    <w:rsid w:val="00900DE3"/>
    <w:rsid w:val="00902952"/>
    <w:rsid w:val="0090319B"/>
    <w:rsid w:val="00910EEE"/>
    <w:rsid w:val="00911837"/>
    <w:rsid w:val="0091223D"/>
    <w:rsid w:val="00932CDD"/>
    <w:rsid w:val="009406AF"/>
    <w:rsid w:val="009470AF"/>
    <w:rsid w:val="00974B1A"/>
    <w:rsid w:val="00975044"/>
    <w:rsid w:val="009756CB"/>
    <w:rsid w:val="00981FB2"/>
    <w:rsid w:val="0099424C"/>
    <w:rsid w:val="00996E0B"/>
    <w:rsid w:val="009A385D"/>
    <w:rsid w:val="009B146E"/>
    <w:rsid w:val="009C4131"/>
    <w:rsid w:val="009C5554"/>
    <w:rsid w:val="009C5A07"/>
    <w:rsid w:val="009C6B6C"/>
    <w:rsid w:val="009E7893"/>
    <w:rsid w:val="009F0A31"/>
    <w:rsid w:val="00A07B13"/>
    <w:rsid w:val="00A10634"/>
    <w:rsid w:val="00A114DD"/>
    <w:rsid w:val="00A235C1"/>
    <w:rsid w:val="00A674D3"/>
    <w:rsid w:val="00A937DB"/>
    <w:rsid w:val="00A93A3F"/>
    <w:rsid w:val="00A93DD4"/>
    <w:rsid w:val="00AA0FBA"/>
    <w:rsid w:val="00AA44B1"/>
    <w:rsid w:val="00AA4AF7"/>
    <w:rsid w:val="00AD6FE5"/>
    <w:rsid w:val="00AE361F"/>
    <w:rsid w:val="00AE5C82"/>
    <w:rsid w:val="00B22DF1"/>
    <w:rsid w:val="00B31A03"/>
    <w:rsid w:val="00B32C13"/>
    <w:rsid w:val="00B42EA5"/>
    <w:rsid w:val="00B57A53"/>
    <w:rsid w:val="00B63826"/>
    <w:rsid w:val="00B64585"/>
    <w:rsid w:val="00B6690A"/>
    <w:rsid w:val="00B74EDB"/>
    <w:rsid w:val="00BA2E0C"/>
    <w:rsid w:val="00BB1407"/>
    <w:rsid w:val="00BD48C8"/>
    <w:rsid w:val="00BE2B7C"/>
    <w:rsid w:val="00BE5E61"/>
    <w:rsid w:val="00BE7B77"/>
    <w:rsid w:val="00C05CC1"/>
    <w:rsid w:val="00C06D25"/>
    <w:rsid w:val="00C070E3"/>
    <w:rsid w:val="00C20F30"/>
    <w:rsid w:val="00C307E5"/>
    <w:rsid w:val="00C452DE"/>
    <w:rsid w:val="00C64E2B"/>
    <w:rsid w:val="00C73955"/>
    <w:rsid w:val="00C742FE"/>
    <w:rsid w:val="00C77758"/>
    <w:rsid w:val="00C77B5A"/>
    <w:rsid w:val="00C80D59"/>
    <w:rsid w:val="00CA0647"/>
    <w:rsid w:val="00CC267E"/>
    <w:rsid w:val="00CC2DEF"/>
    <w:rsid w:val="00CD1220"/>
    <w:rsid w:val="00D0067D"/>
    <w:rsid w:val="00D01538"/>
    <w:rsid w:val="00D511C0"/>
    <w:rsid w:val="00D60883"/>
    <w:rsid w:val="00D705EE"/>
    <w:rsid w:val="00D74217"/>
    <w:rsid w:val="00D857EA"/>
    <w:rsid w:val="00DA3D57"/>
    <w:rsid w:val="00DB6036"/>
    <w:rsid w:val="00E0134A"/>
    <w:rsid w:val="00E031B1"/>
    <w:rsid w:val="00E03F2B"/>
    <w:rsid w:val="00E11B8A"/>
    <w:rsid w:val="00E14436"/>
    <w:rsid w:val="00E21AB5"/>
    <w:rsid w:val="00E27BD5"/>
    <w:rsid w:val="00E428C2"/>
    <w:rsid w:val="00E60A55"/>
    <w:rsid w:val="00E66C56"/>
    <w:rsid w:val="00E813B6"/>
    <w:rsid w:val="00E92399"/>
    <w:rsid w:val="00E97D88"/>
    <w:rsid w:val="00EA25F6"/>
    <w:rsid w:val="00EA4F04"/>
    <w:rsid w:val="00EB0FDB"/>
    <w:rsid w:val="00EC4730"/>
    <w:rsid w:val="00ED0A88"/>
    <w:rsid w:val="00EE0FA3"/>
    <w:rsid w:val="00EF136E"/>
    <w:rsid w:val="00F06298"/>
    <w:rsid w:val="00F23517"/>
    <w:rsid w:val="00F24147"/>
    <w:rsid w:val="00F30F07"/>
    <w:rsid w:val="00F342C4"/>
    <w:rsid w:val="00F43551"/>
    <w:rsid w:val="00F52122"/>
    <w:rsid w:val="00F61F92"/>
    <w:rsid w:val="00F72D76"/>
    <w:rsid w:val="00F72E38"/>
    <w:rsid w:val="00F808E8"/>
    <w:rsid w:val="00F81798"/>
    <w:rsid w:val="00F818BF"/>
    <w:rsid w:val="00F837C8"/>
    <w:rsid w:val="00F9568B"/>
    <w:rsid w:val="00FA2CED"/>
    <w:rsid w:val="00FB1FD7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5C788F"/>
  <w15:chartTrackingRefBased/>
  <w15:docId w15:val="{E2CF890F-6241-DB43-8D5C-18863E935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6B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6B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6B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6B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6B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B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6B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6B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6B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B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F6B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6B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6B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6B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6B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6B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6B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6B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6B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6B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6B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6B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6B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6B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6B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6B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6B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6B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6B5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829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99E"/>
  </w:style>
  <w:style w:type="paragraph" w:styleId="Footer">
    <w:name w:val="footer"/>
    <w:basedOn w:val="Normal"/>
    <w:link w:val="FooterChar"/>
    <w:uiPriority w:val="99"/>
    <w:unhideWhenUsed/>
    <w:rsid w:val="006829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99E"/>
  </w:style>
  <w:style w:type="paragraph" w:customStyle="1" w:styleId="p1">
    <w:name w:val="p1"/>
    <w:basedOn w:val="Normal"/>
    <w:rsid w:val="00E60A55"/>
    <w:pPr>
      <w:spacing w:after="0" w:line="240" w:lineRule="auto"/>
    </w:pPr>
    <w:rPr>
      <w:rFonts w:ascii="Helvetica" w:hAnsi="Helvetica" w:cs="Times New Roman"/>
      <w:color w:val="000000"/>
      <w:kern w:val="0"/>
      <w:sz w:val="15"/>
      <w:szCs w:val="15"/>
      <w14:ligatures w14:val="none"/>
    </w:rPr>
  </w:style>
  <w:style w:type="character" w:customStyle="1" w:styleId="s1">
    <w:name w:val="s1"/>
    <w:basedOn w:val="DefaultParagraphFont"/>
    <w:rsid w:val="00E60A55"/>
    <w:rPr>
      <w:rFonts w:ascii="Helvetica" w:hAnsi="Helvetica" w:hint="default"/>
      <w:b w:val="0"/>
      <w:bCs w:val="0"/>
      <w:i w:val="0"/>
      <w:iCs w:val="0"/>
      <w:sz w:val="15"/>
      <w:szCs w:val="15"/>
    </w:rPr>
  </w:style>
  <w:style w:type="character" w:customStyle="1" w:styleId="apple-converted-space">
    <w:name w:val="apple-converted-space"/>
    <w:basedOn w:val="DefaultParagraphFont"/>
    <w:rsid w:val="00E60A55"/>
  </w:style>
  <w:style w:type="character" w:styleId="PageNumber">
    <w:name w:val="page number"/>
    <w:basedOn w:val="DefaultParagraphFont"/>
    <w:uiPriority w:val="99"/>
    <w:semiHidden/>
    <w:unhideWhenUsed/>
    <w:rsid w:val="0036081C"/>
  </w:style>
  <w:style w:type="character" w:styleId="SubtleEmphasis">
    <w:name w:val="Subtle Emphasis"/>
    <w:basedOn w:val="DefaultParagraphFont"/>
    <w:uiPriority w:val="19"/>
    <w:qFormat/>
    <w:rsid w:val="009029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20/10/relationships/intelligence" Target="intelligence2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4143</TotalTime>
  <Pages>4</Pages>
  <Words>1271</Words>
  <Characters>7247</Characters>
  <Application>Microsoft Office Word</Application>
  <DocSecurity>0</DocSecurity>
  <Lines>60</Lines>
  <Paragraphs>17</Paragraphs>
  <ScaleCrop>false</ScaleCrop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Lilly York (2317170)</dc:creator>
  <cp:keywords/>
  <dc:description/>
  <cp:lastModifiedBy>Lilly York (2317170)</cp:lastModifiedBy>
  <cp:revision>298</cp:revision>
  <dcterms:created xsi:type="dcterms:W3CDTF">2025-11-11T15:33:00Z</dcterms:created>
  <dcterms:modified xsi:type="dcterms:W3CDTF">2025-11-23T20:58:00Z</dcterms:modified>
</cp:coreProperties>
</file>