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FA853" w14:textId="2820C32F" w:rsidR="00264A1A" w:rsidRPr="006F0EF0" w:rsidRDefault="00264A1A" w:rsidP="005E479C">
      <w:pPr>
        <w:spacing w:before="30" w:after="30"/>
        <w:ind w:left="850" w:right="850"/>
        <w:rPr>
          <w:rFonts w:ascii="Arial" w:hAnsi="Arial" w:cs="Arial"/>
          <w:u w:val="single"/>
        </w:rPr>
      </w:pPr>
      <w:r w:rsidRPr="006F0EF0">
        <w:rPr>
          <w:rFonts w:ascii="Arial" w:hAnsi="Arial" w:cs="Arial"/>
          <w:u w:val="single"/>
        </w:rPr>
        <w:t xml:space="preserve">How do intergenerational relationship practices affect the wellbeing of children and their families? – A </w:t>
      </w:r>
      <w:r w:rsidR="009915F0" w:rsidRPr="006F0EF0">
        <w:rPr>
          <w:rFonts w:ascii="Arial" w:hAnsi="Arial" w:cs="Arial"/>
          <w:u w:val="single"/>
        </w:rPr>
        <w:t>small-scale</w:t>
      </w:r>
      <w:r w:rsidRPr="006F0EF0">
        <w:rPr>
          <w:rFonts w:ascii="Arial" w:hAnsi="Arial" w:cs="Arial"/>
          <w:u w:val="single"/>
        </w:rPr>
        <w:t xml:space="preserve"> study of families in low-income communities in South Wales. </w:t>
      </w:r>
    </w:p>
    <w:p w14:paraId="51AADE3F" w14:textId="77777777" w:rsidR="009915F0" w:rsidRPr="006F0EF0" w:rsidRDefault="009915F0" w:rsidP="005E479C">
      <w:pPr>
        <w:spacing w:before="30" w:after="30"/>
        <w:ind w:left="850" w:right="850"/>
        <w:rPr>
          <w:rFonts w:ascii="Arial" w:hAnsi="Arial" w:cs="Arial"/>
          <w:u w:val="single"/>
        </w:rPr>
      </w:pPr>
    </w:p>
    <w:p w14:paraId="1A0FDD05" w14:textId="0AA7B60C" w:rsidR="00EF11B6" w:rsidRPr="006F0EF0" w:rsidRDefault="00EF11B6" w:rsidP="005E479C">
      <w:pPr>
        <w:spacing w:before="30" w:after="30"/>
        <w:ind w:left="850" w:right="850"/>
        <w:rPr>
          <w:rFonts w:ascii="Arial" w:hAnsi="Arial" w:cs="Arial"/>
          <w:color w:val="000000" w:themeColor="text1"/>
          <w:u w:val="single"/>
        </w:rPr>
      </w:pPr>
      <w:r w:rsidRPr="006F0EF0">
        <w:rPr>
          <w:rFonts w:ascii="Arial" w:hAnsi="Arial" w:cs="Arial"/>
          <w:color w:val="000000" w:themeColor="text1"/>
          <w:u w:val="single"/>
        </w:rPr>
        <w:t>Introduction</w:t>
      </w:r>
    </w:p>
    <w:p w14:paraId="6D9EBE17" w14:textId="04221D81" w:rsidR="00EF11B6" w:rsidRPr="006F0EF0" w:rsidRDefault="00EF11B6" w:rsidP="005E479C">
      <w:pPr>
        <w:spacing w:before="30" w:after="30"/>
        <w:ind w:left="850" w:right="850"/>
        <w:rPr>
          <w:rFonts w:ascii="Arial" w:hAnsi="Arial" w:cs="Arial"/>
          <w:color w:val="000000" w:themeColor="text1"/>
        </w:rPr>
      </w:pPr>
      <w:r w:rsidRPr="006F0EF0">
        <w:rPr>
          <w:rFonts w:ascii="Arial" w:hAnsi="Arial" w:cs="Arial"/>
          <w:color w:val="000000" w:themeColor="text1"/>
        </w:rPr>
        <w:t>Children in low-income areas of Wales face intersecting challenges, low-income households are more likely to experience material deprivation, poor nutrition, domestic violence, low attainment in education and poor mental and physical health (Wales Centre for Public Policy, 2022). Levitus</w:t>
      </w:r>
      <w:r w:rsidR="009A636B" w:rsidRPr="006F0EF0">
        <w:rPr>
          <w:rFonts w:ascii="Arial" w:hAnsi="Arial" w:cs="Arial"/>
          <w:color w:val="404040"/>
          <w:shd w:val="clear" w:color="auto" w:fill="FFFFFF"/>
        </w:rPr>
        <w:t xml:space="preserve"> </w:t>
      </w:r>
      <w:r w:rsidR="009A636B" w:rsidRPr="006F0EF0">
        <w:rPr>
          <w:rFonts w:ascii="Arial" w:hAnsi="Arial" w:cs="Arial"/>
          <w:color w:val="000000" w:themeColor="text1"/>
        </w:rPr>
        <w:t>(as cited in Calder, 2023)</w:t>
      </w:r>
      <w:r w:rsidRPr="006F0EF0">
        <w:rPr>
          <w:rFonts w:ascii="Arial" w:hAnsi="Arial" w:cs="Arial"/>
          <w:color w:val="000000" w:themeColor="text1"/>
        </w:rPr>
        <w:t xml:space="preserve"> describes how these challenges contribute to ‘social exclusion,’ in relation to poverty, refers to the experience of being excluded from fully engaging in society due to reasons beyond low income, such as limited access to education, healthcare, employment, and social opportunities. It is a broader concept than poverty itself, incorporating multiple factors that contribute to and perpetuate poverty (Calder, 2023). </w:t>
      </w:r>
    </w:p>
    <w:p w14:paraId="0637B7D4" w14:textId="13CA9994" w:rsidR="004F52A7" w:rsidRPr="006F0EF0" w:rsidRDefault="00EF11B6" w:rsidP="005E479C">
      <w:pPr>
        <w:spacing w:before="30" w:after="30"/>
        <w:ind w:left="850" w:right="850"/>
        <w:rPr>
          <w:rFonts w:ascii="Arial" w:hAnsi="Arial" w:cs="Arial"/>
          <w:color w:val="000000" w:themeColor="text1"/>
        </w:rPr>
      </w:pPr>
      <w:r w:rsidRPr="006F0EF0">
        <w:rPr>
          <w:rFonts w:ascii="Arial" w:hAnsi="Arial" w:cs="Arial"/>
          <w:color w:val="000000" w:themeColor="text1"/>
        </w:rPr>
        <w:t xml:space="preserve">There have been policies put in place to achieve equity for children growing up in </w:t>
      </w:r>
      <w:r w:rsidR="00264A1A" w:rsidRPr="006F0EF0">
        <w:rPr>
          <w:rFonts w:ascii="Arial" w:hAnsi="Arial" w:cs="Arial"/>
          <w:color w:val="000000" w:themeColor="text1"/>
        </w:rPr>
        <w:t>low-income</w:t>
      </w:r>
      <w:r w:rsidRPr="006F0EF0">
        <w:rPr>
          <w:rFonts w:ascii="Arial" w:hAnsi="Arial" w:cs="Arial"/>
          <w:color w:val="000000" w:themeColor="text1"/>
        </w:rPr>
        <w:t xml:space="preserve"> areas</w:t>
      </w:r>
      <w:r w:rsidR="00FB1825" w:rsidRPr="006F0EF0">
        <w:rPr>
          <w:rFonts w:ascii="Arial" w:hAnsi="Arial" w:cs="Arial"/>
          <w:color w:val="000000" w:themeColor="text1"/>
        </w:rPr>
        <w:t>, such as the Wellbeing for Future Generations Act (Welsh Government, 2015), but this has been criticised for being purely aspirational and having no ability to ensure its aims are being fulfilled</w:t>
      </w:r>
      <w:r w:rsidR="002D0BC2" w:rsidRPr="006F0EF0">
        <w:rPr>
          <w:rFonts w:ascii="Arial" w:hAnsi="Arial" w:cs="Arial"/>
          <w:b/>
          <w:bCs/>
          <w:color w:val="000000" w:themeColor="text1"/>
        </w:rPr>
        <w:t xml:space="preserve"> </w:t>
      </w:r>
      <w:r w:rsidR="002D0BC2" w:rsidRPr="006F0EF0">
        <w:rPr>
          <w:rFonts w:ascii="Arial" w:hAnsi="Arial" w:cs="Arial"/>
          <w:color w:val="000000" w:themeColor="text1"/>
        </w:rPr>
        <w:t>(Stokes, and Smyth, 2024)</w:t>
      </w:r>
      <w:r w:rsidR="004F52A7" w:rsidRPr="006F0EF0">
        <w:rPr>
          <w:rFonts w:ascii="Arial" w:hAnsi="Arial" w:cs="Arial"/>
          <w:color w:val="000000" w:themeColor="text1"/>
        </w:rPr>
        <w:t xml:space="preserve"> and 1 in 4 children continue to live in poverty in most constituencies in Wales (Davies, 2024). </w:t>
      </w:r>
    </w:p>
    <w:p w14:paraId="6208B049" w14:textId="77BB3D05" w:rsidR="00EF11B6" w:rsidRPr="006F0EF0" w:rsidRDefault="00EF11B6" w:rsidP="005E479C">
      <w:pPr>
        <w:spacing w:before="30" w:after="30"/>
        <w:ind w:left="850" w:right="850"/>
        <w:rPr>
          <w:rFonts w:ascii="Arial" w:hAnsi="Arial" w:cs="Arial"/>
          <w:color w:val="000000" w:themeColor="text1"/>
        </w:rPr>
      </w:pPr>
      <w:r w:rsidRPr="006F0EF0">
        <w:rPr>
          <w:rFonts w:ascii="Arial" w:hAnsi="Arial" w:cs="Arial"/>
          <w:color w:val="000000" w:themeColor="text1"/>
        </w:rPr>
        <w:t>The Child Poverty action group (2025) inform us that household income is the strongest predictor of educational attainment, meaning that children in low income families are more likely to experience the effects of social exclusion and continue the cycle of depravation.</w:t>
      </w:r>
      <w:r w:rsidRPr="006F0EF0">
        <w:rPr>
          <w:rFonts w:ascii="Arial" w:hAnsi="Arial" w:cs="Arial"/>
          <w:color w:val="000000" w:themeColor="text1"/>
        </w:rPr>
        <w:br/>
        <w:t xml:space="preserve">In 2022, the New curriculum for Wales revolutionised </w:t>
      </w:r>
      <w:r w:rsidR="00A45050">
        <w:rPr>
          <w:rFonts w:ascii="Arial" w:hAnsi="Arial" w:cs="Arial"/>
          <w:color w:val="000000" w:themeColor="text1"/>
        </w:rPr>
        <w:t>how</w:t>
      </w:r>
      <w:r w:rsidRPr="006F0EF0">
        <w:rPr>
          <w:rFonts w:ascii="Arial" w:hAnsi="Arial" w:cs="Arial"/>
          <w:color w:val="000000" w:themeColor="text1"/>
        </w:rPr>
        <w:t xml:space="preserve"> education </w:t>
      </w:r>
      <w:r w:rsidR="00A45050">
        <w:rPr>
          <w:rFonts w:ascii="Arial" w:hAnsi="Arial" w:cs="Arial"/>
          <w:color w:val="000000" w:themeColor="text1"/>
        </w:rPr>
        <w:t xml:space="preserve">is </w:t>
      </w:r>
      <w:r w:rsidRPr="006F0EF0">
        <w:rPr>
          <w:rFonts w:ascii="Arial" w:hAnsi="Arial" w:cs="Arial"/>
          <w:color w:val="000000" w:themeColor="text1"/>
        </w:rPr>
        <w:t xml:space="preserve">designed and delivered in an attempt to make education wholly inclusive and responsive to the needs of all learners, as not to leave any child behind in regard to their learning and development (Welsh Government, 2025). One of the elements of ensuring this was to </w:t>
      </w:r>
      <w:r w:rsidRPr="006F0EF0">
        <w:rPr>
          <w:rFonts w:ascii="Arial" w:hAnsi="Arial" w:cs="Arial"/>
          <w:color w:val="000000" w:themeColor="text1"/>
        </w:rPr>
        <w:lastRenderedPageBreak/>
        <w:t>include Relationships and Sexuality Education (RSE) under section 71 of the Curriculum and Assessment (Wales) Act 2021 to support the teaching of the Four Core Purposes (Senedd, 2021) tasking Schools and settings with creating safe and empowering environments that support learners, as they navigate a rapidly changing world. RSE helps learners and educators create an environment where young people feel comfortable</w:t>
      </w:r>
      <w:r w:rsidR="000F17EF" w:rsidRPr="006F0EF0">
        <w:rPr>
          <w:rFonts w:ascii="Arial" w:hAnsi="Arial" w:cs="Arial"/>
          <w:color w:val="000000" w:themeColor="text1"/>
        </w:rPr>
        <w:t xml:space="preserve"> and empowered to</w:t>
      </w:r>
      <w:r w:rsidRPr="006F0EF0">
        <w:rPr>
          <w:rFonts w:ascii="Arial" w:hAnsi="Arial" w:cs="Arial"/>
          <w:color w:val="000000" w:themeColor="text1"/>
        </w:rPr>
        <w:t xml:space="preserve"> </w:t>
      </w:r>
      <w:r w:rsidR="002F4122" w:rsidRPr="006F0EF0">
        <w:rPr>
          <w:rFonts w:ascii="Arial" w:hAnsi="Arial" w:cs="Arial"/>
          <w:color w:val="000000" w:themeColor="text1"/>
        </w:rPr>
        <w:t xml:space="preserve">address </w:t>
      </w:r>
      <w:r w:rsidRPr="006F0EF0">
        <w:rPr>
          <w:rFonts w:ascii="Arial" w:hAnsi="Arial" w:cs="Arial"/>
          <w:color w:val="000000" w:themeColor="text1"/>
        </w:rPr>
        <w:t xml:space="preserve">topics that effect the mental and physical health of us all, which impacts our ability to learn and develop. Learning and discussing topics such as bodily autonomy, consent, and healthy relationships, in a safe and welcoming environment can function as a protective element that prepares children and helps them to overcome the challenges of life (Brook, 2025). The Centre for Young Lives (2024) published a report that brain development and executive functioning are linked to living in poverty and leads to absenteeism, if learners in deprived areas are not accessing the new curriculum, they are also not receiving RSE, and social exclusion persists. Marmot </w:t>
      </w:r>
      <w:r w:rsidRPr="006F0EF0">
        <w:rPr>
          <w:rFonts w:ascii="Arial" w:hAnsi="Arial" w:cs="Arial"/>
          <w:i/>
          <w:iCs/>
          <w:color w:val="000000" w:themeColor="text1"/>
        </w:rPr>
        <w:t>et al.</w:t>
      </w:r>
      <w:r w:rsidRPr="006F0EF0">
        <w:rPr>
          <w:rFonts w:ascii="Arial" w:hAnsi="Arial" w:cs="Arial"/>
          <w:color w:val="000000" w:themeColor="text1"/>
        </w:rPr>
        <w:t xml:space="preserve"> (2020) agree that low income leads to low attainment and health inequality, and proposed 5 objectives to focus on, in  order to bridge that </w:t>
      </w:r>
      <w:r w:rsidR="004F52A7" w:rsidRPr="006F0EF0">
        <w:rPr>
          <w:rFonts w:ascii="Arial" w:hAnsi="Arial" w:cs="Arial"/>
          <w:color w:val="000000" w:themeColor="text1"/>
        </w:rPr>
        <w:t>gap.</w:t>
      </w:r>
    </w:p>
    <w:p w14:paraId="025FC5C0" w14:textId="77777777" w:rsidR="00EF11B6" w:rsidRPr="006F0EF0" w:rsidRDefault="00EF11B6" w:rsidP="005E479C">
      <w:pPr>
        <w:pStyle w:val="ListParagraph"/>
        <w:numPr>
          <w:ilvl w:val="0"/>
          <w:numId w:val="1"/>
        </w:numPr>
        <w:spacing w:before="30" w:after="30"/>
        <w:ind w:left="850" w:right="850"/>
        <w:rPr>
          <w:rFonts w:ascii="Arial" w:hAnsi="Arial" w:cs="Arial"/>
          <w:color w:val="000000" w:themeColor="text1"/>
        </w:rPr>
      </w:pPr>
      <w:hyperlink r:id="rId7" w:history="1">
        <w:r w:rsidRPr="006F0EF0">
          <w:rPr>
            <w:rStyle w:val="Hyperlink"/>
            <w:rFonts w:ascii="Arial" w:hAnsi="Arial" w:cs="Arial"/>
            <w:color w:val="000000" w:themeColor="text1"/>
            <w:u w:val="none"/>
          </w:rPr>
          <w:t>Economic Stability</w:t>
        </w:r>
      </w:hyperlink>
    </w:p>
    <w:p w14:paraId="2F321970" w14:textId="77777777" w:rsidR="00EF11B6" w:rsidRPr="006F0EF0" w:rsidRDefault="00EF11B6" w:rsidP="005E479C">
      <w:pPr>
        <w:pStyle w:val="ListParagraph"/>
        <w:numPr>
          <w:ilvl w:val="0"/>
          <w:numId w:val="1"/>
        </w:numPr>
        <w:spacing w:before="30" w:after="30"/>
        <w:ind w:left="850" w:right="850"/>
        <w:rPr>
          <w:rFonts w:ascii="Arial" w:hAnsi="Arial" w:cs="Arial"/>
          <w:color w:val="000000" w:themeColor="text1"/>
        </w:rPr>
      </w:pPr>
      <w:hyperlink r:id="rId8" w:history="1">
        <w:r w:rsidRPr="006F0EF0">
          <w:rPr>
            <w:rStyle w:val="Hyperlink"/>
            <w:rFonts w:ascii="Arial" w:hAnsi="Arial" w:cs="Arial"/>
            <w:color w:val="000000" w:themeColor="text1"/>
            <w:u w:val="none"/>
          </w:rPr>
          <w:t>Education Access and Quality</w:t>
        </w:r>
      </w:hyperlink>
    </w:p>
    <w:p w14:paraId="3006AA7E" w14:textId="77777777" w:rsidR="00EF11B6" w:rsidRPr="006F0EF0" w:rsidRDefault="00EF11B6" w:rsidP="005E479C">
      <w:pPr>
        <w:pStyle w:val="ListParagraph"/>
        <w:numPr>
          <w:ilvl w:val="0"/>
          <w:numId w:val="1"/>
        </w:numPr>
        <w:spacing w:before="30" w:after="30"/>
        <w:ind w:left="850" w:right="850"/>
        <w:rPr>
          <w:rFonts w:ascii="Arial" w:hAnsi="Arial" w:cs="Arial"/>
          <w:color w:val="000000" w:themeColor="text1"/>
        </w:rPr>
      </w:pPr>
      <w:hyperlink r:id="rId9" w:history="1">
        <w:r w:rsidRPr="006F0EF0">
          <w:rPr>
            <w:rStyle w:val="Hyperlink"/>
            <w:rFonts w:ascii="Arial" w:hAnsi="Arial" w:cs="Arial"/>
            <w:color w:val="000000" w:themeColor="text1"/>
            <w:u w:val="none"/>
          </w:rPr>
          <w:t>Health Care Access and Quality</w:t>
        </w:r>
      </w:hyperlink>
    </w:p>
    <w:p w14:paraId="0AC77539" w14:textId="77777777" w:rsidR="00EF11B6" w:rsidRPr="006F0EF0" w:rsidRDefault="00EF11B6" w:rsidP="005E479C">
      <w:pPr>
        <w:pStyle w:val="ListParagraph"/>
        <w:numPr>
          <w:ilvl w:val="0"/>
          <w:numId w:val="1"/>
        </w:numPr>
        <w:spacing w:before="30" w:after="30"/>
        <w:ind w:left="850" w:right="850"/>
        <w:rPr>
          <w:rFonts w:ascii="Arial" w:hAnsi="Arial" w:cs="Arial"/>
          <w:color w:val="000000" w:themeColor="text1"/>
        </w:rPr>
      </w:pPr>
      <w:hyperlink r:id="rId10" w:history="1">
        <w:r w:rsidRPr="006F0EF0">
          <w:rPr>
            <w:rStyle w:val="Hyperlink"/>
            <w:rFonts w:ascii="Arial" w:hAnsi="Arial" w:cs="Arial"/>
            <w:color w:val="000000" w:themeColor="text1"/>
            <w:u w:val="none"/>
          </w:rPr>
          <w:t>Neighbourhood and Built Environment</w:t>
        </w:r>
      </w:hyperlink>
    </w:p>
    <w:p w14:paraId="20E8D032" w14:textId="77777777" w:rsidR="00EF11B6" w:rsidRPr="006F0EF0" w:rsidRDefault="00EF11B6" w:rsidP="005E479C">
      <w:pPr>
        <w:pStyle w:val="ListParagraph"/>
        <w:numPr>
          <w:ilvl w:val="0"/>
          <w:numId w:val="1"/>
        </w:numPr>
        <w:spacing w:before="30" w:after="30"/>
        <w:ind w:left="850" w:right="850"/>
        <w:rPr>
          <w:rFonts w:ascii="Arial" w:hAnsi="Arial" w:cs="Arial"/>
          <w:color w:val="000000" w:themeColor="text1"/>
        </w:rPr>
      </w:pPr>
      <w:hyperlink r:id="rId11" w:history="1">
        <w:r w:rsidRPr="006F0EF0">
          <w:rPr>
            <w:rStyle w:val="Hyperlink"/>
            <w:rFonts w:ascii="Arial" w:hAnsi="Arial" w:cs="Arial"/>
            <w:color w:val="000000" w:themeColor="text1"/>
            <w:u w:val="none"/>
          </w:rPr>
          <w:t>Social and Community Context</w:t>
        </w:r>
      </w:hyperlink>
    </w:p>
    <w:p w14:paraId="1E87C264" w14:textId="77777777" w:rsidR="00EF11B6" w:rsidRPr="006F0EF0" w:rsidRDefault="00EF11B6" w:rsidP="005E479C">
      <w:pPr>
        <w:spacing w:before="30" w:after="30"/>
        <w:ind w:left="850" w:right="850"/>
        <w:rPr>
          <w:rFonts w:ascii="Arial" w:hAnsi="Arial" w:cs="Arial"/>
          <w:color w:val="000000" w:themeColor="text1"/>
          <w:shd w:val="clear" w:color="auto" w:fill="FFFFFF"/>
        </w:rPr>
      </w:pPr>
      <w:r w:rsidRPr="006F0EF0">
        <w:rPr>
          <w:rFonts w:ascii="Arial" w:hAnsi="Arial" w:cs="Arial"/>
          <w:color w:val="000000" w:themeColor="text1"/>
        </w:rPr>
        <w:t>Good RSE can help boost self-esteem, confidence and the ability to think critically and develop empathy and strong values needed to achieve success under these objectives, this view is supported by The Children’s Commissioner for Wales (2025) who tell us effective and high quality RSE will maintain the rights which Wales recognises children to have under the UNCRC, it  will help empower children and young people with the knowledge and skills they need to make informed choices</w:t>
      </w:r>
      <w:r w:rsidRPr="006F0EF0">
        <w:rPr>
          <w:rFonts w:ascii="Arial" w:hAnsi="Arial" w:cs="Arial"/>
          <w:color w:val="000000" w:themeColor="text1"/>
          <w:shd w:val="clear" w:color="auto" w:fill="FFFFFF"/>
        </w:rPr>
        <w:t xml:space="preserve"> </w:t>
      </w:r>
      <w:r w:rsidRPr="006F0EF0">
        <w:rPr>
          <w:rFonts w:ascii="Arial" w:hAnsi="Arial" w:cs="Arial"/>
          <w:color w:val="000000" w:themeColor="text1"/>
        </w:rPr>
        <w:t xml:space="preserve">(Article 17) enabling them to keep themselves safe </w:t>
      </w:r>
      <w:r w:rsidRPr="006F0EF0">
        <w:rPr>
          <w:rFonts w:ascii="Arial" w:hAnsi="Arial" w:cs="Arial"/>
          <w:color w:val="000000" w:themeColor="text1"/>
        </w:rPr>
        <w:lastRenderedPageBreak/>
        <w:t xml:space="preserve">from abuse and exploitation (Article 34) and experience attainable healthcare. This holistic view of education will help children develop and reach their full potential and be understanding of themselves and others </w:t>
      </w:r>
      <w:r w:rsidRPr="006F0EF0">
        <w:rPr>
          <w:rFonts w:ascii="Arial" w:hAnsi="Arial" w:cs="Arial"/>
          <w:color w:val="000000" w:themeColor="text1"/>
          <w:shd w:val="clear" w:color="auto" w:fill="FFFFFF"/>
        </w:rPr>
        <w:t>(Article 29) (UNICEF, 2025).</w:t>
      </w:r>
    </w:p>
    <w:p w14:paraId="40A56240" w14:textId="5A5642FA" w:rsidR="00E15334" w:rsidRPr="006F0EF0" w:rsidRDefault="00E15334" w:rsidP="005E479C">
      <w:pPr>
        <w:spacing w:before="30" w:after="30"/>
        <w:ind w:left="850" w:right="850"/>
        <w:rPr>
          <w:rFonts w:ascii="Arial" w:hAnsi="Arial" w:cs="Arial"/>
          <w:color w:val="000000" w:themeColor="text1"/>
        </w:rPr>
      </w:pPr>
      <w:r w:rsidRPr="006F0EF0">
        <w:rPr>
          <w:rFonts w:ascii="Arial" w:hAnsi="Arial" w:cs="Arial"/>
          <w:color w:val="000000" w:themeColor="text1"/>
        </w:rPr>
        <w:t>This study seeks to gain insights into</w:t>
      </w:r>
      <w:r w:rsidR="00DF2CA2" w:rsidRPr="006F0EF0">
        <w:rPr>
          <w:rFonts w:ascii="Arial" w:hAnsi="Arial" w:cs="Arial"/>
          <w:color w:val="000000" w:themeColor="text1"/>
        </w:rPr>
        <w:t xml:space="preserve"> how intergenerational </w:t>
      </w:r>
      <w:r w:rsidR="007C2356" w:rsidRPr="006F0EF0">
        <w:rPr>
          <w:rFonts w:ascii="Arial" w:hAnsi="Arial" w:cs="Arial"/>
          <w:color w:val="000000" w:themeColor="text1"/>
        </w:rPr>
        <w:t xml:space="preserve">relationship patterns are impacting children and their families in </w:t>
      </w:r>
      <w:r w:rsidR="00076543" w:rsidRPr="006F0EF0">
        <w:rPr>
          <w:rFonts w:ascii="Arial" w:hAnsi="Arial" w:cs="Arial"/>
          <w:color w:val="000000" w:themeColor="text1"/>
        </w:rPr>
        <w:t>low-income</w:t>
      </w:r>
      <w:r w:rsidR="007C2356" w:rsidRPr="006F0EF0">
        <w:rPr>
          <w:rFonts w:ascii="Arial" w:hAnsi="Arial" w:cs="Arial"/>
          <w:color w:val="000000" w:themeColor="text1"/>
        </w:rPr>
        <w:t xml:space="preserve"> areas</w:t>
      </w:r>
      <w:r w:rsidR="00BE5153" w:rsidRPr="006F0EF0">
        <w:rPr>
          <w:rFonts w:ascii="Arial" w:hAnsi="Arial" w:cs="Arial"/>
          <w:color w:val="000000" w:themeColor="text1"/>
        </w:rPr>
        <w:t xml:space="preserve"> and</w:t>
      </w:r>
      <w:r w:rsidR="008730AF" w:rsidRPr="006F0EF0">
        <w:rPr>
          <w:rFonts w:ascii="Arial" w:hAnsi="Arial" w:cs="Arial"/>
          <w:color w:val="000000" w:themeColor="text1"/>
        </w:rPr>
        <w:t xml:space="preserve"> what these families need to </w:t>
      </w:r>
      <w:r w:rsidRPr="006F0EF0">
        <w:rPr>
          <w:rFonts w:ascii="Arial" w:hAnsi="Arial" w:cs="Arial"/>
          <w:color w:val="000000" w:themeColor="text1"/>
        </w:rPr>
        <w:t>break cycles of disadvantage in Wales</w:t>
      </w:r>
      <w:r w:rsidR="008730AF" w:rsidRPr="006F0EF0">
        <w:rPr>
          <w:rFonts w:ascii="Arial" w:hAnsi="Arial" w:cs="Arial"/>
          <w:color w:val="000000" w:themeColor="text1"/>
        </w:rPr>
        <w:t>.</w:t>
      </w:r>
      <w:r w:rsidR="004F52A7" w:rsidRPr="006F0EF0">
        <w:rPr>
          <w:rFonts w:ascii="Arial" w:hAnsi="Arial" w:cs="Arial"/>
          <w:color w:val="000000" w:themeColor="text1"/>
        </w:rPr>
        <w:br/>
      </w:r>
    </w:p>
    <w:p w14:paraId="504AE965" w14:textId="77777777" w:rsidR="0022788E" w:rsidRPr="006F0EF0" w:rsidRDefault="0022788E" w:rsidP="005E479C">
      <w:pPr>
        <w:spacing w:before="30" w:after="30"/>
        <w:ind w:left="850" w:right="850"/>
        <w:rPr>
          <w:rFonts w:ascii="Arial" w:hAnsi="Arial" w:cs="Arial"/>
          <w:color w:val="000000" w:themeColor="text1"/>
          <w:u w:val="single"/>
        </w:rPr>
      </w:pPr>
      <w:r w:rsidRPr="006F0EF0">
        <w:rPr>
          <w:rFonts w:ascii="Arial" w:hAnsi="Arial" w:cs="Arial"/>
          <w:color w:val="000000" w:themeColor="text1"/>
          <w:u w:val="single"/>
        </w:rPr>
        <w:t>Literature Review</w:t>
      </w:r>
    </w:p>
    <w:p w14:paraId="64E8A3ED" w14:textId="77777777" w:rsidR="0022788E" w:rsidRPr="006F0EF0" w:rsidRDefault="0022788E" w:rsidP="005E479C">
      <w:pPr>
        <w:spacing w:before="30" w:after="30"/>
        <w:ind w:left="850" w:right="850"/>
        <w:rPr>
          <w:rFonts w:ascii="Arial" w:hAnsi="Arial" w:cs="Arial"/>
          <w:color w:val="000000" w:themeColor="text1"/>
        </w:rPr>
      </w:pPr>
      <w:r w:rsidRPr="006F0EF0">
        <w:rPr>
          <w:rFonts w:ascii="Arial" w:hAnsi="Arial" w:cs="Arial"/>
          <w:color w:val="000000" w:themeColor="text1"/>
        </w:rPr>
        <w:t>Poverty in South Wales is influenced by a complex interplay of social factors, for example, unemployment and low pay, with youth unemployment rates in deprived areas at twice the national average (Welsh Government, 2023). Barriers to education see children from poor households are less likely to achieve educational success</w:t>
      </w:r>
      <w:r w:rsidRPr="006F0EF0">
        <w:rPr>
          <w:rFonts w:ascii="Arial" w:hAnsi="Arial" w:cs="Arial"/>
          <w:color w:val="000000" w:themeColor="text1"/>
          <w:shd w:val="clear" w:color="auto" w:fill="FFFFFF"/>
        </w:rPr>
        <w:t xml:space="preserve"> (</w:t>
      </w:r>
      <w:r w:rsidRPr="006F0EF0">
        <w:rPr>
          <w:rFonts w:ascii="Arial" w:hAnsi="Arial" w:cs="Arial"/>
          <w:color w:val="000000" w:themeColor="text1"/>
        </w:rPr>
        <w:t xml:space="preserve">Cross, </w:t>
      </w:r>
      <w:r w:rsidRPr="006F0EF0">
        <w:rPr>
          <w:rFonts w:ascii="Arial" w:hAnsi="Arial" w:cs="Arial"/>
          <w:i/>
          <w:iCs/>
          <w:color w:val="000000" w:themeColor="text1"/>
        </w:rPr>
        <w:t xml:space="preserve">et al. </w:t>
      </w:r>
      <w:r w:rsidRPr="006F0EF0">
        <w:rPr>
          <w:rFonts w:ascii="Arial" w:hAnsi="Arial" w:cs="Arial"/>
          <w:color w:val="000000" w:themeColor="text1"/>
        </w:rPr>
        <w:t xml:space="preserve">2017). The </w:t>
      </w:r>
      <w:proofErr w:type="gramStart"/>
      <w:r w:rsidRPr="006F0EF0">
        <w:rPr>
          <w:rFonts w:ascii="Arial" w:hAnsi="Arial" w:cs="Arial"/>
          <w:color w:val="000000" w:themeColor="text1"/>
        </w:rPr>
        <w:t>Cost of Living</w:t>
      </w:r>
      <w:proofErr w:type="gramEnd"/>
      <w:r w:rsidRPr="006F0EF0">
        <w:rPr>
          <w:rFonts w:ascii="Arial" w:hAnsi="Arial" w:cs="Arial"/>
          <w:color w:val="000000" w:themeColor="text1"/>
        </w:rPr>
        <w:t xml:space="preserve"> Crisis (UK Parliament, 2024) and lack of social housing force families into overcrowded or unsafe homes (Shelter Cymru, 2025). The two-child limit was introduced in 2017 (DWP, 2017), restricting benefits to only the first two children in a family, this negatively impacted those who are already considered marginalised, like religious minorities and people in deprived areas (Child Poverty Action Group, 2024).</w:t>
      </w:r>
    </w:p>
    <w:p w14:paraId="4BE5ABF0" w14:textId="2E58D969" w:rsidR="0022788E" w:rsidRPr="006F0EF0" w:rsidRDefault="0022788E" w:rsidP="005E479C">
      <w:pPr>
        <w:spacing w:before="30" w:after="30"/>
        <w:ind w:left="850" w:right="850"/>
        <w:rPr>
          <w:rFonts w:ascii="Arial" w:hAnsi="Arial" w:cs="Arial"/>
          <w:color w:val="000000" w:themeColor="text1"/>
        </w:rPr>
      </w:pPr>
      <w:r w:rsidRPr="006F0EF0">
        <w:rPr>
          <w:rFonts w:ascii="Arial" w:hAnsi="Arial" w:cs="Arial"/>
          <w:color w:val="000000" w:themeColor="text1"/>
        </w:rPr>
        <w:t>There is commonality between factors associated with poverty, and Adverse Childhood Experiences (ACEs) (The World Health Organisation, 2020), such as, a positive correlation between depression, household density and violence, suggesting a higher likelihood of conflict when poor mental health is present (</w:t>
      </w:r>
      <w:proofErr w:type="spellStart"/>
      <w:r w:rsidRPr="006F0EF0">
        <w:rPr>
          <w:rFonts w:ascii="Arial" w:hAnsi="Arial" w:cs="Arial"/>
          <w:color w:val="000000" w:themeColor="text1"/>
        </w:rPr>
        <w:t>Lanchimba</w:t>
      </w:r>
      <w:proofErr w:type="spellEnd"/>
      <w:r w:rsidRPr="006F0EF0">
        <w:rPr>
          <w:rFonts w:ascii="Arial" w:hAnsi="Arial" w:cs="Arial"/>
          <w:color w:val="000000" w:themeColor="text1"/>
        </w:rPr>
        <w:t>, Díaz-Sánchez and Velasco, 2023). This research aligns with the statistics around D</w:t>
      </w:r>
      <w:r w:rsidR="00FD3DE5">
        <w:rPr>
          <w:rFonts w:ascii="Arial" w:hAnsi="Arial" w:cs="Arial"/>
          <w:color w:val="000000" w:themeColor="text1"/>
        </w:rPr>
        <w:t xml:space="preserve">omestic </w:t>
      </w:r>
      <w:r w:rsidRPr="006F0EF0">
        <w:rPr>
          <w:rFonts w:ascii="Arial" w:hAnsi="Arial" w:cs="Arial"/>
          <w:color w:val="000000" w:themeColor="text1"/>
        </w:rPr>
        <w:t>A</w:t>
      </w:r>
      <w:r w:rsidR="00FD3DE5">
        <w:rPr>
          <w:rFonts w:ascii="Arial" w:hAnsi="Arial" w:cs="Arial"/>
          <w:color w:val="000000" w:themeColor="text1"/>
        </w:rPr>
        <w:t>buse</w:t>
      </w:r>
      <w:r w:rsidRPr="006F0EF0">
        <w:rPr>
          <w:rFonts w:ascii="Arial" w:hAnsi="Arial" w:cs="Arial"/>
          <w:color w:val="000000" w:themeColor="text1"/>
        </w:rPr>
        <w:t xml:space="preserve"> and I</w:t>
      </w:r>
      <w:r w:rsidR="00FD3DE5">
        <w:rPr>
          <w:rFonts w:ascii="Arial" w:hAnsi="Arial" w:cs="Arial"/>
          <w:color w:val="000000" w:themeColor="text1"/>
        </w:rPr>
        <w:t xml:space="preserve">ntimate </w:t>
      </w:r>
      <w:r w:rsidRPr="006F0EF0">
        <w:rPr>
          <w:rFonts w:ascii="Arial" w:hAnsi="Arial" w:cs="Arial"/>
          <w:color w:val="000000" w:themeColor="text1"/>
        </w:rPr>
        <w:t>P</w:t>
      </w:r>
      <w:r w:rsidR="00FD3DE5">
        <w:rPr>
          <w:rFonts w:ascii="Arial" w:hAnsi="Arial" w:cs="Arial"/>
          <w:color w:val="000000" w:themeColor="text1"/>
        </w:rPr>
        <w:t xml:space="preserve">artner </w:t>
      </w:r>
      <w:r w:rsidRPr="006F0EF0">
        <w:rPr>
          <w:rFonts w:ascii="Arial" w:hAnsi="Arial" w:cs="Arial"/>
          <w:color w:val="000000" w:themeColor="text1"/>
        </w:rPr>
        <w:t>V</w:t>
      </w:r>
      <w:r w:rsidR="00FD3DE5">
        <w:rPr>
          <w:rFonts w:ascii="Arial" w:hAnsi="Arial" w:cs="Arial"/>
          <w:color w:val="000000" w:themeColor="text1"/>
        </w:rPr>
        <w:t>iolence</w:t>
      </w:r>
      <w:r w:rsidRPr="006F0EF0">
        <w:rPr>
          <w:rFonts w:ascii="Arial" w:hAnsi="Arial" w:cs="Arial"/>
          <w:color w:val="000000" w:themeColor="text1"/>
        </w:rPr>
        <w:t xml:space="preserve"> show that women in </w:t>
      </w:r>
      <w:proofErr w:type="spellStart"/>
      <w:r w:rsidRPr="006F0EF0">
        <w:rPr>
          <w:rFonts w:ascii="Arial" w:hAnsi="Arial" w:cs="Arial"/>
          <w:color w:val="000000" w:themeColor="text1"/>
        </w:rPr>
        <w:t>Wales’</w:t>
      </w:r>
      <w:proofErr w:type="spellEnd"/>
      <w:r w:rsidRPr="006F0EF0">
        <w:rPr>
          <w:rFonts w:ascii="Arial" w:hAnsi="Arial" w:cs="Arial"/>
          <w:color w:val="000000" w:themeColor="text1"/>
        </w:rPr>
        <w:t xml:space="preserve"> most deprived communities are 2–3 times more likely to experience DA than those in more affluent areas (Wales Centre for Public Policy, 2022).</w:t>
      </w:r>
      <w:r w:rsidRPr="006F0EF0">
        <w:rPr>
          <w:rFonts w:ascii="Arial" w:hAnsi="Arial" w:cs="Arial"/>
          <w:color w:val="000000" w:themeColor="text1"/>
        </w:rPr>
        <w:br/>
        <w:t xml:space="preserve">The Joseph Rowntree Foundation (2025) state that under these </w:t>
      </w:r>
      <w:r w:rsidRPr="006F0EF0">
        <w:rPr>
          <w:rFonts w:ascii="Arial" w:hAnsi="Arial" w:cs="Arial"/>
          <w:color w:val="000000" w:themeColor="text1"/>
        </w:rPr>
        <w:lastRenderedPageBreak/>
        <w:t xml:space="preserve">conditions, physical and mental health are adversely affected, and this can contribute to engagement with risky behaviours such as substance and alcohol misuse. Avena </w:t>
      </w:r>
      <w:r w:rsidRPr="006F0EF0">
        <w:rPr>
          <w:rFonts w:ascii="Arial" w:hAnsi="Arial" w:cs="Arial"/>
          <w:i/>
          <w:iCs/>
          <w:color w:val="000000" w:themeColor="text1"/>
        </w:rPr>
        <w:t>et al</w:t>
      </w:r>
      <w:r w:rsidRPr="006F0EF0">
        <w:rPr>
          <w:rFonts w:ascii="Arial" w:hAnsi="Arial" w:cs="Arial"/>
          <w:color w:val="000000" w:themeColor="text1"/>
        </w:rPr>
        <w:t xml:space="preserve"> (2021) agree that the stress of financial uncertainty, coupled with an increase in free time and low employment aspirations can lead people to seek solace in substance misuse. </w:t>
      </w:r>
    </w:p>
    <w:p w14:paraId="45020528" w14:textId="0D668E63" w:rsidR="0022788E" w:rsidRPr="006F0EF0" w:rsidRDefault="0022788E" w:rsidP="005E479C">
      <w:pPr>
        <w:spacing w:before="30" w:after="30"/>
        <w:ind w:left="850" w:right="850"/>
        <w:rPr>
          <w:rFonts w:ascii="Arial" w:hAnsi="Arial" w:cs="Arial"/>
          <w:color w:val="000000" w:themeColor="text1"/>
        </w:rPr>
      </w:pPr>
      <w:r w:rsidRPr="006F0EF0">
        <w:rPr>
          <w:rFonts w:ascii="Arial" w:hAnsi="Arial" w:cs="Arial"/>
          <w:color w:val="000000" w:themeColor="text1"/>
        </w:rPr>
        <w:t>The presence of these factors in a person’s life contributes to their ACE score, the higher the score, the more susceptible  someone is to lifelong health issues (Public Health Wales, 2025). ACEs can also affect someone’s mental health negatively, increasing anxiety and depression, affect their ability to build and maintain healthy relationships. The toxic stress from ACEs affects brain development and learning, and people may be more likely to engage in substance abuse, anti-social and risky sexual behaviour (Harvard, 2018).</w:t>
      </w:r>
      <w:r w:rsidRPr="006F0EF0">
        <w:rPr>
          <w:rFonts w:ascii="Arial" w:hAnsi="Arial" w:cs="Arial"/>
          <w:color w:val="000000" w:themeColor="text1"/>
        </w:rPr>
        <w:br/>
        <w:t xml:space="preserve">The literature around children’s relationships with parents discusses the acceptance of unhealthy relationships as normalised, which leads to Intergenerational relational practices as explained by Hou </w:t>
      </w:r>
      <w:r w:rsidRPr="006F0EF0">
        <w:rPr>
          <w:rFonts w:ascii="Arial" w:hAnsi="Arial" w:cs="Arial"/>
          <w:i/>
          <w:iCs/>
          <w:color w:val="000000" w:themeColor="text1"/>
        </w:rPr>
        <w:t xml:space="preserve">et al. </w:t>
      </w:r>
      <w:r w:rsidRPr="006F0EF0">
        <w:rPr>
          <w:rFonts w:ascii="Arial" w:hAnsi="Arial" w:cs="Arial"/>
          <w:color w:val="000000" w:themeColor="text1"/>
        </w:rPr>
        <w:t>(2015), who established that parents are children’s fundamental source of learning in their psychological development. As they grow up, the same-gender parent is commonly who they identify with, and the behaviours they model become the acceptable norm, they will continue to tolerate and perpetrate these gender patterns as they become adults. These findings are consistent with the ‘Social Learning Model’, one of the most widely studied theoretical explanations for children repeating the actions modelled by their parents, originated by Bandura (1979), in one study he found the perpetrators, and victims of violence, act as models who demonstrate violence to children, as an acceptable or effective means of resolving conflicts. While Bandura’s Social Learning theory can explain some aspects of social learning</w:t>
      </w:r>
      <w:r w:rsidRPr="006F0EF0">
        <w:rPr>
          <w:rFonts w:ascii="Arial" w:hAnsi="Arial" w:cs="Arial"/>
          <w:color w:val="000000" w:themeColor="text1"/>
          <w:shd w:val="clear" w:color="auto" w:fill="FFFFFF"/>
        </w:rPr>
        <w:t xml:space="preserve">, it </w:t>
      </w:r>
      <w:r w:rsidRPr="006F0EF0">
        <w:rPr>
          <w:rFonts w:ascii="Arial" w:hAnsi="Arial" w:cs="Arial"/>
          <w:color w:val="000000" w:themeColor="text1"/>
        </w:rPr>
        <w:t xml:space="preserve">has faced criticism for underestimating the </w:t>
      </w:r>
      <w:r w:rsidR="00076543" w:rsidRPr="006F0EF0">
        <w:rPr>
          <w:rFonts w:ascii="Arial" w:hAnsi="Arial" w:cs="Arial"/>
          <w:color w:val="000000" w:themeColor="text1"/>
        </w:rPr>
        <w:t>individual’s</w:t>
      </w:r>
      <w:r w:rsidRPr="006F0EF0">
        <w:rPr>
          <w:rFonts w:ascii="Arial" w:hAnsi="Arial" w:cs="Arial"/>
          <w:color w:val="000000" w:themeColor="text1"/>
        </w:rPr>
        <w:t xml:space="preserve"> </w:t>
      </w:r>
      <w:r w:rsidR="004F52A7" w:rsidRPr="006F0EF0">
        <w:rPr>
          <w:rFonts w:ascii="Arial" w:hAnsi="Arial" w:cs="Arial"/>
          <w:color w:val="000000" w:themeColor="text1"/>
        </w:rPr>
        <w:t>agency and</w:t>
      </w:r>
      <w:r w:rsidRPr="006F0EF0">
        <w:rPr>
          <w:rFonts w:ascii="Arial" w:hAnsi="Arial" w:cs="Arial"/>
          <w:color w:val="000000" w:themeColor="text1"/>
        </w:rPr>
        <w:t xml:space="preserve"> neglecting how behaviours change over time (Firmansyah and </w:t>
      </w:r>
      <w:proofErr w:type="spellStart"/>
      <w:r w:rsidRPr="006F0EF0">
        <w:rPr>
          <w:rFonts w:ascii="Arial" w:hAnsi="Arial" w:cs="Arial"/>
          <w:color w:val="000000" w:themeColor="text1"/>
        </w:rPr>
        <w:t>Saepuloh</w:t>
      </w:r>
      <w:proofErr w:type="spellEnd"/>
      <w:r w:rsidRPr="006F0EF0">
        <w:rPr>
          <w:rFonts w:ascii="Arial" w:hAnsi="Arial" w:cs="Arial"/>
          <w:color w:val="000000" w:themeColor="text1"/>
        </w:rPr>
        <w:t>, 2022).</w:t>
      </w:r>
    </w:p>
    <w:p w14:paraId="798CA9BE" w14:textId="405E6903" w:rsidR="0022788E" w:rsidRPr="006F0EF0" w:rsidRDefault="0022788E" w:rsidP="005E479C">
      <w:pPr>
        <w:spacing w:before="30" w:after="30"/>
        <w:ind w:left="850" w:right="850"/>
        <w:rPr>
          <w:rFonts w:ascii="Arial" w:hAnsi="Arial" w:cs="Arial"/>
          <w:color w:val="000000" w:themeColor="text1"/>
        </w:rPr>
      </w:pPr>
      <w:r w:rsidRPr="006F0EF0">
        <w:rPr>
          <w:rFonts w:ascii="Arial" w:hAnsi="Arial" w:cs="Arial"/>
          <w:color w:val="000000" w:themeColor="text1"/>
        </w:rPr>
        <w:lastRenderedPageBreak/>
        <w:t xml:space="preserve">Johnson and </w:t>
      </w:r>
      <w:proofErr w:type="spellStart"/>
      <w:r w:rsidRPr="006F0EF0">
        <w:rPr>
          <w:rFonts w:ascii="Arial" w:hAnsi="Arial" w:cs="Arial"/>
          <w:color w:val="000000" w:themeColor="text1"/>
        </w:rPr>
        <w:t>Mollborn</w:t>
      </w:r>
      <w:proofErr w:type="spellEnd"/>
      <w:r w:rsidRPr="006F0EF0">
        <w:rPr>
          <w:rFonts w:ascii="Arial" w:hAnsi="Arial" w:cs="Arial"/>
          <w:color w:val="000000" w:themeColor="text1"/>
        </w:rPr>
        <w:t xml:space="preserve"> (2009) studied disadvantaged children and found that children and teenagers, with more adult responsibilities at home, or faced a life transition associated with adulthood i.e. </w:t>
      </w:r>
      <w:r w:rsidR="007D6777">
        <w:rPr>
          <w:rFonts w:ascii="Arial" w:hAnsi="Arial" w:cs="Arial"/>
          <w:color w:val="000000" w:themeColor="text1"/>
        </w:rPr>
        <w:t>r</w:t>
      </w:r>
      <w:r w:rsidRPr="006F0EF0">
        <w:rPr>
          <w:rFonts w:ascii="Arial" w:hAnsi="Arial" w:cs="Arial"/>
          <w:color w:val="000000" w:themeColor="text1"/>
        </w:rPr>
        <w:t>elationships or pregnancy</w:t>
      </w:r>
      <w:r w:rsidR="007D6777">
        <w:rPr>
          <w:rFonts w:ascii="Arial" w:hAnsi="Arial" w:cs="Arial"/>
          <w:color w:val="000000" w:themeColor="text1"/>
        </w:rPr>
        <w:t xml:space="preserve">, </w:t>
      </w:r>
      <w:r w:rsidRPr="006F0EF0">
        <w:rPr>
          <w:rFonts w:ascii="Arial" w:hAnsi="Arial" w:cs="Arial"/>
          <w:color w:val="000000" w:themeColor="text1"/>
        </w:rPr>
        <w:t>were unlikely to have a positive outlook for their future</w:t>
      </w:r>
      <w:r w:rsidR="007D6777">
        <w:rPr>
          <w:rFonts w:ascii="Arial" w:hAnsi="Arial" w:cs="Arial"/>
          <w:color w:val="000000" w:themeColor="text1"/>
        </w:rPr>
        <w:t xml:space="preserve"> and</w:t>
      </w:r>
      <w:r w:rsidRPr="006F0EF0">
        <w:rPr>
          <w:rFonts w:ascii="Arial" w:hAnsi="Arial" w:cs="Arial"/>
          <w:color w:val="000000" w:themeColor="text1"/>
        </w:rPr>
        <w:t xml:space="preserve"> self-identified as adults at a young age.</w:t>
      </w:r>
    </w:p>
    <w:p w14:paraId="2458D28A" w14:textId="67631FFE" w:rsidR="0022788E" w:rsidRPr="006F0EF0" w:rsidRDefault="0022788E" w:rsidP="005E479C">
      <w:pPr>
        <w:spacing w:before="30" w:after="30"/>
        <w:ind w:left="850" w:right="850"/>
        <w:rPr>
          <w:rFonts w:ascii="Arial" w:hAnsi="Arial" w:cs="Arial"/>
          <w:color w:val="000000" w:themeColor="text1"/>
        </w:rPr>
      </w:pPr>
      <w:r w:rsidRPr="006F0EF0">
        <w:rPr>
          <w:rFonts w:ascii="Arial" w:hAnsi="Arial" w:cs="Arial"/>
          <w:color w:val="000000" w:themeColor="text1"/>
        </w:rPr>
        <w:t xml:space="preserve">As well as these children’s perceptions, there is emerging research to suggest that children experiencing hardship may physically grow up too fast, Sun (2024), details research into how increased levels  of cortisol, trigger an early onset of puberty as part of the bodies unconscious effort to begin the reproductive process earlier, Kelly </w:t>
      </w:r>
      <w:r w:rsidRPr="006F0EF0">
        <w:rPr>
          <w:rFonts w:ascii="Arial" w:hAnsi="Arial" w:cs="Arial"/>
          <w:i/>
          <w:iCs/>
          <w:color w:val="000000" w:themeColor="text1"/>
        </w:rPr>
        <w:t>et al</w:t>
      </w:r>
      <w:r w:rsidR="002F487A" w:rsidRPr="006F0EF0">
        <w:rPr>
          <w:rFonts w:ascii="Arial" w:hAnsi="Arial" w:cs="Arial"/>
          <w:i/>
          <w:iCs/>
          <w:color w:val="000000" w:themeColor="text1"/>
        </w:rPr>
        <w:t>.</w:t>
      </w:r>
      <w:r w:rsidRPr="006F0EF0">
        <w:rPr>
          <w:rFonts w:ascii="Arial" w:hAnsi="Arial" w:cs="Arial"/>
          <w:color w:val="000000" w:themeColor="text1"/>
        </w:rPr>
        <w:t xml:space="preserve"> (2017) supports this view and found increased stress contributed to girls beginning menstruation earlier.</w:t>
      </w:r>
    </w:p>
    <w:p w14:paraId="7E91BCFD" w14:textId="69FA9B76" w:rsidR="0022788E" w:rsidRPr="006F0EF0" w:rsidRDefault="0022788E" w:rsidP="005E479C">
      <w:pPr>
        <w:spacing w:before="30" w:after="30"/>
        <w:ind w:left="850" w:right="850"/>
        <w:rPr>
          <w:rFonts w:ascii="Arial" w:hAnsi="Arial" w:cs="Arial"/>
          <w:color w:val="000000" w:themeColor="text1"/>
        </w:rPr>
      </w:pPr>
      <w:r w:rsidRPr="006F0EF0">
        <w:rPr>
          <w:rFonts w:ascii="Arial" w:hAnsi="Arial" w:cs="Arial"/>
          <w:color w:val="000000" w:themeColor="text1"/>
        </w:rPr>
        <w:t xml:space="preserve">There is also documentation of a phenomenon, where parents who experience ACEs, impact their children by creating a home environment that pressures their child to take on the role of the caregiver, Greene, et al. (2020) suggest that a mother’s childhood experiences of abuse or neglect, could manifest as emotional overdependence upon her child. Nuttall, Speidel and Valentino (2019) develop this further by explaining that role reversal can influence children’s concept of self, contributing to children perceiving themselves as more mature than their chronological age, this strengthens the idea that children in deprived areas are more likely to accumulate ACEs and perpetuate the cycle of depravation by imitating the behaviour of their primary influencers, however, the research provides little data on when it occurs between father figures and their children (Greene </w:t>
      </w:r>
      <w:r w:rsidRPr="006F0EF0">
        <w:rPr>
          <w:rFonts w:ascii="Arial" w:hAnsi="Arial" w:cs="Arial"/>
          <w:i/>
          <w:iCs/>
          <w:color w:val="000000" w:themeColor="text1"/>
        </w:rPr>
        <w:t>et al</w:t>
      </w:r>
      <w:r w:rsidRPr="006F0EF0">
        <w:rPr>
          <w:rFonts w:ascii="Arial" w:hAnsi="Arial" w:cs="Arial"/>
          <w:color w:val="000000" w:themeColor="text1"/>
        </w:rPr>
        <w:t xml:space="preserve">. 2020). </w:t>
      </w:r>
      <w:r w:rsidRPr="006F0EF0">
        <w:rPr>
          <w:rFonts w:ascii="Arial" w:hAnsi="Arial" w:cs="Arial"/>
          <w:color w:val="000000" w:themeColor="text1"/>
        </w:rPr>
        <w:br/>
      </w:r>
      <w:r w:rsidR="005F21B8" w:rsidRPr="006F0EF0">
        <w:rPr>
          <w:rFonts w:ascii="Arial" w:hAnsi="Arial" w:cs="Arial"/>
          <w:color w:val="000000" w:themeColor="text1"/>
        </w:rPr>
        <w:t xml:space="preserve">Furthermore, Ainsworth, </w:t>
      </w:r>
      <w:r w:rsidR="005F21B8" w:rsidRPr="006F0EF0">
        <w:rPr>
          <w:rFonts w:ascii="Arial" w:hAnsi="Arial" w:cs="Arial"/>
          <w:i/>
          <w:iCs/>
          <w:color w:val="000000" w:themeColor="text1"/>
        </w:rPr>
        <w:t xml:space="preserve">et al. </w:t>
      </w:r>
      <w:r w:rsidR="005F21B8" w:rsidRPr="006F0EF0">
        <w:rPr>
          <w:rFonts w:ascii="Arial" w:hAnsi="Arial" w:cs="Arial"/>
          <w:color w:val="000000" w:themeColor="text1"/>
        </w:rPr>
        <w:t xml:space="preserve">(2015) </w:t>
      </w:r>
      <w:r w:rsidR="005F21B8">
        <w:rPr>
          <w:rFonts w:ascii="Arial" w:hAnsi="Arial" w:cs="Arial"/>
          <w:color w:val="000000" w:themeColor="text1"/>
        </w:rPr>
        <w:t xml:space="preserve">stress </w:t>
      </w:r>
      <w:r w:rsidR="005F21B8" w:rsidRPr="006F0EF0">
        <w:rPr>
          <w:rFonts w:ascii="Arial" w:hAnsi="Arial" w:cs="Arial"/>
          <w:color w:val="000000" w:themeColor="text1"/>
        </w:rPr>
        <w:t>the importance of caregiver responsiveness in shaping attachment</w:t>
      </w:r>
      <w:r w:rsidR="005F21B8">
        <w:rPr>
          <w:rFonts w:ascii="Arial" w:hAnsi="Arial" w:cs="Arial"/>
          <w:color w:val="000000" w:themeColor="text1"/>
        </w:rPr>
        <w:t xml:space="preserve">, </w:t>
      </w:r>
      <w:r w:rsidR="005F21B8" w:rsidRPr="006F0EF0">
        <w:rPr>
          <w:rFonts w:ascii="Arial" w:hAnsi="Arial" w:cs="Arial"/>
          <w:color w:val="000000" w:themeColor="text1"/>
        </w:rPr>
        <w:t xml:space="preserve">and </w:t>
      </w:r>
      <w:r w:rsidR="005F21B8" w:rsidRPr="006F0EF0">
        <w:rPr>
          <w:rFonts w:ascii="Arial" w:hAnsi="Arial" w:cs="Arial"/>
          <w:color w:val="000000" w:themeColor="text1"/>
        </w:rPr>
        <w:t>propose</w:t>
      </w:r>
      <w:r w:rsidR="005F21B8" w:rsidRPr="006F0EF0">
        <w:rPr>
          <w:rFonts w:ascii="Arial" w:hAnsi="Arial" w:cs="Arial"/>
          <w:color w:val="000000" w:themeColor="text1"/>
        </w:rPr>
        <w:t xml:space="preserve"> that early interactions between infants and their primary caregivers shape their emotional and social development, influencing their attachment styles and future relationships (</w:t>
      </w:r>
      <w:proofErr w:type="spellStart"/>
      <w:r w:rsidR="005F21B8" w:rsidRPr="006F0EF0">
        <w:rPr>
          <w:rFonts w:ascii="Arial" w:hAnsi="Arial" w:cs="Arial"/>
          <w:color w:val="000000" w:themeColor="text1"/>
        </w:rPr>
        <w:t>Vertel</w:t>
      </w:r>
      <w:proofErr w:type="spellEnd"/>
      <w:r w:rsidR="005F21B8" w:rsidRPr="006F0EF0">
        <w:rPr>
          <w:rFonts w:ascii="Arial" w:hAnsi="Arial" w:cs="Arial"/>
          <w:color w:val="000000" w:themeColor="text1"/>
        </w:rPr>
        <w:t>, 2023).</w:t>
      </w:r>
      <w:r w:rsidR="005F21B8">
        <w:rPr>
          <w:rFonts w:ascii="Arial" w:hAnsi="Arial" w:cs="Arial"/>
          <w:color w:val="000000" w:themeColor="text1"/>
        </w:rPr>
        <w:br/>
      </w:r>
      <w:r w:rsidRPr="006F0EF0">
        <w:rPr>
          <w:rFonts w:ascii="Arial" w:hAnsi="Arial" w:cs="Arial"/>
          <w:color w:val="000000" w:themeColor="text1"/>
        </w:rPr>
        <w:t xml:space="preserve">Piaget’s research highlights that children’s decision-making abilities, impulse control, and risk assessment are underdeveloped compared </w:t>
      </w:r>
      <w:r w:rsidRPr="006F0EF0">
        <w:rPr>
          <w:rFonts w:ascii="Arial" w:hAnsi="Arial" w:cs="Arial"/>
          <w:color w:val="000000" w:themeColor="text1"/>
        </w:rPr>
        <w:lastRenderedPageBreak/>
        <w:t>to adults</w:t>
      </w:r>
      <w:r w:rsidRPr="006F0EF0">
        <w:rPr>
          <w:rFonts w:ascii="Arial" w:hAnsi="Arial" w:cs="Arial"/>
          <w:color w:val="000000" w:themeColor="text1"/>
          <w:shd w:val="clear" w:color="auto" w:fill="FFFFFF"/>
        </w:rPr>
        <w:t xml:space="preserve"> (</w:t>
      </w:r>
      <w:proofErr w:type="spellStart"/>
      <w:r w:rsidRPr="006F0EF0">
        <w:rPr>
          <w:rFonts w:ascii="Arial" w:hAnsi="Arial" w:cs="Arial"/>
          <w:color w:val="000000" w:themeColor="text1"/>
        </w:rPr>
        <w:t>Houdé</w:t>
      </w:r>
      <w:proofErr w:type="spellEnd"/>
      <w:r w:rsidRPr="006F0EF0">
        <w:rPr>
          <w:rFonts w:ascii="Arial" w:hAnsi="Arial" w:cs="Arial"/>
          <w:color w:val="000000" w:themeColor="text1"/>
        </w:rPr>
        <w:t xml:space="preserve">, and Borst, 2022) which is why adult behaviours like drinking, smoking or sexual activity are considered risky behaviours for children and teenagers, and legally restricted to protect them from harm. However, Erikson’s theory of psychosocial development (Pitula </w:t>
      </w:r>
      <w:r w:rsidRPr="006F0EF0">
        <w:rPr>
          <w:rFonts w:ascii="Arial" w:hAnsi="Arial" w:cs="Arial"/>
          <w:i/>
          <w:iCs/>
          <w:color w:val="000000" w:themeColor="text1"/>
        </w:rPr>
        <w:t xml:space="preserve">et al, </w:t>
      </w:r>
      <w:r w:rsidRPr="006F0EF0">
        <w:rPr>
          <w:rFonts w:ascii="Arial" w:hAnsi="Arial" w:cs="Arial"/>
          <w:color w:val="000000" w:themeColor="text1"/>
        </w:rPr>
        <w:t xml:space="preserve">2016) informs us that children who experience low levels of trust in their caregivers due to neglect or abuse, which is more common in areas of depravation, are more likely to be associated with delinquent behaviours and social disengagement, i.e., smoking, substance misuse or pregnancy. Low rates of teen pregnancies are often seen as an indicator of a societies overall educational success as young mothers will typically experience lower educational attainment, in school and employment (Wall-Wieler, </w:t>
      </w:r>
      <w:proofErr w:type="spellStart"/>
      <w:r w:rsidRPr="006F0EF0">
        <w:rPr>
          <w:rFonts w:ascii="Arial" w:hAnsi="Arial" w:cs="Arial"/>
          <w:color w:val="000000" w:themeColor="text1"/>
        </w:rPr>
        <w:t>Roos</w:t>
      </w:r>
      <w:proofErr w:type="spellEnd"/>
      <w:r w:rsidRPr="006F0EF0">
        <w:rPr>
          <w:rFonts w:ascii="Arial" w:hAnsi="Arial" w:cs="Arial"/>
          <w:color w:val="000000" w:themeColor="text1"/>
        </w:rPr>
        <w:t xml:space="preserve"> and Nickel, 2016).</w:t>
      </w:r>
    </w:p>
    <w:p w14:paraId="380C3357" w14:textId="6125986F" w:rsidR="0022788E" w:rsidRPr="006F0EF0" w:rsidRDefault="0022788E" w:rsidP="005E479C">
      <w:pPr>
        <w:spacing w:before="30" w:after="30"/>
        <w:ind w:left="850" w:right="850"/>
        <w:rPr>
          <w:rFonts w:ascii="Arial" w:hAnsi="Arial" w:cs="Arial"/>
          <w:color w:val="000000" w:themeColor="text1"/>
        </w:rPr>
      </w:pPr>
      <w:r w:rsidRPr="006F0EF0">
        <w:rPr>
          <w:rFonts w:ascii="Arial" w:eastAsia="Times New Roman" w:hAnsi="Arial" w:cs="Arial"/>
          <w:color w:val="000000" w:themeColor="text1"/>
        </w:rPr>
        <w:t>2022</w:t>
      </w:r>
      <w:r w:rsidRPr="006F0EF0">
        <w:rPr>
          <w:rFonts w:ascii="Arial" w:hAnsi="Arial" w:cs="Arial"/>
          <w:color w:val="000000" w:themeColor="text1"/>
        </w:rPr>
        <w:t xml:space="preserve"> saw the lowest recorded number of teenage </w:t>
      </w:r>
      <w:proofErr w:type="gramStart"/>
      <w:r w:rsidRPr="006F0EF0">
        <w:rPr>
          <w:rFonts w:ascii="Arial" w:hAnsi="Arial" w:cs="Arial"/>
          <w:color w:val="000000" w:themeColor="text1"/>
        </w:rPr>
        <w:t>conception</w:t>
      </w:r>
      <w:proofErr w:type="gramEnd"/>
      <w:r w:rsidRPr="006F0EF0">
        <w:rPr>
          <w:rFonts w:ascii="Arial" w:hAnsi="Arial" w:cs="Arial"/>
          <w:color w:val="000000" w:themeColor="text1"/>
        </w:rPr>
        <w:t xml:space="preserve"> in South Wales (FSRH, 2024), with improved RSE, positively associated with this decline. However, regional variation shows that the rates for girls in </w:t>
      </w:r>
      <w:r w:rsidRPr="006F0EF0">
        <w:rPr>
          <w:rStyle w:val="Strong"/>
          <w:rFonts w:ascii="Arial" w:hAnsi="Arial" w:cs="Arial"/>
          <w:b w:val="0"/>
          <w:bCs w:val="0"/>
          <w:color w:val="000000" w:themeColor="text1"/>
        </w:rPr>
        <w:t xml:space="preserve">deprived areas </w:t>
      </w:r>
      <w:r w:rsidRPr="006F0EF0">
        <w:rPr>
          <w:rFonts w:ascii="Arial" w:hAnsi="Arial" w:cs="Arial"/>
          <w:color w:val="000000" w:themeColor="text1"/>
        </w:rPr>
        <w:t>are</w:t>
      </w:r>
      <w:r w:rsidRPr="006F0EF0">
        <w:rPr>
          <w:rFonts w:ascii="Arial" w:hAnsi="Arial" w:cs="Arial"/>
          <w:b/>
          <w:bCs/>
          <w:color w:val="000000" w:themeColor="text1"/>
        </w:rPr>
        <w:t> </w:t>
      </w:r>
      <w:r w:rsidRPr="006F0EF0">
        <w:rPr>
          <w:rStyle w:val="Strong"/>
          <w:rFonts w:ascii="Arial" w:hAnsi="Arial" w:cs="Arial"/>
          <w:b w:val="0"/>
          <w:bCs w:val="0"/>
          <w:color w:val="000000" w:themeColor="text1"/>
        </w:rPr>
        <w:t>4 times more likely</w:t>
      </w:r>
      <w:r w:rsidRPr="006F0EF0">
        <w:rPr>
          <w:rFonts w:ascii="Arial" w:hAnsi="Arial" w:cs="Arial"/>
          <w:color w:val="000000" w:themeColor="text1"/>
        </w:rPr>
        <w:t> to conceive than those in the least deprived. A barrier to inclusion remains in lower income areas, some of those factors could be associated with lower school attendance affected by factors discussed in this review.</w:t>
      </w:r>
    </w:p>
    <w:p w14:paraId="5BD9E46E" w14:textId="551055E0" w:rsidR="0022788E" w:rsidRPr="006F0EF0" w:rsidRDefault="0022788E" w:rsidP="005E479C">
      <w:pPr>
        <w:spacing w:before="30" w:after="30"/>
        <w:ind w:left="850" w:right="850"/>
        <w:rPr>
          <w:rFonts w:ascii="Arial" w:hAnsi="Arial" w:cs="Arial"/>
          <w:color w:val="000000" w:themeColor="text1"/>
        </w:rPr>
      </w:pPr>
      <w:r w:rsidRPr="006F0EF0">
        <w:rPr>
          <w:rFonts w:ascii="Arial" w:hAnsi="Arial" w:cs="Arial"/>
          <w:color w:val="000000" w:themeColor="text1"/>
        </w:rPr>
        <w:t>The literature highlights a deficit view of people from deprived areas where these issues are prevalent. Dinishak (2016)  reminds us that this perspective can lead to a narrow understanding of complex social issues, failing to recognise the diversity and complexity of human experiences. This can perpetuate negative stereotypes and reinforce power imbalances, as it can be used to justify discrimination and lead policy makers to view these people as lacking the skills or resources necessary to succeed, rather than acknowledging the impact of systemic inequities (Oxford University Press, 2025). </w:t>
      </w:r>
      <w:r w:rsidRPr="006F0EF0">
        <w:rPr>
          <w:rFonts w:ascii="Arial" w:hAnsi="Arial" w:cs="Arial"/>
          <w:color w:val="000000" w:themeColor="text1"/>
        </w:rPr>
        <w:br/>
        <w:t xml:space="preserve">Investing in inclusive, evidence-based RSE creates communities where people are healthier, more respectful, and better equipped for </w:t>
      </w:r>
      <w:r w:rsidRPr="006F0EF0">
        <w:rPr>
          <w:rFonts w:ascii="Arial" w:hAnsi="Arial" w:cs="Arial"/>
          <w:color w:val="000000" w:themeColor="text1"/>
        </w:rPr>
        <w:lastRenderedPageBreak/>
        <w:t>fulfilling relationships</w:t>
      </w:r>
      <w:r w:rsidR="00BD60C9">
        <w:rPr>
          <w:rFonts w:ascii="Arial" w:hAnsi="Arial" w:cs="Arial"/>
          <w:color w:val="000000" w:themeColor="text1"/>
        </w:rPr>
        <w:t xml:space="preserve"> (Welsh Government, 2025)</w:t>
      </w:r>
      <w:r w:rsidRPr="006F0EF0">
        <w:rPr>
          <w:rFonts w:ascii="Arial" w:hAnsi="Arial" w:cs="Arial"/>
          <w:color w:val="000000" w:themeColor="text1"/>
        </w:rPr>
        <w:t>. It is a tool for social progress, public health, and equality, as shown by Antle et al. (2019).</w:t>
      </w:r>
      <w:r w:rsidRPr="006F0EF0">
        <w:rPr>
          <w:rFonts w:ascii="Arial" w:hAnsi="Arial" w:cs="Arial"/>
          <w:color w:val="000000" w:themeColor="text1"/>
        </w:rPr>
        <w:br/>
        <w:t>RSE interventions have also shown positive results on intrafamily dynamics, (</w:t>
      </w:r>
      <w:proofErr w:type="spellStart"/>
      <w:r w:rsidRPr="006F0EF0">
        <w:rPr>
          <w:rFonts w:ascii="Arial" w:hAnsi="Arial" w:cs="Arial"/>
          <w:color w:val="000000" w:themeColor="text1"/>
        </w:rPr>
        <w:t>Lanchimba</w:t>
      </w:r>
      <w:proofErr w:type="spellEnd"/>
      <w:r w:rsidRPr="006F0EF0">
        <w:rPr>
          <w:rFonts w:ascii="Arial" w:hAnsi="Arial" w:cs="Arial"/>
          <w:color w:val="000000" w:themeColor="text1"/>
        </w:rPr>
        <w:t xml:space="preserve">, Díaz-Sánchez and Velasco, 2023). McCrory and </w:t>
      </w:r>
      <w:proofErr w:type="spellStart"/>
      <w:r w:rsidRPr="006F0EF0">
        <w:rPr>
          <w:rFonts w:ascii="Arial" w:hAnsi="Arial" w:cs="Arial"/>
          <w:color w:val="000000" w:themeColor="text1"/>
        </w:rPr>
        <w:t>Viding</w:t>
      </w:r>
      <w:proofErr w:type="spellEnd"/>
      <w:r w:rsidRPr="006F0EF0">
        <w:rPr>
          <w:rFonts w:ascii="Arial" w:hAnsi="Arial" w:cs="Arial"/>
          <w:color w:val="000000" w:themeColor="text1"/>
        </w:rPr>
        <w:t xml:space="preserve"> (2015) reinforce this research by reporting on the effectiveness of primary prevention as a strategy to reduce abuse and neglect in vulnerable households.</w:t>
      </w:r>
      <w:r w:rsidRPr="006F0EF0">
        <w:rPr>
          <w:rFonts w:ascii="Arial" w:hAnsi="Arial" w:cs="Arial"/>
          <w:color w:val="000000" w:themeColor="text1"/>
        </w:rPr>
        <w:br/>
        <w:t xml:space="preserve">Despite the research being empirically proven to be an effective strategy to uphold the rights of children and improve lifelong health and </w:t>
      </w:r>
      <w:proofErr w:type="spellStart"/>
      <w:r w:rsidRPr="006F0EF0">
        <w:rPr>
          <w:rFonts w:ascii="Arial" w:hAnsi="Arial" w:cs="Arial"/>
          <w:color w:val="000000" w:themeColor="text1"/>
        </w:rPr>
        <w:t>well being</w:t>
      </w:r>
      <w:proofErr w:type="spellEnd"/>
      <w:r w:rsidRPr="006F0EF0">
        <w:rPr>
          <w:rFonts w:ascii="Arial" w:hAnsi="Arial" w:cs="Arial"/>
          <w:color w:val="000000" w:themeColor="text1"/>
        </w:rPr>
        <w:t xml:space="preserve"> outcomes, misinformation has led to a backlash by concerned parents in Wales, worried that RSE will expose their children to inappropriate material (Humanists, 2022). The High Court ruled that the curriculum was lawful and  intends to keep children safe and to promote respect and healthy relationships Welsh Government (2021), however, Kelly (2023) discusses how educators are fearful of </w:t>
      </w:r>
      <w:r w:rsidR="008679F8" w:rsidRPr="006F0EF0">
        <w:rPr>
          <w:rFonts w:ascii="Arial" w:hAnsi="Arial" w:cs="Arial"/>
          <w:color w:val="000000" w:themeColor="text1"/>
        </w:rPr>
        <w:t>‘</w:t>
      </w:r>
      <w:r w:rsidRPr="006F0EF0">
        <w:rPr>
          <w:rFonts w:ascii="Arial" w:hAnsi="Arial" w:cs="Arial"/>
          <w:color w:val="000000" w:themeColor="text1"/>
        </w:rPr>
        <w:t xml:space="preserve">getting </w:t>
      </w:r>
      <w:r w:rsidR="008679F8" w:rsidRPr="006F0EF0">
        <w:rPr>
          <w:rFonts w:ascii="Arial" w:hAnsi="Arial" w:cs="Arial"/>
          <w:color w:val="000000" w:themeColor="text1"/>
        </w:rPr>
        <w:t>things</w:t>
      </w:r>
      <w:r w:rsidRPr="006F0EF0">
        <w:rPr>
          <w:rFonts w:ascii="Arial" w:hAnsi="Arial" w:cs="Arial"/>
          <w:color w:val="000000" w:themeColor="text1"/>
        </w:rPr>
        <w:t xml:space="preserve"> wrong</w:t>
      </w:r>
      <w:r w:rsidR="008679F8" w:rsidRPr="006F0EF0">
        <w:rPr>
          <w:rFonts w:ascii="Arial" w:hAnsi="Arial" w:cs="Arial"/>
          <w:color w:val="000000" w:themeColor="text1"/>
        </w:rPr>
        <w:t>’</w:t>
      </w:r>
      <w:r w:rsidRPr="006F0EF0">
        <w:rPr>
          <w:rFonts w:ascii="Arial" w:hAnsi="Arial" w:cs="Arial"/>
          <w:color w:val="000000" w:themeColor="text1"/>
        </w:rPr>
        <w:t xml:space="preserve"> amidst the heightened sensitivity around the subject. Recipients of RSE will have better educational and career outcomes as a result of them having a foundation of respect for themselves</w:t>
      </w:r>
      <w:r w:rsidR="008679F8" w:rsidRPr="006F0EF0">
        <w:rPr>
          <w:rFonts w:ascii="Arial" w:hAnsi="Arial" w:cs="Arial"/>
          <w:color w:val="000000" w:themeColor="text1"/>
        </w:rPr>
        <w:t>,</w:t>
      </w:r>
      <w:r w:rsidRPr="006F0EF0">
        <w:rPr>
          <w:rFonts w:ascii="Arial" w:hAnsi="Arial" w:cs="Arial"/>
          <w:color w:val="000000" w:themeColor="text1"/>
        </w:rPr>
        <w:t xml:space="preserve"> and others that will increase their confidence and </w:t>
      </w:r>
      <w:r w:rsidR="008679F8" w:rsidRPr="006F0EF0">
        <w:rPr>
          <w:rFonts w:ascii="Arial" w:hAnsi="Arial" w:cs="Arial"/>
          <w:color w:val="000000" w:themeColor="text1"/>
        </w:rPr>
        <w:t>self-worth</w:t>
      </w:r>
      <w:r w:rsidRPr="006F0EF0">
        <w:rPr>
          <w:rFonts w:ascii="Arial" w:hAnsi="Arial" w:cs="Arial"/>
          <w:color w:val="000000" w:themeColor="text1"/>
        </w:rPr>
        <w:t xml:space="preserve"> and give them a stronger understanding of communication, consent, and boundaries</w:t>
      </w:r>
      <w:r w:rsidR="004D2725" w:rsidRPr="006F0EF0">
        <w:rPr>
          <w:rFonts w:ascii="Arial" w:hAnsi="Arial" w:cs="Arial"/>
          <w:color w:val="000000" w:themeColor="text1"/>
        </w:rPr>
        <w:t xml:space="preserve"> </w:t>
      </w:r>
      <w:r w:rsidR="008679F8" w:rsidRPr="006F0EF0">
        <w:rPr>
          <w:rFonts w:ascii="Arial" w:hAnsi="Arial" w:cs="Arial"/>
          <w:color w:val="000000" w:themeColor="text1"/>
        </w:rPr>
        <w:t>(Welsh Government, 2022). It</w:t>
      </w:r>
      <w:r w:rsidRPr="006F0EF0">
        <w:rPr>
          <w:rFonts w:ascii="Arial" w:hAnsi="Arial" w:cs="Arial"/>
          <w:color w:val="000000" w:themeColor="text1"/>
        </w:rPr>
        <w:t xml:space="preserve"> </w:t>
      </w:r>
      <w:r w:rsidR="008679F8" w:rsidRPr="006F0EF0">
        <w:rPr>
          <w:rFonts w:ascii="Arial" w:hAnsi="Arial" w:cs="Arial"/>
          <w:color w:val="000000" w:themeColor="text1"/>
        </w:rPr>
        <w:t xml:space="preserve">can </w:t>
      </w:r>
      <w:r w:rsidRPr="006F0EF0">
        <w:rPr>
          <w:rFonts w:ascii="Arial" w:hAnsi="Arial" w:cs="Arial"/>
          <w:color w:val="000000" w:themeColor="text1"/>
        </w:rPr>
        <w:t xml:space="preserve">help young people navigate social pressures and build resilience and become </w:t>
      </w:r>
      <w:r w:rsidR="008679F8" w:rsidRPr="006F0EF0">
        <w:rPr>
          <w:rFonts w:ascii="Arial" w:hAnsi="Arial" w:cs="Arial"/>
          <w:color w:val="000000" w:themeColor="text1"/>
        </w:rPr>
        <w:t>empowered, informed citizens, who</w:t>
      </w:r>
      <w:r w:rsidRPr="006F0EF0">
        <w:rPr>
          <w:rFonts w:ascii="Arial" w:hAnsi="Arial" w:cs="Arial"/>
          <w:color w:val="000000" w:themeColor="text1"/>
        </w:rPr>
        <w:t xml:space="preserve"> recognise and </w:t>
      </w:r>
      <w:r w:rsidR="008679F8" w:rsidRPr="006F0EF0">
        <w:rPr>
          <w:rFonts w:ascii="Arial" w:hAnsi="Arial" w:cs="Arial"/>
          <w:color w:val="000000" w:themeColor="text1"/>
        </w:rPr>
        <w:t>challenge harm in society,</w:t>
      </w:r>
      <w:r w:rsidRPr="006F0EF0">
        <w:rPr>
          <w:rFonts w:ascii="Arial" w:hAnsi="Arial" w:cs="Arial"/>
          <w:color w:val="000000" w:themeColor="text1"/>
        </w:rPr>
        <w:t xml:space="preserve"> fostering safer communities and achieving a higher level of attainment and wellbeing, regardless of the </w:t>
      </w:r>
      <w:r w:rsidR="008679F8" w:rsidRPr="006F0EF0">
        <w:rPr>
          <w:rFonts w:ascii="Arial" w:hAnsi="Arial" w:cs="Arial"/>
          <w:color w:val="000000" w:themeColor="text1"/>
        </w:rPr>
        <w:t>socio-economic</w:t>
      </w:r>
      <w:r w:rsidRPr="006F0EF0">
        <w:rPr>
          <w:rFonts w:ascii="Arial" w:hAnsi="Arial" w:cs="Arial"/>
          <w:color w:val="000000" w:themeColor="text1"/>
        </w:rPr>
        <w:t xml:space="preserve"> status of the community they are from (Harding, 2024).</w:t>
      </w:r>
    </w:p>
    <w:p w14:paraId="4CCB55F1" w14:textId="77777777" w:rsidR="008679F8" w:rsidRDefault="008679F8" w:rsidP="005E479C">
      <w:pPr>
        <w:spacing w:before="30" w:after="30"/>
        <w:ind w:left="850" w:right="850"/>
        <w:rPr>
          <w:rFonts w:ascii="Arial" w:hAnsi="Arial" w:cs="Arial"/>
          <w:color w:val="000000" w:themeColor="text1"/>
        </w:rPr>
      </w:pPr>
    </w:p>
    <w:p w14:paraId="4B7802E2" w14:textId="77777777" w:rsidR="006F0EF0" w:rsidRPr="006F0EF0" w:rsidRDefault="006F0EF0" w:rsidP="005E479C">
      <w:pPr>
        <w:spacing w:before="30" w:after="30"/>
        <w:ind w:left="850" w:right="850"/>
        <w:rPr>
          <w:rFonts w:ascii="Arial" w:hAnsi="Arial" w:cs="Arial"/>
          <w:color w:val="000000" w:themeColor="text1"/>
        </w:rPr>
      </w:pPr>
    </w:p>
    <w:p w14:paraId="5270BCE1" w14:textId="77777777" w:rsidR="008679F8" w:rsidRPr="006F0EF0" w:rsidRDefault="008679F8" w:rsidP="005E479C">
      <w:pPr>
        <w:spacing w:before="30" w:after="30"/>
        <w:ind w:left="850" w:right="850"/>
        <w:rPr>
          <w:rFonts w:ascii="Arial" w:hAnsi="Arial" w:cs="Arial"/>
          <w:color w:val="000000" w:themeColor="text1"/>
          <w:u w:val="single"/>
        </w:rPr>
      </w:pPr>
      <w:r w:rsidRPr="006F0EF0">
        <w:rPr>
          <w:rFonts w:ascii="Arial" w:hAnsi="Arial" w:cs="Arial"/>
          <w:color w:val="000000" w:themeColor="text1"/>
          <w:u w:val="single"/>
        </w:rPr>
        <w:t xml:space="preserve">Methodology </w:t>
      </w:r>
    </w:p>
    <w:p w14:paraId="00DEE1D3" w14:textId="7B1A0B2E" w:rsidR="008679F8" w:rsidRPr="006F0EF0" w:rsidRDefault="008679F8" w:rsidP="005E479C">
      <w:pPr>
        <w:spacing w:before="30" w:after="30"/>
        <w:ind w:left="850" w:right="850"/>
        <w:rPr>
          <w:rFonts w:ascii="Arial" w:hAnsi="Arial" w:cs="Arial"/>
          <w:color w:val="000000" w:themeColor="text1"/>
        </w:rPr>
      </w:pPr>
      <w:r w:rsidRPr="006F0EF0">
        <w:rPr>
          <w:rFonts w:ascii="Arial" w:hAnsi="Arial" w:cs="Arial"/>
          <w:color w:val="000000" w:themeColor="text1"/>
        </w:rPr>
        <w:t xml:space="preserve">This study seeks to explore lived experiences, perceptions, and meanings that families attach to relationships, and how this impacts </w:t>
      </w:r>
      <w:r w:rsidRPr="006F0EF0">
        <w:rPr>
          <w:rFonts w:ascii="Arial" w:hAnsi="Arial" w:cs="Arial"/>
          <w:color w:val="000000" w:themeColor="text1"/>
        </w:rPr>
        <w:lastRenderedPageBreak/>
        <w:t>intergenerational wellbeing .The research team will adopt a </w:t>
      </w:r>
      <w:r w:rsidRPr="006F0EF0">
        <w:rPr>
          <w:rStyle w:val="Strong"/>
          <w:rFonts w:ascii="Arial" w:hAnsi="Arial" w:cs="Arial"/>
          <w:b w:val="0"/>
          <w:bCs w:val="0"/>
          <w:color w:val="000000" w:themeColor="text1"/>
        </w:rPr>
        <w:t>constructivist, participatory approach</w:t>
      </w:r>
      <w:r w:rsidRPr="006F0EF0">
        <w:rPr>
          <w:rFonts w:ascii="Arial" w:hAnsi="Arial" w:cs="Arial"/>
          <w:color w:val="000000" w:themeColor="text1"/>
        </w:rPr>
        <w:t> to collect qualitative data that allows for deeper contextual insights into how experience of RSE can influence family dynamics, communication, and emotional wellbeing—something quantitative methods alone cannot capture (McMullin, 2021).</w:t>
      </w:r>
    </w:p>
    <w:p w14:paraId="018A0CA9" w14:textId="6EBB6730" w:rsidR="008679F8" w:rsidRPr="006F0EF0" w:rsidRDefault="008679F8" w:rsidP="005E479C">
      <w:pPr>
        <w:spacing w:before="30" w:after="30"/>
        <w:ind w:left="850" w:right="850"/>
        <w:rPr>
          <w:rFonts w:ascii="Arial" w:hAnsi="Arial" w:cs="Arial"/>
          <w:color w:val="000000" w:themeColor="text1"/>
        </w:rPr>
      </w:pPr>
      <w:r w:rsidRPr="006F0EF0">
        <w:rPr>
          <w:rFonts w:ascii="Arial" w:hAnsi="Arial" w:cs="Arial"/>
          <w:color w:val="000000" w:themeColor="text1"/>
        </w:rPr>
        <w:t xml:space="preserve">A deficit perspective is often associated with marginalised </w:t>
      </w:r>
      <w:proofErr w:type="gramStart"/>
      <w:r w:rsidRPr="006F0EF0">
        <w:rPr>
          <w:rFonts w:ascii="Arial" w:hAnsi="Arial" w:cs="Arial"/>
          <w:color w:val="000000" w:themeColor="text1"/>
        </w:rPr>
        <w:t>groups,</w:t>
      </w:r>
      <w:proofErr w:type="gramEnd"/>
      <w:r w:rsidRPr="006F0EF0">
        <w:rPr>
          <w:rFonts w:ascii="Arial" w:hAnsi="Arial" w:cs="Arial"/>
          <w:color w:val="000000" w:themeColor="text1"/>
        </w:rPr>
        <w:t xml:space="preserve"> these communities are often researched "on" rather than "with." To avoid the data falling under this perspective, a participatory approach will be implemented to ensure participants are active co-researchers. Cotterell and Buffel (2023) critically assess the power and privilege of academics, and how this can be a barrier to ensuring the data collected is meaningful and purposeful. Seeing participants as more than just subjects, gives them a higher level of agency in the research and achieves a more authentic response that will better serve the study, and the community involved (Braun and Clarke, 2022).</w:t>
      </w:r>
    </w:p>
    <w:p w14:paraId="28145AEE" w14:textId="77777777" w:rsidR="008679F8" w:rsidRPr="006F0EF0" w:rsidRDefault="008679F8" w:rsidP="005E479C">
      <w:pPr>
        <w:spacing w:before="30" w:after="30"/>
        <w:ind w:left="850" w:right="850"/>
        <w:rPr>
          <w:rFonts w:ascii="Arial" w:hAnsi="Arial" w:cs="Arial"/>
          <w:color w:val="000000" w:themeColor="text1"/>
        </w:rPr>
      </w:pPr>
      <w:r w:rsidRPr="006F0EF0">
        <w:rPr>
          <w:rFonts w:ascii="Arial" w:hAnsi="Arial" w:cs="Arial"/>
          <w:color w:val="000000" w:themeColor="text1"/>
        </w:rPr>
        <w:t>The positionality of the research team can be shaped by various characteristics, including gender, race, personal experiences, and values and beliefs (Ozano and Khatri </w:t>
      </w:r>
      <w:hyperlink r:id="rId12" w:history="1">
        <w:r w:rsidRPr="006F0EF0">
          <w:rPr>
            <w:rStyle w:val="Hyperlink"/>
            <w:rFonts w:ascii="Arial" w:hAnsi="Arial" w:cs="Arial"/>
            <w:color w:val="000000" w:themeColor="text1"/>
          </w:rPr>
          <w:t>2018</w:t>
        </w:r>
      </w:hyperlink>
      <w:r w:rsidRPr="006F0EF0">
        <w:rPr>
          <w:rFonts w:ascii="Arial" w:hAnsi="Arial" w:cs="Arial"/>
          <w:color w:val="000000" w:themeColor="text1"/>
        </w:rPr>
        <w:t>). Shared history, values, or motivations for engagement in this area of research must be considered when analysing the data as not to allow bias to affect the interpretation of the data (Dhillon, 2018).</w:t>
      </w:r>
    </w:p>
    <w:p w14:paraId="2FF12FE4" w14:textId="77777777" w:rsidR="008679F8" w:rsidRPr="006F0EF0" w:rsidRDefault="008679F8" w:rsidP="005E479C">
      <w:pPr>
        <w:spacing w:before="30" w:after="30"/>
        <w:ind w:left="850" w:right="850"/>
        <w:rPr>
          <w:rFonts w:ascii="Arial" w:hAnsi="Arial" w:cs="Arial"/>
          <w:color w:val="000000" w:themeColor="text1"/>
        </w:rPr>
      </w:pPr>
      <w:r w:rsidRPr="006F0EF0">
        <w:rPr>
          <w:rFonts w:ascii="Arial" w:hAnsi="Arial" w:cs="Arial"/>
          <w:color w:val="000000" w:themeColor="text1"/>
        </w:rPr>
        <w:t>Constructivism in social research, is a philosophical framework which asserts, individuals actively construct their own understanding of reality through their experiences and interactions (Denicolo, Long, and Bradley-Cole, 2016), when used as the ontology of a study, it brings focus to understanding subjective experiences and the meanings people ascribe to them, giving the research team the perspective that knowledge is not passively received but actively built and shaped by the individual, this will inform the methodological approach.</w:t>
      </w:r>
    </w:p>
    <w:p w14:paraId="52C71DB3" w14:textId="77777777" w:rsidR="008679F8" w:rsidRPr="006F0EF0" w:rsidRDefault="008679F8" w:rsidP="005E479C">
      <w:pPr>
        <w:spacing w:before="30" w:after="30"/>
        <w:ind w:left="850" w:right="850"/>
        <w:rPr>
          <w:rFonts w:ascii="Arial" w:hAnsi="Arial" w:cs="Arial"/>
          <w:color w:val="000000" w:themeColor="text1"/>
        </w:rPr>
      </w:pPr>
      <w:r w:rsidRPr="006F0EF0">
        <w:rPr>
          <w:rFonts w:ascii="Arial" w:hAnsi="Arial" w:cs="Arial"/>
          <w:color w:val="000000" w:themeColor="text1"/>
        </w:rPr>
        <w:lastRenderedPageBreak/>
        <w:t>In an attempt to avoid a deficit view, a positivist approach was considered, however, the approach was less open ended than a constructivist approach, meaning the data collected would be viewed from a restricted perspective that does not allow for the development of nuanced information within the study (Open University, 2025).</w:t>
      </w:r>
    </w:p>
    <w:p w14:paraId="3BCB3262" w14:textId="77777777" w:rsidR="008679F8" w:rsidRPr="006F0EF0" w:rsidRDefault="008679F8" w:rsidP="005E479C">
      <w:pPr>
        <w:spacing w:before="30" w:after="30"/>
        <w:ind w:left="850" w:right="850"/>
        <w:rPr>
          <w:rFonts w:ascii="Arial" w:hAnsi="Arial" w:cs="Arial"/>
          <w:color w:val="000000" w:themeColor="text1"/>
        </w:rPr>
      </w:pPr>
      <w:r w:rsidRPr="006F0EF0">
        <w:rPr>
          <w:rFonts w:ascii="Arial" w:hAnsi="Arial" w:cs="Arial"/>
          <w:color w:val="000000" w:themeColor="text1"/>
        </w:rPr>
        <w:t>The Meaning of the research is context-dependent, so Bandura’s 1977 Social Learning Theory</w:t>
      </w:r>
      <w:r w:rsidRPr="006F0EF0">
        <w:rPr>
          <w:rFonts w:ascii="Arial" w:hAnsi="Arial" w:cs="Arial"/>
          <w:color w:val="000000" w:themeColor="text1"/>
          <w:shd w:val="clear" w:color="auto" w:fill="FFFFFF"/>
        </w:rPr>
        <w:t xml:space="preserve"> (</w:t>
      </w:r>
      <w:r w:rsidRPr="006F0EF0">
        <w:rPr>
          <w:rFonts w:ascii="Arial" w:hAnsi="Arial" w:cs="Arial"/>
          <w:color w:val="000000" w:themeColor="text1"/>
        </w:rPr>
        <w:t>Sokar, Haj-Yahia, and Greenbaum, 2023), will be used to form the epistemology of the study. This theoretical framework postulates that children mimic the behaviours modelled by their families who provide the earliest learning experiences. McCloud and Abdullah (2014) go on to say that this framework also suggests that children grow up with a greater acceptance of these behaviours.</w:t>
      </w:r>
    </w:p>
    <w:p w14:paraId="7D58AD5E" w14:textId="77777777" w:rsidR="008679F8" w:rsidRDefault="008679F8" w:rsidP="005E479C">
      <w:pPr>
        <w:spacing w:before="30" w:after="30"/>
        <w:ind w:left="850" w:right="850"/>
        <w:rPr>
          <w:rFonts w:ascii="Arial" w:hAnsi="Arial" w:cs="Arial"/>
          <w:color w:val="000000" w:themeColor="text1"/>
        </w:rPr>
      </w:pPr>
      <w:r w:rsidRPr="006F0EF0">
        <w:rPr>
          <w:rFonts w:ascii="Arial" w:hAnsi="Arial" w:cs="Arial"/>
          <w:color w:val="000000" w:themeColor="text1"/>
        </w:rPr>
        <w:t xml:space="preserve">The research will also refer to Ainsworth, </w:t>
      </w:r>
      <w:r w:rsidRPr="006F0EF0">
        <w:rPr>
          <w:rFonts w:ascii="Arial" w:hAnsi="Arial" w:cs="Arial"/>
          <w:i/>
          <w:iCs/>
          <w:color w:val="000000" w:themeColor="text1"/>
        </w:rPr>
        <w:t xml:space="preserve">et al. </w:t>
      </w:r>
      <w:r w:rsidRPr="006F0EF0">
        <w:rPr>
          <w:rFonts w:ascii="Arial" w:hAnsi="Arial" w:cs="Arial"/>
          <w:color w:val="000000" w:themeColor="text1"/>
        </w:rPr>
        <w:t>(2015) whose research into attachment highlights how early attachment experiences can influence the emotional, social, and cognitive development of children, affecting their relationships and behaviours throughout life.</w:t>
      </w:r>
    </w:p>
    <w:p w14:paraId="4573E04A" w14:textId="77777777" w:rsidR="006F0EF0" w:rsidRPr="006F0EF0" w:rsidRDefault="006F0EF0" w:rsidP="005E479C">
      <w:pPr>
        <w:spacing w:before="30" w:after="30"/>
        <w:ind w:left="850" w:right="850"/>
        <w:rPr>
          <w:rFonts w:ascii="Arial" w:hAnsi="Arial" w:cs="Arial"/>
          <w:color w:val="000000" w:themeColor="text1"/>
        </w:rPr>
      </w:pPr>
    </w:p>
    <w:p w14:paraId="4DFFF233" w14:textId="77777777" w:rsidR="008679F8" w:rsidRPr="006F0EF0" w:rsidRDefault="008679F8" w:rsidP="005E479C">
      <w:pPr>
        <w:spacing w:before="30" w:after="30"/>
        <w:ind w:left="850" w:right="850"/>
        <w:rPr>
          <w:rFonts w:ascii="Arial" w:hAnsi="Arial" w:cs="Arial"/>
          <w:color w:val="000000" w:themeColor="text1"/>
          <w:u w:val="single"/>
        </w:rPr>
      </w:pPr>
      <w:r w:rsidRPr="006F0EF0">
        <w:rPr>
          <w:rFonts w:ascii="Arial" w:hAnsi="Arial" w:cs="Arial"/>
          <w:color w:val="000000" w:themeColor="text1"/>
          <w:u w:val="single"/>
        </w:rPr>
        <w:t>Method</w:t>
      </w:r>
    </w:p>
    <w:p w14:paraId="6EFB5C86" w14:textId="03F56D58" w:rsidR="008679F8" w:rsidRPr="006F0EF0" w:rsidRDefault="008679F8" w:rsidP="005E479C">
      <w:pPr>
        <w:spacing w:before="30" w:after="30"/>
        <w:ind w:left="850" w:right="850"/>
        <w:rPr>
          <w:rFonts w:ascii="Arial" w:hAnsi="Arial" w:cs="Arial"/>
          <w:color w:val="000000" w:themeColor="text1"/>
        </w:rPr>
      </w:pPr>
      <w:r w:rsidRPr="006F0EF0">
        <w:rPr>
          <w:rFonts w:ascii="Arial" w:hAnsi="Arial" w:cs="Arial"/>
          <w:color w:val="000000" w:themeColor="text1"/>
        </w:rPr>
        <w:t xml:space="preserve">This study will rely on a mixed method approach to </w:t>
      </w:r>
      <w:r w:rsidR="00F3492B" w:rsidRPr="006F0EF0">
        <w:rPr>
          <w:rFonts w:ascii="Arial" w:hAnsi="Arial" w:cs="Arial"/>
          <w:color w:val="000000" w:themeColor="text1"/>
        </w:rPr>
        <w:t>research</w:t>
      </w:r>
      <w:r w:rsidR="00F3492B">
        <w:rPr>
          <w:rFonts w:ascii="Arial" w:hAnsi="Arial" w:cs="Arial"/>
          <w:color w:val="000000" w:themeColor="text1"/>
        </w:rPr>
        <w:t>, and</w:t>
      </w:r>
      <w:r w:rsidRPr="006F0EF0">
        <w:rPr>
          <w:rFonts w:ascii="Arial" w:hAnsi="Arial" w:cs="Arial"/>
          <w:color w:val="000000" w:themeColor="text1"/>
        </w:rPr>
        <w:t xml:space="preserve"> will gather data from creative workshops, focus groups, and a wellbeing survey adapted from the WHO-5 Well-Being Index (The World Health Organization, 2024).</w:t>
      </w:r>
    </w:p>
    <w:p w14:paraId="3C198441" w14:textId="280BEA55" w:rsidR="008679F8" w:rsidRPr="006F0EF0" w:rsidRDefault="008679F8" w:rsidP="005E479C">
      <w:pPr>
        <w:spacing w:before="30" w:after="30"/>
        <w:ind w:left="850" w:right="850"/>
        <w:rPr>
          <w:rFonts w:ascii="Arial" w:hAnsi="Arial" w:cs="Arial"/>
          <w:color w:val="000000" w:themeColor="text1"/>
        </w:rPr>
      </w:pPr>
      <w:r w:rsidRPr="006F0EF0">
        <w:rPr>
          <w:rFonts w:ascii="Arial" w:hAnsi="Arial" w:cs="Arial"/>
          <w:color w:val="000000" w:themeColor="text1"/>
        </w:rPr>
        <w:t>Government-funded programs such as Flying start, that provide</w:t>
      </w:r>
      <w:r w:rsidR="00F3492B">
        <w:rPr>
          <w:rFonts w:ascii="Arial" w:hAnsi="Arial" w:cs="Arial"/>
          <w:color w:val="000000" w:themeColor="text1"/>
        </w:rPr>
        <w:t xml:space="preserve">  </w:t>
      </w:r>
      <w:r w:rsidRPr="006F0EF0">
        <w:rPr>
          <w:rFonts w:ascii="Arial" w:hAnsi="Arial" w:cs="Arial"/>
          <w:color w:val="000000" w:themeColor="text1"/>
        </w:rPr>
        <w:t xml:space="preserve">support services to families in disadvantaged areas of Wales (Rhondda Cynon Taff, 2025) will act as </w:t>
      </w:r>
      <w:r w:rsidR="00F3492B">
        <w:rPr>
          <w:rFonts w:ascii="Arial" w:hAnsi="Arial" w:cs="Arial"/>
          <w:color w:val="000000" w:themeColor="text1"/>
        </w:rPr>
        <w:t>g</w:t>
      </w:r>
      <w:r w:rsidRPr="006F0EF0">
        <w:rPr>
          <w:rFonts w:ascii="Arial" w:hAnsi="Arial" w:cs="Arial"/>
          <w:color w:val="000000" w:themeColor="text1"/>
        </w:rPr>
        <w:t>atekeeper</w:t>
      </w:r>
      <w:r w:rsidR="00F3492B">
        <w:rPr>
          <w:rFonts w:ascii="Arial" w:hAnsi="Arial" w:cs="Arial"/>
          <w:color w:val="000000" w:themeColor="text1"/>
        </w:rPr>
        <w:t>s</w:t>
      </w:r>
      <w:r w:rsidRPr="006F0EF0">
        <w:rPr>
          <w:rFonts w:ascii="Arial" w:hAnsi="Arial" w:cs="Arial"/>
          <w:color w:val="000000" w:themeColor="text1"/>
        </w:rPr>
        <w:t xml:space="preserve"> to the community</w:t>
      </w:r>
      <w:r w:rsidR="00F3492B">
        <w:rPr>
          <w:rFonts w:ascii="Arial" w:hAnsi="Arial" w:cs="Arial"/>
          <w:color w:val="000000" w:themeColor="text1"/>
        </w:rPr>
        <w:t xml:space="preserve">, that </w:t>
      </w:r>
      <w:r w:rsidRPr="006F0EF0">
        <w:rPr>
          <w:rFonts w:ascii="Arial" w:hAnsi="Arial" w:cs="Arial"/>
          <w:color w:val="000000" w:themeColor="text1"/>
        </w:rPr>
        <w:t xml:space="preserve">the study aims to collaborate with. </w:t>
      </w:r>
      <w:r w:rsidR="00C72305" w:rsidRPr="006F0EF0">
        <w:rPr>
          <w:rFonts w:ascii="Arial" w:hAnsi="Arial" w:cs="Arial"/>
          <w:color w:val="000000" w:themeColor="text1"/>
        </w:rPr>
        <w:t>T</w:t>
      </w:r>
      <w:r w:rsidRPr="006F0EF0">
        <w:rPr>
          <w:rFonts w:ascii="Arial" w:hAnsi="Arial" w:cs="Arial"/>
          <w:color w:val="000000" w:themeColor="text1"/>
        </w:rPr>
        <w:t xml:space="preserve">he research team will liaise with </w:t>
      </w:r>
      <w:r w:rsidR="00F3492B" w:rsidRPr="006F0EF0">
        <w:rPr>
          <w:rFonts w:ascii="Arial" w:hAnsi="Arial" w:cs="Arial"/>
          <w:color w:val="000000" w:themeColor="text1"/>
        </w:rPr>
        <w:t>them</w:t>
      </w:r>
      <w:r w:rsidR="00F3492B">
        <w:rPr>
          <w:rFonts w:ascii="Arial" w:hAnsi="Arial" w:cs="Arial"/>
          <w:color w:val="000000" w:themeColor="text1"/>
        </w:rPr>
        <w:t xml:space="preserve"> and</w:t>
      </w:r>
      <w:r w:rsidRPr="006F0EF0">
        <w:rPr>
          <w:rFonts w:ascii="Arial" w:hAnsi="Arial" w:cs="Arial"/>
          <w:color w:val="000000" w:themeColor="text1"/>
        </w:rPr>
        <w:t xml:space="preserve"> offer to provide a series of creative sessions over summer holidays where families can attend together to participate in a research project</w:t>
      </w:r>
      <w:r w:rsidR="00F3492B">
        <w:rPr>
          <w:rFonts w:ascii="Arial" w:hAnsi="Arial" w:cs="Arial"/>
          <w:color w:val="000000" w:themeColor="text1"/>
        </w:rPr>
        <w:t>. Print</w:t>
      </w:r>
      <w:r w:rsidRPr="006F0EF0">
        <w:rPr>
          <w:rFonts w:ascii="Arial" w:hAnsi="Arial" w:cs="Arial"/>
          <w:color w:val="000000" w:themeColor="text1"/>
        </w:rPr>
        <w:t>, and digital flyers, posted on social media, and in family service providers like community centres and health clinics</w:t>
      </w:r>
      <w:r w:rsidR="00F3492B">
        <w:rPr>
          <w:rFonts w:ascii="Arial" w:hAnsi="Arial" w:cs="Arial"/>
          <w:color w:val="000000" w:themeColor="text1"/>
        </w:rPr>
        <w:t xml:space="preserve"> will be used</w:t>
      </w:r>
      <w:r w:rsidRPr="006F0EF0">
        <w:rPr>
          <w:rFonts w:ascii="Arial" w:hAnsi="Arial" w:cs="Arial"/>
          <w:color w:val="000000" w:themeColor="text1"/>
        </w:rPr>
        <w:t xml:space="preserve"> to advertise the workshops. </w:t>
      </w:r>
    </w:p>
    <w:p w14:paraId="39F389F4" w14:textId="6C287B68" w:rsidR="008679F8" w:rsidRDefault="008679F8" w:rsidP="005E479C">
      <w:pPr>
        <w:spacing w:before="30" w:after="30"/>
        <w:ind w:left="850" w:right="850"/>
        <w:rPr>
          <w:rFonts w:ascii="Arial" w:hAnsi="Arial" w:cs="Arial"/>
          <w:color w:val="000000" w:themeColor="text1"/>
        </w:rPr>
      </w:pPr>
      <w:r w:rsidRPr="006F0EF0">
        <w:rPr>
          <w:rFonts w:ascii="Arial" w:hAnsi="Arial" w:cs="Arial"/>
          <w:color w:val="000000" w:themeColor="text1"/>
        </w:rPr>
        <w:lastRenderedPageBreak/>
        <w:t xml:space="preserve">These workshops will act as a convenience sample - a method where participants are selected based on their availability and willingness to take part in the study (Emerson, 2021). Snowball sampling will also be used, where participants will invite other members of the target demographic to make use of the workshops and opportunity to share their opinions (Parker, Scott and Geddes, 2019). </w:t>
      </w:r>
      <w:r w:rsidRPr="006F0EF0">
        <w:rPr>
          <w:rFonts w:ascii="Arial" w:hAnsi="Arial" w:cs="Arial"/>
          <w:color w:val="000000" w:themeColor="text1"/>
        </w:rPr>
        <w:br/>
        <w:t>Participants will be invited to complete a brief wellbeing scale at  their first and last session. From these sessions, participants</w:t>
      </w:r>
      <w:r w:rsidR="00F3492B">
        <w:rPr>
          <w:rFonts w:ascii="Arial" w:hAnsi="Arial" w:cs="Arial"/>
          <w:color w:val="000000" w:themeColor="text1"/>
        </w:rPr>
        <w:t xml:space="preserve"> will be</w:t>
      </w:r>
      <w:r w:rsidRPr="006F0EF0">
        <w:rPr>
          <w:rFonts w:ascii="Arial" w:hAnsi="Arial" w:cs="Arial"/>
          <w:color w:val="000000" w:themeColor="text1"/>
        </w:rPr>
        <w:t xml:space="preserve"> invited to take part in focus groups at a later date. </w:t>
      </w:r>
      <w:r w:rsidRPr="006F0EF0">
        <w:rPr>
          <w:rFonts w:ascii="Arial" w:hAnsi="Arial" w:cs="Arial"/>
          <w:color w:val="000000" w:themeColor="text1"/>
        </w:rPr>
        <w:br/>
        <w:t>To make the focus groups convenient and accessible, the research team will be able to entertain children while parents take part at regular intervals during the sessions, in small groups of 4 – 6 people.</w:t>
      </w:r>
      <w:r w:rsidRPr="006F0EF0">
        <w:rPr>
          <w:rFonts w:ascii="Arial" w:hAnsi="Arial" w:cs="Arial"/>
          <w:color w:val="000000" w:themeColor="text1"/>
        </w:rPr>
        <w:br/>
        <w:t>The children will not be interviewed formally, but causal discussion will be documented during the activities.</w:t>
      </w:r>
      <w:r w:rsidRPr="006F0EF0">
        <w:rPr>
          <w:rFonts w:ascii="Arial" w:hAnsi="Arial" w:cs="Arial"/>
          <w:color w:val="000000" w:themeColor="text1"/>
        </w:rPr>
        <w:br/>
        <w:t>The participants will be invited to attend a reflective focus session at the end of the course of workshops, where we celebrate the creative and social achievements of the community and share the findings, a form of ‘member checking’(McKim, 2023).</w:t>
      </w:r>
    </w:p>
    <w:p w14:paraId="3399691B" w14:textId="77777777" w:rsidR="006F0EF0" w:rsidRPr="006F0EF0" w:rsidRDefault="006F0EF0" w:rsidP="005E479C">
      <w:pPr>
        <w:spacing w:before="30" w:after="30"/>
        <w:ind w:left="850" w:right="850"/>
        <w:rPr>
          <w:rFonts w:ascii="Arial" w:hAnsi="Arial" w:cs="Arial"/>
          <w:color w:val="000000" w:themeColor="text1"/>
        </w:rPr>
      </w:pPr>
    </w:p>
    <w:p w14:paraId="4F003566" w14:textId="77777777" w:rsidR="008679F8" w:rsidRPr="006F0EF0" w:rsidRDefault="008679F8" w:rsidP="005E479C">
      <w:pPr>
        <w:spacing w:before="30" w:after="30"/>
        <w:ind w:left="850" w:right="850"/>
        <w:rPr>
          <w:rFonts w:ascii="Arial" w:hAnsi="Arial" w:cs="Arial"/>
          <w:color w:val="000000" w:themeColor="text1"/>
          <w:u w:val="single"/>
        </w:rPr>
      </w:pPr>
      <w:r w:rsidRPr="006F0EF0">
        <w:rPr>
          <w:rFonts w:ascii="Arial" w:hAnsi="Arial" w:cs="Arial"/>
          <w:color w:val="000000" w:themeColor="text1"/>
          <w:u w:val="single"/>
        </w:rPr>
        <w:t>Collage workshop</w:t>
      </w:r>
    </w:p>
    <w:p w14:paraId="71340105" w14:textId="41BE1DBF" w:rsidR="008679F8" w:rsidRPr="006F0EF0" w:rsidRDefault="00F3492B" w:rsidP="005E479C">
      <w:pPr>
        <w:spacing w:before="30" w:after="30"/>
        <w:ind w:left="850" w:right="850"/>
        <w:rPr>
          <w:rFonts w:ascii="Arial" w:hAnsi="Arial" w:cs="Arial"/>
          <w:color w:val="000000" w:themeColor="text1"/>
        </w:rPr>
      </w:pPr>
      <w:r>
        <w:rPr>
          <w:rFonts w:ascii="Arial" w:hAnsi="Arial" w:cs="Arial"/>
          <w:color w:val="000000" w:themeColor="text1"/>
        </w:rPr>
        <w:t>I</w:t>
      </w:r>
      <w:r w:rsidR="008679F8" w:rsidRPr="006F0EF0">
        <w:rPr>
          <w:rFonts w:ascii="Arial" w:hAnsi="Arial" w:cs="Arial"/>
          <w:color w:val="000000" w:themeColor="text1"/>
        </w:rPr>
        <w:t>n order to achieve a higher level of authenticity from the results of the research, and ensure that participants feel that they are actively engaged in the research, creative methods of data collection will be used, referring to ‘The Hundred Languages’ philosophy which recognises the endless capabilities of children to co construct knowledge (</w:t>
      </w:r>
      <w:hyperlink r:id="rId13" w:tgtFrame="_blank" w:history="1">
        <w:r w:rsidR="008679F8" w:rsidRPr="006F0EF0">
          <w:rPr>
            <w:rStyle w:val="Hyperlink"/>
            <w:rFonts w:ascii="Arial" w:hAnsi="Arial" w:cs="Arial"/>
            <w:color w:val="000000" w:themeColor="text1"/>
            <w:u w:val="none"/>
          </w:rPr>
          <w:t>Reggio Children</w:t>
        </w:r>
      </w:hyperlink>
      <w:r w:rsidR="008679F8" w:rsidRPr="006F0EF0">
        <w:rPr>
          <w:rFonts w:ascii="Arial" w:hAnsi="Arial" w:cs="Arial"/>
          <w:color w:val="000000" w:themeColor="text1"/>
        </w:rPr>
        <w:t>, 2022)</w:t>
      </w:r>
      <w:r w:rsidR="00E162E8">
        <w:rPr>
          <w:rFonts w:ascii="Arial" w:hAnsi="Arial" w:cs="Arial"/>
          <w:color w:val="000000" w:themeColor="text1"/>
        </w:rPr>
        <w:t>.</w:t>
      </w:r>
      <w:r w:rsidR="00E162E8">
        <w:rPr>
          <w:rFonts w:ascii="Arial" w:hAnsi="Arial" w:cs="Arial"/>
          <w:color w:val="000000" w:themeColor="text1"/>
        </w:rPr>
        <w:br/>
      </w:r>
      <w:r w:rsidR="008679F8" w:rsidRPr="006F0EF0">
        <w:rPr>
          <w:rFonts w:ascii="Arial" w:hAnsi="Arial" w:cs="Arial"/>
          <w:color w:val="000000" w:themeColor="text1"/>
        </w:rPr>
        <w:t>Creative methods of data collection are more inclusive and accessible to people than dense academic discussion or text, and more likely to keep participants stimulated and engaged in the research process in order to open up and engage in discussion (Watt and Wakefield, 2017).</w:t>
      </w:r>
      <w:r w:rsidR="008679F8" w:rsidRPr="006F0EF0">
        <w:rPr>
          <w:rFonts w:ascii="Arial" w:hAnsi="Arial" w:cs="Arial"/>
          <w:color w:val="000000" w:themeColor="text1"/>
        </w:rPr>
        <w:br/>
        <w:t xml:space="preserve">The research seeks to foster causal discussion between participants </w:t>
      </w:r>
      <w:r w:rsidR="008679F8" w:rsidRPr="006F0EF0">
        <w:rPr>
          <w:rFonts w:ascii="Arial" w:hAnsi="Arial" w:cs="Arial"/>
          <w:color w:val="000000" w:themeColor="text1"/>
        </w:rPr>
        <w:lastRenderedPageBreak/>
        <w:t xml:space="preserve">and researchers, on how relationships shape identity. Therefore, a collage workshop will be set up to encourage self-reflection on personal definitions of family and relationships. Pescott (2022) suggests collage as a tool to encourage and empower participants to do this in a broad and inclusive manner. </w:t>
      </w:r>
      <w:hyperlink r:id="rId14" w:history="1">
        <w:r w:rsidR="008679F8" w:rsidRPr="006F0EF0">
          <w:rPr>
            <w:rStyle w:val="Hyperlink"/>
            <w:rFonts w:ascii="Arial" w:hAnsi="Arial" w:cs="Arial"/>
            <w:color w:val="000000" w:themeColor="text1"/>
            <w:u w:val="none"/>
          </w:rPr>
          <w:t>Roberts</w:t>
        </w:r>
      </w:hyperlink>
      <w:r w:rsidR="008679F8" w:rsidRPr="006F0EF0">
        <w:rPr>
          <w:rFonts w:ascii="Arial" w:hAnsi="Arial" w:cs="Arial"/>
          <w:color w:val="000000" w:themeColor="text1"/>
        </w:rPr>
        <w:t xml:space="preserve"> and </w:t>
      </w:r>
      <w:hyperlink r:id="rId15" w:history="1">
        <w:r w:rsidR="008679F8" w:rsidRPr="006F0EF0">
          <w:rPr>
            <w:rStyle w:val="Hyperlink"/>
            <w:rFonts w:ascii="Arial" w:hAnsi="Arial" w:cs="Arial"/>
            <w:color w:val="000000" w:themeColor="text1"/>
            <w:u w:val="none"/>
          </w:rPr>
          <w:t>Woods</w:t>
        </w:r>
      </w:hyperlink>
      <w:r w:rsidR="008679F8" w:rsidRPr="006F0EF0">
        <w:rPr>
          <w:rFonts w:ascii="Arial" w:hAnsi="Arial" w:cs="Arial"/>
          <w:color w:val="000000" w:themeColor="text1"/>
        </w:rPr>
        <w:t xml:space="preserve"> (2018) suggest this is a way to allow participants to remain agentic in the research by allowing them space, time and creative control in response to the task set out by the research team. The aim of the workshop is to use art to express emotions, memories, and diverse perspectives on connection, which Glaw, </w:t>
      </w:r>
      <w:r w:rsidR="008679F8" w:rsidRPr="006F0EF0">
        <w:rPr>
          <w:rFonts w:ascii="Arial" w:hAnsi="Arial" w:cs="Arial"/>
          <w:i/>
          <w:iCs/>
          <w:color w:val="000000" w:themeColor="text1"/>
        </w:rPr>
        <w:t>et al.</w:t>
      </w:r>
      <w:r w:rsidR="008679F8" w:rsidRPr="006F0EF0">
        <w:rPr>
          <w:rFonts w:ascii="Arial" w:hAnsi="Arial" w:cs="Arial"/>
          <w:color w:val="000000" w:themeColor="text1"/>
        </w:rPr>
        <w:t xml:space="preserve"> (2017) claim, increase validity and depth of knowledge while allowing participants to express ideas in a non-verbal way, overcoming barriers to communication.</w:t>
      </w:r>
      <w:r w:rsidR="006F0EF0">
        <w:rPr>
          <w:rFonts w:ascii="Arial" w:hAnsi="Arial" w:cs="Arial"/>
          <w:color w:val="000000" w:themeColor="text1"/>
        </w:rPr>
        <w:br/>
      </w:r>
      <w:r w:rsidR="008679F8" w:rsidRPr="006F0EF0">
        <w:rPr>
          <w:rFonts w:ascii="Arial" w:hAnsi="Arial" w:cs="Arial"/>
          <w:color w:val="000000" w:themeColor="text1"/>
        </w:rPr>
        <w:t xml:space="preserve">Yet, there are limitations such as, the possibility of the visual data be interpreted differently by researchers compared to participants (Glaw, </w:t>
      </w:r>
      <w:r w:rsidR="008679F8" w:rsidRPr="006F0EF0">
        <w:rPr>
          <w:rFonts w:ascii="Arial" w:hAnsi="Arial" w:cs="Arial"/>
          <w:i/>
          <w:iCs/>
          <w:color w:val="000000" w:themeColor="text1"/>
        </w:rPr>
        <w:t>et al.</w:t>
      </w:r>
      <w:r w:rsidR="008679F8" w:rsidRPr="006F0EF0">
        <w:rPr>
          <w:rFonts w:ascii="Arial" w:hAnsi="Arial" w:cs="Arial"/>
          <w:color w:val="000000" w:themeColor="text1"/>
        </w:rPr>
        <w:t xml:space="preserve"> 2017) the research team will aim to overcome this potential limitation by returning to the research and performing member checking, to enhance participants agency over the information gathered from them and providing validity by confirming meaning as co collaborators (McKim, 2023). </w:t>
      </w:r>
    </w:p>
    <w:p w14:paraId="27475EE1" w14:textId="77777777" w:rsidR="004F52A7" w:rsidRPr="006F0EF0" w:rsidRDefault="004F52A7" w:rsidP="005E479C">
      <w:pPr>
        <w:spacing w:before="30" w:after="30"/>
        <w:ind w:left="850" w:right="850"/>
        <w:rPr>
          <w:rFonts w:ascii="Arial" w:hAnsi="Arial" w:cs="Arial"/>
          <w:color w:val="000000" w:themeColor="text1"/>
        </w:rPr>
      </w:pPr>
    </w:p>
    <w:p w14:paraId="4F7827A1" w14:textId="77777777" w:rsidR="004F52A7" w:rsidRPr="006F0EF0" w:rsidRDefault="008679F8" w:rsidP="005E479C">
      <w:pPr>
        <w:spacing w:before="30" w:after="30"/>
        <w:ind w:left="850" w:right="850"/>
        <w:rPr>
          <w:rFonts w:ascii="Arial" w:hAnsi="Arial" w:cs="Arial"/>
          <w:color w:val="000000" w:themeColor="text1"/>
          <w:u w:val="single"/>
        </w:rPr>
      </w:pPr>
      <w:r w:rsidRPr="006F0EF0">
        <w:rPr>
          <w:rFonts w:ascii="Arial" w:hAnsi="Arial" w:cs="Arial"/>
          <w:color w:val="000000" w:themeColor="text1"/>
          <w:u w:val="single"/>
        </w:rPr>
        <w:t>Focus groups</w:t>
      </w:r>
    </w:p>
    <w:p w14:paraId="0C5ECD53" w14:textId="173C57A6" w:rsidR="004F52A7" w:rsidRPr="006F0EF0" w:rsidRDefault="008679F8" w:rsidP="005E479C">
      <w:pPr>
        <w:spacing w:before="30" w:after="30"/>
        <w:ind w:left="850" w:right="850"/>
        <w:rPr>
          <w:rFonts w:ascii="Arial" w:hAnsi="Arial" w:cs="Arial"/>
          <w:color w:val="000000" w:themeColor="text1"/>
        </w:rPr>
      </w:pPr>
      <w:r w:rsidRPr="006F0EF0">
        <w:rPr>
          <w:rFonts w:ascii="Arial" w:hAnsi="Arial" w:cs="Arial"/>
          <w:color w:val="000000" w:themeColor="text1"/>
        </w:rPr>
        <w:t>Focus groups are a qualitative research method where a small group of people discuss a specific topic, with the goal of gathering in-depth insights into perceptions, attitudes, and experiences, allowing researchers to explore group dynamics, shared experiences, and social norms through guided discussions (Gill and Baillie, 2018). Focus groups support participatory research by triangulating data to improve validity (</w:t>
      </w:r>
      <w:proofErr w:type="spellStart"/>
      <w:r w:rsidRPr="006F0EF0">
        <w:rPr>
          <w:rFonts w:ascii="Arial" w:hAnsi="Arial" w:cs="Arial"/>
          <w:color w:val="000000" w:themeColor="text1"/>
        </w:rPr>
        <w:t>Nyumba</w:t>
      </w:r>
      <w:proofErr w:type="spellEnd"/>
      <w:r w:rsidRPr="006F0EF0">
        <w:rPr>
          <w:rFonts w:ascii="Arial" w:hAnsi="Arial" w:cs="Arial"/>
          <w:color w:val="000000" w:themeColor="text1"/>
        </w:rPr>
        <w:t xml:space="preserve">, </w:t>
      </w:r>
      <w:r w:rsidRPr="006F0EF0">
        <w:rPr>
          <w:rFonts w:ascii="Arial" w:hAnsi="Arial" w:cs="Arial"/>
          <w:i/>
          <w:iCs/>
          <w:color w:val="000000" w:themeColor="text1"/>
        </w:rPr>
        <w:t>et al.</w:t>
      </w:r>
      <w:r w:rsidRPr="006F0EF0">
        <w:rPr>
          <w:rFonts w:ascii="Arial" w:hAnsi="Arial" w:cs="Arial"/>
          <w:color w:val="000000" w:themeColor="text1"/>
        </w:rPr>
        <w:t xml:space="preserve"> 2018).</w:t>
      </w:r>
      <w:r w:rsidR="00E162E8">
        <w:rPr>
          <w:rFonts w:ascii="Arial" w:hAnsi="Arial" w:cs="Arial"/>
          <w:color w:val="000000" w:themeColor="text1"/>
        </w:rPr>
        <w:br/>
      </w:r>
      <w:r w:rsidRPr="006F0EF0">
        <w:rPr>
          <w:rFonts w:ascii="Arial" w:hAnsi="Arial" w:cs="Arial"/>
          <w:color w:val="000000" w:themeColor="text1"/>
        </w:rPr>
        <w:t>Focus groups are useful for exploring sensitive or complex social issues as it does not put participants in high pressure environment. Guest, </w:t>
      </w:r>
      <w:r w:rsidRPr="006F0EF0">
        <w:rPr>
          <w:rFonts w:ascii="Arial" w:hAnsi="Arial" w:cs="Arial"/>
          <w:i/>
          <w:iCs/>
          <w:color w:val="000000" w:themeColor="text1"/>
        </w:rPr>
        <w:t>et al.</w:t>
      </w:r>
      <w:r w:rsidRPr="006F0EF0">
        <w:rPr>
          <w:rFonts w:ascii="Arial" w:hAnsi="Arial" w:cs="Arial"/>
          <w:color w:val="000000" w:themeColor="text1"/>
        </w:rPr>
        <w:t xml:space="preserve"> (2017) suggests the interactive nature of focus groups encourage openness and safety to reveal diverse perspectives that </w:t>
      </w:r>
      <w:r w:rsidRPr="006F0EF0">
        <w:rPr>
          <w:rFonts w:ascii="Arial" w:hAnsi="Arial" w:cs="Arial"/>
          <w:color w:val="000000" w:themeColor="text1"/>
        </w:rPr>
        <w:lastRenderedPageBreak/>
        <w:t>might not be obtained in a one-to-one interview, however, there are challenges to be aware of. Group Bias can occur if the participants views are swayed by a dominant voice, or facilitator’s presence in the group (Guest, </w:t>
      </w:r>
      <w:r w:rsidRPr="006F0EF0">
        <w:rPr>
          <w:rFonts w:ascii="Arial" w:hAnsi="Arial" w:cs="Arial"/>
          <w:i/>
          <w:iCs/>
          <w:color w:val="000000" w:themeColor="text1"/>
        </w:rPr>
        <w:t>et al.</w:t>
      </w:r>
      <w:r w:rsidRPr="006F0EF0">
        <w:rPr>
          <w:rFonts w:ascii="Arial" w:hAnsi="Arial" w:cs="Arial"/>
          <w:color w:val="000000" w:themeColor="text1"/>
        </w:rPr>
        <w:t> 2017) and recommend a trained facilitator, from the target demographic, who is not affiliated with them, to help the group feel comfortable to be open and honest.</w:t>
      </w:r>
    </w:p>
    <w:p w14:paraId="4262AA28" w14:textId="780FACA2" w:rsidR="008679F8" w:rsidRPr="006F0EF0" w:rsidRDefault="008679F8" w:rsidP="005E479C">
      <w:pPr>
        <w:spacing w:before="30" w:after="30"/>
        <w:ind w:left="850" w:right="850"/>
        <w:rPr>
          <w:rFonts w:ascii="Arial" w:hAnsi="Arial" w:cs="Arial"/>
          <w:color w:val="000000" w:themeColor="text1"/>
          <w:u w:val="single"/>
        </w:rPr>
      </w:pPr>
      <w:r w:rsidRPr="006F0EF0">
        <w:rPr>
          <w:rFonts w:ascii="Arial" w:hAnsi="Arial" w:cs="Arial"/>
          <w:color w:val="000000" w:themeColor="text1"/>
        </w:rPr>
        <w:br/>
      </w:r>
      <w:r w:rsidRPr="006F0EF0">
        <w:rPr>
          <w:rFonts w:ascii="Arial" w:hAnsi="Arial" w:cs="Arial"/>
          <w:color w:val="000000" w:themeColor="text1"/>
          <w:u w:val="single"/>
        </w:rPr>
        <w:t>Ethical Considerations</w:t>
      </w:r>
    </w:p>
    <w:p w14:paraId="09000B91" w14:textId="5E6D72CC" w:rsidR="008679F8" w:rsidRPr="006F0EF0" w:rsidRDefault="008679F8" w:rsidP="005E479C">
      <w:pPr>
        <w:spacing w:before="30" w:after="30"/>
        <w:ind w:left="850" w:right="850"/>
        <w:rPr>
          <w:rFonts w:ascii="Arial" w:hAnsi="Arial" w:cs="Arial"/>
          <w:color w:val="000000" w:themeColor="text1"/>
        </w:rPr>
      </w:pPr>
      <w:r w:rsidRPr="006F0EF0">
        <w:rPr>
          <w:rFonts w:ascii="Arial" w:hAnsi="Arial" w:cs="Arial"/>
          <w:color w:val="000000" w:themeColor="text1"/>
        </w:rPr>
        <w:t>To create an ethical foundation, appropriate expectations must be set between the research team, and the participants,</w:t>
      </w:r>
      <w:r w:rsidRPr="006F0EF0">
        <w:rPr>
          <w:rFonts w:ascii="Arial" w:hAnsi="Arial" w:cs="Arial"/>
          <w:color w:val="000000" w:themeColor="text1"/>
          <w:shd w:val="clear" w:color="auto" w:fill="FFFFFF"/>
        </w:rPr>
        <w:t xml:space="preserve"> </w:t>
      </w:r>
      <w:r w:rsidRPr="006F0EF0">
        <w:rPr>
          <w:rFonts w:ascii="Arial" w:hAnsi="Arial" w:cs="Arial"/>
          <w:color w:val="000000" w:themeColor="text1"/>
        </w:rPr>
        <w:t>Sim, and Waterfield (2019) remind us that this is difficult to achieve in a group, so facilitators must account for their lack of control by recognising when the discussion breaches the agreed boundaries of consent and guiding the discussion back within them.</w:t>
      </w:r>
      <w:r w:rsidR="00E162E8">
        <w:rPr>
          <w:rFonts w:ascii="Arial" w:hAnsi="Arial" w:cs="Arial"/>
          <w:color w:val="000000" w:themeColor="text1"/>
        </w:rPr>
        <w:br/>
      </w:r>
      <w:r w:rsidRPr="006F0EF0">
        <w:rPr>
          <w:rFonts w:ascii="Arial" w:hAnsi="Arial" w:cs="Arial"/>
          <w:color w:val="000000" w:themeColor="text1"/>
        </w:rPr>
        <w:t>The research team will introduce themselves and state their intention, explaining the purpose of the workshop and obtaining consent</w:t>
      </w:r>
      <w:r w:rsidR="00760CF5">
        <w:rPr>
          <w:rFonts w:ascii="Arial" w:hAnsi="Arial" w:cs="Arial"/>
          <w:color w:val="000000" w:themeColor="text1"/>
        </w:rPr>
        <w:t xml:space="preserve">- </w:t>
      </w:r>
      <w:r w:rsidRPr="006F0EF0">
        <w:rPr>
          <w:rFonts w:ascii="Arial" w:hAnsi="Arial" w:cs="Arial"/>
          <w:color w:val="000000" w:themeColor="text1"/>
        </w:rPr>
        <w:t>a person's voluntary and informed agreement to participate in research, and assent</w:t>
      </w:r>
      <w:r w:rsidR="00760CF5">
        <w:rPr>
          <w:rFonts w:ascii="Arial" w:hAnsi="Arial" w:cs="Arial"/>
          <w:color w:val="000000" w:themeColor="text1"/>
        </w:rPr>
        <w:t>-</w:t>
      </w:r>
      <w:r w:rsidRPr="006F0EF0">
        <w:rPr>
          <w:rFonts w:ascii="Arial" w:hAnsi="Arial" w:cs="Arial"/>
          <w:color w:val="000000" w:themeColor="text1"/>
        </w:rPr>
        <w:t xml:space="preserve"> consent, given by the guardian of a person who cannot legally give consent- for child participants. The research team will only use data, if participants demonstrate understanding and willingness to share (Morris </w:t>
      </w:r>
      <w:r w:rsidRPr="006F0EF0">
        <w:rPr>
          <w:rFonts w:ascii="Arial" w:hAnsi="Arial" w:cs="Arial"/>
          <w:i/>
          <w:iCs/>
          <w:color w:val="000000" w:themeColor="text1"/>
        </w:rPr>
        <w:t xml:space="preserve">et al. </w:t>
      </w:r>
      <w:r w:rsidRPr="006F0EF0">
        <w:rPr>
          <w:rFonts w:ascii="Arial" w:hAnsi="Arial" w:cs="Arial"/>
          <w:color w:val="000000" w:themeColor="text1"/>
        </w:rPr>
        <w:t>2024) and clarify that consent can be withdrawn at any time, to demonstrate that the participants have agency within the study.</w:t>
      </w:r>
    </w:p>
    <w:p w14:paraId="1BBA2C87" w14:textId="2840DE7F" w:rsidR="0022788E" w:rsidRPr="006F0EF0" w:rsidRDefault="008679F8" w:rsidP="005E479C">
      <w:pPr>
        <w:spacing w:before="30" w:after="30"/>
        <w:ind w:left="850" w:right="850"/>
        <w:rPr>
          <w:rFonts w:ascii="Arial" w:hAnsi="Arial" w:cs="Arial"/>
          <w:color w:val="000000" w:themeColor="text1"/>
        </w:rPr>
      </w:pPr>
      <w:r w:rsidRPr="006F0EF0">
        <w:rPr>
          <w:rFonts w:ascii="Arial" w:hAnsi="Arial" w:cs="Arial"/>
          <w:color w:val="000000" w:themeColor="text1"/>
        </w:rPr>
        <w:t>When discussing healthy relationships and families, there may be times when the discussion brings up sensitive subjects. The researchers must appreciate that these subjects can cause participants to become upset, so as part of our ethical responsibility, the researchers will never lead participants to discuss triggering issues, respond to disclosures with respect and compassion, and be prepared to guide people to further resources to refer to for help and advice. If a member of the research team believes a participant, or member of staff is in immediate danger, the police will be informed.</w:t>
      </w:r>
      <w:r w:rsidR="00E162E8">
        <w:rPr>
          <w:rFonts w:ascii="Arial" w:hAnsi="Arial" w:cs="Arial"/>
          <w:color w:val="000000" w:themeColor="text1"/>
        </w:rPr>
        <w:br/>
      </w:r>
      <w:r w:rsidRPr="006F0EF0">
        <w:rPr>
          <w:rFonts w:ascii="Arial" w:hAnsi="Arial" w:cs="Arial"/>
          <w:color w:val="000000" w:themeColor="text1"/>
          <w:shd w:val="clear" w:color="auto" w:fill="FEFEFE"/>
        </w:rPr>
        <w:t xml:space="preserve">Incorporating Arnstein’s Ladder of Participation, adapted by Roger </w:t>
      </w:r>
      <w:r w:rsidRPr="006F0EF0">
        <w:rPr>
          <w:rFonts w:ascii="Arial" w:hAnsi="Arial" w:cs="Arial"/>
          <w:color w:val="000000" w:themeColor="text1"/>
          <w:shd w:val="clear" w:color="auto" w:fill="FEFEFE"/>
        </w:rPr>
        <w:lastRenderedPageBreak/>
        <w:t>Hart (</w:t>
      </w:r>
      <w:r w:rsidRPr="006F0EF0">
        <w:rPr>
          <w:rFonts w:ascii="Arial" w:hAnsi="Arial" w:cs="Arial"/>
          <w:color w:val="000000" w:themeColor="text1"/>
        </w:rPr>
        <w:t>Warwickshire County Council, no date)</w:t>
      </w:r>
      <w:r w:rsidRPr="006F0EF0">
        <w:rPr>
          <w:rFonts w:ascii="Arial" w:hAnsi="Arial" w:cs="Arial"/>
          <w:color w:val="000000" w:themeColor="text1"/>
          <w:shd w:val="clear" w:color="auto" w:fill="FEFEFE"/>
        </w:rPr>
        <w:t>,  will help ensure that the study is ethical, inclusive, and genuinely engages participants rather than treating them as passive subjects. It will be difficult to achieve research that i</w:t>
      </w:r>
      <w:r w:rsidR="00760CF5">
        <w:rPr>
          <w:rFonts w:ascii="Arial" w:hAnsi="Arial" w:cs="Arial"/>
          <w:color w:val="000000" w:themeColor="text1"/>
          <w:shd w:val="clear" w:color="auto" w:fill="FEFEFE"/>
        </w:rPr>
        <w:t>s</w:t>
      </w:r>
      <w:r w:rsidRPr="006F0EF0">
        <w:rPr>
          <w:rFonts w:ascii="Arial" w:hAnsi="Arial" w:cs="Arial"/>
          <w:color w:val="000000" w:themeColor="text1"/>
          <w:shd w:val="clear" w:color="auto" w:fill="FEFEFE"/>
        </w:rPr>
        <w:t xml:space="preserve"> fully initiated by the participants, as there are specific areas to be explored to give focus to the research question, and there is duty of care to ensure sensitive topics are dealt with appropriately in an environment where adults and children are interacting with each other</w:t>
      </w:r>
      <w:r w:rsidR="00760CF5">
        <w:rPr>
          <w:rFonts w:ascii="Arial" w:hAnsi="Arial" w:cs="Arial"/>
          <w:color w:val="000000" w:themeColor="text1"/>
          <w:shd w:val="clear" w:color="auto" w:fill="FEFEFE"/>
        </w:rPr>
        <w:t>,</w:t>
      </w:r>
      <w:r w:rsidRPr="006F0EF0">
        <w:rPr>
          <w:rFonts w:ascii="Arial" w:hAnsi="Arial" w:cs="Arial"/>
          <w:color w:val="000000" w:themeColor="text1"/>
          <w:shd w:val="clear" w:color="auto" w:fill="FEFEFE"/>
        </w:rPr>
        <w:t xml:space="preserve"> to prevent exposure to inappropriate discussion, but this study will ensure everyone involved is informed and has input into how they respond within the project.</w:t>
      </w:r>
      <w:r w:rsidR="00E162E8">
        <w:rPr>
          <w:rFonts w:ascii="Arial" w:hAnsi="Arial" w:cs="Arial"/>
          <w:color w:val="000000" w:themeColor="text1"/>
          <w:shd w:val="clear" w:color="auto" w:fill="FEFEFE"/>
        </w:rPr>
        <w:br/>
      </w:r>
      <w:r w:rsidRPr="006F0EF0">
        <w:rPr>
          <w:rFonts w:ascii="Arial" w:hAnsi="Arial" w:cs="Arial"/>
          <w:color w:val="000000" w:themeColor="text1"/>
        </w:rPr>
        <w:t>This study will use e</w:t>
      </w:r>
      <w:r w:rsidRPr="006F0EF0">
        <w:rPr>
          <w:rFonts w:ascii="Arial" w:eastAsiaTheme="minorHAnsi" w:hAnsi="Arial" w:cs="Arial"/>
          <w:color w:val="000000" w:themeColor="text1"/>
        </w:rPr>
        <w:t xml:space="preserve">thical </w:t>
      </w:r>
      <w:r w:rsidRPr="006F0EF0">
        <w:rPr>
          <w:rFonts w:ascii="Arial" w:hAnsi="Arial" w:cs="Arial"/>
          <w:color w:val="000000" w:themeColor="text1"/>
        </w:rPr>
        <w:t>g</w:t>
      </w:r>
      <w:r w:rsidRPr="006F0EF0">
        <w:rPr>
          <w:rFonts w:ascii="Arial" w:eastAsiaTheme="minorHAnsi" w:hAnsi="Arial" w:cs="Arial"/>
          <w:color w:val="000000" w:themeColor="text1"/>
        </w:rPr>
        <w:t xml:space="preserve">uidelines for </w:t>
      </w:r>
      <w:r w:rsidRPr="006F0EF0">
        <w:rPr>
          <w:rFonts w:ascii="Arial" w:hAnsi="Arial" w:cs="Arial"/>
          <w:color w:val="000000" w:themeColor="text1"/>
        </w:rPr>
        <w:t>r</w:t>
      </w:r>
      <w:r w:rsidRPr="006F0EF0">
        <w:rPr>
          <w:rFonts w:ascii="Arial" w:eastAsiaTheme="minorHAnsi" w:hAnsi="Arial" w:cs="Arial"/>
          <w:color w:val="000000" w:themeColor="text1"/>
        </w:rPr>
        <w:t>esearch</w:t>
      </w:r>
      <w:r w:rsidRPr="006F0EF0">
        <w:rPr>
          <w:rFonts w:ascii="Arial" w:hAnsi="Arial" w:cs="Arial"/>
          <w:color w:val="000000" w:themeColor="text1"/>
        </w:rPr>
        <w:t xml:space="preserve"> set by BERA </w:t>
      </w:r>
      <w:r w:rsidRPr="006F0EF0">
        <w:rPr>
          <w:rFonts w:ascii="Arial" w:eastAsiaTheme="minorHAnsi" w:hAnsi="Arial" w:cs="Arial"/>
          <w:color w:val="000000" w:themeColor="text1"/>
        </w:rPr>
        <w:t>(2024)</w:t>
      </w:r>
      <w:r w:rsidRPr="006F0EF0">
        <w:rPr>
          <w:rFonts w:ascii="Arial" w:hAnsi="Arial" w:cs="Arial"/>
          <w:color w:val="000000" w:themeColor="text1"/>
        </w:rPr>
        <w:t xml:space="preserve"> to ensure complex ethical issues are navigated to create a study which is able to gain informed </w:t>
      </w:r>
      <w:r w:rsidR="00760CF5">
        <w:rPr>
          <w:rFonts w:ascii="Arial" w:hAnsi="Arial" w:cs="Arial"/>
          <w:color w:val="000000" w:themeColor="text1"/>
        </w:rPr>
        <w:t>co</w:t>
      </w:r>
      <w:r w:rsidRPr="006F0EF0">
        <w:rPr>
          <w:rFonts w:ascii="Arial" w:hAnsi="Arial" w:cs="Arial"/>
          <w:color w:val="000000" w:themeColor="text1"/>
        </w:rPr>
        <w:t>nsent, risk assess to mitigate harm and protect the confidentiality and anonymity of the participants, promote equity and inclusivity and aim to benefit future practice and policy making to make a positive difference to the community where the research is conducted.</w:t>
      </w:r>
      <w:r w:rsidR="00E162E8">
        <w:rPr>
          <w:rFonts w:ascii="Arial" w:hAnsi="Arial" w:cs="Arial"/>
          <w:color w:val="000000" w:themeColor="text1"/>
        </w:rPr>
        <w:br/>
      </w:r>
      <w:r w:rsidRPr="006F0EF0">
        <w:rPr>
          <w:rFonts w:ascii="Arial" w:hAnsi="Arial" w:cs="Arial"/>
          <w:color w:val="000000" w:themeColor="text1"/>
        </w:rPr>
        <w:t xml:space="preserve">From the beginning of the study, the research team must consider the suitability of the topic, access to people and the space they belong to, guarantees of confidentiality and the analysis of findings (Zhang and Liu, 2018). </w:t>
      </w:r>
      <w:r w:rsidR="00E162E8">
        <w:rPr>
          <w:rFonts w:ascii="Arial" w:hAnsi="Arial" w:cs="Arial"/>
          <w:color w:val="000000" w:themeColor="text1"/>
        </w:rPr>
        <w:br/>
      </w:r>
      <w:r w:rsidRPr="006F0EF0">
        <w:rPr>
          <w:rFonts w:ascii="Arial" w:hAnsi="Arial" w:cs="Arial"/>
          <w:color w:val="000000" w:themeColor="text1"/>
        </w:rPr>
        <w:t xml:space="preserve">Issues with consent in research can undermine ethical standards, participant autonomy, and the validity of study results. </w:t>
      </w:r>
      <w:proofErr w:type="spellStart"/>
      <w:r w:rsidRPr="006F0EF0">
        <w:rPr>
          <w:rFonts w:ascii="Arial" w:hAnsi="Arial" w:cs="Arial"/>
          <w:color w:val="000000" w:themeColor="text1"/>
        </w:rPr>
        <w:t>Tulyakul</w:t>
      </w:r>
      <w:proofErr w:type="spellEnd"/>
      <w:r w:rsidRPr="006F0EF0">
        <w:rPr>
          <w:rFonts w:ascii="Arial" w:hAnsi="Arial" w:cs="Arial"/>
          <w:color w:val="000000" w:themeColor="text1"/>
        </w:rPr>
        <w:t xml:space="preserve"> and </w:t>
      </w:r>
      <w:proofErr w:type="spellStart"/>
      <w:r w:rsidRPr="006F0EF0">
        <w:rPr>
          <w:rFonts w:ascii="Arial" w:hAnsi="Arial" w:cs="Arial"/>
          <w:color w:val="000000" w:themeColor="text1"/>
        </w:rPr>
        <w:t>Meepring</w:t>
      </w:r>
      <w:proofErr w:type="spellEnd"/>
      <w:r w:rsidRPr="006F0EF0">
        <w:rPr>
          <w:rFonts w:ascii="Arial" w:hAnsi="Arial" w:cs="Arial"/>
          <w:color w:val="000000" w:themeColor="text1"/>
        </w:rPr>
        <w:t xml:space="preserve"> (2020) remind us to be aware of barriers to understanding, such as jargon or confusing language</w:t>
      </w:r>
      <w:r w:rsidR="00CE67CB">
        <w:rPr>
          <w:rFonts w:ascii="Arial" w:hAnsi="Arial" w:cs="Arial"/>
          <w:color w:val="000000" w:themeColor="text1"/>
        </w:rPr>
        <w:t>,</w:t>
      </w:r>
      <w:r w:rsidRPr="006F0EF0">
        <w:rPr>
          <w:rFonts w:ascii="Arial" w:hAnsi="Arial" w:cs="Arial"/>
          <w:color w:val="000000" w:themeColor="text1"/>
        </w:rPr>
        <w:t xml:space="preserve"> that may hinder </w:t>
      </w:r>
      <w:proofErr w:type="gramStart"/>
      <w:r w:rsidRPr="006F0EF0">
        <w:rPr>
          <w:rFonts w:ascii="Arial" w:hAnsi="Arial" w:cs="Arial"/>
          <w:color w:val="000000" w:themeColor="text1"/>
        </w:rPr>
        <w:t>understanding, and</w:t>
      </w:r>
      <w:proofErr w:type="gramEnd"/>
      <w:r w:rsidRPr="006F0EF0">
        <w:rPr>
          <w:rFonts w:ascii="Arial" w:hAnsi="Arial" w:cs="Arial"/>
          <w:color w:val="000000" w:themeColor="text1"/>
        </w:rPr>
        <w:t xml:space="preserve"> recommend an ethics review board to scrutinize consent considerations. Terms of the study will be negotiated with the gatekeepers and participants with honesty, sensitivity, and impartiality with participants to conform to a participatory style of research, which Connor, Copland and Owen (2018) recommend, to exercise good judgement when working within ethical guidelines.</w:t>
      </w:r>
      <w:r w:rsidR="00E162E8">
        <w:rPr>
          <w:rFonts w:ascii="Arial" w:hAnsi="Arial" w:cs="Arial"/>
          <w:color w:val="000000" w:themeColor="text1"/>
        </w:rPr>
        <w:br/>
      </w:r>
      <w:r w:rsidRPr="006F0EF0">
        <w:rPr>
          <w:rFonts w:ascii="Arial" w:hAnsi="Arial" w:cs="Arial"/>
          <w:color w:val="000000" w:themeColor="text1"/>
        </w:rPr>
        <w:t>By the end of the stud</w:t>
      </w:r>
      <w:r w:rsidR="00FF7827" w:rsidRPr="006F0EF0">
        <w:rPr>
          <w:rFonts w:ascii="Arial" w:hAnsi="Arial" w:cs="Arial"/>
          <w:color w:val="000000" w:themeColor="text1"/>
        </w:rPr>
        <w:t>y, the researchers hope to see data on h</w:t>
      </w:r>
      <w:r w:rsidRPr="006F0EF0">
        <w:rPr>
          <w:rFonts w:ascii="Arial" w:hAnsi="Arial" w:cs="Arial"/>
          <w:color w:val="000000" w:themeColor="text1"/>
        </w:rPr>
        <w:t>ow families engage with existing family support services in the target communities (RCT, 2025 )</w:t>
      </w:r>
      <w:r w:rsidR="00FF7827" w:rsidRPr="006F0EF0">
        <w:rPr>
          <w:rFonts w:ascii="Arial" w:hAnsi="Arial" w:cs="Arial"/>
          <w:color w:val="000000" w:themeColor="text1"/>
        </w:rPr>
        <w:t xml:space="preserve"> and how these families perceive and </w:t>
      </w:r>
      <w:r w:rsidR="00FF7827" w:rsidRPr="006F0EF0">
        <w:rPr>
          <w:rFonts w:ascii="Arial" w:hAnsi="Arial" w:cs="Arial"/>
          <w:color w:val="000000" w:themeColor="text1"/>
        </w:rPr>
        <w:lastRenderedPageBreak/>
        <w:t>understand RSE and holistic development. It may also develop understanding of the role of </w:t>
      </w:r>
      <w:r w:rsidR="00FF7827" w:rsidRPr="006F0EF0">
        <w:rPr>
          <w:rStyle w:val="Strong"/>
          <w:rFonts w:ascii="Arial" w:hAnsi="Arial" w:cs="Arial"/>
          <w:b w:val="0"/>
          <w:bCs w:val="0"/>
          <w:color w:val="000000" w:themeColor="text1"/>
        </w:rPr>
        <w:t>attachment security</w:t>
      </w:r>
      <w:r w:rsidR="00FF7827" w:rsidRPr="006F0EF0">
        <w:rPr>
          <w:rFonts w:ascii="Arial" w:hAnsi="Arial" w:cs="Arial"/>
          <w:color w:val="000000" w:themeColor="text1"/>
        </w:rPr>
        <w:t xml:space="preserve"> in breaking intergenerational cycles </w:t>
      </w:r>
      <w:r w:rsidR="00CE67CB">
        <w:rPr>
          <w:rFonts w:ascii="Arial" w:hAnsi="Arial" w:cs="Arial"/>
          <w:color w:val="000000" w:themeColor="text1"/>
        </w:rPr>
        <w:t>of</w:t>
      </w:r>
      <w:r w:rsidR="00FF7827" w:rsidRPr="006F0EF0">
        <w:rPr>
          <w:rFonts w:ascii="Arial" w:hAnsi="Arial" w:cs="Arial"/>
          <w:color w:val="000000" w:themeColor="text1"/>
        </w:rPr>
        <w:t xml:space="preserve"> low attainment and wellbeing in the community involved.</w:t>
      </w:r>
      <w:r w:rsidR="00FF7827" w:rsidRPr="006F0EF0">
        <w:rPr>
          <w:rFonts w:ascii="Arial" w:hAnsi="Arial" w:cs="Arial"/>
          <w:color w:val="000000" w:themeColor="text1"/>
        </w:rPr>
        <w:br/>
        <w:t xml:space="preserve">The data should help </w:t>
      </w:r>
      <w:r w:rsidRPr="006F0EF0">
        <w:rPr>
          <w:rFonts w:ascii="Arial" w:hAnsi="Arial" w:cs="Arial"/>
          <w:color w:val="000000" w:themeColor="text1"/>
        </w:rPr>
        <w:t xml:space="preserve">identify systemic barriers to implementing interventions </w:t>
      </w:r>
      <w:r w:rsidR="00FF7827" w:rsidRPr="006F0EF0">
        <w:rPr>
          <w:rFonts w:ascii="Arial" w:hAnsi="Arial" w:cs="Arial"/>
          <w:color w:val="000000" w:themeColor="text1"/>
        </w:rPr>
        <w:t>and lead us to develop</w:t>
      </w:r>
      <w:r w:rsidRPr="006F0EF0">
        <w:rPr>
          <w:rFonts w:ascii="Arial" w:hAnsi="Arial" w:cs="Arial"/>
          <w:color w:val="000000" w:themeColor="text1"/>
        </w:rPr>
        <w:t xml:space="preserve"> co-designed interventions </w:t>
      </w:r>
      <w:r w:rsidR="00FF7827" w:rsidRPr="006F0EF0">
        <w:rPr>
          <w:rFonts w:ascii="Arial" w:hAnsi="Arial" w:cs="Arial"/>
          <w:color w:val="000000" w:themeColor="text1"/>
        </w:rPr>
        <w:t>to</w:t>
      </w:r>
      <w:r w:rsidRPr="006F0EF0">
        <w:rPr>
          <w:rFonts w:ascii="Arial" w:hAnsi="Arial" w:cs="Arial"/>
          <w:color w:val="000000" w:themeColor="text1"/>
        </w:rPr>
        <w:t xml:space="preserve"> empower families in deprived Welsh communities</w:t>
      </w:r>
      <w:r w:rsidR="00FF7827" w:rsidRPr="006F0EF0">
        <w:rPr>
          <w:rFonts w:ascii="Arial" w:hAnsi="Arial" w:cs="Arial"/>
          <w:color w:val="000000" w:themeColor="text1"/>
        </w:rPr>
        <w:t>,</w:t>
      </w:r>
      <w:r w:rsidRPr="006F0EF0">
        <w:rPr>
          <w:rFonts w:ascii="Arial" w:hAnsi="Arial" w:cs="Arial"/>
          <w:color w:val="000000" w:themeColor="text1"/>
        </w:rPr>
        <w:t xml:space="preserve"> to be proposed as evidence-based recommendations for Welsh policymakers and practitioners.</w:t>
      </w:r>
    </w:p>
    <w:p w14:paraId="66DBC9FC" w14:textId="77777777" w:rsidR="000B34D2" w:rsidRDefault="000B34D2" w:rsidP="005E479C">
      <w:pPr>
        <w:spacing w:before="30" w:after="30"/>
        <w:ind w:left="850" w:right="850"/>
        <w:rPr>
          <w:rFonts w:ascii="Arial" w:hAnsi="Arial" w:cs="Arial"/>
          <w:color w:val="000000" w:themeColor="text1"/>
        </w:rPr>
      </w:pPr>
    </w:p>
    <w:p w14:paraId="38286AD9" w14:textId="77777777" w:rsidR="005E479C" w:rsidRDefault="005E479C" w:rsidP="005E479C">
      <w:pPr>
        <w:spacing w:before="30" w:after="30"/>
        <w:ind w:left="850" w:right="850"/>
        <w:rPr>
          <w:rFonts w:ascii="Arial" w:hAnsi="Arial" w:cs="Arial"/>
          <w:color w:val="000000" w:themeColor="text1"/>
        </w:rPr>
      </w:pPr>
    </w:p>
    <w:p w14:paraId="3B05F2FC" w14:textId="77777777" w:rsidR="005E479C" w:rsidRDefault="005E479C" w:rsidP="005E479C">
      <w:pPr>
        <w:spacing w:before="30" w:after="30"/>
        <w:ind w:left="850" w:right="850"/>
        <w:rPr>
          <w:rFonts w:ascii="Arial" w:hAnsi="Arial" w:cs="Arial"/>
          <w:color w:val="000000" w:themeColor="text1"/>
        </w:rPr>
      </w:pPr>
    </w:p>
    <w:p w14:paraId="475B9289" w14:textId="77777777" w:rsidR="005E479C" w:rsidRDefault="005E479C" w:rsidP="005E479C">
      <w:pPr>
        <w:spacing w:before="30" w:after="30"/>
        <w:ind w:left="850" w:right="850"/>
        <w:rPr>
          <w:rFonts w:ascii="Arial" w:hAnsi="Arial" w:cs="Arial"/>
          <w:color w:val="000000" w:themeColor="text1"/>
        </w:rPr>
      </w:pPr>
    </w:p>
    <w:p w14:paraId="78EFE1A3" w14:textId="77777777" w:rsidR="005E479C" w:rsidRDefault="005E479C" w:rsidP="005E479C">
      <w:pPr>
        <w:spacing w:before="30" w:after="30"/>
        <w:ind w:left="850" w:right="850"/>
        <w:rPr>
          <w:rFonts w:ascii="Arial" w:hAnsi="Arial" w:cs="Arial"/>
          <w:color w:val="000000" w:themeColor="text1"/>
        </w:rPr>
      </w:pPr>
    </w:p>
    <w:p w14:paraId="6F9ABC2C" w14:textId="77777777" w:rsidR="005E479C" w:rsidRDefault="005E479C" w:rsidP="005E479C">
      <w:pPr>
        <w:spacing w:before="30" w:after="30"/>
        <w:ind w:left="850" w:right="850"/>
        <w:rPr>
          <w:rFonts w:ascii="Arial" w:hAnsi="Arial" w:cs="Arial"/>
          <w:color w:val="000000" w:themeColor="text1"/>
        </w:rPr>
      </w:pPr>
    </w:p>
    <w:p w14:paraId="777CA041" w14:textId="77777777" w:rsidR="005E479C" w:rsidRDefault="005E479C" w:rsidP="005E479C">
      <w:pPr>
        <w:spacing w:before="30" w:after="30"/>
        <w:ind w:left="850" w:right="850"/>
        <w:rPr>
          <w:rFonts w:ascii="Arial" w:hAnsi="Arial" w:cs="Arial"/>
          <w:color w:val="000000" w:themeColor="text1"/>
        </w:rPr>
      </w:pPr>
    </w:p>
    <w:p w14:paraId="0209B432" w14:textId="77777777" w:rsidR="005E479C" w:rsidRDefault="005E479C" w:rsidP="005E479C">
      <w:pPr>
        <w:spacing w:before="30" w:after="30"/>
        <w:ind w:left="850" w:right="850"/>
        <w:rPr>
          <w:rFonts w:ascii="Arial" w:hAnsi="Arial" w:cs="Arial"/>
          <w:color w:val="000000" w:themeColor="text1"/>
        </w:rPr>
      </w:pPr>
    </w:p>
    <w:p w14:paraId="00ED359F" w14:textId="77777777" w:rsidR="005E479C" w:rsidRDefault="005E479C" w:rsidP="005E479C">
      <w:pPr>
        <w:spacing w:before="30" w:after="30"/>
        <w:ind w:left="850" w:right="850"/>
        <w:rPr>
          <w:rFonts w:ascii="Arial" w:hAnsi="Arial" w:cs="Arial"/>
          <w:color w:val="000000" w:themeColor="text1"/>
        </w:rPr>
      </w:pPr>
    </w:p>
    <w:p w14:paraId="4A00CF9B" w14:textId="77777777" w:rsidR="005E479C" w:rsidRDefault="005E479C" w:rsidP="005E479C">
      <w:pPr>
        <w:spacing w:before="30" w:after="30"/>
        <w:ind w:left="850" w:right="850"/>
        <w:rPr>
          <w:rFonts w:ascii="Arial" w:hAnsi="Arial" w:cs="Arial"/>
          <w:color w:val="000000" w:themeColor="text1"/>
        </w:rPr>
      </w:pPr>
    </w:p>
    <w:p w14:paraId="79517F47" w14:textId="77777777" w:rsidR="005E479C" w:rsidRDefault="005E479C" w:rsidP="005E479C">
      <w:pPr>
        <w:spacing w:before="30" w:after="30"/>
        <w:ind w:left="850" w:right="850"/>
        <w:rPr>
          <w:rFonts w:ascii="Arial" w:hAnsi="Arial" w:cs="Arial"/>
          <w:color w:val="000000" w:themeColor="text1"/>
        </w:rPr>
      </w:pPr>
    </w:p>
    <w:p w14:paraId="22842D55" w14:textId="77777777" w:rsidR="005E479C" w:rsidRDefault="005E479C" w:rsidP="005E479C">
      <w:pPr>
        <w:spacing w:before="30" w:after="30"/>
        <w:ind w:left="850" w:right="850"/>
        <w:rPr>
          <w:rFonts w:ascii="Arial" w:hAnsi="Arial" w:cs="Arial"/>
          <w:color w:val="000000" w:themeColor="text1"/>
        </w:rPr>
      </w:pPr>
    </w:p>
    <w:p w14:paraId="7FB5AEA9" w14:textId="77777777" w:rsidR="005E479C" w:rsidRDefault="005E479C" w:rsidP="005E479C">
      <w:pPr>
        <w:spacing w:before="30" w:after="30"/>
        <w:ind w:left="850" w:right="850"/>
        <w:rPr>
          <w:rFonts w:ascii="Arial" w:hAnsi="Arial" w:cs="Arial"/>
          <w:color w:val="000000" w:themeColor="text1"/>
        </w:rPr>
      </w:pPr>
    </w:p>
    <w:p w14:paraId="62BC960C" w14:textId="77777777" w:rsidR="005E479C" w:rsidRDefault="005E479C" w:rsidP="005E479C">
      <w:pPr>
        <w:spacing w:before="30" w:after="30"/>
        <w:ind w:left="850" w:right="850"/>
        <w:rPr>
          <w:rFonts w:ascii="Arial" w:hAnsi="Arial" w:cs="Arial"/>
          <w:color w:val="000000" w:themeColor="text1"/>
        </w:rPr>
      </w:pPr>
    </w:p>
    <w:p w14:paraId="4952EDBF" w14:textId="77777777" w:rsidR="005E479C" w:rsidRDefault="005E479C" w:rsidP="005E479C">
      <w:pPr>
        <w:spacing w:before="30" w:after="30"/>
        <w:ind w:left="850" w:right="850"/>
        <w:rPr>
          <w:rFonts w:ascii="Arial" w:hAnsi="Arial" w:cs="Arial"/>
          <w:color w:val="000000" w:themeColor="text1"/>
        </w:rPr>
      </w:pPr>
    </w:p>
    <w:p w14:paraId="414274F2" w14:textId="77777777" w:rsidR="005E479C" w:rsidRDefault="005E479C" w:rsidP="005E479C">
      <w:pPr>
        <w:spacing w:before="30" w:after="30"/>
        <w:ind w:left="850" w:right="850"/>
        <w:rPr>
          <w:rFonts w:ascii="Arial" w:hAnsi="Arial" w:cs="Arial"/>
          <w:color w:val="000000" w:themeColor="text1"/>
        </w:rPr>
      </w:pPr>
    </w:p>
    <w:p w14:paraId="20680C0B" w14:textId="77777777" w:rsidR="005E479C" w:rsidRDefault="005E479C" w:rsidP="005E479C">
      <w:pPr>
        <w:spacing w:before="30" w:after="30"/>
        <w:ind w:left="850" w:right="850"/>
        <w:rPr>
          <w:rFonts w:ascii="Arial" w:hAnsi="Arial" w:cs="Arial"/>
          <w:color w:val="000000" w:themeColor="text1"/>
        </w:rPr>
      </w:pPr>
    </w:p>
    <w:p w14:paraId="4B5D037C" w14:textId="77777777" w:rsidR="005E479C" w:rsidRDefault="005E479C" w:rsidP="005E479C">
      <w:pPr>
        <w:spacing w:before="30" w:after="30"/>
        <w:ind w:left="850" w:right="850"/>
        <w:rPr>
          <w:rFonts w:ascii="Arial" w:hAnsi="Arial" w:cs="Arial"/>
          <w:color w:val="000000" w:themeColor="text1"/>
        </w:rPr>
      </w:pPr>
    </w:p>
    <w:p w14:paraId="35235C04" w14:textId="77777777" w:rsidR="005E479C" w:rsidRDefault="005E479C" w:rsidP="005E479C">
      <w:pPr>
        <w:spacing w:before="30" w:after="30"/>
        <w:ind w:left="850" w:right="850"/>
        <w:rPr>
          <w:rFonts w:ascii="Arial" w:hAnsi="Arial" w:cs="Arial"/>
          <w:color w:val="000000" w:themeColor="text1"/>
        </w:rPr>
      </w:pPr>
    </w:p>
    <w:p w14:paraId="644C2278" w14:textId="77777777" w:rsidR="005E479C" w:rsidRDefault="005E479C" w:rsidP="005E479C">
      <w:pPr>
        <w:spacing w:before="30" w:after="30"/>
        <w:ind w:left="850" w:right="850"/>
        <w:rPr>
          <w:rFonts w:ascii="Arial" w:hAnsi="Arial" w:cs="Arial"/>
          <w:color w:val="000000" w:themeColor="text1"/>
        </w:rPr>
      </w:pPr>
    </w:p>
    <w:p w14:paraId="7FCE4401" w14:textId="77777777" w:rsidR="0007494E" w:rsidRDefault="0007494E" w:rsidP="005E479C">
      <w:pPr>
        <w:spacing w:before="30" w:after="30"/>
        <w:ind w:left="850" w:right="850"/>
        <w:rPr>
          <w:rFonts w:ascii="Arial" w:hAnsi="Arial" w:cs="Arial"/>
          <w:color w:val="000000" w:themeColor="text1"/>
        </w:rPr>
      </w:pPr>
    </w:p>
    <w:p w14:paraId="3CC3A04E" w14:textId="77777777" w:rsidR="0007494E" w:rsidRDefault="0007494E" w:rsidP="005E479C">
      <w:pPr>
        <w:spacing w:before="30" w:after="30"/>
        <w:ind w:left="850" w:right="850"/>
        <w:rPr>
          <w:rFonts w:ascii="Arial" w:hAnsi="Arial" w:cs="Arial"/>
          <w:color w:val="000000" w:themeColor="text1"/>
        </w:rPr>
      </w:pPr>
    </w:p>
    <w:p w14:paraId="1C011D33" w14:textId="77777777" w:rsidR="0007494E" w:rsidRDefault="0007494E" w:rsidP="005E479C">
      <w:pPr>
        <w:spacing w:before="30" w:after="30"/>
        <w:ind w:left="850" w:right="850"/>
        <w:rPr>
          <w:rFonts w:ascii="Arial" w:hAnsi="Arial" w:cs="Arial"/>
          <w:color w:val="000000" w:themeColor="text1"/>
        </w:rPr>
      </w:pPr>
    </w:p>
    <w:p w14:paraId="5990808C" w14:textId="77777777" w:rsidR="0007494E" w:rsidRPr="006F0EF0" w:rsidRDefault="0007494E" w:rsidP="005E479C">
      <w:pPr>
        <w:spacing w:before="30" w:after="30"/>
        <w:ind w:left="850" w:right="850"/>
        <w:rPr>
          <w:rFonts w:ascii="Arial" w:hAnsi="Arial" w:cs="Arial"/>
          <w:color w:val="000000" w:themeColor="text1"/>
        </w:rPr>
      </w:pPr>
    </w:p>
    <w:p w14:paraId="02430245" w14:textId="77777777" w:rsidR="000B34D2" w:rsidRPr="006F0EF0" w:rsidRDefault="000B34D2" w:rsidP="005E479C">
      <w:pPr>
        <w:spacing w:before="30" w:after="30"/>
        <w:ind w:left="850" w:right="850"/>
        <w:rPr>
          <w:rFonts w:ascii="Arial" w:hAnsi="Arial" w:cs="Arial"/>
          <w:color w:val="000000" w:themeColor="text1"/>
        </w:rPr>
      </w:pPr>
    </w:p>
    <w:p w14:paraId="2782868E" w14:textId="49D04D7F" w:rsidR="000B34D2" w:rsidRPr="006F0EF0" w:rsidRDefault="00F16BF7" w:rsidP="005E479C">
      <w:pPr>
        <w:pStyle w:val="NoSpacing"/>
        <w:spacing w:before="30" w:after="30"/>
        <w:ind w:left="850" w:right="850"/>
        <w:rPr>
          <w:rFonts w:ascii="Arial" w:hAnsi="Arial" w:cs="Arial"/>
          <w:u w:val="single"/>
        </w:rPr>
      </w:pPr>
      <w:r w:rsidRPr="006F0EF0">
        <w:rPr>
          <w:rFonts w:ascii="Arial" w:hAnsi="Arial" w:cs="Arial"/>
          <w:u w:val="single"/>
        </w:rPr>
        <w:t>R</w:t>
      </w:r>
      <w:r w:rsidR="000B34D2" w:rsidRPr="006F0EF0">
        <w:rPr>
          <w:rFonts w:ascii="Arial" w:hAnsi="Arial" w:cs="Arial"/>
          <w:u w:val="single"/>
        </w:rPr>
        <w:t>eference List</w:t>
      </w:r>
    </w:p>
    <w:p w14:paraId="1ECC9D66" w14:textId="77777777" w:rsidR="000B34D2" w:rsidRPr="006F0EF0" w:rsidRDefault="000B34D2" w:rsidP="005E479C">
      <w:pPr>
        <w:pStyle w:val="NoSpacing"/>
        <w:spacing w:before="30" w:after="30"/>
        <w:ind w:left="850" w:right="850"/>
        <w:jc w:val="center"/>
        <w:rPr>
          <w:rFonts w:ascii="Arial" w:hAnsi="Arial" w:cs="Arial"/>
          <w:u w:val="single"/>
        </w:rPr>
      </w:pPr>
    </w:p>
    <w:p w14:paraId="5570B81F" w14:textId="77777777" w:rsidR="000B34D2" w:rsidRPr="006F0EF0" w:rsidRDefault="000B34D2" w:rsidP="005E479C">
      <w:pPr>
        <w:pStyle w:val="NoSpacing"/>
        <w:spacing w:before="30" w:after="30"/>
        <w:ind w:left="850" w:right="850"/>
        <w:rPr>
          <w:rFonts w:ascii="Arial" w:hAnsi="Arial" w:cs="Arial"/>
        </w:rPr>
      </w:pPr>
    </w:p>
    <w:p w14:paraId="6054627D"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Ainsworth, M.D.S., </w:t>
      </w:r>
      <w:proofErr w:type="spellStart"/>
      <w:r w:rsidRPr="006F0EF0">
        <w:rPr>
          <w:rFonts w:ascii="Arial" w:hAnsi="Arial" w:cs="Arial"/>
        </w:rPr>
        <w:t>Blehar</w:t>
      </w:r>
      <w:proofErr w:type="spellEnd"/>
      <w:r w:rsidRPr="006F0EF0">
        <w:rPr>
          <w:rFonts w:ascii="Arial" w:hAnsi="Arial" w:cs="Arial"/>
        </w:rPr>
        <w:t xml:space="preserve">, M.C., Waters, E. and Wall, S.N. (2015) ‘Patterns of attachment: A psychological study of the strange situation.’ </w:t>
      </w:r>
      <w:r w:rsidRPr="006F0EF0">
        <w:rPr>
          <w:rFonts w:ascii="Arial" w:hAnsi="Arial" w:cs="Arial"/>
          <w:i/>
          <w:iCs/>
        </w:rPr>
        <w:t xml:space="preserve">Psychology press. </w:t>
      </w:r>
      <w:r w:rsidRPr="006F0EF0">
        <w:rPr>
          <w:rFonts w:ascii="Arial" w:hAnsi="Arial" w:cs="Arial"/>
        </w:rPr>
        <w:t xml:space="preserve">Available at: </w:t>
      </w:r>
      <w:hyperlink r:id="rId16" w:history="1">
        <w:r w:rsidRPr="006F0EF0">
          <w:rPr>
            <w:rStyle w:val="Hyperlink"/>
            <w:rFonts w:ascii="Arial" w:hAnsi="Arial" w:cs="Arial"/>
          </w:rPr>
          <w:t>https://mindsplain.com/wp-content/uploads/2021/01/Ainsworth-Patterns-of-Attachment.pdf</w:t>
        </w:r>
      </w:hyperlink>
      <w:r w:rsidRPr="006F0EF0">
        <w:rPr>
          <w:rFonts w:ascii="Arial" w:hAnsi="Arial" w:cs="Arial"/>
        </w:rPr>
        <w:t>. Accessed on: 08/04/2025.</w:t>
      </w:r>
    </w:p>
    <w:p w14:paraId="20533E76" w14:textId="77777777" w:rsidR="000B34D2" w:rsidRPr="006F0EF0" w:rsidRDefault="000B34D2" w:rsidP="005E479C">
      <w:pPr>
        <w:pStyle w:val="NoSpacing"/>
        <w:spacing w:before="30" w:after="30"/>
        <w:ind w:left="850" w:right="850"/>
        <w:rPr>
          <w:rFonts w:ascii="Arial" w:hAnsi="Arial" w:cs="Arial"/>
        </w:rPr>
      </w:pPr>
    </w:p>
    <w:p w14:paraId="349001AB"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Antle, B. </w:t>
      </w:r>
      <w:r w:rsidRPr="006F0EF0">
        <w:rPr>
          <w:rFonts w:ascii="Arial" w:hAnsi="Arial" w:cs="Arial"/>
          <w:i/>
          <w:iCs/>
        </w:rPr>
        <w:t>et al.</w:t>
      </w:r>
      <w:r w:rsidRPr="006F0EF0">
        <w:rPr>
          <w:rFonts w:ascii="Arial" w:hAnsi="Arial" w:cs="Arial"/>
        </w:rPr>
        <w:t> (2019) ‘Intergenerational Transmission of Intimate Partner Violence and Its Impact on Adolescent Relationship Attitudes: A Qualitative Study’, </w:t>
      </w:r>
      <w:r w:rsidRPr="006F0EF0">
        <w:rPr>
          <w:rFonts w:ascii="Arial" w:hAnsi="Arial" w:cs="Arial"/>
          <w:i/>
          <w:iCs/>
        </w:rPr>
        <w:t>Journal of Loss and Trauma.</w:t>
      </w:r>
      <w:r w:rsidRPr="006F0EF0">
        <w:rPr>
          <w:rFonts w:ascii="Arial" w:hAnsi="Arial" w:cs="Arial"/>
        </w:rPr>
        <w:t xml:space="preserve"> 25 (1), pp. 1–21. DOI: 10.1080/15325024.2019.1634894.</w:t>
      </w:r>
    </w:p>
    <w:p w14:paraId="139CDDEE" w14:textId="77777777" w:rsidR="000B34D2" w:rsidRPr="006F0EF0" w:rsidRDefault="000B34D2" w:rsidP="005E479C">
      <w:pPr>
        <w:pStyle w:val="NoSpacing"/>
        <w:spacing w:before="30" w:after="30"/>
        <w:ind w:left="850" w:right="850"/>
        <w:rPr>
          <w:rFonts w:ascii="Arial" w:hAnsi="Arial" w:cs="Arial"/>
        </w:rPr>
      </w:pPr>
    </w:p>
    <w:p w14:paraId="03FAC104"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BERA. (2024) </w:t>
      </w:r>
      <w:r w:rsidRPr="006F0EF0">
        <w:rPr>
          <w:rFonts w:ascii="Arial" w:hAnsi="Arial" w:cs="Arial"/>
          <w:i/>
          <w:iCs/>
        </w:rPr>
        <w:t>Ethical Guidelines for Educational Research, fifth edition.</w:t>
      </w:r>
      <w:r w:rsidRPr="006F0EF0">
        <w:rPr>
          <w:rFonts w:ascii="Arial" w:hAnsi="Arial" w:cs="Arial"/>
        </w:rPr>
        <w:t xml:space="preserve"> Available at: </w:t>
      </w:r>
      <w:hyperlink r:id="rId17" w:history="1">
        <w:r w:rsidRPr="006F0EF0">
          <w:rPr>
            <w:rStyle w:val="Hyperlink"/>
            <w:rFonts w:ascii="Arial" w:hAnsi="Arial" w:cs="Arial"/>
            <w:color w:val="auto"/>
            <w:u w:val="none"/>
          </w:rPr>
          <w:t>https://www.bera.ac.uk/publication/ethical-guidelines-for-educational-research-fifth-edition-2024</w:t>
        </w:r>
      </w:hyperlink>
      <w:r w:rsidRPr="006F0EF0">
        <w:rPr>
          <w:rFonts w:ascii="Arial" w:hAnsi="Arial" w:cs="Arial"/>
        </w:rPr>
        <w:t>. Accessed on: 20/04/2025.</w:t>
      </w:r>
    </w:p>
    <w:p w14:paraId="45CB69DB" w14:textId="77777777" w:rsidR="000B34D2" w:rsidRPr="006F0EF0" w:rsidRDefault="000B34D2" w:rsidP="005E479C">
      <w:pPr>
        <w:pStyle w:val="NoSpacing"/>
        <w:spacing w:before="30" w:after="30"/>
        <w:ind w:left="850" w:right="850"/>
        <w:rPr>
          <w:rFonts w:ascii="Arial" w:hAnsi="Arial" w:cs="Arial"/>
        </w:rPr>
      </w:pPr>
    </w:p>
    <w:p w14:paraId="27A8C144"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Bethell, C., Jones, J., Gombojav, N., </w:t>
      </w:r>
      <w:proofErr w:type="spellStart"/>
      <w:r w:rsidRPr="006F0EF0">
        <w:rPr>
          <w:rFonts w:ascii="Arial" w:hAnsi="Arial" w:cs="Arial"/>
        </w:rPr>
        <w:t>Linkenbach</w:t>
      </w:r>
      <w:proofErr w:type="spellEnd"/>
      <w:r w:rsidRPr="006F0EF0">
        <w:rPr>
          <w:rFonts w:ascii="Arial" w:hAnsi="Arial" w:cs="Arial"/>
        </w:rPr>
        <w:t xml:space="preserve">, J. and Sege, R. ( 2019) ‘Positive childhood experiences and adult mental and relational health in a statewide sample: Associations across adverse childhood experiences levels.’ </w:t>
      </w:r>
      <w:r w:rsidRPr="006F0EF0">
        <w:rPr>
          <w:rFonts w:ascii="Arial" w:hAnsi="Arial" w:cs="Arial"/>
          <w:i/>
          <w:iCs/>
        </w:rPr>
        <w:t>JAMA paediatrics</w:t>
      </w:r>
      <w:r w:rsidRPr="006F0EF0">
        <w:rPr>
          <w:rFonts w:ascii="Arial" w:hAnsi="Arial" w:cs="Arial"/>
        </w:rPr>
        <w:t>, </w:t>
      </w:r>
      <w:r w:rsidRPr="006F0EF0">
        <w:rPr>
          <w:rFonts w:ascii="Arial" w:hAnsi="Arial" w:cs="Arial"/>
          <w:i/>
          <w:iCs/>
        </w:rPr>
        <w:t>173</w:t>
      </w:r>
      <w:r w:rsidRPr="006F0EF0">
        <w:rPr>
          <w:rFonts w:ascii="Arial" w:hAnsi="Arial" w:cs="Arial"/>
        </w:rPr>
        <w:t>(11), pp, 193007-193007. DOI:10.1001/jamapediatrics.2019.3007</w:t>
      </w:r>
    </w:p>
    <w:p w14:paraId="100B04DB" w14:textId="77777777" w:rsidR="000B34D2" w:rsidRPr="006F0EF0" w:rsidRDefault="000B34D2" w:rsidP="005E479C">
      <w:pPr>
        <w:pStyle w:val="NoSpacing"/>
        <w:spacing w:before="30" w:after="30"/>
        <w:ind w:left="850" w:right="850"/>
        <w:rPr>
          <w:rFonts w:ascii="Arial" w:hAnsi="Arial" w:cs="Arial"/>
        </w:rPr>
      </w:pPr>
    </w:p>
    <w:p w14:paraId="11C5ED0D"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Birhane, A., Isaac, W., Prabhakaran, V., Diaz, M., Elish, M.C., Gabriel, I. and Mohamed,  . (2022) ‘Power to the people? Opportunities and challenges for participatory AI.’ </w:t>
      </w:r>
      <w:r w:rsidRPr="006F0EF0">
        <w:rPr>
          <w:rFonts w:ascii="Arial" w:hAnsi="Arial" w:cs="Arial"/>
          <w:i/>
          <w:iCs/>
        </w:rPr>
        <w:t>Proceedings of the 2nd ACM Conference on Equity and Access in Algorithms, Mechanisms, and Optimization</w:t>
      </w:r>
      <w:r w:rsidRPr="006F0EF0">
        <w:rPr>
          <w:rFonts w:ascii="Arial" w:hAnsi="Arial" w:cs="Arial"/>
        </w:rPr>
        <w:t xml:space="preserve">. pp. 1-8. Available at: </w:t>
      </w:r>
      <w:hyperlink r:id="rId18" w:history="1">
        <w:r w:rsidRPr="006F0EF0">
          <w:rPr>
            <w:rStyle w:val="Hyperlink"/>
            <w:rFonts w:ascii="Arial" w:hAnsi="Arial" w:cs="Arial"/>
            <w:color w:val="auto"/>
            <w:u w:val="none"/>
          </w:rPr>
          <w:t>https://doi.org/10.1177/16094069211010</w:t>
        </w:r>
      </w:hyperlink>
      <w:r w:rsidRPr="006F0EF0">
        <w:rPr>
          <w:rFonts w:ascii="Arial" w:hAnsi="Arial" w:cs="Arial"/>
        </w:rPr>
        <w:t xml:space="preserve"> .Accessed on: 18/04/2025.</w:t>
      </w:r>
    </w:p>
    <w:p w14:paraId="7123B4A1" w14:textId="77777777" w:rsidR="000B34D2" w:rsidRPr="006F0EF0" w:rsidRDefault="000B34D2" w:rsidP="005E479C">
      <w:pPr>
        <w:pStyle w:val="NoSpacing"/>
        <w:spacing w:before="30" w:after="30"/>
        <w:ind w:left="850" w:right="850"/>
        <w:rPr>
          <w:rFonts w:ascii="Arial" w:hAnsi="Arial" w:cs="Arial"/>
        </w:rPr>
      </w:pPr>
    </w:p>
    <w:p w14:paraId="01D58B70"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Bowlby J. (1979) ‘The Bowlby-Ainsworth attachment theory.’ </w:t>
      </w:r>
      <w:r w:rsidRPr="006F0EF0">
        <w:rPr>
          <w:rFonts w:ascii="Arial" w:hAnsi="Arial" w:cs="Arial"/>
          <w:i/>
          <w:iCs/>
        </w:rPr>
        <w:t>Behavioural and Brain Sciences</w:t>
      </w:r>
      <w:r w:rsidRPr="006F0EF0">
        <w:rPr>
          <w:rFonts w:ascii="Arial" w:hAnsi="Arial" w:cs="Arial"/>
        </w:rPr>
        <w:t>. 2(4), pp.637-638. DOI:10.1017/S0140525X00064955. Accessed on: 08/04/2025.</w:t>
      </w:r>
    </w:p>
    <w:p w14:paraId="78530068" w14:textId="77777777" w:rsidR="000B34D2" w:rsidRPr="006F0EF0" w:rsidRDefault="000B34D2" w:rsidP="005E479C">
      <w:pPr>
        <w:pStyle w:val="NoSpacing"/>
        <w:spacing w:before="30" w:after="30"/>
        <w:ind w:left="850" w:right="850"/>
        <w:rPr>
          <w:rFonts w:ascii="Arial" w:hAnsi="Arial" w:cs="Arial"/>
        </w:rPr>
      </w:pPr>
    </w:p>
    <w:p w14:paraId="234382E2"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Brook. (2025) </w:t>
      </w:r>
      <w:r w:rsidRPr="006F0EF0">
        <w:rPr>
          <w:rFonts w:ascii="Arial" w:hAnsi="Arial" w:cs="Arial"/>
          <w:i/>
          <w:iCs/>
        </w:rPr>
        <w:t>Why good RSE is not only important but essential.</w:t>
      </w:r>
      <w:r w:rsidRPr="006F0EF0">
        <w:rPr>
          <w:rFonts w:ascii="Arial" w:hAnsi="Arial" w:cs="Arial"/>
        </w:rPr>
        <w:t xml:space="preserve"> Available at: </w:t>
      </w:r>
      <w:hyperlink r:id="rId19" w:anchor=":~:text=RSE%20creates%20an%20environment%20where,help%20when%20they%20need%20it" w:history="1">
        <w:r w:rsidRPr="006F0EF0">
          <w:rPr>
            <w:rStyle w:val="Hyperlink"/>
            <w:rFonts w:ascii="Arial" w:hAnsi="Arial" w:cs="Arial"/>
            <w:color w:val="auto"/>
            <w:u w:val="none"/>
          </w:rPr>
          <w:t>https://www.brook.org.uk/blog/why-good-rse-is-not-only-important-but-essential/#:~:text=RSE%20creates%20an%20environment%20where,help%20when%20they%20need%20it</w:t>
        </w:r>
      </w:hyperlink>
      <w:r w:rsidRPr="006F0EF0">
        <w:rPr>
          <w:rFonts w:ascii="Arial" w:hAnsi="Arial" w:cs="Arial"/>
        </w:rPr>
        <w:t>. Accessed on: 08/04/2025.</w:t>
      </w:r>
    </w:p>
    <w:p w14:paraId="7000CE46" w14:textId="77777777" w:rsidR="000B34D2" w:rsidRPr="006F0EF0" w:rsidRDefault="000B34D2" w:rsidP="005E479C">
      <w:pPr>
        <w:pStyle w:val="NoSpacing"/>
        <w:spacing w:before="30" w:after="30"/>
        <w:ind w:left="850" w:right="850"/>
        <w:rPr>
          <w:rFonts w:ascii="Arial" w:hAnsi="Arial" w:cs="Arial"/>
        </w:rPr>
      </w:pPr>
    </w:p>
    <w:p w14:paraId="69F639C8"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Calder, G. (2023)’ Social Exclusion and Poverty.’ </w:t>
      </w:r>
      <w:r w:rsidRPr="006F0EF0">
        <w:rPr>
          <w:rFonts w:ascii="Arial" w:hAnsi="Arial" w:cs="Arial"/>
          <w:i/>
          <w:iCs/>
        </w:rPr>
        <w:t>The Routledge Handbook of Philosophy and Poverty</w:t>
      </w:r>
      <w:r w:rsidRPr="006F0EF0">
        <w:rPr>
          <w:rFonts w:ascii="Arial" w:hAnsi="Arial" w:cs="Arial"/>
        </w:rPr>
        <w:t>. pp, 41-51. DOI:</w:t>
      </w:r>
      <w:hyperlink r:id="rId20" w:tgtFrame="_blank" w:history="1">
        <w:r w:rsidRPr="006F0EF0">
          <w:rPr>
            <w:rStyle w:val="Hyperlink"/>
            <w:rFonts w:ascii="Arial" w:hAnsi="Arial" w:cs="Arial"/>
          </w:rPr>
          <w:t>10.4234/9781003162926.5</w:t>
        </w:r>
      </w:hyperlink>
      <w:r w:rsidRPr="006F0EF0">
        <w:rPr>
          <w:rFonts w:ascii="Arial" w:hAnsi="Arial" w:cs="Arial"/>
        </w:rPr>
        <w:t>. Accessed on: 18/04/2025.</w:t>
      </w:r>
    </w:p>
    <w:p w14:paraId="26138C4B" w14:textId="77777777" w:rsidR="000B34D2" w:rsidRPr="006F0EF0" w:rsidRDefault="000B34D2" w:rsidP="005E479C">
      <w:pPr>
        <w:pStyle w:val="NoSpacing"/>
        <w:spacing w:before="30" w:after="30"/>
        <w:ind w:left="850" w:right="850"/>
        <w:rPr>
          <w:rFonts w:ascii="Arial" w:hAnsi="Arial" w:cs="Arial"/>
        </w:rPr>
      </w:pPr>
    </w:p>
    <w:p w14:paraId="56F9DC88"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Cecil, C. A., Zhang, Y., and Nolte, T. (2020) ‘Childhood maltreatment and DNA methylation: A systematic review.’ </w:t>
      </w:r>
      <w:r w:rsidRPr="006F0EF0">
        <w:rPr>
          <w:rFonts w:ascii="Arial" w:hAnsi="Arial" w:cs="Arial"/>
          <w:i/>
          <w:iCs/>
        </w:rPr>
        <w:t xml:space="preserve">Neuroscience and </w:t>
      </w:r>
      <w:proofErr w:type="spellStart"/>
      <w:r w:rsidRPr="006F0EF0">
        <w:rPr>
          <w:rFonts w:ascii="Arial" w:hAnsi="Arial" w:cs="Arial"/>
          <w:i/>
          <w:iCs/>
        </w:rPr>
        <w:t>Biobehavioral</w:t>
      </w:r>
      <w:proofErr w:type="spellEnd"/>
      <w:r w:rsidRPr="006F0EF0">
        <w:rPr>
          <w:rFonts w:ascii="Arial" w:hAnsi="Arial" w:cs="Arial"/>
          <w:i/>
          <w:iCs/>
        </w:rPr>
        <w:t xml:space="preserve"> Reviews</w:t>
      </w:r>
      <w:r w:rsidRPr="006F0EF0">
        <w:rPr>
          <w:rFonts w:ascii="Arial" w:hAnsi="Arial" w:cs="Arial"/>
        </w:rPr>
        <w:t xml:space="preserve">, </w:t>
      </w:r>
      <w:r w:rsidRPr="006F0EF0">
        <w:rPr>
          <w:rFonts w:ascii="Arial" w:hAnsi="Arial" w:cs="Arial"/>
          <w:i/>
          <w:iCs/>
        </w:rPr>
        <w:t>112</w:t>
      </w:r>
      <w:r w:rsidRPr="006F0EF0">
        <w:rPr>
          <w:rFonts w:ascii="Arial" w:hAnsi="Arial" w:cs="Arial"/>
        </w:rPr>
        <w:t>, pp, 392-409. Available at: https://doi.org/10.1016/j.neubiorev.2020.02.019. Accessed on: 12/04/2025.</w:t>
      </w:r>
    </w:p>
    <w:p w14:paraId="4A8E2B97" w14:textId="77777777" w:rsidR="000B34D2" w:rsidRPr="006F0EF0" w:rsidRDefault="000B34D2" w:rsidP="005E479C">
      <w:pPr>
        <w:pStyle w:val="NoSpacing"/>
        <w:spacing w:before="30" w:after="30"/>
        <w:ind w:left="850" w:right="850"/>
        <w:rPr>
          <w:rFonts w:ascii="Arial" w:hAnsi="Arial" w:cs="Arial"/>
        </w:rPr>
      </w:pPr>
    </w:p>
    <w:p w14:paraId="4B2B260F"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Centre for Young Lives. (2024) </w:t>
      </w:r>
      <w:r w:rsidRPr="006F0EF0">
        <w:rPr>
          <w:rFonts w:ascii="Arial" w:hAnsi="Arial" w:cs="Arial"/>
          <w:i/>
          <w:iCs/>
        </w:rPr>
        <w:t>Too Skint for School. Breaking the link between poverty and attendance.</w:t>
      </w:r>
      <w:r w:rsidRPr="006F0EF0">
        <w:rPr>
          <w:rFonts w:ascii="Arial" w:hAnsi="Arial" w:cs="Arial"/>
        </w:rPr>
        <w:t xml:space="preserve"> Available at: </w:t>
      </w:r>
      <w:hyperlink r:id="rId21" w:history="1">
        <w:r w:rsidRPr="006F0EF0">
          <w:rPr>
            <w:rStyle w:val="Hyperlink"/>
            <w:rFonts w:ascii="Arial" w:hAnsi="Arial" w:cs="Arial"/>
            <w:color w:val="auto"/>
            <w:u w:val="none"/>
          </w:rPr>
          <w:t>https://cdn.prod.website-files.com/65b6b3c3bd2e7d160db2dbc0/6749a0f54b2bfb3ef7f498b5_TSFS%20Final%20-%20Gen%20Z%20Group%20Mail.pdf</w:t>
        </w:r>
      </w:hyperlink>
      <w:r w:rsidRPr="006F0EF0">
        <w:rPr>
          <w:rFonts w:ascii="Arial" w:hAnsi="Arial" w:cs="Arial"/>
        </w:rPr>
        <w:t>. Accessed on: 08/04/2025.</w:t>
      </w:r>
    </w:p>
    <w:p w14:paraId="515FDDFF" w14:textId="77777777" w:rsidR="000B34D2" w:rsidRPr="006F0EF0" w:rsidRDefault="000B34D2" w:rsidP="005E479C">
      <w:pPr>
        <w:pStyle w:val="NoSpacing"/>
        <w:spacing w:before="30" w:after="30"/>
        <w:ind w:left="850" w:right="850"/>
        <w:rPr>
          <w:rFonts w:ascii="Arial" w:hAnsi="Arial" w:cs="Arial"/>
        </w:rPr>
      </w:pPr>
    </w:p>
    <w:p w14:paraId="65D46397"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The Children’s Commissioner for Wales. (2025) </w:t>
      </w:r>
      <w:r w:rsidRPr="006F0EF0">
        <w:rPr>
          <w:rFonts w:ascii="Arial" w:hAnsi="Arial" w:cs="Arial"/>
          <w:i/>
          <w:iCs/>
        </w:rPr>
        <w:t>Relationships and Sexuality Education (RSE).</w:t>
      </w:r>
      <w:r w:rsidRPr="006F0EF0">
        <w:rPr>
          <w:rFonts w:ascii="Arial" w:hAnsi="Arial" w:cs="Arial"/>
        </w:rPr>
        <w:t xml:space="preserve"> Available at: </w:t>
      </w:r>
      <w:hyperlink r:id="rId22" w:history="1">
        <w:r w:rsidRPr="006F0EF0">
          <w:rPr>
            <w:rStyle w:val="Hyperlink"/>
            <w:rFonts w:ascii="Arial" w:hAnsi="Arial" w:cs="Arial"/>
            <w:color w:val="auto"/>
            <w:u w:val="none"/>
          </w:rPr>
          <w:t>https://www.childcomwales.org.uk/our-work/policy-positions/relationships-and-sexuality-education-rse/</w:t>
        </w:r>
      </w:hyperlink>
      <w:r w:rsidRPr="006F0EF0">
        <w:rPr>
          <w:rFonts w:ascii="Arial" w:hAnsi="Arial" w:cs="Arial"/>
        </w:rPr>
        <w:t>.Accessed on: 20/04/2025.</w:t>
      </w:r>
    </w:p>
    <w:p w14:paraId="1FFD7D89" w14:textId="77777777" w:rsidR="000B34D2" w:rsidRPr="006F0EF0" w:rsidRDefault="000B34D2" w:rsidP="005E479C">
      <w:pPr>
        <w:pStyle w:val="NoSpacing"/>
        <w:spacing w:before="30" w:after="30"/>
        <w:ind w:left="850" w:right="850"/>
        <w:rPr>
          <w:rFonts w:ascii="Arial" w:hAnsi="Arial" w:cs="Arial"/>
        </w:rPr>
      </w:pPr>
    </w:p>
    <w:p w14:paraId="5AC5B6E7"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Child Poverty  Action Group. (2025) </w:t>
      </w:r>
      <w:r w:rsidRPr="006F0EF0">
        <w:rPr>
          <w:rFonts w:ascii="Arial" w:hAnsi="Arial" w:cs="Arial"/>
          <w:i/>
          <w:iCs/>
        </w:rPr>
        <w:t>Effects of poverty</w:t>
      </w:r>
      <w:r w:rsidRPr="006F0EF0">
        <w:rPr>
          <w:rFonts w:ascii="Arial" w:hAnsi="Arial" w:cs="Arial"/>
        </w:rPr>
        <w:t xml:space="preserve">. Available at:  </w:t>
      </w:r>
      <w:hyperlink r:id="rId23" w:anchor=":~:text=For%20many%20children%2C%20poverty%20also,when%20they%20are%20still%20children" w:history="1">
        <w:r w:rsidRPr="006F0EF0">
          <w:rPr>
            <w:rStyle w:val="Hyperlink"/>
            <w:rFonts w:ascii="Arial" w:hAnsi="Arial" w:cs="Arial"/>
          </w:rPr>
          <w:t>https://cpag.org.uk/child-poverty/effects-poverty#:~:text=For%20many%20children%2C%20poverty%20also,when%20they%20are%20still%20children</w:t>
        </w:r>
      </w:hyperlink>
      <w:r w:rsidRPr="006F0EF0">
        <w:rPr>
          <w:rFonts w:ascii="Arial" w:hAnsi="Arial" w:cs="Arial"/>
        </w:rPr>
        <w:t>. Accessed on: 20/04/2025.</w:t>
      </w:r>
    </w:p>
    <w:p w14:paraId="6E06965B" w14:textId="77777777" w:rsidR="000B34D2" w:rsidRPr="006F0EF0" w:rsidRDefault="000B34D2" w:rsidP="005E479C">
      <w:pPr>
        <w:pStyle w:val="NoSpacing"/>
        <w:spacing w:before="30" w:after="30"/>
        <w:ind w:left="850" w:right="850"/>
        <w:rPr>
          <w:rFonts w:ascii="Arial" w:hAnsi="Arial" w:cs="Arial"/>
        </w:rPr>
      </w:pPr>
    </w:p>
    <w:p w14:paraId="0DC3041E"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Child Poverty Action Group. (2024) </w:t>
      </w:r>
      <w:r w:rsidRPr="006F0EF0">
        <w:rPr>
          <w:rFonts w:ascii="Arial" w:hAnsi="Arial" w:cs="Arial"/>
          <w:i/>
          <w:iCs/>
        </w:rPr>
        <w:t>Has the two-child limit affected how many children families have?</w:t>
      </w:r>
      <w:r w:rsidRPr="006F0EF0">
        <w:rPr>
          <w:rFonts w:ascii="Arial" w:hAnsi="Arial" w:cs="Arial"/>
        </w:rPr>
        <w:t xml:space="preserve"> Available at: </w:t>
      </w:r>
      <w:hyperlink r:id="rId24" w:anchor=":~:text=Conclusion,two%2Dchild%20limit%20on%20fertility" w:history="1">
        <w:r w:rsidRPr="006F0EF0">
          <w:rPr>
            <w:rStyle w:val="Hyperlink"/>
            <w:rFonts w:ascii="Arial" w:hAnsi="Arial" w:cs="Arial"/>
          </w:rPr>
          <w:t>https://cpag.org.uk/news/has-two-child-limit-affected-how-many-children-families-have#:~:text=Conclusion,two%2Dchild%20limit%20on%20fertility</w:t>
        </w:r>
      </w:hyperlink>
      <w:r w:rsidRPr="006F0EF0">
        <w:rPr>
          <w:rFonts w:ascii="Arial" w:hAnsi="Arial" w:cs="Arial"/>
        </w:rPr>
        <w:t>. . Accessed on: 28/04/2025.</w:t>
      </w:r>
    </w:p>
    <w:p w14:paraId="0D81AB79" w14:textId="77777777" w:rsidR="000B34D2" w:rsidRPr="006F0EF0" w:rsidRDefault="000B34D2" w:rsidP="005E479C">
      <w:pPr>
        <w:pStyle w:val="NoSpacing"/>
        <w:spacing w:before="30" w:after="30"/>
        <w:ind w:left="850" w:right="850"/>
        <w:rPr>
          <w:rFonts w:ascii="Arial" w:hAnsi="Arial" w:cs="Arial"/>
        </w:rPr>
      </w:pPr>
    </w:p>
    <w:p w14:paraId="429BF9C1"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Connor, J., Copland, S., and Owen, J. (2018) ‘The infantilized researcher and research subject: Ethics, consent and risk.’ </w:t>
      </w:r>
      <w:r w:rsidRPr="006F0EF0">
        <w:rPr>
          <w:rFonts w:ascii="Arial" w:hAnsi="Arial" w:cs="Arial"/>
          <w:i/>
          <w:iCs/>
        </w:rPr>
        <w:t>Qualitative Research</w:t>
      </w:r>
      <w:r w:rsidRPr="006F0EF0">
        <w:rPr>
          <w:rFonts w:ascii="Arial" w:hAnsi="Arial" w:cs="Arial"/>
        </w:rPr>
        <w:t>. Available at: https://doi.org/10.1177/1468794117730686. Accessed on: 22/04/2025.</w:t>
      </w:r>
    </w:p>
    <w:p w14:paraId="74C92ED0" w14:textId="77777777" w:rsidR="000B34D2" w:rsidRPr="006F0EF0" w:rsidRDefault="000B34D2" w:rsidP="005E479C">
      <w:pPr>
        <w:pStyle w:val="NoSpacing"/>
        <w:spacing w:before="30" w:after="30"/>
        <w:ind w:left="850" w:right="850"/>
        <w:rPr>
          <w:rFonts w:ascii="Arial" w:hAnsi="Arial" w:cs="Arial"/>
        </w:rPr>
      </w:pPr>
      <w:hyperlink r:id="rId25" w:tgtFrame="_blank" w:history="1">
        <w:r w:rsidRPr="006F0EF0">
          <w:rPr>
            <w:rStyle w:val="Hyperlink"/>
            <w:rFonts w:ascii="Arial" w:hAnsi="Arial" w:cs="Arial"/>
            <w:color w:val="auto"/>
            <w:u w:val="none"/>
          </w:rPr>
          <w:br/>
        </w:r>
      </w:hyperlink>
      <w:r w:rsidRPr="006F0EF0">
        <w:rPr>
          <w:rFonts w:ascii="Arial" w:hAnsi="Arial" w:cs="Arial"/>
        </w:rPr>
        <w:t>Cotterell, N., and Buffel, T. (2023) ‘Holders of knowledge are communities, not academic institutions.  lessons from involving minoritised older people as co-researchers in a study of loneliness in later life.’ </w:t>
      </w:r>
      <w:r w:rsidRPr="006F0EF0">
        <w:rPr>
          <w:rFonts w:ascii="Arial" w:hAnsi="Arial" w:cs="Arial"/>
          <w:i/>
          <w:iCs/>
        </w:rPr>
        <w:t>Qualitative Research in Psychology</w:t>
      </w:r>
      <w:r w:rsidRPr="006F0EF0">
        <w:rPr>
          <w:rFonts w:ascii="Arial" w:hAnsi="Arial" w:cs="Arial"/>
        </w:rPr>
        <w:t>, </w:t>
      </w:r>
      <w:r w:rsidRPr="006F0EF0">
        <w:rPr>
          <w:rFonts w:ascii="Arial" w:hAnsi="Arial" w:cs="Arial"/>
          <w:i/>
          <w:iCs/>
        </w:rPr>
        <w:t>20</w:t>
      </w:r>
      <w:r w:rsidRPr="006F0EF0">
        <w:rPr>
          <w:rFonts w:ascii="Arial" w:hAnsi="Arial" w:cs="Arial"/>
        </w:rPr>
        <w:t>(3), pp, 441–470. Available at: https://doi.org/10.1080/14780887.2023.2180463. Accessed on: 20/04/2025.</w:t>
      </w:r>
    </w:p>
    <w:p w14:paraId="6515C943" w14:textId="77777777" w:rsidR="000B34D2" w:rsidRPr="006F0EF0" w:rsidRDefault="000B34D2" w:rsidP="005E479C">
      <w:pPr>
        <w:pStyle w:val="NoSpacing"/>
        <w:spacing w:before="30" w:after="30"/>
        <w:ind w:left="850" w:right="850"/>
        <w:rPr>
          <w:rFonts w:ascii="Arial" w:hAnsi="Arial" w:cs="Arial"/>
        </w:rPr>
      </w:pPr>
    </w:p>
    <w:p w14:paraId="1FC189E9" w14:textId="3A9D75E3" w:rsidR="008B31EF" w:rsidRPr="006F0EF0" w:rsidRDefault="008B31EF" w:rsidP="005E479C">
      <w:pPr>
        <w:pStyle w:val="NoSpacing"/>
        <w:spacing w:before="30" w:after="30"/>
        <w:ind w:left="850" w:right="850"/>
        <w:rPr>
          <w:rFonts w:ascii="Arial" w:hAnsi="Arial" w:cs="Arial"/>
        </w:rPr>
      </w:pPr>
      <w:r w:rsidRPr="006F0EF0">
        <w:rPr>
          <w:rFonts w:ascii="Arial" w:hAnsi="Arial" w:cs="Arial"/>
        </w:rPr>
        <w:t>Creswell, J. W., and Creswell, J. D. (2018)</w:t>
      </w:r>
      <w:r w:rsidR="00C06C28" w:rsidRPr="006F0EF0">
        <w:rPr>
          <w:rFonts w:ascii="Arial" w:hAnsi="Arial" w:cs="Arial"/>
        </w:rPr>
        <w:t xml:space="preserve"> </w:t>
      </w:r>
      <w:r w:rsidRPr="006F0EF0">
        <w:rPr>
          <w:rFonts w:ascii="Arial" w:hAnsi="Arial" w:cs="Arial"/>
          <w:i/>
          <w:iCs/>
        </w:rPr>
        <w:t>Research design: Qualitative, quantitative, and mixed methods approaches</w:t>
      </w:r>
      <w:r w:rsidRPr="006F0EF0">
        <w:rPr>
          <w:rFonts w:ascii="Arial" w:hAnsi="Arial" w:cs="Arial"/>
        </w:rPr>
        <w:t> </w:t>
      </w:r>
      <w:r w:rsidR="00655F24" w:rsidRPr="006F0EF0">
        <w:rPr>
          <w:rFonts w:ascii="Arial" w:hAnsi="Arial" w:cs="Arial"/>
        </w:rPr>
        <w:t>Available at:</w:t>
      </w:r>
      <w:r w:rsidR="008606A2" w:rsidRPr="006F0EF0">
        <w:rPr>
          <w:rFonts w:ascii="Arial" w:hAnsi="Arial" w:cs="Arial"/>
        </w:rPr>
        <w:t xml:space="preserve"> </w:t>
      </w:r>
      <w:hyperlink r:id="rId26" w:history="1">
        <w:r w:rsidR="008606A2" w:rsidRPr="006F0EF0">
          <w:rPr>
            <w:rStyle w:val="Hyperlink"/>
            <w:rFonts w:ascii="Arial" w:hAnsi="Arial" w:cs="Arial"/>
          </w:rPr>
          <w:t>https://spada.uns.ac.id/pluginfile.php/510378/mod_resource/content/1/creswell.pdf</w:t>
        </w:r>
      </w:hyperlink>
      <w:r w:rsidR="008606A2" w:rsidRPr="006F0EF0">
        <w:rPr>
          <w:rFonts w:ascii="Arial" w:hAnsi="Arial" w:cs="Arial"/>
        </w:rPr>
        <w:t xml:space="preserve"> Accessed on: 04/05/2025.</w:t>
      </w:r>
    </w:p>
    <w:p w14:paraId="53CF5A06" w14:textId="77777777" w:rsidR="008B31EF" w:rsidRPr="006F0EF0" w:rsidRDefault="008B31EF" w:rsidP="005E479C">
      <w:pPr>
        <w:pStyle w:val="NoSpacing"/>
        <w:spacing w:before="30" w:after="30"/>
        <w:ind w:left="850" w:right="850"/>
        <w:rPr>
          <w:rFonts w:ascii="Arial" w:hAnsi="Arial" w:cs="Arial"/>
        </w:rPr>
      </w:pPr>
    </w:p>
    <w:p w14:paraId="0FD6F82B"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Cross, J. R., Frazier, A. D., Kim, M., and Cross, T. L. (2017) ‘A Comparison of Perceptions of Barriers to Academic Success Among High-Ability Students </w:t>
      </w:r>
      <w:proofErr w:type="gramStart"/>
      <w:r w:rsidRPr="006F0EF0">
        <w:rPr>
          <w:rFonts w:ascii="Arial" w:hAnsi="Arial" w:cs="Arial"/>
        </w:rPr>
        <w:t>From</w:t>
      </w:r>
      <w:proofErr w:type="gramEnd"/>
      <w:r w:rsidRPr="006F0EF0">
        <w:rPr>
          <w:rFonts w:ascii="Arial" w:hAnsi="Arial" w:cs="Arial"/>
        </w:rPr>
        <w:t xml:space="preserve"> High- and Low-Income Groups: Exposing Poverty of a Different Kind.’ </w:t>
      </w:r>
      <w:r w:rsidRPr="006F0EF0">
        <w:rPr>
          <w:rFonts w:ascii="Arial" w:hAnsi="Arial" w:cs="Arial"/>
          <w:i/>
          <w:iCs/>
        </w:rPr>
        <w:t>Gifted Child Quarterly</w:t>
      </w:r>
      <w:r w:rsidRPr="006F0EF0">
        <w:rPr>
          <w:rFonts w:ascii="Arial" w:hAnsi="Arial" w:cs="Arial"/>
        </w:rPr>
        <w:t>, </w:t>
      </w:r>
      <w:r w:rsidRPr="006F0EF0">
        <w:rPr>
          <w:rFonts w:ascii="Arial" w:hAnsi="Arial" w:cs="Arial"/>
          <w:i/>
          <w:iCs/>
        </w:rPr>
        <w:t xml:space="preserve">62 </w:t>
      </w:r>
      <w:r w:rsidRPr="006F0EF0">
        <w:rPr>
          <w:rFonts w:ascii="Arial" w:hAnsi="Arial" w:cs="Arial"/>
        </w:rPr>
        <w:t>(1), pp, 111-129. Available at:  </w:t>
      </w:r>
      <w:hyperlink r:id="rId27" w:history="1">
        <w:r w:rsidRPr="006F0EF0">
          <w:rPr>
            <w:rStyle w:val="Hyperlink"/>
            <w:rFonts w:ascii="Arial" w:hAnsi="Arial" w:cs="Arial"/>
            <w:color w:val="auto"/>
            <w:u w:val="none"/>
          </w:rPr>
          <w:t>https://doi.org/10.1177/0016986217738050</w:t>
        </w:r>
      </w:hyperlink>
      <w:r w:rsidRPr="006F0EF0">
        <w:rPr>
          <w:rFonts w:ascii="Arial" w:hAnsi="Arial" w:cs="Arial"/>
        </w:rPr>
        <w:t>. Accessed on: 28/04/2025.</w:t>
      </w:r>
    </w:p>
    <w:p w14:paraId="44FB4185"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 </w:t>
      </w:r>
    </w:p>
    <w:p w14:paraId="760D521F" w14:textId="77777777" w:rsidR="000B34D2" w:rsidRPr="006F0EF0" w:rsidRDefault="000B34D2" w:rsidP="005E479C">
      <w:pPr>
        <w:pStyle w:val="NoSpacing"/>
        <w:spacing w:before="30" w:after="30"/>
        <w:ind w:left="850" w:right="850"/>
        <w:rPr>
          <w:rFonts w:ascii="Arial" w:hAnsi="Arial" w:cs="Arial"/>
          <w:i/>
          <w:iCs/>
        </w:rPr>
      </w:pPr>
      <w:r w:rsidRPr="006F0EF0">
        <w:rPr>
          <w:rFonts w:ascii="Arial" w:hAnsi="Arial" w:cs="Arial"/>
          <w:i/>
          <w:iCs/>
        </w:rPr>
        <w:t xml:space="preserve">Davies, J.(2024) </w:t>
      </w:r>
      <w:r w:rsidRPr="006F0EF0">
        <w:rPr>
          <w:rFonts w:ascii="Arial" w:eastAsia="Times New Roman" w:hAnsi="Arial" w:cs="Arial"/>
          <w:i/>
          <w:iCs/>
          <w:kern w:val="0"/>
          <w:lang w:eastAsia="en-GB"/>
          <w14:ligatures w14:val="none"/>
        </w:rPr>
        <w:t>Time for progress on child poverty to be a priority</w:t>
      </w:r>
      <w:r w:rsidRPr="006F0EF0">
        <w:rPr>
          <w:rFonts w:ascii="Arial" w:hAnsi="Arial" w:cs="Arial"/>
          <w:i/>
          <w:iCs/>
        </w:rPr>
        <w:t xml:space="preserve">. Available at: </w:t>
      </w:r>
      <w:hyperlink r:id="rId28" w:history="1">
        <w:r w:rsidRPr="006F0EF0">
          <w:rPr>
            <w:rStyle w:val="Hyperlink"/>
            <w:rFonts w:ascii="Arial" w:hAnsi="Arial" w:cs="Arial"/>
            <w:i/>
            <w:iCs/>
          </w:rPr>
          <w:t>https://www.bevanfoundation.org/views/time-for-progress-on-child-poverty-to-be-a-priority/</w:t>
        </w:r>
      </w:hyperlink>
      <w:r w:rsidRPr="006F0EF0">
        <w:rPr>
          <w:rFonts w:ascii="Arial" w:hAnsi="Arial" w:cs="Arial"/>
        </w:rPr>
        <w:t>. Accessed on: 20/04/2025.</w:t>
      </w:r>
    </w:p>
    <w:p w14:paraId="7814620C" w14:textId="77777777" w:rsidR="000B34D2" w:rsidRPr="006F0EF0" w:rsidRDefault="000B34D2" w:rsidP="005E479C">
      <w:pPr>
        <w:pStyle w:val="NoSpacing"/>
        <w:spacing w:before="30" w:after="30"/>
        <w:ind w:left="850" w:right="850"/>
        <w:rPr>
          <w:rFonts w:ascii="Arial" w:hAnsi="Arial" w:cs="Arial"/>
          <w:i/>
          <w:iCs/>
        </w:rPr>
      </w:pPr>
    </w:p>
    <w:p w14:paraId="4102710D"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Denicolo, P., Long, T., and Bradley-Cole, K. (2016) ‘Linking philosophy and theory to research purpose.’ </w:t>
      </w:r>
      <w:r w:rsidRPr="006F0EF0">
        <w:rPr>
          <w:rFonts w:ascii="Arial" w:hAnsi="Arial" w:cs="Arial"/>
          <w:i/>
          <w:iCs/>
        </w:rPr>
        <w:t>Linking philosophy and theory to research purpose</w:t>
      </w:r>
      <w:r w:rsidRPr="006F0EF0">
        <w:rPr>
          <w:rFonts w:ascii="Arial" w:hAnsi="Arial" w:cs="Arial"/>
        </w:rPr>
        <w:t xml:space="preserve">, pp. 25-3. Available at: </w:t>
      </w:r>
      <w:hyperlink r:id="rId29" w:history="1">
        <w:r w:rsidRPr="006F0EF0">
          <w:rPr>
            <w:rStyle w:val="Hyperlink"/>
            <w:rFonts w:ascii="Arial" w:hAnsi="Arial" w:cs="Arial"/>
          </w:rPr>
          <w:t>https://doi.org/10.4135/9781526402660.n3</w:t>
        </w:r>
      </w:hyperlink>
      <w:r w:rsidRPr="006F0EF0">
        <w:rPr>
          <w:rFonts w:ascii="Arial" w:hAnsi="Arial" w:cs="Arial"/>
        </w:rPr>
        <w:t>. Accessed on: 24/04/2025.</w:t>
      </w:r>
    </w:p>
    <w:p w14:paraId="15B7E1F5" w14:textId="77777777" w:rsidR="000B34D2" w:rsidRPr="006F0EF0" w:rsidRDefault="000B34D2" w:rsidP="005E479C">
      <w:pPr>
        <w:pStyle w:val="NoSpacing"/>
        <w:spacing w:before="30" w:after="30"/>
        <w:ind w:left="850" w:right="850"/>
        <w:rPr>
          <w:rFonts w:ascii="Arial" w:hAnsi="Arial" w:cs="Arial"/>
        </w:rPr>
      </w:pPr>
    </w:p>
    <w:p w14:paraId="4A642C80" w14:textId="77777777" w:rsidR="000B34D2" w:rsidRPr="006F0EF0" w:rsidRDefault="000B34D2" w:rsidP="005E479C">
      <w:pPr>
        <w:pStyle w:val="NoSpacing"/>
        <w:spacing w:before="30" w:after="30"/>
        <w:ind w:left="850" w:right="850"/>
        <w:rPr>
          <w:rFonts w:ascii="Arial" w:hAnsi="Arial" w:cs="Arial"/>
        </w:rPr>
      </w:pPr>
      <w:hyperlink r:id="rId30" w:history="1">
        <w:r w:rsidRPr="006F0EF0">
          <w:rPr>
            <w:rStyle w:val="Hyperlink"/>
            <w:rFonts w:ascii="Arial" w:hAnsi="Arial" w:cs="Arial"/>
            <w:color w:val="auto"/>
            <w:u w:val="none"/>
          </w:rPr>
          <w:t>Department for Work and Pensions</w:t>
        </w:r>
      </w:hyperlink>
      <w:r w:rsidRPr="006F0EF0">
        <w:rPr>
          <w:rFonts w:ascii="Arial" w:hAnsi="Arial" w:cs="Arial"/>
        </w:rPr>
        <w:t>. (2017</w:t>
      </w:r>
      <w:r w:rsidRPr="006F0EF0">
        <w:rPr>
          <w:rFonts w:ascii="Arial" w:hAnsi="Arial" w:cs="Arial"/>
          <w:i/>
          <w:iCs/>
        </w:rPr>
        <w:t>) Families with more than 2 children: claiming benefits.</w:t>
      </w:r>
      <w:r w:rsidRPr="006F0EF0">
        <w:rPr>
          <w:rFonts w:ascii="Arial" w:hAnsi="Arial" w:cs="Arial"/>
        </w:rPr>
        <w:t xml:space="preserve"> Available at: </w:t>
      </w:r>
      <w:hyperlink r:id="rId31" w:history="1">
        <w:r w:rsidRPr="006F0EF0">
          <w:rPr>
            <w:rStyle w:val="Hyperlink"/>
            <w:rFonts w:ascii="Arial" w:hAnsi="Arial" w:cs="Arial"/>
          </w:rPr>
          <w:t>https://www.gov.uk/guidance/claiming-benefits-for-2-or-more-children</w:t>
        </w:r>
      </w:hyperlink>
      <w:r w:rsidRPr="006F0EF0">
        <w:rPr>
          <w:rFonts w:ascii="Arial" w:hAnsi="Arial" w:cs="Arial"/>
        </w:rPr>
        <w:t>. Accessed on: 28/04/2025.</w:t>
      </w:r>
    </w:p>
    <w:p w14:paraId="000C02B2" w14:textId="77777777" w:rsidR="000B34D2" w:rsidRPr="006F0EF0" w:rsidRDefault="000B34D2" w:rsidP="005E479C">
      <w:pPr>
        <w:pStyle w:val="NoSpacing"/>
        <w:spacing w:before="30" w:after="30"/>
        <w:ind w:left="850" w:right="850"/>
        <w:rPr>
          <w:rFonts w:ascii="Arial" w:hAnsi="Arial" w:cs="Arial"/>
        </w:rPr>
      </w:pPr>
    </w:p>
    <w:p w14:paraId="67D0121F"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Dhillon, J.K., and Thomas, N. (2019) ‘Ethics of engagement and insider-outsider perspectives: issues and dilemmas in cross-cultural interpretation.’ </w:t>
      </w:r>
      <w:r w:rsidRPr="006F0EF0">
        <w:rPr>
          <w:rFonts w:ascii="Arial" w:hAnsi="Arial" w:cs="Arial"/>
          <w:i/>
          <w:iCs/>
        </w:rPr>
        <w:t>International journal of research and method in education</w:t>
      </w:r>
      <w:r w:rsidRPr="006F0EF0">
        <w:rPr>
          <w:rFonts w:ascii="Arial" w:hAnsi="Arial" w:cs="Arial"/>
        </w:rPr>
        <w:t>, 42 (4), pp, 442–453.  Available at: doi:10.1080/1743727X.2018.1533939. . Accessed on: 28/04/2025.</w:t>
      </w:r>
    </w:p>
    <w:p w14:paraId="34541697" w14:textId="77777777" w:rsidR="000B34D2" w:rsidRPr="006F0EF0" w:rsidRDefault="000B34D2" w:rsidP="005E479C">
      <w:pPr>
        <w:pStyle w:val="NoSpacing"/>
        <w:spacing w:before="30" w:after="30"/>
        <w:ind w:left="850" w:right="850"/>
        <w:rPr>
          <w:rFonts w:ascii="Arial" w:hAnsi="Arial" w:cs="Arial"/>
        </w:rPr>
      </w:pPr>
    </w:p>
    <w:p w14:paraId="18F3727A"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Dinishak, J. (2016) ‘The Deficit View and Its Critics.’ </w:t>
      </w:r>
      <w:r w:rsidRPr="006F0EF0">
        <w:rPr>
          <w:rFonts w:ascii="Arial" w:hAnsi="Arial" w:cs="Arial"/>
          <w:i/>
          <w:iCs/>
        </w:rPr>
        <w:t>Disability Studies Quarterly.</w:t>
      </w:r>
      <w:r w:rsidRPr="006F0EF0">
        <w:rPr>
          <w:rFonts w:ascii="Arial" w:hAnsi="Arial" w:cs="Arial"/>
        </w:rPr>
        <w:t xml:space="preserve"> 36 (4). Available at: </w:t>
      </w:r>
      <w:hyperlink r:id="rId32" w:history="1">
        <w:r w:rsidRPr="006F0EF0">
          <w:rPr>
            <w:rStyle w:val="Hyperlink"/>
            <w:rFonts w:ascii="Arial" w:hAnsi="Arial" w:cs="Arial"/>
          </w:rPr>
          <w:t>https://dsq-sds.org/index.php/dsq/article/view/5236/4475</w:t>
        </w:r>
      </w:hyperlink>
      <w:r w:rsidRPr="006F0EF0">
        <w:rPr>
          <w:rFonts w:ascii="Arial" w:hAnsi="Arial" w:cs="Arial"/>
        </w:rPr>
        <w:t>. Accessed on: 20/04/2025.</w:t>
      </w:r>
    </w:p>
    <w:p w14:paraId="4E7B8112" w14:textId="77777777" w:rsidR="000B34D2" w:rsidRPr="006F0EF0" w:rsidRDefault="000B34D2" w:rsidP="005E479C">
      <w:pPr>
        <w:pStyle w:val="NoSpacing"/>
        <w:spacing w:before="30" w:after="30"/>
        <w:ind w:left="850" w:right="850"/>
        <w:rPr>
          <w:rFonts w:ascii="Arial" w:hAnsi="Arial" w:cs="Arial"/>
        </w:rPr>
      </w:pPr>
    </w:p>
    <w:p w14:paraId="731365B4" w14:textId="77777777" w:rsidR="000B34D2" w:rsidRPr="006F0EF0" w:rsidRDefault="000B34D2" w:rsidP="005E479C">
      <w:pPr>
        <w:pStyle w:val="NoSpacing"/>
        <w:spacing w:before="30" w:after="30"/>
        <w:ind w:left="850" w:right="850"/>
        <w:rPr>
          <w:rFonts w:ascii="Arial" w:hAnsi="Arial" w:cs="Arial"/>
        </w:rPr>
      </w:pPr>
      <w:bookmarkStart w:id="0" w:name="_Hlk197102797"/>
      <w:r w:rsidRPr="006F0EF0">
        <w:rPr>
          <w:rFonts w:ascii="Arial" w:hAnsi="Arial" w:cs="Arial"/>
        </w:rPr>
        <w:t xml:space="preserve">Emerson, R. W. (2021) </w:t>
      </w:r>
      <w:bookmarkEnd w:id="0"/>
      <w:r w:rsidRPr="006F0EF0">
        <w:rPr>
          <w:rFonts w:ascii="Arial" w:hAnsi="Arial" w:cs="Arial"/>
        </w:rPr>
        <w:t>‘Convenience sampling revisited: Embracing its limitations through thoughtful study design.’ </w:t>
      </w:r>
      <w:r w:rsidRPr="006F0EF0">
        <w:rPr>
          <w:rFonts w:ascii="Arial" w:hAnsi="Arial" w:cs="Arial"/>
          <w:i/>
          <w:iCs/>
        </w:rPr>
        <w:t>Journal of visual impairment and blindness</w:t>
      </w:r>
      <w:r w:rsidRPr="006F0EF0">
        <w:rPr>
          <w:rFonts w:ascii="Arial" w:hAnsi="Arial" w:cs="Arial"/>
        </w:rPr>
        <w:t>, </w:t>
      </w:r>
      <w:r w:rsidRPr="006F0EF0">
        <w:rPr>
          <w:rFonts w:ascii="Arial" w:hAnsi="Arial" w:cs="Arial"/>
          <w:i/>
          <w:iCs/>
        </w:rPr>
        <w:t>115</w:t>
      </w:r>
      <w:r w:rsidRPr="006F0EF0">
        <w:rPr>
          <w:rFonts w:ascii="Arial" w:hAnsi="Arial" w:cs="Arial"/>
        </w:rPr>
        <w:t xml:space="preserve">(1), pp, 76-77. Available at: </w:t>
      </w:r>
      <w:hyperlink r:id="rId33" w:history="1">
        <w:r w:rsidRPr="006F0EF0">
          <w:rPr>
            <w:rStyle w:val="Hyperlink"/>
            <w:rFonts w:ascii="Arial" w:hAnsi="Arial" w:cs="Arial"/>
          </w:rPr>
          <w:t>https://doi.org/10.1177/0145482X20987707</w:t>
        </w:r>
      </w:hyperlink>
      <w:r w:rsidRPr="006F0EF0">
        <w:rPr>
          <w:rFonts w:ascii="Arial" w:hAnsi="Arial" w:cs="Arial"/>
        </w:rPr>
        <w:t>. Accessed on: 20/04/2025.</w:t>
      </w:r>
    </w:p>
    <w:p w14:paraId="4A31A63F" w14:textId="77777777" w:rsidR="000B34D2" w:rsidRPr="006F0EF0" w:rsidRDefault="000B34D2" w:rsidP="005E479C">
      <w:pPr>
        <w:pStyle w:val="NoSpacing"/>
        <w:spacing w:before="30" w:after="30"/>
        <w:ind w:left="850" w:right="850"/>
        <w:rPr>
          <w:rFonts w:ascii="Arial" w:hAnsi="Arial" w:cs="Arial"/>
        </w:rPr>
      </w:pPr>
    </w:p>
    <w:p w14:paraId="6DC3A277"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Faculty of Sexual and Reproductive Healthcare. (2024) </w:t>
      </w:r>
      <w:r w:rsidRPr="006F0EF0">
        <w:rPr>
          <w:rFonts w:ascii="Arial" w:hAnsi="Arial" w:cs="Arial"/>
          <w:i/>
          <w:iCs/>
        </w:rPr>
        <w:t>Office for National Statistics release England and Wales conception data for under-18s, January to June 2022.</w:t>
      </w:r>
      <w:r w:rsidRPr="006F0EF0">
        <w:rPr>
          <w:rFonts w:ascii="Arial" w:hAnsi="Arial" w:cs="Arial"/>
        </w:rPr>
        <w:t xml:space="preserve"> Available at: </w:t>
      </w:r>
      <w:hyperlink r:id="rId34" w:anchor=":~:text=These%20statistics%2C%20at%20national%20and,opportunity%20to%20make%20informed%20choices" w:history="1">
        <w:r w:rsidRPr="006F0EF0">
          <w:rPr>
            <w:rStyle w:val="Hyperlink"/>
            <w:rFonts w:ascii="Arial" w:hAnsi="Arial" w:cs="Arial"/>
          </w:rPr>
          <w:t>https://www.fsrh.org/Public/Public/News/Articles/Office-for-National-Statistics-release-England-and-Wales-conception-data-for-under-18s-Q1-Q2-</w:t>
        </w:r>
        <w:r w:rsidRPr="006F0EF0">
          <w:rPr>
            <w:rStyle w:val="Hyperlink"/>
            <w:rFonts w:ascii="Arial" w:hAnsi="Arial" w:cs="Arial"/>
          </w:rPr>
          <w:lastRenderedPageBreak/>
          <w:t>2024.aspx#:~:text=These%20statistics%2C%20at%20national%20and,opportunity%20to%20make%20informed%20choices</w:t>
        </w:r>
      </w:hyperlink>
      <w:r w:rsidRPr="006F0EF0">
        <w:rPr>
          <w:rFonts w:ascii="Arial" w:hAnsi="Arial" w:cs="Arial"/>
        </w:rPr>
        <w:t>. Accessed on: 08/04/2025.</w:t>
      </w:r>
    </w:p>
    <w:p w14:paraId="053C986F" w14:textId="77777777" w:rsidR="000B34D2" w:rsidRPr="006F0EF0" w:rsidRDefault="000B34D2" w:rsidP="005E479C">
      <w:pPr>
        <w:pStyle w:val="NoSpacing"/>
        <w:spacing w:before="30" w:after="30"/>
        <w:ind w:left="850" w:right="850"/>
        <w:rPr>
          <w:rFonts w:ascii="Arial" w:hAnsi="Arial" w:cs="Arial"/>
        </w:rPr>
      </w:pPr>
    </w:p>
    <w:p w14:paraId="00B08EB4"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Firmansyah, D. and </w:t>
      </w:r>
      <w:proofErr w:type="spellStart"/>
      <w:r w:rsidRPr="006F0EF0">
        <w:rPr>
          <w:rFonts w:ascii="Arial" w:hAnsi="Arial" w:cs="Arial"/>
        </w:rPr>
        <w:t>Saepuloh</w:t>
      </w:r>
      <w:proofErr w:type="spellEnd"/>
      <w:r w:rsidRPr="006F0EF0">
        <w:rPr>
          <w:rFonts w:ascii="Arial" w:hAnsi="Arial" w:cs="Arial"/>
        </w:rPr>
        <w:t>, D. (2022) ‘Social learning theory: Cognitive and behavioural approaches.’ </w:t>
      </w:r>
      <w:proofErr w:type="spellStart"/>
      <w:r w:rsidRPr="006F0EF0">
        <w:rPr>
          <w:rFonts w:ascii="Arial" w:hAnsi="Arial" w:cs="Arial"/>
          <w:i/>
          <w:iCs/>
        </w:rPr>
        <w:t>Jurnal</w:t>
      </w:r>
      <w:proofErr w:type="spellEnd"/>
      <w:r w:rsidRPr="006F0EF0">
        <w:rPr>
          <w:rFonts w:ascii="Arial" w:hAnsi="Arial" w:cs="Arial"/>
          <w:i/>
          <w:iCs/>
        </w:rPr>
        <w:t xml:space="preserve"> </w:t>
      </w:r>
      <w:proofErr w:type="spellStart"/>
      <w:r w:rsidRPr="006F0EF0">
        <w:rPr>
          <w:rFonts w:ascii="Arial" w:hAnsi="Arial" w:cs="Arial"/>
          <w:i/>
          <w:iCs/>
        </w:rPr>
        <w:t>Ilmiah</w:t>
      </w:r>
      <w:proofErr w:type="spellEnd"/>
      <w:r w:rsidRPr="006F0EF0">
        <w:rPr>
          <w:rFonts w:ascii="Arial" w:hAnsi="Arial" w:cs="Arial"/>
          <w:i/>
          <w:iCs/>
        </w:rPr>
        <w:t xml:space="preserve"> Pendidikan </w:t>
      </w:r>
      <w:proofErr w:type="spellStart"/>
      <w:r w:rsidRPr="006F0EF0">
        <w:rPr>
          <w:rFonts w:ascii="Arial" w:hAnsi="Arial" w:cs="Arial"/>
          <w:i/>
          <w:iCs/>
        </w:rPr>
        <w:t>Holistik</w:t>
      </w:r>
      <w:proofErr w:type="spellEnd"/>
      <w:r w:rsidRPr="006F0EF0">
        <w:rPr>
          <w:rFonts w:ascii="Arial" w:hAnsi="Arial" w:cs="Arial"/>
          <w:i/>
          <w:iCs/>
        </w:rPr>
        <w:t xml:space="preserve">. 1 </w:t>
      </w:r>
      <w:r w:rsidRPr="006F0EF0">
        <w:rPr>
          <w:rFonts w:ascii="Arial" w:hAnsi="Arial" w:cs="Arial"/>
        </w:rPr>
        <w:t xml:space="preserve">(3), pp.297-324. Available at: </w:t>
      </w:r>
      <w:hyperlink r:id="rId35" w:history="1">
        <w:r w:rsidRPr="006F0EF0">
          <w:rPr>
            <w:rStyle w:val="Hyperlink"/>
            <w:rFonts w:ascii="Arial" w:hAnsi="Arial" w:cs="Arial"/>
          </w:rPr>
          <w:t>https://www.researchgate.net/profile/Deri-Firmansyah/publication/367220348_Social_Learning_Theory_Cognitive_and_Behavioral_Approaches/links/63ef71a319130a1a4a893997/Social-Learning-Theory-Cognitive-and-Behavioral-Approaches.pdf</w:t>
        </w:r>
      </w:hyperlink>
      <w:r w:rsidRPr="006F0EF0">
        <w:rPr>
          <w:rFonts w:ascii="Arial" w:hAnsi="Arial" w:cs="Arial"/>
        </w:rPr>
        <w:t>. Accessed on: 22/04/2025.</w:t>
      </w:r>
    </w:p>
    <w:p w14:paraId="105F4199" w14:textId="77777777" w:rsidR="000B34D2" w:rsidRPr="006F0EF0" w:rsidRDefault="000B34D2" w:rsidP="005E479C">
      <w:pPr>
        <w:pStyle w:val="NoSpacing"/>
        <w:spacing w:before="30" w:after="30"/>
        <w:ind w:left="850" w:right="850"/>
        <w:rPr>
          <w:rFonts w:ascii="Arial" w:hAnsi="Arial" w:cs="Arial"/>
        </w:rPr>
      </w:pPr>
    </w:p>
    <w:p w14:paraId="31643285" w14:textId="77777777" w:rsidR="000B34D2" w:rsidRPr="006F0EF0" w:rsidRDefault="000B34D2" w:rsidP="005E479C">
      <w:pPr>
        <w:pStyle w:val="NoSpacing"/>
        <w:spacing w:before="30" w:after="30"/>
        <w:ind w:left="850" w:right="850"/>
        <w:rPr>
          <w:rFonts w:ascii="Arial" w:hAnsi="Arial" w:cs="Arial"/>
        </w:rPr>
      </w:pPr>
    </w:p>
    <w:p w14:paraId="6BF2F689"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Gill, P. and Baillie, J. (2018) ‘Interviews and focus groups </w:t>
      </w:r>
      <w:proofErr w:type="gramStart"/>
      <w:r w:rsidRPr="006F0EF0">
        <w:rPr>
          <w:rFonts w:ascii="Arial" w:hAnsi="Arial" w:cs="Arial"/>
        </w:rPr>
        <w:t>in</w:t>
      </w:r>
      <w:proofErr w:type="gramEnd"/>
      <w:r w:rsidRPr="006F0EF0">
        <w:rPr>
          <w:rFonts w:ascii="Arial" w:hAnsi="Arial" w:cs="Arial"/>
        </w:rPr>
        <w:t xml:space="preserve"> qualitative research: an update for the digital age.’ </w:t>
      </w:r>
      <w:r w:rsidRPr="006F0EF0">
        <w:rPr>
          <w:rFonts w:ascii="Arial" w:hAnsi="Arial" w:cs="Arial"/>
          <w:i/>
          <w:iCs/>
        </w:rPr>
        <w:t>British dental journal</w:t>
      </w:r>
      <w:r w:rsidRPr="006F0EF0">
        <w:rPr>
          <w:rFonts w:ascii="Arial" w:hAnsi="Arial" w:cs="Arial"/>
        </w:rPr>
        <w:t>, </w:t>
      </w:r>
      <w:r w:rsidRPr="006F0EF0">
        <w:rPr>
          <w:rFonts w:ascii="Arial" w:hAnsi="Arial" w:cs="Arial"/>
          <w:i/>
          <w:iCs/>
        </w:rPr>
        <w:t xml:space="preserve">225 </w:t>
      </w:r>
      <w:r w:rsidRPr="006F0EF0">
        <w:rPr>
          <w:rFonts w:ascii="Arial" w:hAnsi="Arial" w:cs="Arial"/>
        </w:rPr>
        <w:t>(7), pp.668-672. Available at: https://www.nature.com/articles/sj.bdj.2018.815.pdf. Accessed on: 16/04/2025.</w:t>
      </w:r>
    </w:p>
    <w:p w14:paraId="62E8E2A3" w14:textId="77777777" w:rsidR="000B34D2" w:rsidRPr="006F0EF0" w:rsidRDefault="000B34D2" w:rsidP="005E479C">
      <w:pPr>
        <w:pStyle w:val="NoSpacing"/>
        <w:spacing w:before="30" w:after="30"/>
        <w:ind w:left="850" w:right="850"/>
        <w:rPr>
          <w:rFonts w:ascii="Arial" w:hAnsi="Arial" w:cs="Arial"/>
        </w:rPr>
      </w:pPr>
    </w:p>
    <w:p w14:paraId="1B4B6900"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Glaw, X., Inder, K., Kable, A., and Hazelton, M. (2017) ‘Visual Methodologies in Qualitative Research.’ </w:t>
      </w:r>
      <w:r w:rsidRPr="006F0EF0">
        <w:rPr>
          <w:rFonts w:ascii="Arial" w:hAnsi="Arial" w:cs="Arial"/>
          <w:i/>
          <w:iCs/>
        </w:rPr>
        <w:t>International Journal of Qualitative Methods</w:t>
      </w:r>
      <w:r w:rsidRPr="006F0EF0">
        <w:rPr>
          <w:rFonts w:ascii="Arial" w:hAnsi="Arial" w:cs="Arial"/>
        </w:rPr>
        <w:t xml:space="preserve">. Available at: </w:t>
      </w:r>
      <w:hyperlink r:id="rId36" w:history="1">
        <w:r w:rsidRPr="006F0EF0">
          <w:rPr>
            <w:rStyle w:val="Hyperlink"/>
            <w:rFonts w:ascii="Arial" w:hAnsi="Arial" w:cs="Arial"/>
          </w:rPr>
          <w:t>https://doi.org/10.1177/1609406917748215</w:t>
        </w:r>
      </w:hyperlink>
      <w:r w:rsidRPr="006F0EF0">
        <w:rPr>
          <w:rFonts w:ascii="Arial" w:hAnsi="Arial" w:cs="Arial"/>
        </w:rPr>
        <w:t>. Accessed on: 08/04/2025.</w:t>
      </w:r>
    </w:p>
    <w:p w14:paraId="3707DA0D" w14:textId="77777777" w:rsidR="000B34D2" w:rsidRPr="006F0EF0" w:rsidRDefault="000B34D2" w:rsidP="005E479C">
      <w:pPr>
        <w:pStyle w:val="NoSpacing"/>
        <w:spacing w:before="30" w:after="30"/>
        <w:ind w:left="850" w:right="850"/>
        <w:rPr>
          <w:rFonts w:ascii="Arial" w:hAnsi="Arial" w:cs="Arial"/>
        </w:rPr>
      </w:pPr>
    </w:p>
    <w:p w14:paraId="4344EF47"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Guest, Greg, Emily Namey, Jamilah Taylor, Natalie Eley, and Kevin McKenna. (2017) ‘Comparing Focus Groups and Individual Interviews: Findings from a Randomized Study.’ </w:t>
      </w:r>
      <w:r w:rsidRPr="006F0EF0">
        <w:rPr>
          <w:rFonts w:ascii="Arial" w:hAnsi="Arial" w:cs="Arial"/>
          <w:i/>
          <w:iCs/>
        </w:rPr>
        <w:t>International Journal of Social Research Methodology</w:t>
      </w:r>
      <w:r w:rsidRPr="006F0EF0">
        <w:rPr>
          <w:rFonts w:ascii="Arial" w:hAnsi="Arial" w:cs="Arial"/>
        </w:rPr>
        <w:t> 20 (6), pp 693–708. DOI:10.1080/13645579.2017.1281601. Accessed on: 08/04/2025.</w:t>
      </w:r>
    </w:p>
    <w:p w14:paraId="469C465E" w14:textId="77777777" w:rsidR="000B34D2" w:rsidRPr="006F0EF0" w:rsidRDefault="000B34D2" w:rsidP="005E479C">
      <w:pPr>
        <w:pStyle w:val="NoSpacing"/>
        <w:spacing w:before="30" w:after="30"/>
        <w:ind w:left="850" w:right="850"/>
        <w:rPr>
          <w:rFonts w:ascii="Arial" w:hAnsi="Arial" w:cs="Arial"/>
        </w:rPr>
      </w:pPr>
    </w:p>
    <w:p w14:paraId="74445A3D"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Greene, C. A., Haisley, L., Wallace, C., and Ford, J. D. (2020) ‘Intergenerational effects of childhood maltreatment: A systematic review of the parenting practices of adult survivors of childhood abuse, neglect, and violence.’ </w:t>
      </w:r>
      <w:r w:rsidRPr="006F0EF0">
        <w:rPr>
          <w:rFonts w:ascii="Arial" w:hAnsi="Arial" w:cs="Arial"/>
          <w:i/>
          <w:iCs/>
        </w:rPr>
        <w:t>Clinical Psychology Review</w:t>
      </w:r>
      <w:r w:rsidRPr="006F0EF0">
        <w:rPr>
          <w:rFonts w:ascii="Arial" w:hAnsi="Arial" w:cs="Arial"/>
        </w:rPr>
        <w:t xml:space="preserve">. Available at: </w:t>
      </w:r>
      <w:hyperlink r:id="rId37" w:history="1">
        <w:r w:rsidRPr="006F0EF0">
          <w:rPr>
            <w:rStyle w:val="Hyperlink"/>
            <w:rFonts w:ascii="Arial" w:hAnsi="Arial" w:cs="Arial"/>
          </w:rPr>
          <w:t>https://doi.org/10.1016/j.cpr.2020.101891</w:t>
        </w:r>
      </w:hyperlink>
      <w:r w:rsidRPr="006F0EF0">
        <w:rPr>
          <w:rFonts w:ascii="Arial" w:hAnsi="Arial" w:cs="Arial"/>
        </w:rPr>
        <w:t>. Accessed on: 16/04/2025.</w:t>
      </w:r>
    </w:p>
    <w:p w14:paraId="7D46CB0B" w14:textId="77777777" w:rsidR="000B34D2" w:rsidRPr="006F0EF0" w:rsidRDefault="000B34D2" w:rsidP="005E479C">
      <w:pPr>
        <w:pStyle w:val="NoSpacing"/>
        <w:spacing w:before="30" w:after="30"/>
        <w:ind w:left="850" w:right="850"/>
        <w:rPr>
          <w:rFonts w:ascii="Arial" w:hAnsi="Arial" w:cs="Arial"/>
        </w:rPr>
      </w:pPr>
    </w:p>
    <w:p w14:paraId="1FE872FD"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Harvard Centre on the Developing Child. (2018) </w:t>
      </w:r>
      <w:r w:rsidRPr="006F0EF0">
        <w:rPr>
          <w:rFonts w:ascii="Arial" w:hAnsi="Arial" w:cs="Arial"/>
          <w:i/>
          <w:iCs/>
        </w:rPr>
        <w:t>ACEs and Toxic Stress.</w:t>
      </w:r>
      <w:r w:rsidRPr="006F0EF0">
        <w:rPr>
          <w:rFonts w:ascii="Arial" w:hAnsi="Arial" w:cs="Arial"/>
        </w:rPr>
        <w:t xml:space="preserve"> Available at: </w:t>
      </w:r>
      <w:hyperlink r:id="rId38" w:anchor=":~:text=This%20can%20indicate%20a%20general,long%2Dterm%20effects%20of%20ACEs" w:history="1">
        <w:r w:rsidRPr="006F0EF0">
          <w:rPr>
            <w:rStyle w:val="Hyperlink"/>
            <w:rFonts w:ascii="Arial" w:hAnsi="Arial" w:cs="Arial"/>
          </w:rPr>
          <w:t>https://developingchild.harvard.edu/resources/infographics/aces-and-toxic-stress-frequently-asked-questions/#:~:text=This%20can%20indicate%20a%20general,long%2Dterm%20effects%20of%20ACEs</w:t>
        </w:r>
      </w:hyperlink>
      <w:r w:rsidRPr="006F0EF0">
        <w:rPr>
          <w:rFonts w:ascii="Arial" w:hAnsi="Arial" w:cs="Arial"/>
        </w:rPr>
        <w:t>. . Accessed on: 08/04/2025.</w:t>
      </w:r>
    </w:p>
    <w:p w14:paraId="33900F7B" w14:textId="77777777" w:rsidR="000B34D2" w:rsidRPr="006F0EF0" w:rsidRDefault="000B34D2" w:rsidP="005E479C">
      <w:pPr>
        <w:pStyle w:val="NoSpacing"/>
        <w:spacing w:before="30" w:after="30"/>
        <w:ind w:left="850" w:right="850"/>
        <w:rPr>
          <w:rFonts w:ascii="Arial" w:hAnsi="Arial" w:cs="Arial"/>
        </w:rPr>
      </w:pPr>
    </w:p>
    <w:p w14:paraId="38AEA4AC"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Harding, M. (2024) ‘Systemic guidance, help and support? It was non-existent: Teachers experiences of delivering relationships and </w:t>
      </w:r>
      <w:r w:rsidRPr="006F0EF0">
        <w:rPr>
          <w:rFonts w:ascii="Arial" w:hAnsi="Arial" w:cs="Arial"/>
        </w:rPr>
        <w:lastRenderedPageBreak/>
        <w:t xml:space="preserve">sex education for children and young people with learning difficulties.’ </w:t>
      </w:r>
      <w:r w:rsidRPr="006F0EF0">
        <w:rPr>
          <w:rFonts w:ascii="Arial" w:hAnsi="Arial" w:cs="Arial"/>
          <w:i/>
          <w:iCs/>
        </w:rPr>
        <w:t>Doctoral dissertation, University of Essex &amp; Tavistock and Portman NHS Foundation Trust.</w:t>
      </w:r>
      <w:r w:rsidRPr="006F0EF0">
        <w:rPr>
          <w:rFonts w:ascii="Arial" w:hAnsi="Arial" w:cs="Arial"/>
        </w:rPr>
        <w:t xml:space="preserve"> Available at: </w:t>
      </w:r>
      <w:hyperlink r:id="rId39" w:history="1">
        <w:r w:rsidRPr="006F0EF0">
          <w:rPr>
            <w:rStyle w:val="Hyperlink"/>
            <w:rFonts w:ascii="Arial" w:hAnsi="Arial" w:cs="Arial"/>
            <w:color w:val="auto"/>
            <w:u w:val="none"/>
          </w:rPr>
          <w:t>https://repository.essex.ac.uk/38990/</w:t>
        </w:r>
      </w:hyperlink>
      <w:r w:rsidRPr="006F0EF0">
        <w:rPr>
          <w:rFonts w:ascii="Arial" w:hAnsi="Arial" w:cs="Arial"/>
        </w:rPr>
        <w:t>. Accessed on: 15/04/2025.</w:t>
      </w:r>
    </w:p>
    <w:p w14:paraId="1EF01CCC" w14:textId="77777777" w:rsidR="000B34D2" w:rsidRPr="006F0EF0" w:rsidRDefault="000B34D2" w:rsidP="005E479C">
      <w:pPr>
        <w:pStyle w:val="NoSpacing"/>
        <w:spacing w:before="30" w:after="30"/>
        <w:ind w:left="850" w:right="850"/>
        <w:rPr>
          <w:rFonts w:ascii="Arial" w:hAnsi="Arial" w:cs="Arial"/>
        </w:rPr>
      </w:pPr>
    </w:p>
    <w:p w14:paraId="7C8D8E6E"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Hou, J., Yu, L., Fang, X., and Epstein, N. B. (2015). The intergenerational transmission of domestic violence: the role that gender plays in attribution and consequent intimate partner violence. </w:t>
      </w:r>
      <w:r w:rsidRPr="006F0EF0">
        <w:rPr>
          <w:rFonts w:ascii="Arial" w:hAnsi="Arial" w:cs="Arial"/>
          <w:i/>
          <w:iCs/>
        </w:rPr>
        <w:t>Journal of Family Studies</w:t>
      </w:r>
      <w:r w:rsidRPr="006F0EF0">
        <w:rPr>
          <w:rFonts w:ascii="Arial" w:hAnsi="Arial" w:cs="Arial"/>
        </w:rPr>
        <w:t>, </w:t>
      </w:r>
      <w:r w:rsidRPr="006F0EF0">
        <w:rPr>
          <w:rFonts w:ascii="Arial" w:hAnsi="Arial" w:cs="Arial"/>
          <w:i/>
          <w:iCs/>
        </w:rPr>
        <w:t>22</w:t>
      </w:r>
      <w:r w:rsidRPr="006F0EF0">
        <w:rPr>
          <w:rFonts w:ascii="Arial" w:hAnsi="Arial" w:cs="Arial"/>
        </w:rPr>
        <w:t xml:space="preserve">(2), 121–139. </w:t>
      </w:r>
      <w:hyperlink r:id="rId40" w:history="1">
        <w:r w:rsidRPr="006F0EF0">
          <w:rPr>
            <w:rStyle w:val="Hyperlink"/>
            <w:rFonts w:ascii="Arial" w:hAnsi="Arial" w:cs="Arial"/>
            <w:color w:val="auto"/>
            <w:u w:val="none"/>
          </w:rPr>
          <w:t>https://doi.org/10.1080/13229400.2015.1045923</w:t>
        </w:r>
      </w:hyperlink>
      <w:r w:rsidRPr="006F0EF0">
        <w:rPr>
          <w:rFonts w:ascii="Arial" w:hAnsi="Arial" w:cs="Arial"/>
        </w:rPr>
        <w:t>. Accessed on: 08/04/2025.</w:t>
      </w:r>
    </w:p>
    <w:p w14:paraId="5D9E075F" w14:textId="77777777" w:rsidR="000B34D2" w:rsidRPr="006F0EF0" w:rsidRDefault="000B34D2" w:rsidP="005E479C">
      <w:pPr>
        <w:pStyle w:val="NoSpacing"/>
        <w:spacing w:before="30" w:after="30"/>
        <w:ind w:left="850" w:right="850"/>
        <w:rPr>
          <w:rFonts w:ascii="Arial" w:hAnsi="Arial" w:cs="Arial"/>
        </w:rPr>
      </w:pPr>
    </w:p>
    <w:p w14:paraId="128DB9A1"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Humanists UK. (2022</w:t>
      </w:r>
      <w:r w:rsidRPr="006F0EF0">
        <w:rPr>
          <w:rFonts w:ascii="Arial" w:hAnsi="Arial" w:cs="Arial"/>
          <w:i/>
          <w:iCs/>
        </w:rPr>
        <w:t>) Victory for children’s rights as High Court confirms compulsory RSE in Wales is legal.</w:t>
      </w:r>
      <w:r w:rsidRPr="006F0EF0">
        <w:rPr>
          <w:rFonts w:ascii="Arial" w:hAnsi="Arial" w:cs="Arial"/>
        </w:rPr>
        <w:t xml:space="preserve"> Available at: https://humanists.uk/2022/12/22/victory-for-childrens-rights-as-high-court-confirms-compulsory-rse-in-wales-is-legal/. Accessed on: 26/04/2025.</w:t>
      </w:r>
    </w:p>
    <w:p w14:paraId="62172177" w14:textId="77777777" w:rsidR="000B34D2" w:rsidRPr="006F0EF0" w:rsidRDefault="000B34D2" w:rsidP="005E479C">
      <w:pPr>
        <w:pStyle w:val="NoSpacing"/>
        <w:spacing w:before="30" w:after="30"/>
        <w:ind w:left="850" w:right="850"/>
        <w:rPr>
          <w:rFonts w:ascii="Arial" w:hAnsi="Arial" w:cs="Arial"/>
        </w:rPr>
      </w:pPr>
    </w:p>
    <w:p w14:paraId="2C6BB31D"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Johnson MK, </w:t>
      </w:r>
      <w:proofErr w:type="spellStart"/>
      <w:r w:rsidRPr="006F0EF0">
        <w:rPr>
          <w:rFonts w:ascii="Arial" w:hAnsi="Arial" w:cs="Arial"/>
        </w:rPr>
        <w:t>Mollborn</w:t>
      </w:r>
      <w:proofErr w:type="spellEnd"/>
      <w:r w:rsidRPr="006F0EF0">
        <w:rPr>
          <w:rFonts w:ascii="Arial" w:hAnsi="Arial" w:cs="Arial"/>
        </w:rPr>
        <w:t xml:space="preserve"> S. (2019) ‘Growing up Faster, Feeling Older: Hardship in Childhood and Adolescence.’ </w:t>
      </w:r>
      <w:r w:rsidRPr="006F0EF0">
        <w:rPr>
          <w:rFonts w:ascii="Arial" w:hAnsi="Arial" w:cs="Arial"/>
          <w:i/>
          <w:iCs/>
        </w:rPr>
        <w:t>Social Psychology.</w:t>
      </w:r>
      <w:r w:rsidRPr="006F0EF0">
        <w:rPr>
          <w:rFonts w:ascii="Arial" w:hAnsi="Arial" w:cs="Arial"/>
        </w:rPr>
        <w:t xml:space="preserve"> 72 (1), pp, 39-60. DOI:  10.1177/019027250907200105. </w:t>
      </w:r>
    </w:p>
    <w:p w14:paraId="3AC3340E" w14:textId="77777777" w:rsidR="000B34D2" w:rsidRPr="006F0EF0" w:rsidRDefault="000B34D2" w:rsidP="005E479C">
      <w:pPr>
        <w:pStyle w:val="NoSpacing"/>
        <w:spacing w:before="30" w:after="30"/>
        <w:ind w:left="850" w:right="850"/>
        <w:rPr>
          <w:rFonts w:ascii="Arial" w:hAnsi="Arial" w:cs="Arial"/>
        </w:rPr>
      </w:pPr>
    </w:p>
    <w:p w14:paraId="6DB0D2BA"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Joseph Rowntree Foundation. (2025) What is Poverty? Available at: </w:t>
      </w:r>
      <w:hyperlink r:id="rId41" w:anchor=":~:text=discrimination:%20discrimination%20against%20people%20because,a%20job%20and%20weakening%20relationships" w:history="1">
        <w:r w:rsidRPr="006F0EF0">
          <w:rPr>
            <w:rStyle w:val="Hyperlink"/>
            <w:rFonts w:ascii="Arial" w:hAnsi="Arial" w:cs="Arial"/>
            <w:color w:val="auto"/>
            <w:u w:val="none"/>
          </w:rPr>
          <w:t>https://www.jrf.org.uk/what-is-poverty#:~:text=discrimination:%20discrimination%20against%20people%20because,a%20job%20and%20weakening%20relationships</w:t>
        </w:r>
      </w:hyperlink>
      <w:r w:rsidRPr="006F0EF0">
        <w:rPr>
          <w:rFonts w:ascii="Arial" w:hAnsi="Arial" w:cs="Arial"/>
        </w:rPr>
        <w:t>. . Accessed on: 08/04/2025.</w:t>
      </w:r>
    </w:p>
    <w:p w14:paraId="33911B03" w14:textId="77777777" w:rsidR="000B34D2" w:rsidRPr="006F0EF0" w:rsidRDefault="000B34D2" w:rsidP="005E479C">
      <w:pPr>
        <w:pStyle w:val="NoSpacing"/>
        <w:spacing w:before="30" w:after="30"/>
        <w:ind w:left="850" w:right="850"/>
        <w:rPr>
          <w:rFonts w:ascii="Arial" w:hAnsi="Arial" w:cs="Arial"/>
        </w:rPr>
      </w:pPr>
    </w:p>
    <w:p w14:paraId="60C61C3A" w14:textId="77777777" w:rsidR="000B34D2" w:rsidRPr="006F0EF0" w:rsidRDefault="000B34D2" w:rsidP="005E479C">
      <w:pPr>
        <w:pStyle w:val="NoSpacing"/>
        <w:spacing w:before="30" w:after="30"/>
        <w:ind w:left="850" w:right="850"/>
        <w:rPr>
          <w:rFonts w:ascii="Arial" w:hAnsi="Arial" w:cs="Arial"/>
        </w:rPr>
      </w:pPr>
      <w:hyperlink r:id="rId42" w:history="1">
        <w:r w:rsidRPr="006F0EF0">
          <w:rPr>
            <w:rStyle w:val="Hyperlink"/>
            <w:rFonts w:ascii="Arial" w:hAnsi="Arial" w:cs="Arial"/>
            <w:color w:val="auto"/>
            <w:u w:val="none"/>
          </w:rPr>
          <w:t>Kelly</w:t>
        </w:r>
      </w:hyperlink>
      <w:r w:rsidRPr="006F0EF0">
        <w:rPr>
          <w:rFonts w:ascii="Arial" w:hAnsi="Arial" w:cs="Arial"/>
        </w:rPr>
        <w:t xml:space="preserve">, R. (2023) ‘You don't want to get anything wrong. That's the trouble isn't it’. </w:t>
      </w:r>
      <w:r w:rsidRPr="006F0EF0">
        <w:rPr>
          <w:rFonts w:ascii="Arial" w:hAnsi="Arial" w:cs="Arial"/>
          <w:i/>
          <w:iCs/>
        </w:rPr>
        <w:t xml:space="preserve">Doctoral dissertation. </w:t>
      </w:r>
      <w:r w:rsidRPr="006F0EF0">
        <w:rPr>
          <w:rFonts w:ascii="Arial" w:hAnsi="Arial" w:cs="Arial"/>
        </w:rPr>
        <w:t xml:space="preserve">Cardiff University. Available at: </w:t>
      </w:r>
      <w:hyperlink r:id="rId43" w:history="1">
        <w:r w:rsidRPr="006F0EF0">
          <w:rPr>
            <w:rStyle w:val="Hyperlink"/>
            <w:rFonts w:ascii="Arial" w:hAnsi="Arial" w:cs="Arial"/>
            <w:color w:val="auto"/>
            <w:u w:val="none"/>
          </w:rPr>
          <w:t>https://orca.cardiff.ac.uk/id/eprint/162711/</w:t>
        </w:r>
      </w:hyperlink>
      <w:r w:rsidRPr="006F0EF0">
        <w:rPr>
          <w:rFonts w:ascii="Arial" w:hAnsi="Arial" w:cs="Arial"/>
        </w:rPr>
        <w:t>. Accessed on: 16/04/2025.</w:t>
      </w:r>
    </w:p>
    <w:p w14:paraId="2B35CA9E" w14:textId="77777777" w:rsidR="000B34D2" w:rsidRPr="006F0EF0" w:rsidRDefault="000B34D2" w:rsidP="005E479C">
      <w:pPr>
        <w:pStyle w:val="NoSpacing"/>
        <w:spacing w:before="30" w:after="30"/>
        <w:ind w:left="850" w:right="850"/>
        <w:rPr>
          <w:rFonts w:ascii="Arial" w:hAnsi="Arial" w:cs="Arial"/>
        </w:rPr>
      </w:pPr>
    </w:p>
    <w:p w14:paraId="49AAD84E"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Kelly, Y.,</w:t>
      </w:r>
      <w:proofErr w:type="spellStart"/>
      <w:r w:rsidRPr="006F0EF0">
        <w:rPr>
          <w:rFonts w:ascii="Arial" w:hAnsi="Arial" w:cs="Arial"/>
        </w:rPr>
        <w:t>Zilanawala</w:t>
      </w:r>
      <w:proofErr w:type="spellEnd"/>
      <w:r w:rsidRPr="006F0EF0">
        <w:rPr>
          <w:rFonts w:ascii="Arial" w:hAnsi="Arial" w:cs="Arial"/>
        </w:rPr>
        <w:t xml:space="preserve"> A., Sacker, A, Hiatt, R. and Viner, R. (2017) ‘Early puberty in 11-year-old girls: Millennium Cohort Study findings.’ </w:t>
      </w:r>
      <w:r w:rsidRPr="006F0EF0">
        <w:rPr>
          <w:rFonts w:ascii="Arial" w:hAnsi="Arial" w:cs="Arial"/>
          <w:i/>
          <w:iCs/>
        </w:rPr>
        <w:t>Archives of Disease in Childhood</w:t>
      </w:r>
      <w:r w:rsidRPr="006F0EF0">
        <w:rPr>
          <w:rFonts w:ascii="Arial" w:hAnsi="Arial" w:cs="Arial"/>
        </w:rPr>
        <w:t>. 102. DOI:10.1136/archdischild-2016-310475. Accessed on: 08/04/2025.</w:t>
      </w:r>
    </w:p>
    <w:p w14:paraId="3A38F80F" w14:textId="77777777" w:rsidR="000B34D2" w:rsidRPr="006F0EF0" w:rsidRDefault="000B34D2" w:rsidP="005E479C">
      <w:pPr>
        <w:pStyle w:val="NoSpacing"/>
        <w:spacing w:before="30" w:after="30"/>
        <w:ind w:left="850" w:right="850"/>
        <w:rPr>
          <w:rFonts w:ascii="Arial" w:hAnsi="Arial" w:cs="Arial"/>
        </w:rPr>
      </w:pPr>
    </w:p>
    <w:p w14:paraId="36913B7B" w14:textId="77777777" w:rsidR="000B34D2" w:rsidRPr="006F0EF0" w:rsidRDefault="000B34D2" w:rsidP="005E479C">
      <w:pPr>
        <w:pStyle w:val="NoSpacing"/>
        <w:spacing w:before="30" w:after="30"/>
        <w:ind w:left="850" w:right="850"/>
        <w:rPr>
          <w:rFonts w:ascii="Arial" w:hAnsi="Arial" w:cs="Arial"/>
        </w:rPr>
      </w:pPr>
      <w:proofErr w:type="spellStart"/>
      <w:r w:rsidRPr="006F0EF0">
        <w:rPr>
          <w:rFonts w:ascii="Arial" w:hAnsi="Arial" w:cs="Arial"/>
        </w:rPr>
        <w:t>Lanchimba</w:t>
      </w:r>
      <w:proofErr w:type="spellEnd"/>
      <w:r w:rsidRPr="006F0EF0">
        <w:rPr>
          <w:rFonts w:ascii="Arial" w:hAnsi="Arial" w:cs="Arial"/>
        </w:rPr>
        <w:t xml:space="preserve">, C., Díaz-Sánchez, J. P., and Velasco, F. (2023) ‘Exploring factors influencing domestic violence: A comprehensive study on intrafamily dynamics.’ </w:t>
      </w:r>
      <w:r w:rsidRPr="006F0EF0">
        <w:rPr>
          <w:rFonts w:ascii="Arial" w:hAnsi="Arial" w:cs="Arial"/>
          <w:i/>
          <w:iCs/>
        </w:rPr>
        <w:t>Frontiers in Psychiatry</w:t>
      </w:r>
      <w:r w:rsidRPr="006F0EF0">
        <w:rPr>
          <w:rFonts w:ascii="Arial" w:hAnsi="Arial" w:cs="Arial"/>
        </w:rPr>
        <w:t xml:space="preserve">, </w:t>
      </w:r>
      <w:r w:rsidRPr="006F0EF0">
        <w:rPr>
          <w:rFonts w:ascii="Arial" w:hAnsi="Arial" w:cs="Arial"/>
          <w:i/>
          <w:iCs/>
        </w:rPr>
        <w:t>14</w:t>
      </w:r>
      <w:r w:rsidRPr="006F0EF0">
        <w:rPr>
          <w:rFonts w:ascii="Arial" w:hAnsi="Arial" w:cs="Arial"/>
        </w:rPr>
        <w:t xml:space="preserve">. Available at: </w:t>
      </w:r>
      <w:hyperlink r:id="rId44" w:history="1">
        <w:r w:rsidRPr="006F0EF0">
          <w:rPr>
            <w:rStyle w:val="Hyperlink"/>
            <w:rFonts w:ascii="Arial" w:hAnsi="Arial" w:cs="Arial"/>
          </w:rPr>
          <w:t>https://doi.org/10.3389/fpsyt.2023.1243558</w:t>
        </w:r>
      </w:hyperlink>
      <w:r w:rsidRPr="006F0EF0">
        <w:rPr>
          <w:rFonts w:ascii="Arial" w:hAnsi="Arial" w:cs="Arial"/>
        </w:rPr>
        <w:t>. Accessed on: 08/04/2025.</w:t>
      </w:r>
    </w:p>
    <w:p w14:paraId="7CA3A3F7" w14:textId="77777777" w:rsidR="000B34D2" w:rsidRPr="006F0EF0" w:rsidRDefault="000B34D2" w:rsidP="005E479C">
      <w:pPr>
        <w:pStyle w:val="NoSpacing"/>
        <w:spacing w:before="30" w:after="30"/>
        <w:ind w:left="850" w:right="850"/>
        <w:rPr>
          <w:rFonts w:ascii="Arial" w:hAnsi="Arial" w:cs="Arial"/>
        </w:rPr>
      </w:pPr>
    </w:p>
    <w:p w14:paraId="2CD6231B"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Leung, H., and </w:t>
      </w:r>
      <w:proofErr w:type="spellStart"/>
      <w:r w:rsidRPr="006F0EF0">
        <w:rPr>
          <w:rFonts w:ascii="Arial" w:hAnsi="Arial" w:cs="Arial"/>
        </w:rPr>
        <w:t>Savithiri</w:t>
      </w:r>
      <w:proofErr w:type="spellEnd"/>
      <w:r w:rsidRPr="006F0EF0">
        <w:rPr>
          <w:rFonts w:ascii="Arial" w:hAnsi="Arial" w:cs="Arial"/>
        </w:rPr>
        <w:t xml:space="preserve">, R. (2009) ‘Spotlight on focus groups.’ </w:t>
      </w:r>
      <w:r w:rsidRPr="006F0EF0">
        <w:rPr>
          <w:rFonts w:ascii="Arial" w:hAnsi="Arial" w:cs="Arial"/>
          <w:i/>
          <w:iCs/>
        </w:rPr>
        <w:t>Canadian Family Physician</w:t>
      </w:r>
      <w:r w:rsidRPr="006F0EF0">
        <w:rPr>
          <w:rFonts w:ascii="Arial" w:hAnsi="Arial" w:cs="Arial"/>
        </w:rPr>
        <w:t xml:space="preserve">, </w:t>
      </w:r>
      <w:r w:rsidRPr="006F0EF0">
        <w:rPr>
          <w:rFonts w:ascii="Arial" w:hAnsi="Arial" w:cs="Arial"/>
          <w:i/>
          <w:iCs/>
        </w:rPr>
        <w:t>55</w:t>
      </w:r>
      <w:r w:rsidRPr="006F0EF0">
        <w:rPr>
          <w:rFonts w:ascii="Arial" w:hAnsi="Arial" w:cs="Arial"/>
        </w:rPr>
        <w:t xml:space="preserve">(2),pp.  218. Available at: </w:t>
      </w:r>
      <w:hyperlink r:id="rId45" w:history="1">
        <w:r w:rsidRPr="006F0EF0">
          <w:rPr>
            <w:rStyle w:val="Hyperlink"/>
            <w:rFonts w:ascii="Arial" w:hAnsi="Arial" w:cs="Arial"/>
          </w:rPr>
          <w:t>https://pmc.ncbi.nlm.nih.gov/articles/PMC2642503/</w:t>
        </w:r>
      </w:hyperlink>
      <w:r w:rsidRPr="006F0EF0">
        <w:rPr>
          <w:rFonts w:ascii="Arial" w:hAnsi="Arial" w:cs="Arial"/>
        </w:rPr>
        <w:t>. Accessed on: 26/04/2025.</w:t>
      </w:r>
    </w:p>
    <w:p w14:paraId="2E0D9DB3" w14:textId="77777777" w:rsidR="000B34D2" w:rsidRPr="006F0EF0" w:rsidRDefault="000B34D2" w:rsidP="005E479C">
      <w:pPr>
        <w:pStyle w:val="NoSpacing"/>
        <w:spacing w:before="30" w:after="30"/>
        <w:ind w:left="850" w:right="850"/>
        <w:rPr>
          <w:rFonts w:ascii="Arial" w:hAnsi="Arial" w:cs="Arial"/>
        </w:rPr>
      </w:pPr>
    </w:p>
    <w:p w14:paraId="5B679C2A"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lastRenderedPageBreak/>
        <w:t xml:space="preserve">Marmot, M., Allen , J., Boyce, T., Goldblatt, P. and Morrison, J. (2020) ‘Health Equity in England: The Marmot Review 10 Year on.’  </w:t>
      </w:r>
      <w:r w:rsidRPr="006F0EF0">
        <w:rPr>
          <w:rFonts w:ascii="Arial" w:hAnsi="Arial" w:cs="Arial"/>
          <w:i/>
          <w:iCs/>
        </w:rPr>
        <w:t>The Health Foundation.</w:t>
      </w:r>
      <w:r w:rsidRPr="006F0EF0">
        <w:rPr>
          <w:rFonts w:ascii="Arial" w:hAnsi="Arial" w:cs="Arial"/>
        </w:rPr>
        <w:t xml:space="preserve"> Available at: </w:t>
      </w:r>
      <w:hyperlink r:id="rId46" w:history="1">
        <w:r w:rsidRPr="006F0EF0">
          <w:rPr>
            <w:rStyle w:val="Hyperlink"/>
            <w:rFonts w:ascii="Arial" w:hAnsi="Arial" w:cs="Arial"/>
            <w:color w:val="auto"/>
            <w:u w:val="none"/>
          </w:rPr>
          <w:t>https://www.health.org.uk/reports-and-analysis/reports/health-equity-in-england-the-marmot-review-10-years-on-0</w:t>
        </w:r>
      </w:hyperlink>
      <w:r w:rsidRPr="006F0EF0">
        <w:rPr>
          <w:rFonts w:ascii="Arial" w:hAnsi="Arial" w:cs="Arial"/>
        </w:rPr>
        <w:t>. Accessed on: 16/04/2025.</w:t>
      </w:r>
    </w:p>
    <w:p w14:paraId="30DEE3AE" w14:textId="77777777" w:rsidR="000B34D2" w:rsidRPr="006F0EF0" w:rsidRDefault="000B34D2" w:rsidP="005E479C">
      <w:pPr>
        <w:pStyle w:val="NoSpacing"/>
        <w:spacing w:before="30" w:after="30"/>
        <w:ind w:left="850" w:right="850"/>
        <w:rPr>
          <w:rFonts w:ascii="Arial" w:hAnsi="Arial" w:cs="Arial"/>
        </w:rPr>
      </w:pPr>
    </w:p>
    <w:p w14:paraId="71D15DAE"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McCloud, B., and Abdullah, A. (2024) ‘Theoretical Analysis of the Cycle of Intimate Partner Violence: A Systematic Review.’ </w:t>
      </w:r>
      <w:r w:rsidRPr="006F0EF0">
        <w:rPr>
          <w:rFonts w:ascii="Arial" w:hAnsi="Arial" w:cs="Arial"/>
          <w:i/>
          <w:iCs/>
        </w:rPr>
        <w:t>Trauma, Violence, &amp; Abuse</w:t>
      </w:r>
      <w:r w:rsidRPr="006F0EF0">
        <w:rPr>
          <w:rFonts w:ascii="Arial" w:hAnsi="Arial" w:cs="Arial"/>
        </w:rPr>
        <w:t xml:space="preserve">. Available at: </w:t>
      </w:r>
      <w:hyperlink r:id="rId47" w:history="1">
        <w:r w:rsidRPr="006F0EF0">
          <w:rPr>
            <w:rStyle w:val="Hyperlink"/>
            <w:rFonts w:ascii="Arial" w:hAnsi="Arial" w:cs="Arial"/>
          </w:rPr>
          <w:t>https://doi.org/10.1177/15248380241301781</w:t>
        </w:r>
      </w:hyperlink>
      <w:r w:rsidRPr="006F0EF0">
        <w:rPr>
          <w:rFonts w:ascii="Arial" w:hAnsi="Arial" w:cs="Arial"/>
        </w:rPr>
        <w:t>. Accessed on: 12/04/2025.</w:t>
      </w:r>
    </w:p>
    <w:p w14:paraId="0803C364" w14:textId="77777777" w:rsidR="000B34D2" w:rsidRPr="006F0EF0" w:rsidRDefault="000B34D2" w:rsidP="005E479C">
      <w:pPr>
        <w:pStyle w:val="NoSpacing"/>
        <w:spacing w:before="30" w:after="30"/>
        <w:ind w:left="850" w:right="850"/>
        <w:rPr>
          <w:rFonts w:ascii="Arial" w:hAnsi="Arial" w:cs="Arial"/>
        </w:rPr>
      </w:pPr>
    </w:p>
    <w:p w14:paraId="136B8B74"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McCrory, E.J. and </w:t>
      </w:r>
      <w:proofErr w:type="spellStart"/>
      <w:r w:rsidRPr="006F0EF0">
        <w:rPr>
          <w:rFonts w:ascii="Arial" w:hAnsi="Arial" w:cs="Arial"/>
        </w:rPr>
        <w:t>Viding</w:t>
      </w:r>
      <w:proofErr w:type="spellEnd"/>
      <w:r w:rsidRPr="006F0EF0">
        <w:rPr>
          <w:rFonts w:ascii="Arial" w:hAnsi="Arial" w:cs="Arial"/>
        </w:rPr>
        <w:t>, E. (2015) ‘The theory of latent vulnerability: Reconceptualizing the link between childhood maltreatment and psychiatric disorder’, </w:t>
      </w:r>
      <w:r w:rsidRPr="006F0EF0">
        <w:rPr>
          <w:rFonts w:ascii="Arial" w:hAnsi="Arial" w:cs="Arial"/>
          <w:i/>
          <w:iCs/>
        </w:rPr>
        <w:t>Development and Psychopathology</w:t>
      </w:r>
      <w:r w:rsidRPr="006F0EF0">
        <w:rPr>
          <w:rFonts w:ascii="Arial" w:hAnsi="Arial" w:cs="Arial"/>
        </w:rPr>
        <w:t>, 27 (2), pp. 493–505. DOI:10.1017/S0954579415000115. Accessed on: 12/04/2025.</w:t>
      </w:r>
    </w:p>
    <w:p w14:paraId="1FD1967E" w14:textId="77777777" w:rsidR="000B34D2" w:rsidRPr="006F0EF0" w:rsidRDefault="000B34D2" w:rsidP="005E479C">
      <w:pPr>
        <w:pStyle w:val="NoSpacing"/>
        <w:spacing w:before="30" w:after="30"/>
        <w:ind w:left="850" w:right="850"/>
        <w:rPr>
          <w:rFonts w:ascii="Arial" w:hAnsi="Arial" w:cs="Arial"/>
        </w:rPr>
      </w:pPr>
    </w:p>
    <w:p w14:paraId="46871FD6"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McKim, C. (2023) ‘Meaningful Member-Checking: A Structured Approach to Member-Checking.’ </w:t>
      </w:r>
      <w:r w:rsidRPr="006F0EF0">
        <w:rPr>
          <w:rFonts w:ascii="Arial" w:hAnsi="Arial" w:cs="Arial"/>
          <w:i/>
          <w:iCs/>
        </w:rPr>
        <w:t>American Journal of Qualitative Research</w:t>
      </w:r>
      <w:r w:rsidRPr="006F0EF0">
        <w:rPr>
          <w:rFonts w:ascii="Arial" w:hAnsi="Arial" w:cs="Arial"/>
        </w:rPr>
        <w:t>, 7(2), pp. 41-52. Available at: https://www.ajqr.org/article/meaningful-member-checking-a-structured-approach-to-member-checking-12973. Accessed on: 22/04/2025.</w:t>
      </w:r>
    </w:p>
    <w:p w14:paraId="48DD3A32" w14:textId="77777777" w:rsidR="000B34D2" w:rsidRPr="006F0EF0" w:rsidRDefault="000B34D2" w:rsidP="005E479C">
      <w:pPr>
        <w:pStyle w:val="NoSpacing"/>
        <w:spacing w:before="30" w:after="30"/>
        <w:ind w:left="850" w:right="850"/>
        <w:rPr>
          <w:rFonts w:ascii="Arial" w:hAnsi="Arial" w:cs="Arial"/>
        </w:rPr>
      </w:pPr>
    </w:p>
    <w:p w14:paraId="6A0E67C1"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McMullin, C. (2023) ‘Transcription and qualitative methods: Implications for third sector research.’ </w:t>
      </w:r>
      <w:r w:rsidRPr="006F0EF0">
        <w:rPr>
          <w:rFonts w:ascii="Arial" w:hAnsi="Arial" w:cs="Arial"/>
          <w:i/>
          <w:iCs/>
        </w:rPr>
        <w:t xml:space="preserve"> International journal of voluntary and nonprofit organizations</w:t>
      </w:r>
      <w:r w:rsidRPr="006F0EF0">
        <w:rPr>
          <w:rFonts w:ascii="Arial" w:hAnsi="Arial" w:cs="Arial"/>
        </w:rPr>
        <w:t>, </w:t>
      </w:r>
      <w:r w:rsidRPr="006F0EF0">
        <w:rPr>
          <w:rFonts w:ascii="Arial" w:hAnsi="Arial" w:cs="Arial"/>
          <w:i/>
          <w:iCs/>
        </w:rPr>
        <w:t xml:space="preserve">34 </w:t>
      </w:r>
      <w:r w:rsidRPr="006F0EF0">
        <w:rPr>
          <w:rFonts w:ascii="Arial" w:hAnsi="Arial" w:cs="Arial"/>
        </w:rPr>
        <w:t xml:space="preserve">(1), pp.140-153. Available at: </w:t>
      </w:r>
      <w:hyperlink r:id="rId48" w:history="1">
        <w:r w:rsidRPr="006F0EF0">
          <w:rPr>
            <w:rStyle w:val="Hyperlink"/>
            <w:rFonts w:ascii="Arial" w:hAnsi="Arial" w:cs="Arial"/>
            <w:color w:val="auto"/>
            <w:u w:val="none"/>
          </w:rPr>
          <w:t>https://doi.org/10.1007/s11266-021-00400-3</w:t>
        </w:r>
      </w:hyperlink>
      <w:r w:rsidRPr="006F0EF0">
        <w:rPr>
          <w:rFonts w:ascii="Arial" w:hAnsi="Arial" w:cs="Arial"/>
        </w:rPr>
        <w:t>. Accessed on: 16/04/2025.</w:t>
      </w:r>
    </w:p>
    <w:p w14:paraId="45AF3DEA" w14:textId="77777777" w:rsidR="000B34D2" w:rsidRPr="006F0EF0" w:rsidRDefault="000B34D2" w:rsidP="005E479C">
      <w:pPr>
        <w:pStyle w:val="NoSpacing"/>
        <w:spacing w:before="30" w:after="30"/>
        <w:ind w:left="850" w:right="850"/>
        <w:rPr>
          <w:rFonts w:ascii="Arial" w:hAnsi="Arial" w:cs="Arial"/>
        </w:rPr>
      </w:pPr>
    </w:p>
    <w:p w14:paraId="6EE71BF0"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Morgan, B.,  Hunt, X. and Tomlinson, M. ( 2017) ‘Thinking about the environment and theorising change: How could life history strategy theory inform health interventions in </w:t>
      </w:r>
      <w:proofErr w:type="gramStart"/>
      <w:r w:rsidRPr="006F0EF0">
        <w:rPr>
          <w:rFonts w:ascii="Arial" w:hAnsi="Arial" w:cs="Arial"/>
        </w:rPr>
        <w:t>low and middle income</w:t>
      </w:r>
      <w:proofErr w:type="gramEnd"/>
      <w:r w:rsidRPr="006F0EF0">
        <w:rPr>
          <w:rFonts w:ascii="Arial" w:hAnsi="Arial" w:cs="Arial"/>
        </w:rPr>
        <w:t xml:space="preserve"> countries?’ </w:t>
      </w:r>
      <w:r w:rsidRPr="006F0EF0">
        <w:rPr>
          <w:rFonts w:ascii="Arial" w:hAnsi="Arial" w:cs="Arial"/>
          <w:i/>
          <w:iCs/>
        </w:rPr>
        <w:t>Global Health Action.</w:t>
      </w:r>
      <w:r w:rsidRPr="006F0EF0">
        <w:rPr>
          <w:rFonts w:ascii="Arial" w:hAnsi="Arial" w:cs="Arial"/>
        </w:rPr>
        <w:t xml:space="preserve"> 10 (1) DOI:10.1080/16549716.2017.1320118</w:t>
      </w:r>
    </w:p>
    <w:p w14:paraId="3327AF8A" w14:textId="77777777" w:rsidR="000B34D2" w:rsidRPr="006F0EF0" w:rsidRDefault="000B34D2" w:rsidP="005E479C">
      <w:pPr>
        <w:pStyle w:val="NoSpacing"/>
        <w:spacing w:before="30" w:after="30"/>
        <w:ind w:left="850" w:right="850"/>
        <w:rPr>
          <w:rFonts w:ascii="Arial" w:hAnsi="Arial" w:cs="Arial"/>
        </w:rPr>
      </w:pPr>
    </w:p>
    <w:p w14:paraId="14860399"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Morris, C., Oliveira, J.P., Perrin, J., Federico, C.A. and </w:t>
      </w:r>
      <w:proofErr w:type="spellStart"/>
      <w:r w:rsidRPr="006F0EF0">
        <w:rPr>
          <w:rFonts w:ascii="Arial" w:hAnsi="Arial" w:cs="Arial"/>
        </w:rPr>
        <w:t>Martasian</w:t>
      </w:r>
      <w:proofErr w:type="spellEnd"/>
      <w:r w:rsidRPr="006F0EF0">
        <w:rPr>
          <w:rFonts w:ascii="Arial" w:hAnsi="Arial" w:cs="Arial"/>
        </w:rPr>
        <w:t>, P.J. (2024) ‘Toward a further understanding of assent.’ </w:t>
      </w:r>
      <w:r w:rsidRPr="006F0EF0">
        <w:rPr>
          <w:rFonts w:ascii="Arial" w:hAnsi="Arial" w:cs="Arial"/>
          <w:i/>
          <w:iCs/>
        </w:rPr>
        <w:t xml:space="preserve">Journal of Applied </w:t>
      </w:r>
      <w:proofErr w:type="spellStart"/>
      <w:r w:rsidRPr="006F0EF0">
        <w:rPr>
          <w:rFonts w:ascii="Arial" w:hAnsi="Arial" w:cs="Arial"/>
          <w:i/>
          <w:iCs/>
        </w:rPr>
        <w:t>Behavior</w:t>
      </w:r>
      <w:proofErr w:type="spellEnd"/>
      <w:r w:rsidRPr="006F0EF0">
        <w:rPr>
          <w:rFonts w:ascii="Arial" w:hAnsi="Arial" w:cs="Arial"/>
          <w:i/>
          <w:iCs/>
        </w:rPr>
        <w:t xml:space="preserve"> Analysis</w:t>
      </w:r>
      <w:r w:rsidRPr="006F0EF0">
        <w:rPr>
          <w:rFonts w:ascii="Arial" w:hAnsi="Arial" w:cs="Arial"/>
        </w:rPr>
        <w:t>, </w:t>
      </w:r>
      <w:r w:rsidRPr="006F0EF0">
        <w:rPr>
          <w:rFonts w:ascii="Arial" w:hAnsi="Arial" w:cs="Arial"/>
          <w:i/>
          <w:iCs/>
        </w:rPr>
        <w:t>57</w:t>
      </w:r>
      <w:r w:rsidRPr="006F0EF0">
        <w:rPr>
          <w:rFonts w:ascii="Arial" w:hAnsi="Arial" w:cs="Arial"/>
        </w:rPr>
        <w:t xml:space="preserve">(2), pp.304-318. Available at:  </w:t>
      </w:r>
      <w:hyperlink r:id="rId49" w:tgtFrame="_blank" w:history="1">
        <w:r w:rsidRPr="006F0EF0">
          <w:rPr>
            <w:rStyle w:val="Hyperlink"/>
            <w:rFonts w:ascii="Arial" w:hAnsi="Arial" w:cs="Arial"/>
            <w:b/>
            <w:bCs/>
          </w:rPr>
          <w:t>https://doi.org/10.1007/s40617-023-00850-9</w:t>
        </w:r>
      </w:hyperlink>
      <w:r w:rsidRPr="006F0EF0">
        <w:rPr>
          <w:rFonts w:ascii="Arial" w:hAnsi="Arial" w:cs="Arial"/>
        </w:rPr>
        <w:t>. Accessed on: 12/04/2025.</w:t>
      </w:r>
    </w:p>
    <w:p w14:paraId="7444BC7A" w14:textId="77777777" w:rsidR="000B34D2" w:rsidRPr="006F0EF0" w:rsidRDefault="000B34D2" w:rsidP="005E479C">
      <w:pPr>
        <w:pStyle w:val="NoSpacing"/>
        <w:spacing w:before="30" w:after="30"/>
        <w:ind w:left="850" w:right="850"/>
        <w:rPr>
          <w:rFonts w:ascii="Arial" w:hAnsi="Arial" w:cs="Arial"/>
        </w:rPr>
      </w:pPr>
    </w:p>
    <w:p w14:paraId="0BFF817F"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Nuttall, A.K., Speidel, R. and Valentino, K. (2019) ‘Expanding and Extending the Role Reversal Construct in Early Childhood.’ </w:t>
      </w:r>
      <w:r w:rsidRPr="006F0EF0">
        <w:rPr>
          <w:rFonts w:ascii="Arial" w:hAnsi="Arial" w:cs="Arial"/>
          <w:i/>
          <w:iCs/>
        </w:rPr>
        <w:t>J Child Fam Stud</w:t>
      </w:r>
      <w:r w:rsidRPr="006F0EF0">
        <w:rPr>
          <w:rFonts w:ascii="Arial" w:hAnsi="Arial" w:cs="Arial"/>
        </w:rPr>
        <w:t xml:space="preserve"> 28, pp. 3132–3145. Available at: </w:t>
      </w:r>
      <w:hyperlink r:id="rId50" w:history="1">
        <w:r w:rsidRPr="006F0EF0">
          <w:rPr>
            <w:rStyle w:val="Hyperlink"/>
            <w:rFonts w:ascii="Arial" w:hAnsi="Arial" w:cs="Arial"/>
          </w:rPr>
          <w:t>https://doi.org/10.1007/s10826-019-01490-w</w:t>
        </w:r>
      </w:hyperlink>
      <w:r w:rsidRPr="006F0EF0">
        <w:rPr>
          <w:rFonts w:ascii="Arial" w:hAnsi="Arial" w:cs="Arial"/>
        </w:rPr>
        <w:t>. Accessed on: 16/04/2025.</w:t>
      </w:r>
    </w:p>
    <w:p w14:paraId="64178B46" w14:textId="77777777" w:rsidR="000B34D2" w:rsidRPr="006F0EF0" w:rsidRDefault="000B34D2" w:rsidP="005E479C">
      <w:pPr>
        <w:pStyle w:val="NoSpacing"/>
        <w:spacing w:before="30" w:after="30"/>
        <w:ind w:left="850" w:right="850"/>
        <w:rPr>
          <w:rFonts w:ascii="Arial" w:hAnsi="Arial" w:cs="Arial"/>
        </w:rPr>
      </w:pPr>
    </w:p>
    <w:p w14:paraId="7646E7B9" w14:textId="77777777" w:rsidR="000B34D2" w:rsidRPr="006F0EF0" w:rsidRDefault="000B34D2" w:rsidP="005E479C">
      <w:pPr>
        <w:pStyle w:val="NoSpacing"/>
        <w:spacing w:before="30" w:after="30"/>
        <w:ind w:left="850" w:right="850"/>
        <w:rPr>
          <w:rFonts w:ascii="Arial" w:hAnsi="Arial" w:cs="Arial"/>
        </w:rPr>
      </w:pPr>
      <w:proofErr w:type="spellStart"/>
      <w:r w:rsidRPr="006F0EF0">
        <w:rPr>
          <w:rFonts w:ascii="Arial" w:hAnsi="Arial" w:cs="Arial"/>
        </w:rPr>
        <w:t>O.Nyumba</w:t>
      </w:r>
      <w:proofErr w:type="spellEnd"/>
      <w:r w:rsidRPr="006F0EF0">
        <w:rPr>
          <w:rFonts w:ascii="Arial" w:hAnsi="Arial" w:cs="Arial"/>
        </w:rPr>
        <w:t xml:space="preserve">, T., Wilson, K., Derrick, C. J., and Mukherjee, N. (2018) ‘The use of focus group discussion methodology: Insights from two decades of application in conservation.’  </w:t>
      </w:r>
      <w:r w:rsidRPr="006F0EF0">
        <w:rPr>
          <w:rFonts w:ascii="Arial" w:hAnsi="Arial" w:cs="Arial"/>
          <w:i/>
          <w:iCs/>
        </w:rPr>
        <w:t>Methods in Ecology and Evolution</w:t>
      </w:r>
      <w:r w:rsidRPr="006F0EF0">
        <w:rPr>
          <w:rFonts w:ascii="Arial" w:hAnsi="Arial" w:cs="Arial"/>
        </w:rPr>
        <w:t xml:space="preserve">, </w:t>
      </w:r>
      <w:r w:rsidRPr="006F0EF0">
        <w:rPr>
          <w:rFonts w:ascii="Arial" w:hAnsi="Arial" w:cs="Arial"/>
          <w:i/>
          <w:iCs/>
        </w:rPr>
        <w:t xml:space="preserve">9 </w:t>
      </w:r>
      <w:r w:rsidRPr="006F0EF0">
        <w:rPr>
          <w:rFonts w:ascii="Arial" w:hAnsi="Arial" w:cs="Arial"/>
        </w:rPr>
        <w:t>(1), pp. 20-32. Available at: https://doi.org/10.1111/2041-210X.12860 Accessed on: 01/05/2025.</w:t>
      </w:r>
    </w:p>
    <w:p w14:paraId="1934A89C" w14:textId="77777777" w:rsidR="000B34D2" w:rsidRPr="006F0EF0" w:rsidRDefault="000B34D2" w:rsidP="005E479C">
      <w:pPr>
        <w:pStyle w:val="NoSpacing"/>
        <w:spacing w:before="30" w:after="30"/>
        <w:ind w:left="850" w:right="850"/>
        <w:rPr>
          <w:rFonts w:ascii="Arial" w:hAnsi="Arial" w:cs="Arial"/>
        </w:rPr>
      </w:pPr>
    </w:p>
    <w:p w14:paraId="14351AA7"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Open University. (2025)  </w:t>
      </w:r>
      <w:r w:rsidRPr="006F0EF0">
        <w:rPr>
          <w:rFonts w:ascii="Arial" w:hAnsi="Arial" w:cs="Arial"/>
          <w:i/>
          <w:iCs/>
        </w:rPr>
        <w:t>How do I put critical thinking into action?</w:t>
      </w:r>
      <w:r w:rsidRPr="006F0EF0">
        <w:rPr>
          <w:rFonts w:ascii="Arial" w:hAnsi="Arial" w:cs="Arial"/>
        </w:rPr>
        <w:t xml:space="preserve"> Available at:</w:t>
      </w:r>
    </w:p>
    <w:p w14:paraId="544C3210"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https://www.open.edu/openlearn/health-sports-psychology/critically-exploring-psychology/content-section-4.1#:~:text=A%20constructivist%20approach%20in%20turn,Text. Accessed on: 18/04/2025.</w:t>
      </w:r>
    </w:p>
    <w:p w14:paraId="0A296EE6" w14:textId="77777777" w:rsidR="000B34D2" w:rsidRPr="006F0EF0" w:rsidRDefault="000B34D2" w:rsidP="005E479C">
      <w:pPr>
        <w:pStyle w:val="NoSpacing"/>
        <w:spacing w:before="30" w:after="30"/>
        <w:ind w:left="850" w:right="850"/>
        <w:rPr>
          <w:rFonts w:ascii="Arial" w:hAnsi="Arial" w:cs="Arial"/>
        </w:rPr>
      </w:pPr>
    </w:p>
    <w:p w14:paraId="72903449"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Oxford University Press. (2025) </w:t>
      </w:r>
      <w:r w:rsidRPr="006F0EF0">
        <w:rPr>
          <w:rFonts w:ascii="Arial" w:hAnsi="Arial" w:cs="Arial"/>
          <w:i/>
          <w:iCs/>
        </w:rPr>
        <w:t>Deficit model</w:t>
      </w:r>
      <w:r w:rsidRPr="006F0EF0">
        <w:rPr>
          <w:rFonts w:ascii="Arial" w:hAnsi="Arial" w:cs="Arial"/>
        </w:rPr>
        <w:t>. Available at: https://www.oxfordreference.com/display/10.1093/oi/authority.20110803095707115#:~:text=A%20perspective%20which%20attributes%20failures,to%20prevalent%20socio%E2%80%90economic%20trends. Accessed on: 01/05/2025.</w:t>
      </w:r>
    </w:p>
    <w:p w14:paraId="2132C058" w14:textId="77777777" w:rsidR="000B34D2" w:rsidRPr="006F0EF0" w:rsidRDefault="000B34D2" w:rsidP="005E479C">
      <w:pPr>
        <w:pStyle w:val="NoSpacing"/>
        <w:spacing w:before="30" w:after="30"/>
        <w:ind w:left="850" w:right="850"/>
        <w:rPr>
          <w:rFonts w:ascii="Arial" w:hAnsi="Arial" w:cs="Arial"/>
        </w:rPr>
      </w:pPr>
    </w:p>
    <w:p w14:paraId="3309B222"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Ozano, K., and Khatri, R. (2018)’ Reflexivity, positionality and power in cross-cultural participatory action research with research assistants in rural Cambodia.’ </w:t>
      </w:r>
      <w:r w:rsidRPr="006F0EF0">
        <w:rPr>
          <w:rFonts w:ascii="Arial" w:hAnsi="Arial" w:cs="Arial"/>
          <w:i/>
          <w:iCs/>
        </w:rPr>
        <w:t>Educational action research</w:t>
      </w:r>
      <w:r w:rsidRPr="006F0EF0">
        <w:rPr>
          <w:rFonts w:ascii="Arial" w:hAnsi="Arial" w:cs="Arial"/>
        </w:rPr>
        <w:t>, 26 (2), pp. 190–204. DOI:10.1080/09650792.2017.1331860.</w:t>
      </w:r>
    </w:p>
    <w:p w14:paraId="160384BE" w14:textId="77777777" w:rsidR="000B34D2" w:rsidRPr="006F0EF0" w:rsidRDefault="000B34D2" w:rsidP="005E479C">
      <w:pPr>
        <w:pStyle w:val="NoSpacing"/>
        <w:spacing w:before="30" w:after="30"/>
        <w:ind w:left="850" w:right="850"/>
        <w:rPr>
          <w:rFonts w:ascii="Arial" w:hAnsi="Arial" w:cs="Arial"/>
        </w:rPr>
      </w:pPr>
    </w:p>
    <w:p w14:paraId="20081DF4" w14:textId="77777777" w:rsidR="000B34D2" w:rsidRPr="006F0EF0" w:rsidRDefault="000B34D2" w:rsidP="005E479C">
      <w:pPr>
        <w:pStyle w:val="NoSpacing"/>
        <w:spacing w:before="30" w:after="30"/>
        <w:ind w:left="850" w:right="850"/>
        <w:rPr>
          <w:rFonts w:ascii="Arial" w:hAnsi="Arial" w:cs="Arial"/>
        </w:rPr>
      </w:pPr>
      <w:proofErr w:type="spellStart"/>
      <w:r w:rsidRPr="006F0EF0">
        <w:rPr>
          <w:rFonts w:ascii="Arial" w:hAnsi="Arial" w:cs="Arial"/>
        </w:rPr>
        <w:t>Pescott</w:t>
      </w:r>
      <w:proofErr w:type="spellEnd"/>
      <w:r w:rsidRPr="006F0EF0">
        <w:rPr>
          <w:rFonts w:ascii="Arial" w:hAnsi="Arial" w:cs="Arial"/>
        </w:rPr>
        <w:t>, C. (2022) ‘They should just show their real self, no one is perfect’: using collage to explore 10- and 11-year-old’s identity portrayal to help reframe e-safety. </w:t>
      </w:r>
      <w:r w:rsidRPr="006F0EF0">
        <w:rPr>
          <w:rFonts w:ascii="Arial" w:hAnsi="Arial" w:cs="Arial"/>
          <w:i/>
          <w:iCs/>
        </w:rPr>
        <w:t>Education 3-13</w:t>
      </w:r>
      <w:r w:rsidRPr="006F0EF0">
        <w:rPr>
          <w:rFonts w:ascii="Arial" w:hAnsi="Arial" w:cs="Arial"/>
        </w:rPr>
        <w:t>, </w:t>
      </w:r>
      <w:r w:rsidRPr="006F0EF0">
        <w:rPr>
          <w:rFonts w:ascii="Arial" w:hAnsi="Arial" w:cs="Arial"/>
          <w:i/>
          <w:iCs/>
        </w:rPr>
        <w:t>52</w:t>
      </w:r>
      <w:r w:rsidRPr="006F0EF0">
        <w:rPr>
          <w:rFonts w:ascii="Arial" w:hAnsi="Arial" w:cs="Arial"/>
        </w:rPr>
        <w:t xml:space="preserve">(3), pp. 361–374. Available at: </w:t>
      </w:r>
      <w:hyperlink r:id="rId51" w:history="1">
        <w:r w:rsidRPr="006F0EF0">
          <w:rPr>
            <w:rStyle w:val="Hyperlink"/>
            <w:rFonts w:ascii="Arial" w:hAnsi="Arial" w:cs="Arial"/>
            <w:color w:val="auto"/>
            <w:u w:val="none"/>
          </w:rPr>
          <w:t>https://doi.org/10.1080/03004279.2022.2095416</w:t>
        </w:r>
      </w:hyperlink>
    </w:p>
    <w:p w14:paraId="7271E491" w14:textId="77777777" w:rsidR="000B34D2" w:rsidRPr="006F0EF0" w:rsidRDefault="000B34D2" w:rsidP="005E479C">
      <w:pPr>
        <w:pStyle w:val="NoSpacing"/>
        <w:spacing w:before="30" w:after="30"/>
        <w:ind w:left="850" w:right="850"/>
        <w:rPr>
          <w:rFonts w:ascii="Arial" w:hAnsi="Arial" w:cs="Arial"/>
        </w:rPr>
      </w:pPr>
    </w:p>
    <w:p w14:paraId="165A8118"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Public Health Wales. (2025) </w:t>
      </w:r>
      <w:r w:rsidRPr="006F0EF0">
        <w:rPr>
          <w:rFonts w:ascii="Arial" w:hAnsi="Arial" w:cs="Arial"/>
          <w:i/>
          <w:iCs/>
        </w:rPr>
        <w:t>Adverse Childhood Experiences</w:t>
      </w:r>
      <w:r w:rsidRPr="006F0EF0">
        <w:rPr>
          <w:rFonts w:ascii="Arial" w:hAnsi="Arial" w:cs="Arial"/>
        </w:rPr>
        <w:t xml:space="preserve">. Available at: </w:t>
      </w:r>
      <w:hyperlink r:id="rId52" w:history="1">
        <w:r w:rsidRPr="006F0EF0">
          <w:rPr>
            <w:rStyle w:val="Hyperlink"/>
            <w:rFonts w:ascii="Arial" w:hAnsi="Arial" w:cs="Arial"/>
          </w:rPr>
          <w:t>https://phw.nhs.wales/topics/adverse-childhood-experiences/</w:t>
        </w:r>
      </w:hyperlink>
      <w:r w:rsidRPr="006F0EF0">
        <w:rPr>
          <w:rFonts w:ascii="Arial" w:hAnsi="Arial" w:cs="Arial"/>
        </w:rPr>
        <w:t>. Accessed on: 08/04/2025.</w:t>
      </w:r>
    </w:p>
    <w:p w14:paraId="29173748" w14:textId="77777777" w:rsidR="000B34D2" w:rsidRPr="006F0EF0" w:rsidRDefault="000B34D2" w:rsidP="005E479C">
      <w:pPr>
        <w:pStyle w:val="NoSpacing"/>
        <w:spacing w:before="30" w:after="30"/>
        <w:ind w:left="850" w:right="850"/>
        <w:rPr>
          <w:rFonts w:ascii="Arial" w:hAnsi="Arial" w:cs="Arial"/>
        </w:rPr>
      </w:pPr>
    </w:p>
    <w:p w14:paraId="7AB09C85" w14:textId="77777777" w:rsidR="000B34D2" w:rsidRPr="006F0EF0" w:rsidRDefault="000B34D2" w:rsidP="005E479C">
      <w:pPr>
        <w:pStyle w:val="NoSpacing"/>
        <w:spacing w:before="30" w:after="30"/>
        <w:ind w:left="850" w:right="850"/>
        <w:rPr>
          <w:rFonts w:ascii="Arial" w:hAnsi="Arial" w:cs="Arial"/>
        </w:rPr>
      </w:pPr>
      <w:hyperlink r:id="rId53" w:tgtFrame="_blank" w:history="1">
        <w:r w:rsidRPr="006F0EF0">
          <w:rPr>
            <w:rStyle w:val="Hyperlink"/>
            <w:rFonts w:ascii="Arial" w:hAnsi="Arial" w:cs="Arial"/>
            <w:color w:val="auto"/>
            <w:u w:val="none"/>
          </w:rPr>
          <w:t>Reggio Children</w:t>
        </w:r>
      </w:hyperlink>
      <w:r w:rsidRPr="006F0EF0">
        <w:rPr>
          <w:rFonts w:ascii="Arial" w:hAnsi="Arial" w:cs="Arial"/>
        </w:rPr>
        <w:t xml:space="preserve">. (2022) </w:t>
      </w:r>
      <w:r w:rsidRPr="006F0EF0">
        <w:rPr>
          <w:rFonts w:ascii="Arial" w:hAnsi="Arial" w:cs="Arial"/>
          <w:i/>
          <w:iCs/>
        </w:rPr>
        <w:t>The Hundred Languages of Children.</w:t>
      </w:r>
      <w:r w:rsidRPr="006F0EF0">
        <w:rPr>
          <w:rFonts w:ascii="Arial" w:hAnsi="Arial" w:cs="Arial"/>
        </w:rPr>
        <w:t xml:space="preserve"> Available at: </w:t>
      </w:r>
      <w:hyperlink r:id="rId54" w:history="1">
        <w:r w:rsidRPr="006F0EF0">
          <w:rPr>
            <w:rStyle w:val="Hyperlink"/>
            <w:rFonts w:ascii="Arial" w:hAnsi="Arial" w:cs="Arial"/>
          </w:rPr>
          <w:t>https://www.reggiochildren.it/en/rc/exhibitions/the-hundred-languages-of-children/</w:t>
        </w:r>
      </w:hyperlink>
      <w:r w:rsidRPr="006F0EF0">
        <w:rPr>
          <w:rFonts w:ascii="Arial" w:hAnsi="Arial" w:cs="Arial"/>
        </w:rPr>
        <w:t xml:space="preserve"> Accessed on: 22/04/2025.</w:t>
      </w:r>
    </w:p>
    <w:p w14:paraId="64719293" w14:textId="77777777" w:rsidR="000B34D2" w:rsidRPr="006F0EF0" w:rsidRDefault="000B34D2" w:rsidP="005E479C">
      <w:pPr>
        <w:pStyle w:val="NoSpacing"/>
        <w:spacing w:before="30" w:after="30"/>
        <w:ind w:left="850" w:right="850"/>
        <w:rPr>
          <w:rFonts w:ascii="Arial" w:hAnsi="Arial" w:cs="Arial"/>
        </w:rPr>
      </w:pPr>
    </w:p>
    <w:p w14:paraId="7410FFC5" w14:textId="77777777" w:rsidR="000B34D2" w:rsidRPr="006F0EF0" w:rsidRDefault="000B34D2" w:rsidP="005E479C">
      <w:pPr>
        <w:pStyle w:val="NoSpacing"/>
        <w:spacing w:before="30" w:after="30"/>
        <w:ind w:left="850" w:right="850"/>
        <w:rPr>
          <w:rFonts w:ascii="Arial" w:hAnsi="Arial" w:cs="Arial"/>
        </w:rPr>
      </w:pPr>
      <w:bookmarkStart w:id="1" w:name="_Hlk197102567"/>
      <w:r w:rsidRPr="006F0EF0">
        <w:rPr>
          <w:rFonts w:ascii="Arial" w:hAnsi="Arial" w:cs="Arial"/>
        </w:rPr>
        <w:t xml:space="preserve">Rhondda Cynon Taff. (2025) </w:t>
      </w:r>
      <w:bookmarkEnd w:id="1"/>
      <w:r w:rsidRPr="006F0EF0">
        <w:rPr>
          <w:rFonts w:ascii="Arial" w:hAnsi="Arial" w:cs="Arial"/>
          <w:i/>
          <w:iCs/>
        </w:rPr>
        <w:t>Flying Start</w:t>
      </w:r>
      <w:r w:rsidRPr="006F0EF0">
        <w:rPr>
          <w:rFonts w:ascii="Arial" w:hAnsi="Arial" w:cs="Arial"/>
        </w:rPr>
        <w:t>. Available at: https://www.rctcbc.gov.uk/EN/Resident/ChildrensServices/HelpandSupportforFamilies/Informationforfamilies/Financialsupportforfamilies/FlyingStart/WhatisFlyingStart.aspx. Accessed on: 08/04/2025.</w:t>
      </w:r>
    </w:p>
    <w:p w14:paraId="4B3117C2" w14:textId="77777777" w:rsidR="000B34D2" w:rsidRPr="006F0EF0" w:rsidRDefault="000B34D2" w:rsidP="005E479C">
      <w:pPr>
        <w:pStyle w:val="NoSpacing"/>
        <w:spacing w:before="30" w:after="30"/>
        <w:ind w:left="850" w:right="850"/>
        <w:rPr>
          <w:rFonts w:ascii="Arial" w:hAnsi="Arial" w:cs="Arial"/>
        </w:rPr>
      </w:pPr>
    </w:p>
    <w:p w14:paraId="35695C99"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Rhondda Cynon Taff Family Information Service. (2025)  </w:t>
      </w:r>
      <w:r w:rsidRPr="006F0EF0">
        <w:rPr>
          <w:rFonts w:ascii="Arial" w:hAnsi="Arial" w:cs="Arial"/>
          <w:i/>
          <w:iCs/>
        </w:rPr>
        <w:t xml:space="preserve">Services for Children and Families in Rhondda Cynon Taf. </w:t>
      </w:r>
      <w:r w:rsidRPr="006F0EF0">
        <w:rPr>
          <w:rFonts w:ascii="Arial" w:hAnsi="Arial" w:cs="Arial"/>
        </w:rPr>
        <w:t>Available at: https://www.rctfamilies.co.uk/EN/Home.aspx. Accessed on: 16/04/2025.</w:t>
      </w:r>
    </w:p>
    <w:p w14:paraId="26121B5F" w14:textId="77777777" w:rsidR="000B34D2" w:rsidRPr="006F0EF0" w:rsidRDefault="000B34D2" w:rsidP="005E479C">
      <w:pPr>
        <w:pStyle w:val="NoSpacing"/>
        <w:spacing w:before="30" w:after="30"/>
        <w:ind w:left="850" w:right="850"/>
        <w:rPr>
          <w:rFonts w:ascii="Arial" w:hAnsi="Arial" w:cs="Arial"/>
        </w:rPr>
      </w:pPr>
    </w:p>
    <w:p w14:paraId="1FB0D16C"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lastRenderedPageBreak/>
        <w:t>Roberts, A. and Woods, P.A. (2018) ‘Theorising the value of collage in exploring educational leadership.’ </w:t>
      </w:r>
      <w:r w:rsidRPr="006F0EF0">
        <w:rPr>
          <w:rFonts w:ascii="Arial" w:hAnsi="Arial" w:cs="Arial"/>
          <w:i/>
          <w:iCs/>
        </w:rPr>
        <w:t>British Educational Research Journal</w:t>
      </w:r>
      <w:r w:rsidRPr="006F0EF0">
        <w:rPr>
          <w:rFonts w:ascii="Arial" w:hAnsi="Arial" w:cs="Arial"/>
        </w:rPr>
        <w:t>, </w:t>
      </w:r>
      <w:r w:rsidRPr="006F0EF0">
        <w:rPr>
          <w:rFonts w:ascii="Arial" w:hAnsi="Arial" w:cs="Arial"/>
          <w:i/>
          <w:iCs/>
        </w:rPr>
        <w:t>44</w:t>
      </w:r>
      <w:r w:rsidRPr="006F0EF0">
        <w:rPr>
          <w:rFonts w:ascii="Arial" w:hAnsi="Arial" w:cs="Arial"/>
        </w:rPr>
        <w:t>(4), pp.626-642. Available at: https://bera-journals.onlinelibrary.wiley.com/doi/full/10.1002/berj.3451?saml_referrer. Accessed on: 08/04/2025.</w:t>
      </w:r>
    </w:p>
    <w:p w14:paraId="5D5EE1C4" w14:textId="77777777" w:rsidR="000B34D2" w:rsidRPr="006F0EF0" w:rsidRDefault="000B34D2" w:rsidP="005E479C">
      <w:pPr>
        <w:pStyle w:val="NoSpacing"/>
        <w:spacing w:before="30" w:after="30"/>
        <w:ind w:left="850" w:right="850"/>
        <w:rPr>
          <w:rFonts w:ascii="Arial" w:hAnsi="Arial" w:cs="Arial"/>
        </w:rPr>
      </w:pPr>
    </w:p>
    <w:p w14:paraId="1C080BA0"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Senedd. (2021) </w:t>
      </w:r>
      <w:r w:rsidRPr="006F0EF0">
        <w:rPr>
          <w:rFonts w:ascii="Arial" w:hAnsi="Arial" w:cs="Arial"/>
          <w:i/>
          <w:iCs/>
        </w:rPr>
        <w:t>Curriculum and Assessment (Wales) Act 2021.</w:t>
      </w:r>
      <w:r w:rsidRPr="006F0EF0">
        <w:rPr>
          <w:rFonts w:ascii="Arial" w:hAnsi="Arial" w:cs="Arial"/>
        </w:rPr>
        <w:t xml:space="preserve"> Available at: </w:t>
      </w:r>
      <w:hyperlink r:id="rId55" w:history="1">
        <w:r w:rsidRPr="006F0EF0">
          <w:rPr>
            <w:rStyle w:val="Hyperlink"/>
            <w:rFonts w:ascii="Arial" w:hAnsi="Arial" w:cs="Arial"/>
            <w:color w:val="auto"/>
            <w:u w:val="none"/>
          </w:rPr>
          <w:t>https://www.legislation.gov.uk/asc/2021/4/section/71</w:t>
        </w:r>
      </w:hyperlink>
      <w:r w:rsidRPr="006F0EF0">
        <w:rPr>
          <w:rFonts w:ascii="Arial" w:hAnsi="Arial" w:cs="Arial"/>
        </w:rPr>
        <w:t>. Accessed on: 16/04/2025.</w:t>
      </w:r>
    </w:p>
    <w:p w14:paraId="7BB2B06B" w14:textId="77777777" w:rsidR="000B34D2" w:rsidRPr="006F0EF0" w:rsidRDefault="000B34D2" w:rsidP="005E479C">
      <w:pPr>
        <w:pStyle w:val="NoSpacing"/>
        <w:spacing w:before="30" w:after="30"/>
        <w:ind w:left="850" w:right="850"/>
        <w:rPr>
          <w:rFonts w:ascii="Arial" w:hAnsi="Arial" w:cs="Arial"/>
        </w:rPr>
      </w:pPr>
    </w:p>
    <w:p w14:paraId="1126FB06"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Shelter Cymru. (2025) </w:t>
      </w:r>
      <w:r w:rsidRPr="006F0EF0">
        <w:rPr>
          <w:rFonts w:ascii="Arial" w:hAnsi="Arial" w:cs="Arial"/>
          <w:i/>
          <w:iCs/>
        </w:rPr>
        <w:t>Housing Advice</w:t>
      </w:r>
      <w:r w:rsidRPr="006F0EF0">
        <w:rPr>
          <w:rFonts w:ascii="Arial" w:hAnsi="Arial" w:cs="Arial"/>
        </w:rPr>
        <w:t xml:space="preserve">. Available at: </w:t>
      </w:r>
      <w:hyperlink r:id="rId56" w:history="1">
        <w:r w:rsidRPr="006F0EF0">
          <w:rPr>
            <w:rStyle w:val="Hyperlink"/>
            <w:rFonts w:ascii="Arial" w:hAnsi="Arial" w:cs="Arial"/>
          </w:rPr>
          <w:t>https://sheltercymru.org.uk/housing-advice/repairs-and-bad-conditions/</w:t>
        </w:r>
      </w:hyperlink>
      <w:r w:rsidRPr="006F0EF0">
        <w:rPr>
          <w:rFonts w:ascii="Arial" w:hAnsi="Arial" w:cs="Arial"/>
        </w:rPr>
        <w:t>. Accessed on: 26/04/2025.</w:t>
      </w:r>
    </w:p>
    <w:p w14:paraId="1F78DC4A" w14:textId="77777777" w:rsidR="000B34D2" w:rsidRPr="006F0EF0" w:rsidRDefault="000B34D2" w:rsidP="005E479C">
      <w:pPr>
        <w:pStyle w:val="NoSpacing"/>
        <w:spacing w:before="30" w:after="30"/>
        <w:ind w:left="850" w:right="850"/>
        <w:rPr>
          <w:rFonts w:ascii="Arial" w:hAnsi="Arial" w:cs="Arial"/>
        </w:rPr>
      </w:pPr>
    </w:p>
    <w:p w14:paraId="7AA7C4D1"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Sim, J., Waterfield, J. (2019). Focus group methodology: some ethical challenges. </w:t>
      </w:r>
      <w:r w:rsidRPr="006F0EF0">
        <w:rPr>
          <w:rFonts w:ascii="Arial" w:hAnsi="Arial" w:cs="Arial"/>
          <w:i/>
          <w:iCs/>
        </w:rPr>
        <w:t>Qual Quant,</w:t>
      </w:r>
      <w:r w:rsidRPr="006F0EF0">
        <w:rPr>
          <w:rFonts w:ascii="Arial" w:hAnsi="Arial" w:cs="Arial"/>
        </w:rPr>
        <w:t xml:space="preserve"> 53, pp, 3003–3022. Available at: </w:t>
      </w:r>
      <w:hyperlink r:id="rId57" w:history="1">
        <w:r w:rsidRPr="006F0EF0">
          <w:rPr>
            <w:rStyle w:val="Hyperlink"/>
            <w:rFonts w:ascii="Arial" w:hAnsi="Arial" w:cs="Arial"/>
            <w:color w:val="auto"/>
            <w:u w:val="none"/>
          </w:rPr>
          <w:t>https://doi.org/10.1007/s11135-019-00914-5</w:t>
        </w:r>
      </w:hyperlink>
      <w:r w:rsidRPr="006F0EF0">
        <w:rPr>
          <w:rFonts w:ascii="Arial" w:hAnsi="Arial" w:cs="Arial"/>
        </w:rPr>
        <w:t>. Accessed on: 26/04/2025.</w:t>
      </w:r>
    </w:p>
    <w:p w14:paraId="11368023" w14:textId="77777777" w:rsidR="000B34D2" w:rsidRPr="006F0EF0" w:rsidRDefault="000B34D2" w:rsidP="005E479C">
      <w:pPr>
        <w:pStyle w:val="NoSpacing"/>
        <w:spacing w:before="30" w:after="30"/>
        <w:ind w:left="850" w:right="850"/>
        <w:rPr>
          <w:rFonts w:ascii="Arial" w:hAnsi="Arial" w:cs="Arial"/>
        </w:rPr>
      </w:pPr>
    </w:p>
    <w:p w14:paraId="72DE7C14"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Sokar, S., Haj-Yahia, M. M., and Greenbaum, C. W. (2023) ‘Childhood exposure to parental violence, attachment insecurities, and intimate partner violence perpetration among Arab adults in Israel.’ </w:t>
      </w:r>
      <w:r w:rsidRPr="006F0EF0">
        <w:rPr>
          <w:rFonts w:ascii="Arial" w:hAnsi="Arial" w:cs="Arial"/>
          <w:i/>
          <w:iCs/>
        </w:rPr>
        <w:t>Child Abuse &amp; Neglect</w:t>
      </w:r>
      <w:r w:rsidRPr="006F0EF0">
        <w:rPr>
          <w:rFonts w:ascii="Arial" w:hAnsi="Arial" w:cs="Arial"/>
        </w:rPr>
        <w:t xml:space="preserve">, </w:t>
      </w:r>
      <w:r w:rsidRPr="006F0EF0">
        <w:rPr>
          <w:rFonts w:ascii="Arial" w:hAnsi="Arial" w:cs="Arial"/>
          <w:i/>
          <w:iCs/>
        </w:rPr>
        <w:t>136</w:t>
      </w:r>
      <w:r w:rsidRPr="006F0EF0">
        <w:rPr>
          <w:rFonts w:ascii="Arial" w:hAnsi="Arial" w:cs="Arial"/>
        </w:rPr>
        <w:t xml:space="preserve"> (105999). Available at: </w:t>
      </w:r>
      <w:hyperlink r:id="rId58" w:history="1">
        <w:r w:rsidRPr="006F0EF0">
          <w:rPr>
            <w:rStyle w:val="Hyperlink"/>
            <w:rFonts w:ascii="Arial" w:hAnsi="Arial" w:cs="Arial"/>
            <w:color w:val="auto"/>
            <w:u w:val="none"/>
          </w:rPr>
          <w:t>https://doi.org/10.1016/j.chiabu.2022.105999</w:t>
        </w:r>
      </w:hyperlink>
      <w:r w:rsidRPr="006F0EF0">
        <w:rPr>
          <w:rFonts w:ascii="Arial" w:hAnsi="Arial" w:cs="Arial"/>
        </w:rPr>
        <w:t xml:space="preserve"> Accessed on: 16/04/2025.</w:t>
      </w:r>
    </w:p>
    <w:p w14:paraId="5C4B0266" w14:textId="77777777" w:rsidR="000B34D2" w:rsidRPr="006F0EF0" w:rsidRDefault="000B34D2" w:rsidP="005E479C">
      <w:pPr>
        <w:pStyle w:val="NoSpacing"/>
        <w:spacing w:before="30" w:after="30"/>
        <w:ind w:left="850" w:right="850"/>
        <w:rPr>
          <w:rFonts w:ascii="Arial" w:hAnsi="Arial" w:cs="Arial"/>
        </w:rPr>
      </w:pPr>
    </w:p>
    <w:p w14:paraId="44A7FC10" w14:textId="77777777" w:rsidR="000B34D2" w:rsidRPr="006F0EF0" w:rsidRDefault="000B34D2" w:rsidP="005E479C">
      <w:pPr>
        <w:pStyle w:val="NoSpacing"/>
        <w:spacing w:before="30" w:after="30"/>
        <w:ind w:left="850" w:right="850"/>
        <w:rPr>
          <w:rFonts w:ascii="Arial" w:hAnsi="Arial" w:cs="Arial"/>
        </w:rPr>
      </w:pPr>
    </w:p>
    <w:p w14:paraId="7B7DD90F"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South Wales Police and Crime Commissioner. (2024)</w:t>
      </w:r>
      <w:r w:rsidRPr="006F0EF0">
        <w:rPr>
          <w:rFonts w:ascii="Arial" w:hAnsi="Arial" w:cs="Arial"/>
          <w:i/>
          <w:iCs/>
        </w:rPr>
        <w:t xml:space="preserve"> Annual Report. </w:t>
      </w:r>
      <w:r w:rsidRPr="006F0EF0">
        <w:rPr>
          <w:rFonts w:ascii="Arial" w:hAnsi="Arial" w:cs="Arial"/>
        </w:rPr>
        <w:t xml:space="preserve">Available at: </w:t>
      </w:r>
      <w:hyperlink r:id="rId59" w:history="1">
        <w:r w:rsidRPr="006F0EF0">
          <w:rPr>
            <w:rStyle w:val="Hyperlink"/>
            <w:rFonts w:ascii="Arial" w:hAnsi="Arial" w:cs="Arial"/>
          </w:rPr>
          <w:t>https://www.southwalescommissioner.org.uk/wp-content/uploads/2024/02/c22-0138_police-crime-commissiner_annual-report-2022_v2_pages.pdf</w:t>
        </w:r>
      </w:hyperlink>
      <w:r w:rsidRPr="006F0EF0">
        <w:rPr>
          <w:rFonts w:ascii="Arial" w:hAnsi="Arial" w:cs="Arial"/>
        </w:rPr>
        <w:t>. Accessed on: 26/04/2025.</w:t>
      </w:r>
    </w:p>
    <w:p w14:paraId="25FD2031" w14:textId="77777777" w:rsidR="000B34D2" w:rsidRPr="006F0EF0" w:rsidRDefault="000B34D2" w:rsidP="005E479C">
      <w:pPr>
        <w:pStyle w:val="NoSpacing"/>
        <w:spacing w:before="30" w:after="30"/>
        <w:ind w:left="850" w:right="850"/>
        <w:rPr>
          <w:rFonts w:ascii="Arial" w:hAnsi="Arial" w:cs="Arial"/>
        </w:rPr>
      </w:pPr>
      <w:bookmarkStart w:id="2" w:name="_Hlk197098444"/>
    </w:p>
    <w:p w14:paraId="7AC8C87F"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Stokes, E. and Smyth, C. (2024) </w:t>
      </w:r>
      <w:bookmarkEnd w:id="2"/>
      <w:r w:rsidRPr="006F0EF0">
        <w:rPr>
          <w:rFonts w:ascii="Arial" w:hAnsi="Arial" w:cs="Arial"/>
        </w:rPr>
        <w:t>‘Hope-Bearing Legislation? The Well-being of Future Generations (Wales) Act 2015’, </w:t>
      </w:r>
      <w:r w:rsidRPr="006F0EF0">
        <w:rPr>
          <w:rFonts w:ascii="Arial" w:hAnsi="Arial" w:cs="Arial"/>
          <w:i/>
          <w:iCs/>
        </w:rPr>
        <w:t>Transnational Environmental Law</w:t>
      </w:r>
      <w:r w:rsidRPr="006F0EF0">
        <w:rPr>
          <w:rFonts w:ascii="Arial" w:hAnsi="Arial" w:cs="Arial"/>
        </w:rPr>
        <w:t>, 13 (3), pp. 569–587. doi:10.1017/S2047102524000219. Accessed on: 01/05/2025.</w:t>
      </w:r>
    </w:p>
    <w:p w14:paraId="03C0A208" w14:textId="77777777" w:rsidR="000B34D2" w:rsidRPr="006F0EF0" w:rsidRDefault="000B34D2" w:rsidP="005E479C">
      <w:pPr>
        <w:pStyle w:val="NoSpacing"/>
        <w:spacing w:before="30" w:after="30"/>
        <w:ind w:left="850" w:right="850"/>
        <w:rPr>
          <w:rFonts w:ascii="Arial" w:hAnsi="Arial" w:cs="Arial"/>
        </w:rPr>
      </w:pPr>
    </w:p>
    <w:p w14:paraId="1014C3FB"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Sun. (2024) </w:t>
      </w:r>
      <w:r w:rsidRPr="006F0EF0">
        <w:rPr>
          <w:rFonts w:ascii="Arial" w:hAnsi="Arial" w:cs="Arial"/>
          <w:i/>
          <w:iCs/>
        </w:rPr>
        <w:t>Poor kids hit puberty sooner.</w:t>
      </w:r>
      <w:r w:rsidRPr="006F0EF0">
        <w:rPr>
          <w:rFonts w:ascii="Arial" w:hAnsi="Arial" w:cs="Arial"/>
        </w:rPr>
        <w:t xml:space="preserve">  Available at:  </w:t>
      </w:r>
      <w:hyperlink r:id="rId60" w:history="1">
        <w:r w:rsidRPr="006F0EF0">
          <w:rPr>
            <w:rStyle w:val="Hyperlink"/>
            <w:rFonts w:ascii="Arial" w:hAnsi="Arial" w:cs="Arial"/>
            <w:color w:val="auto"/>
            <w:u w:val="none"/>
          </w:rPr>
          <w:t>https://theconversation.com/poor-kids-hit-puberty-sooner-and-risk-a-lifetime-of-health-problems-78178</w:t>
        </w:r>
      </w:hyperlink>
      <w:r w:rsidRPr="006F0EF0">
        <w:rPr>
          <w:rFonts w:ascii="Arial" w:hAnsi="Arial" w:cs="Arial"/>
        </w:rPr>
        <w:t>. Accessed on: 26/04/2025.</w:t>
      </w:r>
    </w:p>
    <w:p w14:paraId="07AF3B12" w14:textId="77777777" w:rsidR="000B34D2" w:rsidRPr="006F0EF0" w:rsidRDefault="000B34D2" w:rsidP="005E479C">
      <w:pPr>
        <w:pStyle w:val="NoSpacing"/>
        <w:spacing w:before="30" w:after="30"/>
        <w:ind w:left="850" w:right="850"/>
        <w:rPr>
          <w:rFonts w:ascii="Arial" w:hAnsi="Arial" w:cs="Arial"/>
        </w:rPr>
      </w:pPr>
    </w:p>
    <w:p w14:paraId="6879CE92" w14:textId="77777777" w:rsidR="000B34D2" w:rsidRPr="006F0EF0" w:rsidRDefault="000B34D2" w:rsidP="005E479C">
      <w:pPr>
        <w:pStyle w:val="NoSpacing"/>
        <w:spacing w:before="30" w:after="30"/>
        <w:ind w:left="850" w:right="850"/>
        <w:rPr>
          <w:rFonts w:ascii="Arial" w:hAnsi="Arial" w:cs="Arial"/>
        </w:rPr>
      </w:pPr>
      <w:proofErr w:type="spellStart"/>
      <w:r w:rsidRPr="006F0EF0">
        <w:rPr>
          <w:rFonts w:ascii="Arial" w:hAnsi="Arial" w:cs="Arial"/>
        </w:rPr>
        <w:t>Tulyakul</w:t>
      </w:r>
      <w:proofErr w:type="spellEnd"/>
      <w:r w:rsidRPr="006F0EF0">
        <w:rPr>
          <w:rFonts w:ascii="Arial" w:hAnsi="Arial" w:cs="Arial"/>
        </w:rPr>
        <w:t xml:space="preserve">, P., and </w:t>
      </w:r>
      <w:proofErr w:type="spellStart"/>
      <w:r w:rsidRPr="006F0EF0">
        <w:rPr>
          <w:rFonts w:ascii="Arial" w:hAnsi="Arial" w:cs="Arial"/>
        </w:rPr>
        <w:t>Meepring</w:t>
      </w:r>
      <w:proofErr w:type="spellEnd"/>
      <w:r w:rsidRPr="006F0EF0">
        <w:rPr>
          <w:rFonts w:ascii="Arial" w:hAnsi="Arial" w:cs="Arial"/>
        </w:rPr>
        <w:t>, S. (2020) ‘Ethical issues of informed consent: Students as participants in faculty research.’ </w:t>
      </w:r>
      <w:r w:rsidRPr="006F0EF0">
        <w:rPr>
          <w:rFonts w:ascii="Arial" w:hAnsi="Arial" w:cs="Arial"/>
          <w:i/>
          <w:iCs/>
        </w:rPr>
        <w:t>Global Journal of Health Science</w:t>
      </w:r>
      <w:r w:rsidRPr="006F0EF0">
        <w:rPr>
          <w:rFonts w:ascii="Arial" w:hAnsi="Arial" w:cs="Arial"/>
        </w:rPr>
        <w:t>, </w:t>
      </w:r>
      <w:r w:rsidRPr="006F0EF0">
        <w:rPr>
          <w:rFonts w:ascii="Arial" w:hAnsi="Arial" w:cs="Arial"/>
          <w:i/>
          <w:iCs/>
        </w:rPr>
        <w:t>12</w:t>
      </w:r>
      <w:r w:rsidRPr="006F0EF0">
        <w:rPr>
          <w:rFonts w:ascii="Arial" w:hAnsi="Arial" w:cs="Arial"/>
        </w:rPr>
        <w:t>(3), pp. 86. DOI:</w:t>
      </w:r>
      <w:hyperlink r:id="rId61" w:history="1">
        <w:r w:rsidRPr="006F0EF0">
          <w:rPr>
            <w:rStyle w:val="Hyperlink"/>
            <w:rFonts w:ascii="Arial" w:hAnsi="Arial" w:cs="Arial"/>
          </w:rPr>
          <w:t>10.5539/gjhs.v12n3p86</w:t>
        </w:r>
      </w:hyperlink>
      <w:r w:rsidRPr="006F0EF0">
        <w:rPr>
          <w:rFonts w:ascii="Arial" w:hAnsi="Arial" w:cs="Arial"/>
        </w:rPr>
        <w:t>. Accessed on: 01/05/2025.</w:t>
      </w:r>
    </w:p>
    <w:p w14:paraId="23F69740" w14:textId="77777777" w:rsidR="000B34D2" w:rsidRPr="006F0EF0" w:rsidRDefault="000B34D2" w:rsidP="005E479C">
      <w:pPr>
        <w:pStyle w:val="NoSpacing"/>
        <w:spacing w:before="30" w:after="30"/>
        <w:ind w:left="850" w:right="850"/>
        <w:rPr>
          <w:rFonts w:ascii="Arial" w:hAnsi="Arial" w:cs="Arial"/>
        </w:rPr>
      </w:pPr>
    </w:p>
    <w:p w14:paraId="46152E6B"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lastRenderedPageBreak/>
        <w:t xml:space="preserve">UK Parliament. (2024) </w:t>
      </w:r>
      <w:r w:rsidRPr="006F0EF0">
        <w:rPr>
          <w:rFonts w:ascii="Arial" w:hAnsi="Arial" w:cs="Arial"/>
          <w:i/>
          <w:iCs/>
        </w:rPr>
        <w:t>Rising cost of living in the UK.</w:t>
      </w:r>
      <w:r w:rsidRPr="006F0EF0">
        <w:rPr>
          <w:rFonts w:ascii="Arial" w:hAnsi="Arial" w:cs="Arial"/>
        </w:rPr>
        <w:t xml:space="preserve"> </w:t>
      </w:r>
      <w:proofErr w:type="spellStart"/>
      <w:r w:rsidRPr="006F0EF0">
        <w:rPr>
          <w:rFonts w:ascii="Arial" w:hAnsi="Arial" w:cs="Arial"/>
        </w:rPr>
        <w:t>Availabe</w:t>
      </w:r>
      <w:proofErr w:type="spellEnd"/>
      <w:r w:rsidRPr="006F0EF0">
        <w:rPr>
          <w:rFonts w:ascii="Arial" w:hAnsi="Arial" w:cs="Arial"/>
        </w:rPr>
        <w:t xml:space="preserve"> at: </w:t>
      </w:r>
      <w:hyperlink r:id="rId62" w:history="1">
        <w:r w:rsidRPr="006F0EF0">
          <w:rPr>
            <w:rStyle w:val="Hyperlink"/>
            <w:rFonts w:ascii="Arial" w:hAnsi="Arial" w:cs="Arial"/>
          </w:rPr>
          <w:t>https://commonslibrary.parliament.uk/research-briefings/cbp-9428/</w:t>
        </w:r>
      </w:hyperlink>
      <w:r w:rsidRPr="006F0EF0">
        <w:rPr>
          <w:rFonts w:ascii="Arial" w:hAnsi="Arial" w:cs="Arial"/>
        </w:rPr>
        <w:t>. Accessed on: 26/04/2025.</w:t>
      </w:r>
    </w:p>
    <w:p w14:paraId="35A2933E" w14:textId="77777777" w:rsidR="000B34D2" w:rsidRPr="006F0EF0" w:rsidRDefault="000B34D2" w:rsidP="005E479C">
      <w:pPr>
        <w:pStyle w:val="NoSpacing"/>
        <w:spacing w:before="30" w:after="30"/>
        <w:ind w:left="850" w:right="850"/>
        <w:rPr>
          <w:rFonts w:ascii="Arial" w:hAnsi="Arial" w:cs="Arial"/>
        </w:rPr>
      </w:pPr>
    </w:p>
    <w:p w14:paraId="38F7793B"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Van Leent, L., Walsh, K., Moran, C., Hand, K., and French, S. (2023) ‘Effectiveness of relationships and sex education: A systematic review of terminology, content, pedagogy, and outcomes.’ </w:t>
      </w:r>
      <w:r w:rsidRPr="006F0EF0">
        <w:rPr>
          <w:rFonts w:ascii="Arial" w:hAnsi="Arial" w:cs="Arial"/>
          <w:i/>
          <w:iCs/>
        </w:rPr>
        <w:t>Educational Research Review</w:t>
      </w:r>
      <w:r w:rsidRPr="006F0EF0">
        <w:rPr>
          <w:rFonts w:ascii="Arial" w:hAnsi="Arial" w:cs="Arial"/>
        </w:rPr>
        <w:t xml:space="preserve">, </w:t>
      </w:r>
      <w:r w:rsidRPr="006F0EF0">
        <w:rPr>
          <w:rFonts w:ascii="Arial" w:hAnsi="Arial" w:cs="Arial"/>
          <w:i/>
          <w:iCs/>
        </w:rPr>
        <w:t xml:space="preserve">39 </w:t>
      </w:r>
      <w:r w:rsidRPr="006F0EF0">
        <w:rPr>
          <w:rFonts w:ascii="Arial" w:hAnsi="Arial" w:cs="Arial"/>
        </w:rPr>
        <w:t xml:space="preserve">(100527). Available at: </w:t>
      </w:r>
      <w:hyperlink r:id="rId63" w:history="1">
        <w:r w:rsidRPr="006F0EF0">
          <w:rPr>
            <w:rStyle w:val="Hyperlink"/>
            <w:rFonts w:ascii="Arial" w:hAnsi="Arial" w:cs="Arial"/>
          </w:rPr>
          <w:t>https://doi.org/10.1016/j.edurev.2023.100527</w:t>
        </w:r>
      </w:hyperlink>
      <w:r w:rsidRPr="006F0EF0">
        <w:rPr>
          <w:rFonts w:ascii="Arial" w:hAnsi="Arial" w:cs="Arial"/>
        </w:rPr>
        <w:t>. Accessed on: 22/04/2025.</w:t>
      </w:r>
    </w:p>
    <w:p w14:paraId="08F29FC2" w14:textId="77777777" w:rsidR="000B34D2" w:rsidRPr="006F0EF0" w:rsidRDefault="000B34D2" w:rsidP="005E479C">
      <w:pPr>
        <w:pStyle w:val="NoSpacing"/>
        <w:spacing w:before="30" w:after="30"/>
        <w:ind w:left="850" w:right="850"/>
        <w:rPr>
          <w:rFonts w:ascii="Arial" w:hAnsi="Arial" w:cs="Arial"/>
        </w:rPr>
      </w:pPr>
    </w:p>
    <w:p w14:paraId="5EE7885A" w14:textId="77777777" w:rsidR="000B34D2" w:rsidRPr="006F0EF0" w:rsidRDefault="000B34D2" w:rsidP="005E479C">
      <w:pPr>
        <w:pStyle w:val="NoSpacing"/>
        <w:spacing w:before="30" w:after="30"/>
        <w:ind w:left="850" w:right="850"/>
        <w:rPr>
          <w:rFonts w:ascii="Arial" w:hAnsi="Arial" w:cs="Arial"/>
        </w:rPr>
      </w:pPr>
      <w:proofErr w:type="spellStart"/>
      <w:r w:rsidRPr="006F0EF0">
        <w:rPr>
          <w:rFonts w:ascii="Arial" w:hAnsi="Arial" w:cs="Arial"/>
        </w:rPr>
        <w:t>Vertel</w:t>
      </w:r>
      <w:proofErr w:type="spellEnd"/>
      <w:r w:rsidRPr="006F0EF0">
        <w:rPr>
          <w:rFonts w:ascii="Arial" w:hAnsi="Arial" w:cs="Arial"/>
        </w:rPr>
        <w:t>, A. (2023) ‘Mary Ainsworth’s Attachment Theory and its Significance for Understanding a Child’s Early Social-Emotional Development.’ </w:t>
      </w:r>
      <w:r w:rsidRPr="006F0EF0">
        <w:rPr>
          <w:rFonts w:ascii="Arial" w:hAnsi="Arial" w:cs="Arial"/>
          <w:i/>
          <w:iCs/>
        </w:rPr>
        <w:t xml:space="preserve">Humanities science current issues. </w:t>
      </w:r>
      <w:r w:rsidRPr="006F0EF0">
        <w:rPr>
          <w:rFonts w:ascii="Arial" w:hAnsi="Arial" w:cs="Arial"/>
        </w:rPr>
        <w:t>1, pp. 304-310. DOI: 10.24919/2308-4863/70-1.</w:t>
      </w:r>
    </w:p>
    <w:p w14:paraId="7366CB58" w14:textId="77777777" w:rsidR="000B34D2" w:rsidRPr="006F0EF0" w:rsidRDefault="000B34D2" w:rsidP="005E479C">
      <w:pPr>
        <w:pStyle w:val="NoSpacing"/>
        <w:spacing w:before="30" w:after="30"/>
        <w:ind w:left="850" w:right="850"/>
        <w:rPr>
          <w:rFonts w:ascii="Arial" w:hAnsi="Arial" w:cs="Arial"/>
        </w:rPr>
      </w:pPr>
    </w:p>
    <w:p w14:paraId="4993E954"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Wall-Wieler, E., </w:t>
      </w:r>
      <w:proofErr w:type="spellStart"/>
      <w:r w:rsidRPr="006F0EF0">
        <w:rPr>
          <w:rFonts w:ascii="Arial" w:hAnsi="Arial" w:cs="Arial"/>
        </w:rPr>
        <w:t>Roos</w:t>
      </w:r>
      <w:proofErr w:type="spellEnd"/>
      <w:r w:rsidRPr="006F0EF0">
        <w:rPr>
          <w:rFonts w:ascii="Arial" w:hAnsi="Arial" w:cs="Arial"/>
        </w:rPr>
        <w:t>, L.L. and Nickel, N.C. (2016)’Teenage pregnancy: the impact of maternal adolescent childbearing and older sister’s teenage pregnancy on a younger sister.’ </w:t>
      </w:r>
      <w:r w:rsidRPr="006F0EF0">
        <w:rPr>
          <w:rFonts w:ascii="Arial" w:hAnsi="Arial" w:cs="Arial"/>
          <w:i/>
          <w:iCs/>
        </w:rPr>
        <w:t>BMC Pregnancy Childbirth.</w:t>
      </w:r>
      <w:r w:rsidRPr="006F0EF0">
        <w:rPr>
          <w:rFonts w:ascii="Arial" w:hAnsi="Arial" w:cs="Arial"/>
        </w:rPr>
        <w:t xml:space="preserve"> 16 (120). Available at: </w:t>
      </w:r>
      <w:hyperlink r:id="rId64" w:history="1">
        <w:r w:rsidRPr="006F0EF0">
          <w:rPr>
            <w:rStyle w:val="Hyperlink"/>
            <w:rFonts w:ascii="Arial" w:hAnsi="Arial" w:cs="Arial"/>
            <w:color w:val="auto"/>
            <w:u w:val="none"/>
          </w:rPr>
          <w:t>https://doi.org/10.1186/s12884-016-0911-2</w:t>
        </w:r>
      </w:hyperlink>
      <w:r w:rsidRPr="006F0EF0">
        <w:rPr>
          <w:rFonts w:ascii="Arial" w:hAnsi="Arial" w:cs="Arial"/>
        </w:rPr>
        <w:t xml:space="preserve"> Accessed on: 01/05/2025.</w:t>
      </w:r>
    </w:p>
    <w:p w14:paraId="4A6B06D1" w14:textId="77777777" w:rsidR="000B34D2" w:rsidRPr="006F0EF0" w:rsidRDefault="000B34D2" w:rsidP="005E479C">
      <w:pPr>
        <w:pStyle w:val="NoSpacing"/>
        <w:spacing w:before="30" w:after="30"/>
        <w:ind w:left="850" w:right="850"/>
        <w:rPr>
          <w:rFonts w:ascii="Arial" w:hAnsi="Arial" w:cs="Arial"/>
        </w:rPr>
      </w:pPr>
    </w:p>
    <w:p w14:paraId="06F16ED3" w14:textId="77777777" w:rsidR="000B34D2" w:rsidRPr="006F0EF0" w:rsidRDefault="000B34D2" w:rsidP="005E479C">
      <w:pPr>
        <w:pStyle w:val="NoSpacing"/>
        <w:spacing w:before="30" w:after="30"/>
        <w:ind w:left="850" w:right="850"/>
        <w:rPr>
          <w:rFonts w:ascii="Arial" w:hAnsi="Arial" w:cs="Arial"/>
        </w:rPr>
      </w:pPr>
      <w:hyperlink r:id="rId65" w:tgtFrame="_blank" w:history="1">
        <w:r w:rsidRPr="006F0EF0">
          <w:rPr>
            <w:rStyle w:val="Hyperlink"/>
            <w:rFonts w:ascii="Arial" w:hAnsi="Arial" w:cs="Arial"/>
            <w:color w:val="auto"/>
            <w:u w:val="none"/>
          </w:rPr>
          <w:t xml:space="preserve">Wales Centre for Public Policy. </w:t>
        </w:r>
        <w:r w:rsidRPr="006F0EF0">
          <w:rPr>
            <w:rStyle w:val="Hyperlink"/>
            <w:rFonts w:ascii="Arial" w:eastAsiaTheme="majorEastAsia" w:hAnsi="Arial" w:cs="Arial"/>
            <w:color w:val="auto"/>
            <w:u w:val="none"/>
          </w:rPr>
          <w:t>(2022</w:t>
        </w:r>
      </w:hyperlink>
      <w:r w:rsidRPr="006F0EF0">
        <w:rPr>
          <w:rFonts w:ascii="Arial" w:hAnsi="Arial" w:cs="Arial"/>
        </w:rPr>
        <w:t xml:space="preserve">)  </w:t>
      </w:r>
      <w:r w:rsidRPr="006F0EF0">
        <w:rPr>
          <w:rFonts w:ascii="Arial" w:hAnsi="Arial" w:cs="Arial"/>
          <w:i/>
          <w:iCs/>
        </w:rPr>
        <w:t>Poverty in Wales Briefing.</w:t>
      </w:r>
      <w:r w:rsidRPr="006F0EF0">
        <w:rPr>
          <w:rFonts w:ascii="Arial" w:hAnsi="Arial" w:cs="Arial"/>
        </w:rPr>
        <w:t xml:space="preserve"> Available at: </w:t>
      </w:r>
      <w:hyperlink r:id="rId66" w:history="1">
        <w:r w:rsidRPr="006F0EF0">
          <w:rPr>
            <w:rStyle w:val="Hyperlink"/>
            <w:rFonts w:ascii="Arial" w:hAnsi="Arial" w:cs="Arial"/>
          </w:rPr>
          <w:t>https://www.wcpp.org.uk/wp-content/uploads/2022/09/Poverty-in-Wales-Policy-Briefing.pdf</w:t>
        </w:r>
      </w:hyperlink>
      <w:r w:rsidRPr="006F0EF0">
        <w:rPr>
          <w:rFonts w:ascii="Arial" w:hAnsi="Arial" w:cs="Arial"/>
        </w:rPr>
        <w:t>. Accessed on: 26/04/2025.</w:t>
      </w:r>
    </w:p>
    <w:p w14:paraId="77354188" w14:textId="77777777" w:rsidR="000B34D2" w:rsidRPr="006F0EF0" w:rsidRDefault="000B34D2" w:rsidP="005E479C">
      <w:pPr>
        <w:pStyle w:val="NoSpacing"/>
        <w:spacing w:before="30" w:after="30"/>
        <w:ind w:left="850" w:right="850"/>
        <w:rPr>
          <w:rFonts w:ascii="Arial" w:hAnsi="Arial" w:cs="Arial"/>
        </w:rPr>
      </w:pPr>
    </w:p>
    <w:p w14:paraId="511FF70A"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Warwickshire County Council. (No date) </w:t>
      </w:r>
      <w:r w:rsidRPr="006F0EF0">
        <w:rPr>
          <w:rFonts w:ascii="Arial" w:hAnsi="Arial" w:cs="Arial"/>
          <w:i/>
          <w:iCs/>
        </w:rPr>
        <w:t>Ladder of Participation.</w:t>
      </w:r>
      <w:r w:rsidRPr="006F0EF0">
        <w:rPr>
          <w:rFonts w:ascii="Arial" w:hAnsi="Arial" w:cs="Arial"/>
        </w:rPr>
        <w:t xml:space="preserve"> Available at: </w:t>
      </w:r>
      <w:hyperlink r:id="rId67" w:history="1">
        <w:r w:rsidRPr="006F0EF0">
          <w:rPr>
            <w:rStyle w:val="Hyperlink"/>
            <w:rFonts w:ascii="Arial" w:hAnsi="Arial" w:cs="Arial"/>
            <w:color w:val="auto"/>
            <w:u w:val="none"/>
          </w:rPr>
          <w:t>https://schools.warwickshire.gov.uk/early-help-targeted-support/participation-engagement/2</w:t>
        </w:r>
      </w:hyperlink>
    </w:p>
    <w:p w14:paraId="5255258E" w14:textId="77777777" w:rsidR="000B34D2" w:rsidRPr="006F0EF0" w:rsidRDefault="000B34D2" w:rsidP="005E479C">
      <w:pPr>
        <w:pStyle w:val="NoSpacing"/>
        <w:spacing w:before="30" w:after="30"/>
        <w:ind w:left="850" w:right="850"/>
        <w:rPr>
          <w:rFonts w:ascii="Arial" w:hAnsi="Arial" w:cs="Arial"/>
        </w:rPr>
      </w:pPr>
    </w:p>
    <w:p w14:paraId="278E9A25"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Watt, S. and Wakefield, C. (2017)  ‘Looking Back: The use of visual methods in the social sciences.’  </w:t>
      </w:r>
      <w:r w:rsidRPr="006F0EF0">
        <w:rPr>
          <w:rFonts w:ascii="Arial" w:hAnsi="Arial" w:cs="Arial"/>
          <w:i/>
          <w:iCs/>
        </w:rPr>
        <w:t>Teaching Visual Methods in the Social Sciences</w:t>
      </w:r>
      <w:r w:rsidRPr="006F0EF0">
        <w:rPr>
          <w:rFonts w:ascii="Arial" w:hAnsi="Arial" w:cs="Arial"/>
        </w:rPr>
        <w:t>. pp. 8-23. Routledge – UK. Accessed on: 29/04/2025.</w:t>
      </w:r>
    </w:p>
    <w:p w14:paraId="24BC43F3" w14:textId="77777777" w:rsidR="000B34D2" w:rsidRPr="006F0EF0" w:rsidRDefault="000B34D2" w:rsidP="005E479C">
      <w:pPr>
        <w:pStyle w:val="NoSpacing"/>
        <w:spacing w:before="30" w:after="30"/>
        <w:ind w:left="850" w:right="850"/>
        <w:rPr>
          <w:rFonts w:ascii="Arial" w:hAnsi="Arial" w:cs="Arial"/>
        </w:rPr>
      </w:pPr>
    </w:p>
    <w:p w14:paraId="65879831"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Welsh Government. (2025) </w:t>
      </w:r>
      <w:r w:rsidRPr="006F0EF0">
        <w:rPr>
          <w:rFonts w:ascii="Arial" w:hAnsi="Arial" w:cs="Arial"/>
          <w:i/>
          <w:iCs/>
        </w:rPr>
        <w:t>Curriculum for Wales</w:t>
      </w:r>
      <w:r w:rsidRPr="006F0EF0">
        <w:rPr>
          <w:rFonts w:ascii="Arial" w:hAnsi="Arial" w:cs="Arial"/>
        </w:rPr>
        <w:t xml:space="preserve">. Available at: </w:t>
      </w:r>
      <w:hyperlink r:id="rId68" w:history="1">
        <w:r w:rsidRPr="006F0EF0">
          <w:rPr>
            <w:rStyle w:val="Hyperlink"/>
            <w:rFonts w:ascii="Arial" w:hAnsi="Arial" w:cs="Arial"/>
            <w:color w:val="auto"/>
            <w:u w:val="none"/>
          </w:rPr>
          <w:t>https://hwb.gov.wales/curriculum-for-wales/</w:t>
        </w:r>
      </w:hyperlink>
      <w:r w:rsidRPr="006F0EF0">
        <w:rPr>
          <w:rFonts w:ascii="Arial" w:hAnsi="Arial" w:cs="Arial"/>
        </w:rPr>
        <w:t>. Accessed on: 22/04/2025.</w:t>
      </w:r>
    </w:p>
    <w:p w14:paraId="1DE6849E" w14:textId="77777777" w:rsidR="000B34D2" w:rsidRPr="006F0EF0" w:rsidRDefault="000B34D2" w:rsidP="005E479C">
      <w:pPr>
        <w:pStyle w:val="NoSpacing"/>
        <w:spacing w:before="30" w:after="30"/>
        <w:ind w:left="850" w:right="850"/>
        <w:rPr>
          <w:rFonts w:ascii="Arial" w:hAnsi="Arial" w:cs="Arial"/>
        </w:rPr>
      </w:pPr>
    </w:p>
    <w:p w14:paraId="2F7A5BB2"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 xml:space="preserve">Welsh Government. (2021) </w:t>
      </w:r>
      <w:r w:rsidRPr="006F0EF0">
        <w:rPr>
          <w:rFonts w:ascii="Arial" w:hAnsi="Arial" w:cs="Arial"/>
          <w:i/>
          <w:iCs/>
        </w:rPr>
        <w:t xml:space="preserve">Draft relationships and sexuality education (RSE) statutory guidance and code. </w:t>
      </w:r>
      <w:r w:rsidRPr="006F0EF0">
        <w:rPr>
          <w:rFonts w:ascii="Arial" w:hAnsi="Arial" w:cs="Arial"/>
        </w:rPr>
        <w:t xml:space="preserve">Available at: </w:t>
      </w:r>
      <w:hyperlink r:id="rId69" w:history="1">
        <w:r w:rsidRPr="006F0EF0">
          <w:rPr>
            <w:rStyle w:val="Hyperlink"/>
            <w:rFonts w:ascii="Arial" w:hAnsi="Arial" w:cs="Arial"/>
          </w:rPr>
          <w:t>https://www.gov.wales/sites/default/files/publications/2021-12/draft-relationships-sexuality-education-statutory-guidance-code_1.pdf</w:t>
        </w:r>
      </w:hyperlink>
      <w:r w:rsidRPr="006F0EF0">
        <w:rPr>
          <w:rFonts w:ascii="Arial" w:hAnsi="Arial" w:cs="Arial"/>
        </w:rPr>
        <w:t>. Accessed on: 16/04/2025.</w:t>
      </w:r>
    </w:p>
    <w:p w14:paraId="041C7B48" w14:textId="77777777" w:rsidR="000B34D2" w:rsidRPr="006F0EF0" w:rsidRDefault="000B34D2" w:rsidP="005E479C">
      <w:pPr>
        <w:pStyle w:val="NoSpacing"/>
        <w:spacing w:before="30" w:after="30"/>
        <w:ind w:left="850" w:right="850"/>
        <w:rPr>
          <w:rFonts w:ascii="Arial" w:hAnsi="Arial" w:cs="Arial"/>
        </w:rPr>
      </w:pPr>
    </w:p>
    <w:p w14:paraId="53B234CC" w14:textId="77777777" w:rsidR="000B34D2" w:rsidRPr="006F0EF0" w:rsidRDefault="000B34D2" w:rsidP="005E479C">
      <w:pPr>
        <w:pStyle w:val="NoSpacing"/>
        <w:spacing w:before="30" w:after="30"/>
        <w:ind w:left="850" w:right="850"/>
        <w:rPr>
          <w:rFonts w:ascii="Arial" w:hAnsi="Arial" w:cs="Arial"/>
        </w:rPr>
      </w:pPr>
      <w:bookmarkStart w:id="3" w:name="_Hlk197100436"/>
      <w:r w:rsidRPr="006F0EF0">
        <w:rPr>
          <w:rFonts w:ascii="Arial" w:hAnsi="Arial" w:cs="Arial"/>
        </w:rPr>
        <w:t xml:space="preserve">Welsh Government. (2022) </w:t>
      </w:r>
      <w:bookmarkEnd w:id="3"/>
      <w:r w:rsidRPr="006F0EF0">
        <w:rPr>
          <w:rFonts w:ascii="Arial" w:hAnsi="Arial" w:cs="Arial"/>
          <w:i/>
          <w:iCs/>
        </w:rPr>
        <w:t>Written Statement: Verdict of High Court on Relationships and Sexuality Education (RSE)</w:t>
      </w:r>
      <w:r w:rsidRPr="006F0EF0">
        <w:rPr>
          <w:rFonts w:ascii="Arial" w:hAnsi="Arial" w:cs="Arial"/>
        </w:rPr>
        <w:t xml:space="preserve">. Available at: </w:t>
      </w:r>
      <w:hyperlink r:id="rId70" w:history="1">
        <w:r w:rsidRPr="006F0EF0">
          <w:rPr>
            <w:rStyle w:val="Hyperlink"/>
            <w:rFonts w:ascii="Arial" w:hAnsi="Arial" w:cs="Arial"/>
            <w:color w:val="auto"/>
            <w:u w:val="none"/>
          </w:rPr>
          <w:t>https://www.gov.wales/written-statement-verdict-high-court-relationships-and-sexuality-education-rse</w:t>
        </w:r>
      </w:hyperlink>
      <w:r w:rsidRPr="006F0EF0">
        <w:rPr>
          <w:rFonts w:ascii="Arial" w:hAnsi="Arial" w:cs="Arial"/>
        </w:rPr>
        <w:t>. Accessed on: 16/04/2025.</w:t>
      </w:r>
    </w:p>
    <w:p w14:paraId="76A0666D" w14:textId="77777777" w:rsidR="000B34D2" w:rsidRPr="006F0EF0" w:rsidRDefault="000B34D2" w:rsidP="005E479C">
      <w:pPr>
        <w:pStyle w:val="NoSpacing"/>
        <w:spacing w:before="30" w:after="30"/>
        <w:ind w:left="850" w:right="850"/>
        <w:rPr>
          <w:rFonts w:ascii="Arial" w:hAnsi="Arial" w:cs="Arial"/>
        </w:rPr>
      </w:pPr>
    </w:p>
    <w:p w14:paraId="02864828"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The World Health Organisation. (2020)</w:t>
      </w:r>
      <w:r w:rsidRPr="006F0EF0">
        <w:rPr>
          <w:rFonts w:ascii="Arial" w:hAnsi="Arial" w:cs="Arial"/>
          <w:i/>
          <w:iCs/>
        </w:rPr>
        <w:t xml:space="preserve"> Adverse Childhood Experiences International Questionnaire (ACE-IQ).</w:t>
      </w:r>
      <w:r w:rsidRPr="006F0EF0">
        <w:rPr>
          <w:rFonts w:ascii="Arial" w:hAnsi="Arial" w:cs="Arial"/>
        </w:rPr>
        <w:t xml:space="preserve"> Available at: </w:t>
      </w:r>
      <w:hyperlink r:id="rId71" w:history="1">
        <w:r w:rsidRPr="006F0EF0">
          <w:rPr>
            <w:rStyle w:val="Hyperlink"/>
            <w:rFonts w:ascii="Arial" w:hAnsi="Arial" w:cs="Arial"/>
          </w:rPr>
          <w:t>https://www.who.int/publications/m/item/adverse-childhood-experiences-international-questionnaire-(ace-iq)</w:t>
        </w:r>
      </w:hyperlink>
      <w:r w:rsidRPr="006F0EF0">
        <w:rPr>
          <w:rFonts w:ascii="Arial" w:hAnsi="Arial" w:cs="Arial"/>
        </w:rPr>
        <w:t xml:space="preserve"> Accessed on: 08/04/2025.</w:t>
      </w:r>
    </w:p>
    <w:p w14:paraId="748AD103" w14:textId="77777777" w:rsidR="000B34D2" w:rsidRPr="006F0EF0" w:rsidRDefault="000B34D2" w:rsidP="005E479C">
      <w:pPr>
        <w:pStyle w:val="NoSpacing"/>
        <w:spacing w:before="30" w:after="30"/>
        <w:ind w:left="850" w:right="850"/>
        <w:rPr>
          <w:rFonts w:ascii="Arial" w:hAnsi="Arial" w:cs="Arial"/>
        </w:rPr>
      </w:pPr>
    </w:p>
    <w:p w14:paraId="0C815FEC"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The World Health Organization (2024)</w:t>
      </w:r>
      <w:r w:rsidRPr="006F0EF0">
        <w:rPr>
          <w:rFonts w:ascii="Arial" w:hAnsi="Arial" w:cs="Arial"/>
          <w:i/>
          <w:iCs/>
        </w:rPr>
        <w:t xml:space="preserve"> Five Well-Being Index (WHO-5)</w:t>
      </w:r>
      <w:r w:rsidRPr="006F0EF0">
        <w:rPr>
          <w:rFonts w:ascii="Arial" w:hAnsi="Arial" w:cs="Arial"/>
        </w:rPr>
        <w:t xml:space="preserve">. Available at: </w:t>
      </w:r>
      <w:hyperlink r:id="rId72" w:history="1">
        <w:r w:rsidRPr="006F0EF0">
          <w:rPr>
            <w:rStyle w:val="Hyperlink"/>
            <w:rFonts w:ascii="Arial" w:hAnsi="Arial" w:cs="Arial"/>
            <w:color w:val="auto"/>
            <w:u w:val="none"/>
          </w:rPr>
          <w:t>https://cdn.who.int/media/docs/default-source/mental-health/who-5_english-original4da539d6ed4b49389e3afe47cda2326a.pdf?sfvrsn=ed43f352_11&amp;download=true</w:t>
        </w:r>
      </w:hyperlink>
      <w:r w:rsidRPr="006F0EF0">
        <w:rPr>
          <w:rFonts w:ascii="Arial" w:hAnsi="Arial" w:cs="Arial"/>
        </w:rPr>
        <w:t>. Accessed on: 16/04/2025.</w:t>
      </w:r>
    </w:p>
    <w:p w14:paraId="5A49A6A4" w14:textId="77777777" w:rsidR="000B34D2" w:rsidRPr="006F0EF0" w:rsidRDefault="000B34D2" w:rsidP="005E479C">
      <w:pPr>
        <w:pStyle w:val="NoSpacing"/>
        <w:spacing w:before="30" w:after="30"/>
        <w:ind w:left="850" w:right="850"/>
        <w:rPr>
          <w:rFonts w:ascii="Arial" w:hAnsi="Arial" w:cs="Arial"/>
        </w:rPr>
      </w:pPr>
    </w:p>
    <w:p w14:paraId="568ACD79"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Yip, S. Y. (2023) Positionality and reflexivity: negotiating insider-outsider positions within and across cultures. </w:t>
      </w:r>
      <w:r w:rsidRPr="006F0EF0">
        <w:rPr>
          <w:rFonts w:ascii="Arial" w:hAnsi="Arial" w:cs="Arial"/>
          <w:i/>
          <w:iCs/>
        </w:rPr>
        <w:t>International Journal of Research &amp; Method in Education</w:t>
      </w:r>
      <w:r w:rsidRPr="006F0EF0">
        <w:rPr>
          <w:rFonts w:ascii="Arial" w:hAnsi="Arial" w:cs="Arial"/>
        </w:rPr>
        <w:t>, </w:t>
      </w:r>
      <w:r w:rsidRPr="006F0EF0">
        <w:rPr>
          <w:rFonts w:ascii="Arial" w:hAnsi="Arial" w:cs="Arial"/>
          <w:i/>
          <w:iCs/>
        </w:rPr>
        <w:t xml:space="preserve">47 </w:t>
      </w:r>
      <w:r w:rsidRPr="006F0EF0">
        <w:rPr>
          <w:rFonts w:ascii="Arial" w:hAnsi="Arial" w:cs="Arial"/>
        </w:rPr>
        <w:t>(3), pp. 222–232.Available at:  https://doi.org/10.1080/1743727X.2023.2266375 Accessed on: 20/04/2025.</w:t>
      </w:r>
    </w:p>
    <w:p w14:paraId="25F98A61" w14:textId="77777777" w:rsidR="000B34D2" w:rsidRPr="006F0EF0" w:rsidRDefault="000B34D2" w:rsidP="005E479C">
      <w:pPr>
        <w:pStyle w:val="NoSpacing"/>
        <w:spacing w:before="30" w:after="30"/>
        <w:ind w:left="850" w:right="850"/>
        <w:rPr>
          <w:rFonts w:ascii="Arial" w:hAnsi="Arial" w:cs="Arial"/>
        </w:rPr>
      </w:pPr>
    </w:p>
    <w:p w14:paraId="713E6288" w14:textId="77777777" w:rsidR="000B34D2" w:rsidRPr="006F0EF0" w:rsidRDefault="000B34D2" w:rsidP="005E479C">
      <w:pPr>
        <w:pStyle w:val="NoSpacing"/>
        <w:spacing w:before="30" w:after="30"/>
        <w:ind w:left="850" w:right="850"/>
        <w:rPr>
          <w:rFonts w:ascii="Arial" w:hAnsi="Arial" w:cs="Arial"/>
        </w:rPr>
      </w:pPr>
      <w:r w:rsidRPr="006F0EF0">
        <w:rPr>
          <w:rFonts w:ascii="Arial" w:hAnsi="Arial" w:cs="Arial"/>
        </w:rPr>
        <w:t>Zhang, L., and Liu, Z. (2018) ‘Ethical issues in research processes: Informed consent, the role of the researcher, access to research sites and research subjects.’ In </w:t>
      </w:r>
      <w:r w:rsidRPr="006F0EF0">
        <w:rPr>
          <w:rFonts w:ascii="Arial" w:hAnsi="Arial" w:cs="Arial"/>
          <w:i/>
          <w:iCs/>
        </w:rPr>
        <w:t xml:space="preserve">2nd International Conference on Culture, Education and Economic Development of Modern Society, </w:t>
      </w:r>
      <w:r w:rsidRPr="006F0EF0">
        <w:rPr>
          <w:rFonts w:ascii="Arial" w:hAnsi="Arial" w:cs="Arial"/>
        </w:rPr>
        <w:t>pp. 505-508.</w:t>
      </w:r>
      <w:r w:rsidRPr="006F0EF0">
        <w:rPr>
          <w:rFonts w:ascii="Arial" w:hAnsi="Arial" w:cs="Arial"/>
          <w:color w:val="555555"/>
          <w:shd w:val="clear" w:color="auto" w:fill="FFFFFF"/>
        </w:rPr>
        <w:t xml:space="preserve"> </w:t>
      </w:r>
      <w:r w:rsidRPr="006F0EF0">
        <w:rPr>
          <w:rFonts w:ascii="Arial" w:hAnsi="Arial" w:cs="Arial"/>
        </w:rPr>
        <w:t>DOI:</w:t>
      </w:r>
      <w:hyperlink r:id="rId73" w:tgtFrame="_blank" w:history="1">
        <w:r w:rsidRPr="006F0EF0">
          <w:rPr>
            <w:rStyle w:val="Hyperlink"/>
            <w:rFonts w:ascii="Arial" w:hAnsi="Arial" w:cs="Arial"/>
          </w:rPr>
          <w:t>10.2991/iccese-18.2018.117</w:t>
        </w:r>
      </w:hyperlink>
      <w:r w:rsidRPr="006F0EF0">
        <w:rPr>
          <w:rFonts w:ascii="Arial" w:hAnsi="Arial" w:cs="Arial"/>
        </w:rPr>
        <w:t>. Accessed on: 16/04/2025.</w:t>
      </w:r>
    </w:p>
    <w:p w14:paraId="0156FD90" w14:textId="77777777" w:rsidR="000B34D2" w:rsidRPr="006269A5" w:rsidRDefault="000B34D2" w:rsidP="000B34D2">
      <w:pPr>
        <w:pStyle w:val="NoSpacing"/>
      </w:pPr>
    </w:p>
    <w:p w14:paraId="014A1E0F" w14:textId="77777777" w:rsidR="000B34D2" w:rsidRPr="006269A5" w:rsidRDefault="000B34D2" w:rsidP="000B34D2">
      <w:pPr>
        <w:pStyle w:val="NoSpacing"/>
      </w:pPr>
    </w:p>
    <w:p w14:paraId="65772991" w14:textId="77777777" w:rsidR="000B34D2" w:rsidRDefault="000B34D2" w:rsidP="00FF7827">
      <w:pPr>
        <w:rPr>
          <w:rFonts w:ascii="Aptos" w:hAnsi="Aptos" w:cs="Calibri"/>
          <w:color w:val="000000" w:themeColor="text1"/>
        </w:rPr>
      </w:pPr>
    </w:p>
    <w:p w14:paraId="0B32D79E" w14:textId="77777777" w:rsidR="0007494E" w:rsidRDefault="0007494E" w:rsidP="00FF7827">
      <w:pPr>
        <w:rPr>
          <w:rFonts w:ascii="Aptos" w:hAnsi="Aptos" w:cs="Calibri"/>
          <w:color w:val="000000" w:themeColor="text1"/>
        </w:rPr>
      </w:pPr>
    </w:p>
    <w:p w14:paraId="1C9297CC" w14:textId="77777777" w:rsidR="0007494E" w:rsidRDefault="0007494E" w:rsidP="00FF7827">
      <w:pPr>
        <w:rPr>
          <w:rFonts w:ascii="Aptos" w:hAnsi="Aptos" w:cs="Calibri"/>
          <w:color w:val="000000" w:themeColor="text1"/>
        </w:rPr>
      </w:pPr>
    </w:p>
    <w:p w14:paraId="38B84023" w14:textId="77777777" w:rsidR="0007494E" w:rsidRDefault="0007494E" w:rsidP="00FF7827">
      <w:pPr>
        <w:rPr>
          <w:rFonts w:ascii="Aptos" w:hAnsi="Aptos" w:cs="Calibri"/>
          <w:color w:val="000000" w:themeColor="text1"/>
        </w:rPr>
      </w:pPr>
    </w:p>
    <w:p w14:paraId="702C3162" w14:textId="77777777" w:rsidR="0007494E" w:rsidRDefault="0007494E" w:rsidP="00FF7827">
      <w:pPr>
        <w:rPr>
          <w:rFonts w:ascii="Aptos" w:hAnsi="Aptos" w:cs="Calibri"/>
          <w:color w:val="000000" w:themeColor="text1"/>
        </w:rPr>
      </w:pPr>
    </w:p>
    <w:p w14:paraId="52A0962C" w14:textId="77777777" w:rsidR="0007494E" w:rsidRDefault="0007494E" w:rsidP="00FF7827">
      <w:pPr>
        <w:rPr>
          <w:rFonts w:ascii="Aptos" w:hAnsi="Aptos" w:cs="Calibri"/>
          <w:color w:val="000000" w:themeColor="text1"/>
        </w:rPr>
      </w:pPr>
    </w:p>
    <w:p w14:paraId="2B40F590" w14:textId="77777777" w:rsidR="0007494E" w:rsidRDefault="0007494E" w:rsidP="00FF7827">
      <w:pPr>
        <w:rPr>
          <w:rFonts w:ascii="Aptos" w:hAnsi="Aptos" w:cs="Calibri"/>
          <w:color w:val="000000" w:themeColor="text1"/>
        </w:rPr>
      </w:pPr>
    </w:p>
    <w:p w14:paraId="43D37600" w14:textId="77777777" w:rsidR="0007494E" w:rsidRDefault="0007494E" w:rsidP="00FF7827">
      <w:pPr>
        <w:rPr>
          <w:rFonts w:ascii="Aptos" w:hAnsi="Aptos" w:cs="Calibri"/>
          <w:color w:val="000000" w:themeColor="text1"/>
        </w:rPr>
      </w:pPr>
    </w:p>
    <w:p w14:paraId="1CC2C499" w14:textId="77777777" w:rsidR="0007494E" w:rsidRPr="00264A1A" w:rsidRDefault="0007494E" w:rsidP="00FF7827">
      <w:pPr>
        <w:rPr>
          <w:rFonts w:ascii="Aptos" w:hAnsi="Aptos" w:cs="Calibri"/>
          <w:color w:val="000000" w:themeColor="text1"/>
        </w:rPr>
      </w:pPr>
    </w:p>
    <w:p w14:paraId="0BAA4DE2" w14:textId="525D7EFD" w:rsidR="008C3C2A" w:rsidRPr="006F0EF0" w:rsidRDefault="008C3C2A" w:rsidP="0007494E">
      <w:pPr>
        <w:ind w:left="0"/>
        <w:rPr>
          <w:rFonts w:ascii="Arial" w:hAnsi="Arial" w:cs="Arial"/>
          <w:u w:val="single"/>
        </w:rPr>
      </w:pPr>
      <w:r w:rsidRPr="006F0EF0">
        <w:rPr>
          <w:rFonts w:ascii="Arial" w:hAnsi="Arial" w:cs="Arial"/>
          <w:u w:val="single"/>
        </w:rPr>
        <w:lastRenderedPageBreak/>
        <w:t>Appendices</w:t>
      </w:r>
    </w:p>
    <w:p w14:paraId="1F7A89E8" w14:textId="77777777" w:rsidR="008C3C2A" w:rsidRPr="006F0EF0" w:rsidRDefault="008C3C2A" w:rsidP="008C3C2A">
      <w:pPr>
        <w:rPr>
          <w:rFonts w:ascii="Arial" w:hAnsi="Arial" w:cs="Arial"/>
          <w:u w:val="single"/>
        </w:rPr>
      </w:pPr>
      <w:r w:rsidRPr="006F0EF0">
        <w:rPr>
          <w:rFonts w:ascii="Arial" w:hAnsi="Arial" w:cs="Arial"/>
          <w:u w:val="single"/>
        </w:rPr>
        <w:t>Glossary</w:t>
      </w:r>
    </w:p>
    <w:p w14:paraId="3B09429A" w14:textId="77777777" w:rsidR="008C3C2A" w:rsidRPr="006F0EF0" w:rsidRDefault="008C3C2A" w:rsidP="008C3C2A">
      <w:pPr>
        <w:rPr>
          <w:rFonts w:ascii="Arial" w:hAnsi="Arial" w:cs="Arial"/>
        </w:rPr>
      </w:pPr>
      <w:r w:rsidRPr="006F0EF0">
        <w:rPr>
          <w:rFonts w:ascii="Arial" w:hAnsi="Arial" w:cs="Arial"/>
        </w:rPr>
        <w:t>ACE – Adverse Childhood Experience</w:t>
      </w:r>
    </w:p>
    <w:p w14:paraId="6D4CE60F" w14:textId="77777777" w:rsidR="008C3C2A" w:rsidRPr="006F0EF0" w:rsidRDefault="008C3C2A" w:rsidP="008C3C2A">
      <w:pPr>
        <w:rPr>
          <w:rFonts w:ascii="Arial" w:hAnsi="Arial" w:cs="Arial"/>
        </w:rPr>
      </w:pPr>
      <w:r w:rsidRPr="006F0EF0">
        <w:rPr>
          <w:rFonts w:ascii="Arial" w:hAnsi="Arial" w:cs="Arial"/>
        </w:rPr>
        <w:t>DA - Domestic abuse</w:t>
      </w:r>
    </w:p>
    <w:p w14:paraId="3A22BEAB" w14:textId="77777777" w:rsidR="008C3C2A" w:rsidRPr="006F0EF0" w:rsidRDefault="008C3C2A" w:rsidP="008C3C2A">
      <w:pPr>
        <w:rPr>
          <w:rFonts w:ascii="Arial" w:hAnsi="Arial" w:cs="Arial"/>
        </w:rPr>
      </w:pPr>
      <w:r w:rsidRPr="006F0EF0">
        <w:rPr>
          <w:rFonts w:ascii="Arial" w:hAnsi="Arial" w:cs="Arial"/>
        </w:rPr>
        <w:t>IPV - Intimate Partner Violence</w:t>
      </w:r>
    </w:p>
    <w:p w14:paraId="61F96B47" w14:textId="77777777" w:rsidR="008C3C2A" w:rsidRPr="006F0EF0" w:rsidRDefault="008C3C2A" w:rsidP="008C3C2A">
      <w:pPr>
        <w:rPr>
          <w:rFonts w:ascii="Arial" w:hAnsi="Arial" w:cs="Arial"/>
        </w:rPr>
      </w:pPr>
      <w:r w:rsidRPr="006F0EF0">
        <w:rPr>
          <w:rFonts w:ascii="Arial" w:hAnsi="Arial" w:cs="Arial"/>
        </w:rPr>
        <w:t>PCE – Positive Childhood Experience</w:t>
      </w:r>
    </w:p>
    <w:p w14:paraId="389575BC" w14:textId="77777777" w:rsidR="008C3C2A" w:rsidRPr="006F0EF0" w:rsidRDefault="008C3C2A" w:rsidP="008C3C2A">
      <w:pPr>
        <w:rPr>
          <w:rFonts w:ascii="Arial" w:hAnsi="Arial" w:cs="Arial"/>
        </w:rPr>
      </w:pPr>
      <w:r w:rsidRPr="006F0EF0">
        <w:rPr>
          <w:rFonts w:ascii="Arial" w:hAnsi="Arial" w:cs="Arial"/>
        </w:rPr>
        <w:t>RSE – Relationships and Sexuality Education</w:t>
      </w:r>
    </w:p>
    <w:p w14:paraId="227FEF0B" w14:textId="77777777" w:rsidR="008C3C2A" w:rsidRPr="006F0EF0" w:rsidRDefault="008C3C2A" w:rsidP="008C3C2A">
      <w:pPr>
        <w:ind w:left="0"/>
        <w:rPr>
          <w:rFonts w:ascii="Arial" w:hAnsi="Arial" w:cs="Arial"/>
          <w:b/>
          <w:bCs/>
          <w:u w:val="single"/>
          <w:lang w:val="en-US"/>
        </w:rPr>
      </w:pPr>
    </w:p>
    <w:p w14:paraId="63D98EB0" w14:textId="57AA2686" w:rsidR="008C3C2A" w:rsidRPr="008F37F5" w:rsidRDefault="008C3C2A" w:rsidP="008F37F5">
      <w:pPr>
        <w:ind w:left="0"/>
        <w:rPr>
          <w:rFonts w:ascii="Arial" w:hAnsi="Arial" w:cs="Arial"/>
          <w:u w:val="single"/>
          <w:lang w:val="en-US"/>
        </w:rPr>
      </w:pPr>
      <w:r w:rsidRPr="006F0EF0">
        <w:rPr>
          <w:rFonts w:ascii="Arial" w:hAnsi="Arial" w:cs="Arial"/>
          <w:u w:val="single"/>
          <w:lang w:val="en-US"/>
        </w:rPr>
        <w:t>Timelines and Budget Considerations</w:t>
      </w:r>
    </w:p>
    <w:p w14:paraId="2C43F192" w14:textId="77777777" w:rsidR="008C3C2A" w:rsidRPr="006F0EF0" w:rsidRDefault="008C3C2A" w:rsidP="008C3C2A">
      <w:pPr>
        <w:pStyle w:val="BodyText"/>
        <w:spacing w:line="360" w:lineRule="auto"/>
        <w:jc w:val="both"/>
        <w:rPr>
          <w:rFonts w:ascii="Arial" w:hAnsi="Arial" w:cs="Arial"/>
          <w:iCs/>
          <w:sz w:val="24"/>
          <w:szCs w:val="24"/>
          <w:u w:val="single"/>
        </w:rPr>
      </w:pPr>
      <w:r w:rsidRPr="006F0EF0">
        <w:rPr>
          <w:rFonts w:ascii="Arial" w:hAnsi="Arial" w:cs="Arial"/>
          <w:iCs/>
          <w:sz w:val="24"/>
          <w:szCs w:val="24"/>
          <w:u w:val="single"/>
        </w:rPr>
        <w:t>Table 1: Research Project Grant.</w:t>
      </w:r>
    </w:p>
    <w:tbl>
      <w:tblPr>
        <w:tblStyle w:val="TableGrid"/>
        <w:tblW w:w="0" w:type="auto"/>
        <w:tblInd w:w="-431" w:type="dxa"/>
        <w:tblLook w:val="04A0" w:firstRow="1" w:lastRow="0" w:firstColumn="1" w:lastColumn="0" w:noHBand="0" w:noVBand="1"/>
      </w:tblPr>
      <w:tblGrid>
        <w:gridCol w:w="1961"/>
        <w:gridCol w:w="1187"/>
        <w:gridCol w:w="897"/>
        <w:gridCol w:w="897"/>
        <w:gridCol w:w="777"/>
        <w:gridCol w:w="964"/>
        <w:gridCol w:w="897"/>
      </w:tblGrid>
      <w:tr w:rsidR="008C3C2A" w:rsidRPr="006F0EF0" w14:paraId="3CD82F79" w14:textId="77777777" w:rsidTr="004506BC">
        <w:trPr>
          <w:trHeight w:val="809"/>
        </w:trPr>
        <w:tc>
          <w:tcPr>
            <w:tcW w:w="1961" w:type="dxa"/>
          </w:tcPr>
          <w:p w14:paraId="45973CA4" w14:textId="77777777" w:rsidR="008C3C2A" w:rsidRPr="006F0EF0" w:rsidRDefault="008C3C2A" w:rsidP="004506BC">
            <w:pPr>
              <w:pStyle w:val="BodyText"/>
              <w:spacing w:line="360" w:lineRule="auto"/>
              <w:jc w:val="both"/>
              <w:rPr>
                <w:rFonts w:ascii="Arial" w:hAnsi="Arial" w:cs="Arial"/>
                <w:sz w:val="24"/>
                <w:szCs w:val="24"/>
              </w:rPr>
            </w:pPr>
          </w:p>
        </w:tc>
        <w:tc>
          <w:tcPr>
            <w:tcW w:w="1187" w:type="dxa"/>
          </w:tcPr>
          <w:p w14:paraId="55FE27CF"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April 2026</w:t>
            </w:r>
          </w:p>
        </w:tc>
        <w:tc>
          <w:tcPr>
            <w:tcW w:w="811" w:type="dxa"/>
          </w:tcPr>
          <w:p w14:paraId="124A0DF0"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May 2026</w:t>
            </w:r>
          </w:p>
        </w:tc>
        <w:tc>
          <w:tcPr>
            <w:tcW w:w="815" w:type="dxa"/>
          </w:tcPr>
          <w:p w14:paraId="3E056C95"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June 2026</w:t>
            </w:r>
          </w:p>
        </w:tc>
        <w:tc>
          <w:tcPr>
            <w:tcW w:w="777" w:type="dxa"/>
          </w:tcPr>
          <w:p w14:paraId="7123530A"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July 2026</w:t>
            </w:r>
          </w:p>
        </w:tc>
        <w:tc>
          <w:tcPr>
            <w:tcW w:w="901" w:type="dxa"/>
          </w:tcPr>
          <w:p w14:paraId="73358856"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August 2026</w:t>
            </w:r>
          </w:p>
        </w:tc>
        <w:tc>
          <w:tcPr>
            <w:tcW w:w="777" w:type="dxa"/>
          </w:tcPr>
          <w:p w14:paraId="67BC460C"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Sept 2026</w:t>
            </w:r>
          </w:p>
        </w:tc>
      </w:tr>
      <w:tr w:rsidR="008C3C2A" w:rsidRPr="006F0EF0" w14:paraId="59CF1EC7" w14:textId="77777777" w:rsidTr="004506BC">
        <w:trPr>
          <w:trHeight w:val="809"/>
        </w:trPr>
        <w:tc>
          <w:tcPr>
            <w:tcW w:w="1961" w:type="dxa"/>
          </w:tcPr>
          <w:p w14:paraId="4CA20B20"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 xml:space="preserve">Ethics approval </w:t>
            </w:r>
          </w:p>
        </w:tc>
        <w:tc>
          <w:tcPr>
            <w:tcW w:w="1187" w:type="dxa"/>
            <w:shd w:val="clear" w:color="auto" w:fill="BFBFBF" w:themeFill="background1" w:themeFillShade="BF"/>
          </w:tcPr>
          <w:p w14:paraId="7F91A01D"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3 – 4 weeks</w:t>
            </w:r>
          </w:p>
        </w:tc>
        <w:tc>
          <w:tcPr>
            <w:tcW w:w="811" w:type="dxa"/>
          </w:tcPr>
          <w:p w14:paraId="10B88268" w14:textId="77777777" w:rsidR="008C3C2A" w:rsidRPr="006F0EF0" w:rsidRDefault="008C3C2A" w:rsidP="004506BC">
            <w:pPr>
              <w:pStyle w:val="BodyText"/>
              <w:spacing w:line="360" w:lineRule="auto"/>
              <w:jc w:val="both"/>
              <w:rPr>
                <w:rFonts w:ascii="Arial" w:hAnsi="Arial" w:cs="Arial"/>
                <w:sz w:val="24"/>
                <w:szCs w:val="24"/>
              </w:rPr>
            </w:pPr>
          </w:p>
        </w:tc>
        <w:tc>
          <w:tcPr>
            <w:tcW w:w="815" w:type="dxa"/>
          </w:tcPr>
          <w:p w14:paraId="116F8BA7" w14:textId="77777777" w:rsidR="008C3C2A" w:rsidRPr="006F0EF0" w:rsidRDefault="008C3C2A" w:rsidP="004506BC">
            <w:pPr>
              <w:pStyle w:val="BodyText"/>
              <w:spacing w:line="360" w:lineRule="auto"/>
              <w:jc w:val="both"/>
              <w:rPr>
                <w:rFonts w:ascii="Arial" w:hAnsi="Arial" w:cs="Arial"/>
                <w:sz w:val="24"/>
                <w:szCs w:val="24"/>
              </w:rPr>
            </w:pPr>
          </w:p>
        </w:tc>
        <w:tc>
          <w:tcPr>
            <w:tcW w:w="777" w:type="dxa"/>
          </w:tcPr>
          <w:p w14:paraId="7F4D3E29" w14:textId="77777777" w:rsidR="008C3C2A" w:rsidRPr="006F0EF0" w:rsidRDefault="008C3C2A" w:rsidP="004506BC">
            <w:pPr>
              <w:pStyle w:val="BodyText"/>
              <w:spacing w:line="360" w:lineRule="auto"/>
              <w:jc w:val="both"/>
              <w:rPr>
                <w:rFonts w:ascii="Arial" w:hAnsi="Arial" w:cs="Arial"/>
                <w:sz w:val="24"/>
                <w:szCs w:val="24"/>
              </w:rPr>
            </w:pPr>
          </w:p>
        </w:tc>
        <w:tc>
          <w:tcPr>
            <w:tcW w:w="901" w:type="dxa"/>
          </w:tcPr>
          <w:p w14:paraId="5156A973" w14:textId="77777777" w:rsidR="008C3C2A" w:rsidRPr="006F0EF0" w:rsidRDefault="008C3C2A" w:rsidP="004506BC">
            <w:pPr>
              <w:pStyle w:val="BodyText"/>
              <w:spacing w:line="360" w:lineRule="auto"/>
              <w:jc w:val="both"/>
              <w:rPr>
                <w:rFonts w:ascii="Arial" w:hAnsi="Arial" w:cs="Arial"/>
                <w:sz w:val="24"/>
                <w:szCs w:val="24"/>
              </w:rPr>
            </w:pPr>
          </w:p>
        </w:tc>
        <w:tc>
          <w:tcPr>
            <w:tcW w:w="777" w:type="dxa"/>
          </w:tcPr>
          <w:p w14:paraId="04AF72AE" w14:textId="77777777" w:rsidR="008C3C2A" w:rsidRPr="006F0EF0" w:rsidRDefault="008C3C2A" w:rsidP="004506BC">
            <w:pPr>
              <w:pStyle w:val="BodyText"/>
              <w:spacing w:line="360" w:lineRule="auto"/>
              <w:jc w:val="both"/>
              <w:rPr>
                <w:rFonts w:ascii="Arial" w:hAnsi="Arial" w:cs="Arial"/>
                <w:sz w:val="24"/>
                <w:szCs w:val="24"/>
              </w:rPr>
            </w:pPr>
          </w:p>
        </w:tc>
      </w:tr>
      <w:tr w:rsidR="008C3C2A" w:rsidRPr="006F0EF0" w14:paraId="2994B9F6" w14:textId="77777777" w:rsidTr="004506BC">
        <w:trPr>
          <w:trHeight w:val="809"/>
        </w:trPr>
        <w:tc>
          <w:tcPr>
            <w:tcW w:w="1961" w:type="dxa"/>
          </w:tcPr>
          <w:p w14:paraId="79DCA084"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Lit review</w:t>
            </w:r>
          </w:p>
        </w:tc>
        <w:tc>
          <w:tcPr>
            <w:tcW w:w="1998" w:type="dxa"/>
            <w:gridSpan w:val="2"/>
            <w:shd w:val="clear" w:color="auto" w:fill="BFBFBF" w:themeFill="background1" w:themeFillShade="BF"/>
          </w:tcPr>
          <w:p w14:paraId="2006DB32"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8 weeks</w:t>
            </w:r>
          </w:p>
        </w:tc>
        <w:tc>
          <w:tcPr>
            <w:tcW w:w="815" w:type="dxa"/>
          </w:tcPr>
          <w:p w14:paraId="4213CEBA" w14:textId="77777777" w:rsidR="008C3C2A" w:rsidRPr="006F0EF0" w:rsidRDefault="008C3C2A" w:rsidP="004506BC">
            <w:pPr>
              <w:pStyle w:val="BodyText"/>
              <w:spacing w:line="360" w:lineRule="auto"/>
              <w:jc w:val="both"/>
              <w:rPr>
                <w:rFonts w:ascii="Arial" w:hAnsi="Arial" w:cs="Arial"/>
                <w:sz w:val="24"/>
                <w:szCs w:val="24"/>
              </w:rPr>
            </w:pPr>
          </w:p>
        </w:tc>
        <w:tc>
          <w:tcPr>
            <w:tcW w:w="777" w:type="dxa"/>
          </w:tcPr>
          <w:p w14:paraId="0CEE8CF1" w14:textId="77777777" w:rsidR="008C3C2A" w:rsidRPr="006F0EF0" w:rsidRDefault="008C3C2A" w:rsidP="004506BC">
            <w:pPr>
              <w:pStyle w:val="BodyText"/>
              <w:spacing w:line="360" w:lineRule="auto"/>
              <w:jc w:val="both"/>
              <w:rPr>
                <w:rFonts w:ascii="Arial" w:hAnsi="Arial" w:cs="Arial"/>
                <w:sz w:val="24"/>
                <w:szCs w:val="24"/>
              </w:rPr>
            </w:pPr>
          </w:p>
        </w:tc>
        <w:tc>
          <w:tcPr>
            <w:tcW w:w="901" w:type="dxa"/>
          </w:tcPr>
          <w:p w14:paraId="36A1A516" w14:textId="77777777" w:rsidR="008C3C2A" w:rsidRPr="006F0EF0" w:rsidRDefault="008C3C2A" w:rsidP="004506BC">
            <w:pPr>
              <w:pStyle w:val="BodyText"/>
              <w:spacing w:line="360" w:lineRule="auto"/>
              <w:jc w:val="both"/>
              <w:rPr>
                <w:rFonts w:ascii="Arial" w:hAnsi="Arial" w:cs="Arial"/>
                <w:sz w:val="24"/>
                <w:szCs w:val="24"/>
              </w:rPr>
            </w:pPr>
          </w:p>
        </w:tc>
        <w:tc>
          <w:tcPr>
            <w:tcW w:w="777" w:type="dxa"/>
          </w:tcPr>
          <w:p w14:paraId="724704EC" w14:textId="77777777" w:rsidR="008C3C2A" w:rsidRPr="006F0EF0" w:rsidRDefault="008C3C2A" w:rsidP="004506BC">
            <w:pPr>
              <w:pStyle w:val="BodyText"/>
              <w:spacing w:line="360" w:lineRule="auto"/>
              <w:jc w:val="both"/>
              <w:rPr>
                <w:rFonts w:ascii="Arial" w:hAnsi="Arial" w:cs="Arial"/>
                <w:sz w:val="24"/>
                <w:szCs w:val="24"/>
              </w:rPr>
            </w:pPr>
          </w:p>
        </w:tc>
      </w:tr>
      <w:tr w:rsidR="008C3C2A" w:rsidRPr="006F0EF0" w14:paraId="4796B66A" w14:textId="77777777" w:rsidTr="004506BC">
        <w:trPr>
          <w:trHeight w:val="809"/>
        </w:trPr>
        <w:tc>
          <w:tcPr>
            <w:tcW w:w="1961" w:type="dxa"/>
          </w:tcPr>
          <w:p w14:paraId="49AEDF51"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Design questionnaire</w:t>
            </w:r>
          </w:p>
        </w:tc>
        <w:tc>
          <w:tcPr>
            <w:tcW w:w="1187" w:type="dxa"/>
          </w:tcPr>
          <w:p w14:paraId="54BA152B" w14:textId="77777777" w:rsidR="008C3C2A" w:rsidRPr="006F0EF0" w:rsidRDefault="008C3C2A" w:rsidP="004506BC">
            <w:pPr>
              <w:pStyle w:val="BodyText"/>
              <w:spacing w:line="360" w:lineRule="auto"/>
              <w:jc w:val="both"/>
              <w:rPr>
                <w:rFonts w:ascii="Arial" w:hAnsi="Arial" w:cs="Arial"/>
                <w:sz w:val="24"/>
                <w:szCs w:val="24"/>
              </w:rPr>
            </w:pPr>
          </w:p>
        </w:tc>
        <w:tc>
          <w:tcPr>
            <w:tcW w:w="811" w:type="dxa"/>
            <w:shd w:val="clear" w:color="auto" w:fill="BFBFBF" w:themeFill="background1" w:themeFillShade="BF"/>
          </w:tcPr>
          <w:p w14:paraId="01CAFE4C"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2 weeks</w:t>
            </w:r>
          </w:p>
        </w:tc>
        <w:tc>
          <w:tcPr>
            <w:tcW w:w="815" w:type="dxa"/>
            <w:shd w:val="clear" w:color="auto" w:fill="auto"/>
          </w:tcPr>
          <w:p w14:paraId="638A5DC2" w14:textId="77777777" w:rsidR="008C3C2A" w:rsidRPr="006F0EF0" w:rsidRDefault="008C3C2A" w:rsidP="004506BC">
            <w:pPr>
              <w:pStyle w:val="BodyText"/>
              <w:spacing w:line="360" w:lineRule="auto"/>
              <w:jc w:val="both"/>
              <w:rPr>
                <w:rFonts w:ascii="Arial" w:hAnsi="Arial" w:cs="Arial"/>
                <w:sz w:val="24"/>
                <w:szCs w:val="24"/>
              </w:rPr>
            </w:pPr>
          </w:p>
        </w:tc>
        <w:tc>
          <w:tcPr>
            <w:tcW w:w="777" w:type="dxa"/>
          </w:tcPr>
          <w:p w14:paraId="4E3BC580" w14:textId="77777777" w:rsidR="008C3C2A" w:rsidRPr="006F0EF0" w:rsidRDefault="008C3C2A" w:rsidP="004506BC">
            <w:pPr>
              <w:pStyle w:val="BodyText"/>
              <w:spacing w:line="360" w:lineRule="auto"/>
              <w:jc w:val="both"/>
              <w:rPr>
                <w:rFonts w:ascii="Arial" w:hAnsi="Arial" w:cs="Arial"/>
                <w:sz w:val="24"/>
                <w:szCs w:val="24"/>
              </w:rPr>
            </w:pPr>
          </w:p>
        </w:tc>
        <w:tc>
          <w:tcPr>
            <w:tcW w:w="901" w:type="dxa"/>
          </w:tcPr>
          <w:p w14:paraId="6614B12A" w14:textId="77777777" w:rsidR="008C3C2A" w:rsidRPr="006F0EF0" w:rsidRDefault="008C3C2A" w:rsidP="004506BC">
            <w:pPr>
              <w:pStyle w:val="BodyText"/>
              <w:spacing w:line="360" w:lineRule="auto"/>
              <w:jc w:val="both"/>
              <w:rPr>
                <w:rFonts w:ascii="Arial" w:hAnsi="Arial" w:cs="Arial"/>
                <w:sz w:val="24"/>
                <w:szCs w:val="24"/>
              </w:rPr>
            </w:pPr>
          </w:p>
        </w:tc>
        <w:tc>
          <w:tcPr>
            <w:tcW w:w="777" w:type="dxa"/>
          </w:tcPr>
          <w:p w14:paraId="42DD8727" w14:textId="77777777" w:rsidR="008C3C2A" w:rsidRPr="006F0EF0" w:rsidRDefault="008C3C2A" w:rsidP="004506BC">
            <w:pPr>
              <w:pStyle w:val="BodyText"/>
              <w:spacing w:line="360" w:lineRule="auto"/>
              <w:jc w:val="both"/>
              <w:rPr>
                <w:rFonts w:ascii="Arial" w:hAnsi="Arial" w:cs="Arial"/>
                <w:sz w:val="24"/>
                <w:szCs w:val="24"/>
              </w:rPr>
            </w:pPr>
          </w:p>
        </w:tc>
      </w:tr>
      <w:tr w:rsidR="008C3C2A" w:rsidRPr="006F0EF0" w14:paraId="061B6EC1" w14:textId="77777777" w:rsidTr="004506BC">
        <w:trPr>
          <w:trHeight w:val="459"/>
        </w:trPr>
        <w:tc>
          <w:tcPr>
            <w:tcW w:w="1961" w:type="dxa"/>
          </w:tcPr>
          <w:p w14:paraId="7BE0D2C7"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Pilot questionnaire</w:t>
            </w:r>
          </w:p>
        </w:tc>
        <w:tc>
          <w:tcPr>
            <w:tcW w:w="1187" w:type="dxa"/>
          </w:tcPr>
          <w:p w14:paraId="7B030710" w14:textId="77777777" w:rsidR="008C3C2A" w:rsidRPr="006F0EF0" w:rsidRDefault="008C3C2A" w:rsidP="004506BC">
            <w:pPr>
              <w:pStyle w:val="BodyText"/>
              <w:spacing w:line="360" w:lineRule="auto"/>
              <w:jc w:val="both"/>
              <w:rPr>
                <w:rFonts w:ascii="Arial" w:hAnsi="Arial" w:cs="Arial"/>
                <w:sz w:val="24"/>
                <w:szCs w:val="24"/>
              </w:rPr>
            </w:pPr>
          </w:p>
        </w:tc>
        <w:tc>
          <w:tcPr>
            <w:tcW w:w="811" w:type="dxa"/>
          </w:tcPr>
          <w:p w14:paraId="3E32EADF" w14:textId="77777777" w:rsidR="008C3C2A" w:rsidRPr="006F0EF0" w:rsidRDefault="008C3C2A" w:rsidP="004506BC">
            <w:pPr>
              <w:pStyle w:val="BodyText"/>
              <w:spacing w:line="360" w:lineRule="auto"/>
              <w:jc w:val="both"/>
              <w:rPr>
                <w:rFonts w:ascii="Arial" w:hAnsi="Arial" w:cs="Arial"/>
                <w:sz w:val="24"/>
                <w:szCs w:val="24"/>
              </w:rPr>
            </w:pPr>
          </w:p>
        </w:tc>
        <w:tc>
          <w:tcPr>
            <w:tcW w:w="815" w:type="dxa"/>
            <w:shd w:val="clear" w:color="auto" w:fill="BFBFBF" w:themeFill="background1" w:themeFillShade="BF"/>
          </w:tcPr>
          <w:p w14:paraId="426942CE"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2 weeks</w:t>
            </w:r>
          </w:p>
        </w:tc>
        <w:tc>
          <w:tcPr>
            <w:tcW w:w="777" w:type="dxa"/>
            <w:shd w:val="clear" w:color="auto" w:fill="auto"/>
          </w:tcPr>
          <w:p w14:paraId="5B34B1D9" w14:textId="77777777" w:rsidR="008C3C2A" w:rsidRPr="006F0EF0" w:rsidRDefault="008C3C2A" w:rsidP="004506BC">
            <w:pPr>
              <w:pStyle w:val="BodyText"/>
              <w:spacing w:line="360" w:lineRule="auto"/>
              <w:jc w:val="both"/>
              <w:rPr>
                <w:rFonts w:ascii="Arial" w:hAnsi="Arial" w:cs="Arial"/>
                <w:sz w:val="24"/>
                <w:szCs w:val="24"/>
              </w:rPr>
            </w:pPr>
          </w:p>
        </w:tc>
        <w:tc>
          <w:tcPr>
            <w:tcW w:w="901" w:type="dxa"/>
          </w:tcPr>
          <w:p w14:paraId="0F97C9F2" w14:textId="77777777" w:rsidR="008C3C2A" w:rsidRPr="006F0EF0" w:rsidRDefault="008C3C2A" w:rsidP="004506BC">
            <w:pPr>
              <w:pStyle w:val="BodyText"/>
              <w:spacing w:line="360" w:lineRule="auto"/>
              <w:jc w:val="both"/>
              <w:rPr>
                <w:rFonts w:ascii="Arial" w:hAnsi="Arial" w:cs="Arial"/>
                <w:sz w:val="24"/>
                <w:szCs w:val="24"/>
              </w:rPr>
            </w:pPr>
          </w:p>
        </w:tc>
        <w:tc>
          <w:tcPr>
            <w:tcW w:w="777" w:type="dxa"/>
          </w:tcPr>
          <w:p w14:paraId="4D2B02E8" w14:textId="77777777" w:rsidR="008C3C2A" w:rsidRPr="006F0EF0" w:rsidRDefault="008C3C2A" w:rsidP="004506BC">
            <w:pPr>
              <w:pStyle w:val="BodyText"/>
              <w:spacing w:line="360" w:lineRule="auto"/>
              <w:jc w:val="both"/>
              <w:rPr>
                <w:rFonts w:ascii="Arial" w:hAnsi="Arial" w:cs="Arial"/>
                <w:sz w:val="24"/>
                <w:szCs w:val="24"/>
              </w:rPr>
            </w:pPr>
          </w:p>
        </w:tc>
      </w:tr>
      <w:tr w:rsidR="008C3C2A" w:rsidRPr="006F0EF0" w14:paraId="5D5DF7B9" w14:textId="77777777" w:rsidTr="004506BC">
        <w:trPr>
          <w:trHeight w:val="800"/>
        </w:trPr>
        <w:tc>
          <w:tcPr>
            <w:tcW w:w="1961" w:type="dxa"/>
          </w:tcPr>
          <w:p w14:paraId="657487E0"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Collect data</w:t>
            </w:r>
          </w:p>
        </w:tc>
        <w:tc>
          <w:tcPr>
            <w:tcW w:w="1187" w:type="dxa"/>
          </w:tcPr>
          <w:p w14:paraId="428D8B32" w14:textId="77777777" w:rsidR="008C3C2A" w:rsidRPr="006F0EF0" w:rsidRDefault="008C3C2A" w:rsidP="004506BC">
            <w:pPr>
              <w:pStyle w:val="BodyText"/>
              <w:spacing w:line="360" w:lineRule="auto"/>
              <w:jc w:val="both"/>
              <w:rPr>
                <w:rFonts w:ascii="Arial" w:hAnsi="Arial" w:cs="Arial"/>
                <w:sz w:val="24"/>
                <w:szCs w:val="24"/>
              </w:rPr>
            </w:pPr>
          </w:p>
        </w:tc>
        <w:tc>
          <w:tcPr>
            <w:tcW w:w="811" w:type="dxa"/>
          </w:tcPr>
          <w:p w14:paraId="4B21C971" w14:textId="77777777" w:rsidR="008C3C2A" w:rsidRPr="006F0EF0" w:rsidRDefault="008C3C2A" w:rsidP="004506BC">
            <w:pPr>
              <w:pStyle w:val="BodyText"/>
              <w:spacing w:line="360" w:lineRule="auto"/>
              <w:jc w:val="both"/>
              <w:rPr>
                <w:rFonts w:ascii="Arial" w:hAnsi="Arial" w:cs="Arial"/>
                <w:sz w:val="24"/>
                <w:szCs w:val="24"/>
              </w:rPr>
            </w:pPr>
          </w:p>
        </w:tc>
        <w:tc>
          <w:tcPr>
            <w:tcW w:w="815" w:type="dxa"/>
          </w:tcPr>
          <w:p w14:paraId="6A39CA71" w14:textId="77777777" w:rsidR="008C3C2A" w:rsidRPr="006F0EF0" w:rsidRDefault="008C3C2A" w:rsidP="004506BC">
            <w:pPr>
              <w:pStyle w:val="BodyText"/>
              <w:spacing w:line="360" w:lineRule="auto"/>
              <w:jc w:val="both"/>
              <w:rPr>
                <w:rFonts w:ascii="Arial" w:hAnsi="Arial" w:cs="Arial"/>
                <w:sz w:val="24"/>
                <w:szCs w:val="24"/>
              </w:rPr>
            </w:pPr>
          </w:p>
        </w:tc>
        <w:tc>
          <w:tcPr>
            <w:tcW w:w="1678" w:type="dxa"/>
            <w:gridSpan w:val="2"/>
            <w:shd w:val="clear" w:color="auto" w:fill="BFBFBF" w:themeFill="background1" w:themeFillShade="BF"/>
          </w:tcPr>
          <w:p w14:paraId="46183B73"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24 hours over 6 weeks</w:t>
            </w:r>
          </w:p>
        </w:tc>
        <w:tc>
          <w:tcPr>
            <w:tcW w:w="777" w:type="dxa"/>
          </w:tcPr>
          <w:p w14:paraId="2AAD81EC" w14:textId="77777777" w:rsidR="008C3C2A" w:rsidRPr="006F0EF0" w:rsidRDefault="008C3C2A" w:rsidP="004506BC">
            <w:pPr>
              <w:pStyle w:val="BodyText"/>
              <w:spacing w:line="360" w:lineRule="auto"/>
              <w:jc w:val="both"/>
              <w:rPr>
                <w:rFonts w:ascii="Arial" w:hAnsi="Arial" w:cs="Arial"/>
                <w:sz w:val="24"/>
                <w:szCs w:val="24"/>
              </w:rPr>
            </w:pPr>
          </w:p>
        </w:tc>
      </w:tr>
      <w:tr w:rsidR="008C3C2A" w:rsidRPr="006F0EF0" w14:paraId="003A7B47" w14:textId="77777777" w:rsidTr="004506BC">
        <w:trPr>
          <w:trHeight w:val="459"/>
        </w:trPr>
        <w:tc>
          <w:tcPr>
            <w:tcW w:w="1961" w:type="dxa"/>
          </w:tcPr>
          <w:p w14:paraId="78F56EDD"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Analyse data</w:t>
            </w:r>
          </w:p>
        </w:tc>
        <w:tc>
          <w:tcPr>
            <w:tcW w:w="1187" w:type="dxa"/>
          </w:tcPr>
          <w:p w14:paraId="7AAAFB62" w14:textId="77777777" w:rsidR="008C3C2A" w:rsidRPr="006F0EF0" w:rsidRDefault="008C3C2A" w:rsidP="004506BC">
            <w:pPr>
              <w:pStyle w:val="BodyText"/>
              <w:spacing w:line="360" w:lineRule="auto"/>
              <w:jc w:val="both"/>
              <w:rPr>
                <w:rFonts w:ascii="Arial" w:hAnsi="Arial" w:cs="Arial"/>
                <w:sz w:val="24"/>
                <w:szCs w:val="24"/>
              </w:rPr>
            </w:pPr>
          </w:p>
        </w:tc>
        <w:tc>
          <w:tcPr>
            <w:tcW w:w="811" w:type="dxa"/>
          </w:tcPr>
          <w:p w14:paraId="0C7ADC69" w14:textId="77777777" w:rsidR="008C3C2A" w:rsidRPr="006F0EF0" w:rsidRDefault="008C3C2A" w:rsidP="004506BC">
            <w:pPr>
              <w:pStyle w:val="BodyText"/>
              <w:spacing w:line="360" w:lineRule="auto"/>
              <w:jc w:val="both"/>
              <w:rPr>
                <w:rFonts w:ascii="Arial" w:hAnsi="Arial" w:cs="Arial"/>
                <w:sz w:val="24"/>
                <w:szCs w:val="24"/>
              </w:rPr>
            </w:pPr>
          </w:p>
        </w:tc>
        <w:tc>
          <w:tcPr>
            <w:tcW w:w="815" w:type="dxa"/>
          </w:tcPr>
          <w:p w14:paraId="60665AB8" w14:textId="77777777" w:rsidR="008C3C2A" w:rsidRPr="006F0EF0" w:rsidRDefault="008C3C2A" w:rsidP="004506BC">
            <w:pPr>
              <w:pStyle w:val="BodyText"/>
              <w:spacing w:line="360" w:lineRule="auto"/>
              <w:jc w:val="both"/>
              <w:rPr>
                <w:rFonts w:ascii="Arial" w:hAnsi="Arial" w:cs="Arial"/>
                <w:sz w:val="24"/>
                <w:szCs w:val="24"/>
              </w:rPr>
            </w:pPr>
          </w:p>
        </w:tc>
        <w:tc>
          <w:tcPr>
            <w:tcW w:w="777" w:type="dxa"/>
          </w:tcPr>
          <w:p w14:paraId="51B335FC" w14:textId="77777777" w:rsidR="008C3C2A" w:rsidRPr="006F0EF0" w:rsidRDefault="008C3C2A" w:rsidP="004506BC">
            <w:pPr>
              <w:pStyle w:val="BodyText"/>
              <w:spacing w:line="360" w:lineRule="auto"/>
              <w:jc w:val="both"/>
              <w:rPr>
                <w:rFonts w:ascii="Arial" w:hAnsi="Arial" w:cs="Arial"/>
                <w:sz w:val="24"/>
                <w:szCs w:val="24"/>
              </w:rPr>
            </w:pPr>
          </w:p>
        </w:tc>
        <w:tc>
          <w:tcPr>
            <w:tcW w:w="1678" w:type="dxa"/>
            <w:gridSpan w:val="2"/>
            <w:shd w:val="clear" w:color="auto" w:fill="BFBFBF" w:themeFill="background1" w:themeFillShade="BF"/>
          </w:tcPr>
          <w:p w14:paraId="632AE906"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8 weeks</w:t>
            </w:r>
          </w:p>
        </w:tc>
      </w:tr>
      <w:tr w:rsidR="008C3C2A" w:rsidRPr="006F0EF0" w14:paraId="22364C90" w14:textId="77777777" w:rsidTr="004506BC">
        <w:trPr>
          <w:trHeight w:val="459"/>
        </w:trPr>
        <w:tc>
          <w:tcPr>
            <w:tcW w:w="1961" w:type="dxa"/>
          </w:tcPr>
          <w:p w14:paraId="5E97FC14"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Write report</w:t>
            </w:r>
          </w:p>
        </w:tc>
        <w:tc>
          <w:tcPr>
            <w:tcW w:w="1187" w:type="dxa"/>
          </w:tcPr>
          <w:p w14:paraId="07AE6855" w14:textId="77777777" w:rsidR="008C3C2A" w:rsidRPr="006F0EF0" w:rsidRDefault="008C3C2A" w:rsidP="004506BC">
            <w:pPr>
              <w:pStyle w:val="BodyText"/>
              <w:spacing w:line="360" w:lineRule="auto"/>
              <w:jc w:val="both"/>
              <w:rPr>
                <w:rFonts w:ascii="Arial" w:hAnsi="Arial" w:cs="Arial"/>
                <w:sz w:val="24"/>
                <w:szCs w:val="24"/>
              </w:rPr>
            </w:pPr>
          </w:p>
        </w:tc>
        <w:tc>
          <w:tcPr>
            <w:tcW w:w="811" w:type="dxa"/>
          </w:tcPr>
          <w:p w14:paraId="48E5374E" w14:textId="77777777" w:rsidR="008C3C2A" w:rsidRPr="006F0EF0" w:rsidRDefault="008C3C2A" w:rsidP="004506BC">
            <w:pPr>
              <w:pStyle w:val="BodyText"/>
              <w:spacing w:line="360" w:lineRule="auto"/>
              <w:jc w:val="both"/>
              <w:rPr>
                <w:rFonts w:ascii="Arial" w:hAnsi="Arial" w:cs="Arial"/>
                <w:sz w:val="24"/>
                <w:szCs w:val="24"/>
              </w:rPr>
            </w:pPr>
          </w:p>
        </w:tc>
        <w:tc>
          <w:tcPr>
            <w:tcW w:w="815" w:type="dxa"/>
          </w:tcPr>
          <w:p w14:paraId="1C878E8B" w14:textId="77777777" w:rsidR="008C3C2A" w:rsidRPr="006F0EF0" w:rsidRDefault="008C3C2A" w:rsidP="004506BC">
            <w:pPr>
              <w:pStyle w:val="BodyText"/>
              <w:spacing w:line="360" w:lineRule="auto"/>
              <w:jc w:val="both"/>
              <w:rPr>
                <w:rFonts w:ascii="Arial" w:hAnsi="Arial" w:cs="Arial"/>
                <w:sz w:val="24"/>
                <w:szCs w:val="24"/>
              </w:rPr>
            </w:pPr>
          </w:p>
        </w:tc>
        <w:tc>
          <w:tcPr>
            <w:tcW w:w="777" w:type="dxa"/>
          </w:tcPr>
          <w:p w14:paraId="177430DB" w14:textId="77777777" w:rsidR="008C3C2A" w:rsidRPr="006F0EF0" w:rsidRDefault="008C3C2A" w:rsidP="004506BC">
            <w:pPr>
              <w:pStyle w:val="BodyText"/>
              <w:spacing w:line="360" w:lineRule="auto"/>
              <w:jc w:val="both"/>
              <w:rPr>
                <w:rFonts w:ascii="Arial" w:hAnsi="Arial" w:cs="Arial"/>
                <w:sz w:val="24"/>
                <w:szCs w:val="24"/>
              </w:rPr>
            </w:pPr>
          </w:p>
        </w:tc>
        <w:tc>
          <w:tcPr>
            <w:tcW w:w="901" w:type="dxa"/>
          </w:tcPr>
          <w:p w14:paraId="5F830A8A" w14:textId="77777777" w:rsidR="008C3C2A" w:rsidRPr="006F0EF0" w:rsidRDefault="008C3C2A" w:rsidP="004506BC">
            <w:pPr>
              <w:pStyle w:val="BodyText"/>
              <w:spacing w:line="360" w:lineRule="auto"/>
              <w:jc w:val="both"/>
              <w:rPr>
                <w:rFonts w:ascii="Arial" w:hAnsi="Arial" w:cs="Arial"/>
                <w:sz w:val="24"/>
                <w:szCs w:val="24"/>
              </w:rPr>
            </w:pPr>
          </w:p>
        </w:tc>
        <w:tc>
          <w:tcPr>
            <w:tcW w:w="777" w:type="dxa"/>
            <w:shd w:val="clear" w:color="auto" w:fill="BFBFBF" w:themeFill="background1" w:themeFillShade="BF"/>
          </w:tcPr>
          <w:p w14:paraId="413826D3"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4 weeks</w:t>
            </w:r>
          </w:p>
        </w:tc>
      </w:tr>
    </w:tbl>
    <w:p w14:paraId="1823F6F9" w14:textId="77777777" w:rsidR="008C3C2A" w:rsidRPr="006F0EF0" w:rsidRDefault="008C3C2A" w:rsidP="008C3C2A">
      <w:pPr>
        <w:pStyle w:val="BodyText"/>
        <w:spacing w:line="360" w:lineRule="auto"/>
        <w:ind w:left="360"/>
        <w:jc w:val="both"/>
        <w:rPr>
          <w:rFonts w:ascii="Arial" w:hAnsi="Arial" w:cs="Arial"/>
          <w:sz w:val="24"/>
          <w:szCs w:val="24"/>
          <w:u w:val="single"/>
        </w:rPr>
      </w:pPr>
    </w:p>
    <w:p w14:paraId="36C66CF3" w14:textId="77777777" w:rsidR="008C3C2A" w:rsidRPr="006F0EF0" w:rsidRDefault="008C3C2A" w:rsidP="008C3C2A">
      <w:pPr>
        <w:pStyle w:val="BodyText"/>
        <w:spacing w:line="360" w:lineRule="auto"/>
        <w:ind w:left="360"/>
        <w:jc w:val="both"/>
        <w:rPr>
          <w:rFonts w:ascii="Arial" w:hAnsi="Arial" w:cs="Arial"/>
          <w:sz w:val="24"/>
          <w:szCs w:val="24"/>
          <w:u w:val="single"/>
        </w:rPr>
      </w:pPr>
    </w:p>
    <w:p w14:paraId="754E6C7B" w14:textId="77777777" w:rsidR="008C3C2A" w:rsidRPr="006F0EF0" w:rsidRDefault="008C3C2A" w:rsidP="008C3C2A">
      <w:pPr>
        <w:pStyle w:val="BodyText"/>
        <w:spacing w:line="360" w:lineRule="auto"/>
        <w:ind w:left="360"/>
        <w:jc w:val="both"/>
        <w:rPr>
          <w:rFonts w:ascii="Arial" w:hAnsi="Arial" w:cs="Arial"/>
          <w:sz w:val="24"/>
          <w:szCs w:val="24"/>
          <w:u w:val="single"/>
        </w:rPr>
      </w:pPr>
    </w:p>
    <w:p w14:paraId="5CA4B274" w14:textId="77777777" w:rsidR="008C3C2A" w:rsidRPr="006F0EF0" w:rsidRDefault="008C3C2A" w:rsidP="008C3C2A">
      <w:pPr>
        <w:pStyle w:val="BodyText"/>
        <w:spacing w:line="360" w:lineRule="auto"/>
        <w:jc w:val="both"/>
        <w:rPr>
          <w:rFonts w:ascii="Arial" w:hAnsi="Arial" w:cs="Arial"/>
          <w:iCs/>
          <w:sz w:val="24"/>
          <w:szCs w:val="24"/>
          <w:u w:val="single"/>
        </w:rPr>
      </w:pPr>
      <w:r w:rsidRPr="006F0EF0">
        <w:rPr>
          <w:rFonts w:ascii="Arial" w:hAnsi="Arial" w:cs="Arial"/>
          <w:iCs/>
          <w:sz w:val="24"/>
          <w:szCs w:val="24"/>
          <w:u w:val="single"/>
        </w:rPr>
        <w:t>Table 2: Budget for Research Project</w:t>
      </w:r>
    </w:p>
    <w:tbl>
      <w:tblPr>
        <w:tblStyle w:val="TableGrid"/>
        <w:tblW w:w="0" w:type="auto"/>
        <w:tblInd w:w="-431" w:type="dxa"/>
        <w:tblLook w:val="04A0" w:firstRow="1" w:lastRow="0" w:firstColumn="1" w:lastColumn="0" w:noHBand="0" w:noVBand="1"/>
      </w:tblPr>
      <w:tblGrid>
        <w:gridCol w:w="3822"/>
        <w:gridCol w:w="2115"/>
        <w:gridCol w:w="1755"/>
        <w:gridCol w:w="1755"/>
      </w:tblGrid>
      <w:tr w:rsidR="008C3C2A" w:rsidRPr="006F0EF0" w14:paraId="2DDD7843" w14:textId="77777777" w:rsidTr="004506BC">
        <w:tc>
          <w:tcPr>
            <w:tcW w:w="3822" w:type="dxa"/>
          </w:tcPr>
          <w:p w14:paraId="355EEB13"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Research Phase</w:t>
            </w:r>
          </w:p>
        </w:tc>
        <w:tc>
          <w:tcPr>
            <w:tcW w:w="2115" w:type="dxa"/>
          </w:tcPr>
          <w:p w14:paraId="156D1710"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Research Assistant:</w:t>
            </w:r>
          </w:p>
          <w:p w14:paraId="151A8E84"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Hours@ £13.00</w:t>
            </w:r>
          </w:p>
        </w:tc>
        <w:tc>
          <w:tcPr>
            <w:tcW w:w="1755" w:type="dxa"/>
          </w:tcPr>
          <w:p w14:paraId="36DA1F4B"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Main Researcher:</w:t>
            </w:r>
          </w:p>
          <w:p w14:paraId="68EF42B5"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Hours@ £13.00</w:t>
            </w:r>
          </w:p>
        </w:tc>
        <w:tc>
          <w:tcPr>
            <w:tcW w:w="1755" w:type="dxa"/>
          </w:tcPr>
          <w:p w14:paraId="3DDEF804"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Total cost for each phase of your research</w:t>
            </w:r>
          </w:p>
        </w:tc>
      </w:tr>
      <w:tr w:rsidR="008C3C2A" w:rsidRPr="006F0EF0" w14:paraId="68449B33" w14:textId="77777777" w:rsidTr="004506BC">
        <w:tc>
          <w:tcPr>
            <w:tcW w:w="3822" w:type="dxa"/>
          </w:tcPr>
          <w:p w14:paraId="245B6EC5"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 xml:space="preserve">Ethics approval </w:t>
            </w:r>
          </w:p>
        </w:tc>
        <w:tc>
          <w:tcPr>
            <w:tcW w:w="2115" w:type="dxa"/>
          </w:tcPr>
          <w:p w14:paraId="62B53988"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10 hours</w:t>
            </w:r>
          </w:p>
        </w:tc>
        <w:tc>
          <w:tcPr>
            <w:tcW w:w="1755" w:type="dxa"/>
          </w:tcPr>
          <w:p w14:paraId="5D6CF890"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 xml:space="preserve">20 hours </w:t>
            </w:r>
          </w:p>
        </w:tc>
        <w:tc>
          <w:tcPr>
            <w:tcW w:w="1755" w:type="dxa"/>
          </w:tcPr>
          <w:p w14:paraId="38888434"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390</w:t>
            </w:r>
          </w:p>
        </w:tc>
      </w:tr>
      <w:tr w:rsidR="008C3C2A" w:rsidRPr="006F0EF0" w14:paraId="644F4E09" w14:textId="77777777" w:rsidTr="004506BC">
        <w:tc>
          <w:tcPr>
            <w:tcW w:w="3822" w:type="dxa"/>
          </w:tcPr>
          <w:p w14:paraId="2B02EB57"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Lit review</w:t>
            </w:r>
          </w:p>
        </w:tc>
        <w:tc>
          <w:tcPr>
            <w:tcW w:w="2115" w:type="dxa"/>
          </w:tcPr>
          <w:p w14:paraId="2A0B2D17"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20 hours</w:t>
            </w:r>
          </w:p>
        </w:tc>
        <w:tc>
          <w:tcPr>
            <w:tcW w:w="1755" w:type="dxa"/>
          </w:tcPr>
          <w:p w14:paraId="09CDA5F3"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 xml:space="preserve">40 hours </w:t>
            </w:r>
          </w:p>
        </w:tc>
        <w:tc>
          <w:tcPr>
            <w:tcW w:w="1755" w:type="dxa"/>
          </w:tcPr>
          <w:p w14:paraId="3163FF8B"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780</w:t>
            </w:r>
          </w:p>
        </w:tc>
      </w:tr>
      <w:tr w:rsidR="008C3C2A" w:rsidRPr="006F0EF0" w14:paraId="2765E9BE" w14:textId="77777777" w:rsidTr="004506BC">
        <w:tc>
          <w:tcPr>
            <w:tcW w:w="3822" w:type="dxa"/>
          </w:tcPr>
          <w:p w14:paraId="5171A79B"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Design questionnaire</w:t>
            </w:r>
          </w:p>
        </w:tc>
        <w:tc>
          <w:tcPr>
            <w:tcW w:w="2115" w:type="dxa"/>
          </w:tcPr>
          <w:p w14:paraId="1037B436"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10 hours</w:t>
            </w:r>
          </w:p>
        </w:tc>
        <w:tc>
          <w:tcPr>
            <w:tcW w:w="1755" w:type="dxa"/>
          </w:tcPr>
          <w:p w14:paraId="4409395C"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20 hours</w:t>
            </w:r>
          </w:p>
        </w:tc>
        <w:tc>
          <w:tcPr>
            <w:tcW w:w="1755" w:type="dxa"/>
          </w:tcPr>
          <w:p w14:paraId="30EA4BAD"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390</w:t>
            </w:r>
          </w:p>
        </w:tc>
      </w:tr>
      <w:tr w:rsidR="008C3C2A" w:rsidRPr="006F0EF0" w14:paraId="539CFCFD" w14:textId="77777777" w:rsidTr="004506BC">
        <w:tc>
          <w:tcPr>
            <w:tcW w:w="3822" w:type="dxa"/>
          </w:tcPr>
          <w:p w14:paraId="0BC4D2DA"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Pilot questionnaire</w:t>
            </w:r>
          </w:p>
        </w:tc>
        <w:tc>
          <w:tcPr>
            <w:tcW w:w="2115" w:type="dxa"/>
          </w:tcPr>
          <w:p w14:paraId="18D9AAD9"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10 hours</w:t>
            </w:r>
          </w:p>
        </w:tc>
        <w:tc>
          <w:tcPr>
            <w:tcW w:w="1755" w:type="dxa"/>
          </w:tcPr>
          <w:p w14:paraId="717BFC67"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20 hours</w:t>
            </w:r>
          </w:p>
        </w:tc>
        <w:tc>
          <w:tcPr>
            <w:tcW w:w="1755" w:type="dxa"/>
          </w:tcPr>
          <w:p w14:paraId="3C8EF6C0"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390</w:t>
            </w:r>
          </w:p>
        </w:tc>
      </w:tr>
      <w:tr w:rsidR="008C3C2A" w:rsidRPr="006F0EF0" w14:paraId="005D868D" w14:textId="77777777" w:rsidTr="004506BC">
        <w:tc>
          <w:tcPr>
            <w:tcW w:w="3822" w:type="dxa"/>
          </w:tcPr>
          <w:p w14:paraId="48A25C90"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Collect data</w:t>
            </w:r>
          </w:p>
        </w:tc>
        <w:tc>
          <w:tcPr>
            <w:tcW w:w="2115" w:type="dxa"/>
          </w:tcPr>
          <w:p w14:paraId="17C5D44F"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24 hours</w:t>
            </w:r>
          </w:p>
        </w:tc>
        <w:tc>
          <w:tcPr>
            <w:tcW w:w="1755" w:type="dxa"/>
          </w:tcPr>
          <w:p w14:paraId="1B6EA5EE"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 xml:space="preserve">24 hours </w:t>
            </w:r>
          </w:p>
        </w:tc>
        <w:tc>
          <w:tcPr>
            <w:tcW w:w="1755" w:type="dxa"/>
          </w:tcPr>
          <w:p w14:paraId="7EE05D05"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624</w:t>
            </w:r>
          </w:p>
        </w:tc>
      </w:tr>
      <w:tr w:rsidR="008C3C2A" w:rsidRPr="006F0EF0" w14:paraId="37DBF478" w14:textId="77777777" w:rsidTr="004506BC">
        <w:tc>
          <w:tcPr>
            <w:tcW w:w="3822" w:type="dxa"/>
          </w:tcPr>
          <w:p w14:paraId="1EFF7AE8"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Analyse data</w:t>
            </w:r>
          </w:p>
        </w:tc>
        <w:tc>
          <w:tcPr>
            <w:tcW w:w="2115" w:type="dxa"/>
          </w:tcPr>
          <w:p w14:paraId="4A1AEC26"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20 hours</w:t>
            </w:r>
          </w:p>
        </w:tc>
        <w:tc>
          <w:tcPr>
            <w:tcW w:w="1755" w:type="dxa"/>
          </w:tcPr>
          <w:p w14:paraId="05E25C2E"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40 hours</w:t>
            </w:r>
          </w:p>
        </w:tc>
        <w:tc>
          <w:tcPr>
            <w:tcW w:w="1755" w:type="dxa"/>
          </w:tcPr>
          <w:p w14:paraId="57F6F32D"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780</w:t>
            </w:r>
          </w:p>
        </w:tc>
      </w:tr>
      <w:tr w:rsidR="008C3C2A" w:rsidRPr="006F0EF0" w14:paraId="3FE30DDF" w14:textId="77777777" w:rsidTr="004506BC">
        <w:tc>
          <w:tcPr>
            <w:tcW w:w="3822" w:type="dxa"/>
          </w:tcPr>
          <w:p w14:paraId="0C3E6162"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Write report</w:t>
            </w:r>
          </w:p>
        </w:tc>
        <w:tc>
          <w:tcPr>
            <w:tcW w:w="2115" w:type="dxa"/>
          </w:tcPr>
          <w:p w14:paraId="502AB282"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15 hours</w:t>
            </w:r>
          </w:p>
        </w:tc>
        <w:tc>
          <w:tcPr>
            <w:tcW w:w="1755" w:type="dxa"/>
          </w:tcPr>
          <w:p w14:paraId="110F1120"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30 hours</w:t>
            </w:r>
          </w:p>
        </w:tc>
        <w:tc>
          <w:tcPr>
            <w:tcW w:w="1755" w:type="dxa"/>
          </w:tcPr>
          <w:p w14:paraId="0A10C1AF" w14:textId="77777777" w:rsidR="008C3C2A" w:rsidRPr="006F0EF0" w:rsidRDefault="008C3C2A" w:rsidP="004506BC">
            <w:pPr>
              <w:pStyle w:val="BodyText"/>
              <w:spacing w:line="360" w:lineRule="auto"/>
              <w:jc w:val="both"/>
              <w:rPr>
                <w:rFonts w:ascii="Arial" w:hAnsi="Arial" w:cs="Arial"/>
                <w:sz w:val="24"/>
                <w:szCs w:val="24"/>
              </w:rPr>
            </w:pPr>
            <w:r w:rsidRPr="006F0EF0">
              <w:rPr>
                <w:rFonts w:ascii="Arial" w:hAnsi="Arial" w:cs="Arial"/>
                <w:sz w:val="24"/>
                <w:szCs w:val="24"/>
              </w:rPr>
              <w:t>585</w:t>
            </w:r>
          </w:p>
        </w:tc>
      </w:tr>
      <w:tr w:rsidR="008C3C2A" w:rsidRPr="006F0EF0" w14:paraId="02619033" w14:textId="77777777" w:rsidTr="004506BC">
        <w:tc>
          <w:tcPr>
            <w:tcW w:w="7692" w:type="dxa"/>
            <w:gridSpan w:val="3"/>
          </w:tcPr>
          <w:p w14:paraId="0497FFCE" w14:textId="77777777" w:rsidR="008C3C2A" w:rsidRPr="006F0EF0" w:rsidRDefault="008C3C2A" w:rsidP="004506BC">
            <w:pPr>
              <w:pStyle w:val="BodyText"/>
              <w:spacing w:line="360" w:lineRule="auto"/>
              <w:jc w:val="both"/>
              <w:rPr>
                <w:rFonts w:ascii="Arial" w:hAnsi="Arial" w:cs="Arial"/>
                <w:b/>
                <w:sz w:val="24"/>
                <w:szCs w:val="24"/>
              </w:rPr>
            </w:pPr>
            <w:r w:rsidRPr="006F0EF0">
              <w:rPr>
                <w:rFonts w:ascii="Arial" w:hAnsi="Arial" w:cs="Arial"/>
                <w:b/>
                <w:sz w:val="24"/>
                <w:szCs w:val="24"/>
              </w:rPr>
              <w:t>Total costs for project</w:t>
            </w:r>
          </w:p>
        </w:tc>
        <w:tc>
          <w:tcPr>
            <w:tcW w:w="1755" w:type="dxa"/>
          </w:tcPr>
          <w:p w14:paraId="563D2281" w14:textId="77777777" w:rsidR="008C3C2A" w:rsidRPr="006F0EF0" w:rsidRDefault="008C3C2A" w:rsidP="004506BC">
            <w:pPr>
              <w:pStyle w:val="BodyText"/>
              <w:spacing w:line="360" w:lineRule="auto"/>
              <w:jc w:val="both"/>
              <w:rPr>
                <w:rFonts w:ascii="Arial" w:hAnsi="Arial" w:cs="Arial"/>
                <w:b/>
                <w:sz w:val="24"/>
                <w:szCs w:val="24"/>
              </w:rPr>
            </w:pPr>
            <w:r w:rsidRPr="006F0EF0">
              <w:rPr>
                <w:rFonts w:ascii="Arial" w:hAnsi="Arial" w:cs="Arial"/>
                <w:b/>
                <w:sz w:val="24"/>
                <w:szCs w:val="24"/>
              </w:rPr>
              <w:t>£3939.00</w:t>
            </w:r>
          </w:p>
        </w:tc>
      </w:tr>
    </w:tbl>
    <w:p w14:paraId="73E5A621" w14:textId="77777777" w:rsidR="008C3C2A" w:rsidRPr="006F0EF0" w:rsidRDefault="008C3C2A" w:rsidP="008C3C2A">
      <w:pPr>
        <w:rPr>
          <w:rFonts w:ascii="Arial" w:hAnsi="Arial" w:cs="Arial"/>
          <w:u w:val="single"/>
        </w:rPr>
      </w:pPr>
    </w:p>
    <w:p w14:paraId="60C3ADDE" w14:textId="77777777" w:rsidR="009E5ABA" w:rsidRDefault="009E5ABA" w:rsidP="008F37F5">
      <w:pPr>
        <w:ind w:left="0"/>
        <w:rPr>
          <w:rFonts w:ascii="Arial" w:hAnsi="Arial" w:cs="Arial"/>
          <w:u w:val="single"/>
        </w:rPr>
      </w:pPr>
    </w:p>
    <w:p w14:paraId="7B0CF264" w14:textId="5FC6980A" w:rsidR="008C3C2A" w:rsidRPr="006F0EF0" w:rsidRDefault="008C3C2A" w:rsidP="008F37F5">
      <w:pPr>
        <w:ind w:left="0"/>
        <w:rPr>
          <w:rFonts w:ascii="Arial" w:hAnsi="Arial" w:cs="Arial"/>
          <w:u w:val="single"/>
        </w:rPr>
      </w:pPr>
      <w:r w:rsidRPr="006F0EF0">
        <w:rPr>
          <w:rFonts w:ascii="Arial" w:hAnsi="Arial" w:cs="Arial"/>
          <w:u w:val="single"/>
        </w:rPr>
        <w:t>Outline of Collage Workshop</w:t>
      </w:r>
    </w:p>
    <w:p w14:paraId="3ABBEED9" w14:textId="77777777" w:rsidR="008C3C2A" w:rsidRPr="006F0EF0" w:rsidRDefault="008C3C2A" w:rsidP="008C3C2A">
      <w:pPr>
        <w:jc w:val="center"/>
        <w:rPr>
          <w:rFonts w:ascii="Arial" w:hAnsi="Arial" w:cs="Arial"/>
          <w:u w:val="single"/>
        </w:rPr>
      </w:pPr>
    </w:p>
    <w:p w14:paraId="56C6D2DF" w14:textId="77777777" w:rsidR="008C3C2A" w:rsidRPr="006F0EF0" w:rsidRDefault="008C3C2A" w:rsidP="008F37F5">
      <w:pPr>
        <w:ind w:left="0"/>
        <w:rPr>
          <w:rFonts w:ascii="Arial" w:hAnsi="Arial" w:cs="Arial"/>
          <w:u w:val="single"/>
        </w:rPr>
      </w:pPr>
      <w:r w:rsidRPr="006F0EF0">
        <w:rPr>
          <w:rFonts w:ascii="Arial" w:hAnsi="Arial" w:cs="Arial"/>
          <w:u w:val="single"/>
        </w:rPr>
        <w:t>Welcome &amp; Icebreaker (15 mins)</w:t>
      </w:r>
    </w:p>
    <w:p w14:paraId="24949F43" w14:textId="77777777" w:rsidR="008C3C2A" w:rsidRPr="006F0EF0" w:rsidRDefault="008C3C2A" w:rsidP="008F37F5">
      <w:pPr>
        <w:ind w:left="0"/>
        <w:rPr>
          <w:rFonts w:ascii="Arial" w:hAnsi="Arial" w:cs="Arial"/>
        </w:rPr>
      </w:pPr>
      <w:r w:rsidRPr="006F0EF0">
        <w:rPr>
          <w:rFonts w:ascii="Arial" w:hAnsi="Arial" w:cs="Arial"/>
        </w:rPr>
        <w:t>The research team will introduce themselves and the concept of the study that attendees will have the opportunity to participate in.</w:t>
      </w:r>
    </w:p>
    <w:p w14:paraId="74AE968B" w14:textId="77777777" w:rsidR="008C3C2A" w:rsidRPr="006F0EF0" w:rsidRDefault="008C3C2A" w:rsidP="008F37F5">
      <w:pPr>
        <w:ind w:left="0"/>
        <w:rPr>
          <w:rFonts w:ascii="Arial" w:hAnsi="Arial" w:cs="Arial"/>
        </w:rPr>
      </w:pPr>
      <w:r w:rsidRPr="006F0EF0">
        <w:rPr>
          <w:rFonts w:ascii="Arial" w:hAnsi="Arial" w:cs="Arial"/>
        </w:rPr>
        <w:t>Consent forms will be explained, and signatures will be gained from carers. Including:</w:t>
      </w:r>
    </w:p>
    <w:p w14:paraId="68D23E17" w14:textId="77777777" w:rsidR="008C3C2A" w:rsidRPr="006F0EF0" w:rsidRDefault="008C3C2A" w:rsidP="008C3C2A">
      <w:pPr>
        <w:pStyle w:val="ListParagraph"/>
        <w:numPr>
          <w:ilvl w:val="0"/>
          <w:numId w:val="22"/>
        </w:numPr>
        <w:spacing w:after="160" w:line="278" w:lineRule="auto"/>
        <w:ind w:right="0"/>
        <w:rPr>
          <w:rFonts w:ascii="Arial" w:hAnsi="Arial" w:cs="Arial"/>
        </w:rPr>
      </w:pPr>
      <w:r w:rsidRPr="006F0EF0">
        <w:rPr>
          <w:rFonts w:ascii="Arial" w:hAnsi="Arial" w:cs="Arial"/>
        </w:rPr>
        <w:t>Permission to photograph collages (for anonymous use in reports).</w:t>
      </w:r>
    </w:p>
    <w:p w14:paraId="64A4F243" w14:textId="77777777" w:rsidR="008C3C2A" w:rsidRPr="006F0EF0" w:rsidRDefault="008C3C2A" w:rsidP="008C3C2A">
      <w:pPr>
        <w:pStyle w:val="ListParagraph"/>
        <w:numPr>
          <w:ilvl w:val="0"/>
          <w:numId w:val="22"/>
        </w:numPr>
        <w:spacing w:after="160" w:line="278" w:lineRule="auto"/>
        <w:ind w:right="0"/>
        <w:rPr>
          <w:rFonts w:ascii="Arial" w:hAnsi="Arial" w:cs="Arial"/>
        </w:rPr>
      </w:pPr>
      <w:r w:rsidRPr="006F0EF0">
        <w:rPr>
          <w:rFonts w:ascii="Arial" w:hAnsi="Arial" w:cs="Arial"/>
        </w:rPr>
        <w:t>Option to opt out at any time.</w:t>
      </w:r>
    </w:p>
    <w:p w14:paraId="26EEE27C" w14:textId="77777777" w:rsidR="008C3C2A" w:rsidRPr="006F0EF0" w:rsidRDefault="008C3C2A" w:rsidP="008C3C2A">
      <w:pPr>
        <w:pStyle w:val="ListParagraph"/>
        <w:numPr>
          <w:ilvl w:val="0"/>
          <w:numId w:val="22"/>
        </w:numPr>
        <w:spacing w:after="160" w:line="278" w:lineRule="auto"/>
        <w:ind w:right="0"/>
        <w:rPr>
          <w:rFonts w:ascii="Arial" w:hAnsi="Arial" w:cs="Arial"/>
        </w:rPr>
      </w:pPr>
      <w:r w:rsidRPr="006F0EF0">
        <w:rPr>
          <w:rFonts w:ascii="Arial" w:hAnsi="Arial" w:cs="Arial"/>
        </w:rPr>
        <w:lastRenderedPageBreak/>
        <w:t>Clarify data usage (e.g., "to improve local family services").</w:t>
      </w:r>
    </w:p>
    <w:p w14:paraId="2D977030" w14:textId="77777777" w:rsidR="008F37F5" w:rsidRDefault="008F37F5" w:rsidP="008F37F5">
      <w:pPr>
        <w:ind w:left="0"/>
        <w:rPr>
          <w:rFonts w:ascii="Arial" w:hAnsi="Arial" w:cs="Arial"/>
          <w:u w:val="single"/>
        </w:rPr>
      </w:pPr>
    </w:p>
    <w:p w14:paraId="35738956" w14:textId="34E76EEE" w:rsidR="008C3C2A" w:rsidRPr="006F0EF0" w:rsidRDefault="008C3C2A" w:rsidP="008F37F5">
      <w:pPr>
        <w:ind w:left="0"/>
        <w:rPr>
          <w:rFonts w:ascii="Arial" w:hAnsi="Arial" w:cs="Arial"/>
          <w:u w:val="single"/>
        </w:rPr>
      </w:pPr>
      <w:r w:rsidRPr="006F0EF0">
        <w:rPr>
          <w:rFonts w:ascii="Arial" w:hAnsi="Arial" w:cs="Arial"/>
          <w:u w:val="single"/>
        </w:rPr>
        <w:t>Collage time (1hr 30 mins)</w:t>
      </w:r>
    </w:p>
    <w:p w14:paraId="2C687D5D" w14:textId="77777777" w:rsidR="008C3C2A" w:rsidRPr="006F0EF0" w:rsidRDefault="008C3C2A" w:rsidP="008C3C2A">
      <w:pPr>
        <w:numPr>
          <w:ilvl w:val="0"/>
          <w:numId w:val="23"/>
        </w:numPr>
        <w:spacing w:after="160" w:line="278" w:lineRule="auto"/>
        <w:ind w:right="0"/>
        <w:rPr>
          <w:rFonts w:ascii="Arial" w:hAnsi="Arial" w:cs="Arial"/>
        </w:rPr>
      </w:pPr>
      <w:r w:rsidRPr="006F0EF0">
        <w:rPr>
          <w:rFonts w:ascii="Arial" w:hAnsi="Arial" w:cs="Arial"/>
        </w:rPr>
        <w:t>Art materials (recycled items welcome!)</w:t>
      </w:r>
    </w:p>
    <w:p w14:paraId="3F9E1973" w14:textId="77777777" w:rsidR="008C3C2A" w:rsidRPr="006F0EF0" w:rsidRDefault="008C3C2A" w:rsidP="008C3C2A">
      <w:pPr>
        <w:numPr>
          <w:ilvl w:val="0"/>
          <w:numId w:val="23"/>
        </w:numPr>
        <w:spacing w:after="160" w:line="278" w:lineRule="auto"/>
        <w:ind w:right="0"/>
        <w:rPr>
          <w:rFonts w:ascii="Arial" w:hAnsi="Arial" w:cs="Arial"/>
        </w:rPr>
      </w:pPr>
      <w:r w:rsidRPr="006F0EF0">
        <w:rPr>
          <w:rFonts w:ascii="Arial" w:hAnsi="Arial" w:cs="Arial"/>
        </w:rPr>
        <w:t>Consent forms + pens</w:t>
      </w:r>
    </w:p>
    <w:p w14:paraId="2F432140" w14:textId="77777777" w:rsidR="008C3C2A" w:rsidRPr="006F0EF0" w:rsidRDefault="008C3C2A" w:rsidP="008C3C2A">
      <w:pPr>
        <w:numPr>
          <w:ilvl w:val="0"/>
          <w:numId w:val="23"/>
        </w:numPr>
        <w:spacing w:after="160" w:line="278" w:lineRule="auto"/>
        <w:ind w:right="0"/>
        <w:rPr>
          <w:rFonts w:ascii="Arial" w:hAnsi="Arial" w:cs="Arial"/>
        </w:rPr>
      </w:pPr>
      <w:r w:rsidRPr="006F0EF0">
        <w:rPr>
          <w:rFonts w:ascii="Arial" w:hAnsi="Arial" w:cs="Arial"/>
        </w:rPr>
        <w:t>Camera (optional, for documentation)</w:t>
      </w:r>
    </w:p>
    <w:p w14:paraId="3D5F713D" w14:textId="77777777" w:rsidR="008C3C2A" w:rsidRPr="006F0EF0" w:rsidRDefault="008C3C2A" w:rsidP="008C3C2A">
      <w:pPr>
        <w:numPr>
          <w:ilvl w:val="0"/>
          <w:numId w:val="23"/>
        </w:numPr>
        <w:spacing w:after="160" w:line="278" w:lineRule="auto"/>
        <w:ind w:right="0"/>
        <w:rPr>
          <w:rFonts w:ascii="Arial" w:hAnsi="Arial" w:cs="Arial"/>
        </w:rPr>
      </w:pPr>
      <w:r w:rsidRPr="006F0EF0">
        <w:rPr>
          <w:rFonts w:ascii="Arial" w:hAnsi="Arial" w:cs="Arial"/>
        </w:rPr>
        <w:t>A3 paper/cardboard (collage base)</w:t>
      </w:r>
    </w:p>
    <w:p w14:paraId="74828FBE" w14:textId="77777777" w:rsidR="008F37F5" w:rsidRDefault="008F37F5" w:rsidP="008F37F5">
      <w:pPr>
        <w:ind w:left="0"/>
        <w:rPr>
          <w:rFonts w:ascii="Arial" w:hAnsi="Arial" w:cs="Arial"/>
          <w:b/>
          <w:bCs/>
        </w:rPr>
      </w:pPr>
    </w:p>
    <w:p w14:paraId="27BF5758" w14:textId="3DE77BBB" w:rsidR="008C3C2A" w:rsidRPr="006F0EF0" w:rsidRDefault="008C3C2A" w:rsidP="008F37F5">
      <w:pPr>
        <w:ind w:left="0"/>
        <w:rPr>
          <w:rFonts w:ascii="Arial" w:hAnsi="Arial" w:cs="Arial"/>
        </w:rPr>
      </w:pPr>
      <w:r w:rsidRPr="006F0EF0">
        <w:rPr>
          <w:rFonts w:ascii="Arial" w:hAnsi="Arial" w:cs="Arial"/>
        </w:rPr>
        <w:t>Materials such as magazines, newspapers, old books, printed photos Scissors, glue sticks, markers, coloured paper, fabric scraps and loose parts will be made available to the participants to explore freely in the setting with a broad theme of "family and relationships" as an invitation to create.</w:t>
      </w:r>
    </w:p>
    <w:p w14:paraId="72868290" w14:textId="77777777" w:rsidR="008C3C2A" w:rsidRPr="006F0EF0" w:rsidRDefault="008C3C2A" w:rsidP="008F37F5">
      <w:pPr>
        <w:ind w:left="0"/>
        <w:rPr>
          <w:rFonts w:ascii="Arial" w:hAnsi="Arial" w:cs="Arial"/>
          <w:u w:val="single"/>
        </w:rPr>
      </w:pPr>
      <w:r w:rsidRPr="006F0EF0">
        <w:rPr>
          <w:rFonts w:ascii="Arial" w:hAnsi="Arial" w:cs="Arial"/>
          <w:u w:val="single"/>
        </w:rPr>
        <w:t xml:space="preserve">Facilitator Role </w:t>
      </w:r>
    </w:p>
    <w:p w14:paraId="2D4BC5F9" w14:textId="77777777" w:rsidR="008C3C2A" w:rsidRPr="006F0EF0" w:rsidRDefault="008C3C2A" w:rsidP="00103BCC">
      <w:pPr>
        <w:ind w:left="0"/>
        <w:rPr>
          <w:rFonts w:ascii="Arial" w:hAnsi="Arial" w:cs="Arial"/>
        </w:rPr>
      </w:pPr>
      <w:r w:rsidRPr="006F0EF0">
        <w:rPr>
          <w:rFonts w:ascii="Arial" w:hAnsi="Arial" w:cs="Arial"/>
        </w:rPr>
        <w:t>To encourage storytelling by asking participants to describe their artwork using Discussion Prompts such as</w:t>
      </w:r>
    </w:p>
    <w:p w14:paraId="4EF6BE71" w14:textId="77777777" w:rsidR="008C3C2A" w:rsidRPr="006F0EF0" w:rsidRDefault="008C3C2A" w:rsidP="008C3C2A">
      <w:pPr>
        <w:numPr>
          <w:ilvl w:val="0"/>
          <w:numId w:val="20"/>
        </w:numPr>
        <w:spacing w:after="160" w:line="278" w:lineRule="auto"/>
        <w:ind w:right="0"/>
        <w:rPr>
          <w:rFonts w:ascii="Arial" w:hAnsi="Arial" w:cs="Arial"/>
        </w:rPr>
      </w:pPr>
      <w:r w:rsidRPr="006F0EF0">
        <w:rPr>
          <w:rFonts w:ascii="Arial" w:hAnsi="Arial" w:cs="Arial"/>
          <w:i/>
          <w:iCs/>
        </w:rPr>
        <w:t>"What makes your family special?"</w:t>
      </w:r>
      <w:r w:rsidRPr="006F0EF0">
        <w:rPr>
          <w:rFonts w:ascii="Arial" w:hAnsi="Arial" w:cs="Arial"/>
        </w:rPr>
        <w:t> </w:t>
      </w:r>
    </w:p>
    <w:p w14:paraId="6AF4DED9" w14:textId="77777777" w:rsidR="008C3C2A" w:rsidRPr="006F0EF0" w:rsidRDefault="008C3C2A" w:rsidP="008C3C2A">
      <w:pPr>
        <w:numPr>
          <w:ilvl w:val="0"/>
          <w:numId w:val="20"/>
        </w:numPr>
        <w:spacing w:after="160" w:line="278" w:lineRule="auto"/>
        <w:ind w:right="0"/>
        <w:rPr>
          <w:rFonts w:ascii="Arial" w:hAnsi="Arial" w:cs="Arial"/>
        </w:rPr>
      </w:pPr>
      <w:r w:rsidRPr="006F0EF0">
        <w:rPr>
          <w:rFonts w:ascii="Arial" w:hAnsi="Arial" w:cs="Arial"/>
          <w:i/>
          <w:iCs/>
        </w:rPr>
        <w:t>"Who is in your family?"</w:t>
      </w:r>
      <w:r w:rsidRPr="006F0EF0">
        <w:rPr>
          <w:rFonts w:ascii="Arial" w:hAnsi="Arial" w:cs="Arial"/>
        </w:rPr>
        <w:t> (People, pets, friends, community figures)</w:t>
      </w:r>
    </w:p>
    <w:p w14:paraId="4F1616F4" w14:textId="77777777" w:rsidR="008C3C2A" w:rsidRPr="006F0EF0" w:rsidRDefault="008C3C2A" w:rsidP="008C3C2A">
      <w:pPr>
        <w:numPr>
          <w:ilvl w:val="0"/>
          <w:numId w:val="20"/>
        </w:numPr>
        <w:spacing w:after="160" w:line="278" w:lineRule="auto"/>
        <w:ind w:right="0"/>
        <w:rPr>
          <w:rFonts w:ascii="Arial" w:hAnsi="Arial" w:cs="Arial"/>
        </w:rPr>
      </w:pPr>
      <w:r w:rsidRPr="006F0EF0">
        <w:rPr>
          <w:rFonts w:ascii="Arial" w:hAnsi="Arial" w:cs="Arial"/>
          <w:i/>
          <w:iCs/>
        </w:rPr>
        <w:t>"What does love/care look like?"</w:t>
      </w:r>
      <w:r w:rsidRPr="006F0EF0">
        <w:rPr>
          <w:rFonts w:ascii="Arial" w:hAnsi="Arial" w:cs="Arial"/>
        </w:rPr>
        <w:t> (Activities, gestures, symbols)</w:t>
      </w:r>
    </w:p>
    <w:p w14:paraId="1D7B6CAE" w14:textId="77777777" w:rsidR="008C3C2A" w:rsidRPr="006F0EF0" w:rsidRDefault="008C3C2A" w:rsidP="008C3C2A">
      <w:pPr>
        <w:numPr>
          <w:ilvl w:val="0"/>
          <w:numId w:val="20"/>
        </w:numPr>
        <w:spacing w:after="160" w:line="278" w:lineRule="auto"/>
        <w:ind w:right="0"/>
        <w:rPr>
          <w:rFonts w:ascii="Arial" w:hAnsi="Arial" w:cs="Arial"/>
        </w:rPr>
      </w:pPr>
      <w:r w:rsidRPr="006F0EF0">
        <w:rPr>
          <w:rFonts w:ascii="Arial" w:hAnsi="Arial" w:cs="Arial"/>
          <w:i/>
          <w:iCs/>
        </w:rPr>
        <w:t>"Where do you feel at home?"</w:t>
      </w:r>
      <w:r w:rsidRPr="006F0EF0">
        <w:rPr>
          <w:rFonts w:ascii="Arial" w:hAnsi="Arial" w:cs="Arial"/>
        </w:rPr>
        <w:t> (Places, objects, memories)</w:t>
      </w:r>
    </w:p>
    <w:p w14:paraId="2305011E" w14:textId="77777777" w:rsidR="008C3C2A" w:rsidRPr="006F0EF0" w:rsidRDefault="008C3C2A" w:rsidP="008C3C2A">
      <w:pPr>
        <w:rPr>
          <w:rFonts w:ascii="Arial" w:hAnsi="Arial" w:cs="Arial"/>
        </w:rPr>
      </w:pPr>
      <w:r w:rsidRPr="006F0EF0">
        <w:rPr>
          <w:rFonts w:ascii="Arial" w:hAnsi="Arial" w:cs="Arial"/>
        </w:rPr>
        <w:t>The facilitators will record anonymised quotes/observations from consenting participants and note recurring themes.</w:t>
      </w:r>
    </w:p>
    <w:p w14:paraId="12088E54" w14:textId="77777777" w:rsidR="008C3C2A" w:rsidRPr="006F0EF0" w:rsidRDefault="008C3C2A" w:rsidP="00103BCC">
      <w:pPr>
        <w:ind w:left="0"/>
        <w:rPr>
          <w:rFonts w:ascii="Arial" w:hAnsi="Arial" w:cs="Arial"/>
          <w:u w:val="single"/>
        </w:rPr>
      </w:pPr>
      <w:r w:rsidRPr="006F0EF0">
        <w:rPr>
          <w:rFonts w:ascii="Arial" w:hAnsi="Arial" w:cs="Arial"/>
          <w:u w:val="single"/>
        </w:rPr>
        <w:t>Closing Reflection (15 mins)</w:t>
      </w:r>
    </w:p>
    <w:p w14:paraId="6D48E95B" w14:textId="77777777" w:rsidR="008C3C2A" w:rsidRPr="006F0EF0" w:rsidRDefault="008C3C2A" w:rsidP="00103BCC">
      <w:pPr>
        <w:ind w:left="0"/>
        <w:rPr>
          <w:rFonts w:ascii="Arial" w:hAnsi="Arial" w:cs="Arial"/>
        </w:rPr>
      </w:pPr>
      <w:r w:rsidRPr="006F0EF0">
        <w:rPr>
          <w:rFonts w:ascii="Arial" w:hAnsi="Arial" w:cs="Arial"/>
        </w:rPr>
        <w:t>Participants are thanked for their time and engagement and be informed of how insights will be used and when the next workshop will take place if they would like to return.</w:t>
      </w:r>
    </w:p>
    <w:p w14:paraId="212D34C8" w14:textId="77777777" w:rsidR="008C3C2A" w:rsidRPr="006F0EF0" w:rsidRDefault="008C3C2A" w:rsidP="00103BCC">
      <w:pPr>
        <w:ind w:left="0"/>
        <w:rPr>
          <w:rFonts w:ascii="Arial" w:hAnsi="Arial" w:cs="Arial"/>
        </w:rPr>
      </w:pPr>
      <w:r w:rsidRPr="006F0EF0">
        <w:rPr>
          <w:rFonts w:ascii="Arial" w:hAnsi="Arial" w:cs="Arial"/>
        </w:rPr>
        <w:t>Participants will be asked to Feedback using</w:t>
      </w:r>
      <w:r w:rsidRPr="006F0EF0">
        <w:rPr>
          <w:rFonts w:ascii="Arial" w:hAnsi="Arial" w:cs="Arial"/>
          <w:b/>
          <w:bCs/>
        </w:rPr>
        <w:t xml:space="preserve"> </w:t>
      </w:r>
      <w:r w:rsidRPr="006F0EF0">
        <w:rPr>
          <w:rFonts w:ascii="Arial" w:hAnsi="Arial" w:cs="Arial"/>
        </w:rPr>
        <w:t>sticky notes on a "Family Ideas Wall" and this feedback will inform the next workshop.</w:t>
      </w:r>
    </w:p>
    <w:p w14:paraId="5E4EA5B6" w14:textId="77777777" w:rsidR="008C3C2A" w:rsidRPr="006F0EF0" w:rsidRDefault="008C3C2A" w:rsidP="008C3C2A">
      <w:pPr>
        <w:pStyle w:val="ListParagraph"/>
        <w:numPr>
          <w:ilvl w:val="0"/>
          <w:numId w:val="21"/>
        </w:numPr>
        <w:spacing w:after="160" w:line="278" w:lineRule="auto"/>
        <w:ind w:right="0"/>
        <w:rPr>
          <w:rFonts w:ascii="Arial" w:hAnsi="Arial" w:cs="Arial"/>
        </w:rPr>
      </w:pPr>
      <w:r w:rsidRPr="006F0EF0">
        <w:rPr>
          <w:rFonts w:ascii="Arial" w:hAnsi="Arial" w:cs="Arial"/>
        </w:rPr>
        <w:lastRenderedPageBreak/>
        <w:t>No names are to be attached to artwork/quotes in recording/presenting data.</w:t>
      </w:r>
    </w:p>
    <w:p w14:paraId="0A3814C8" w14:textId="77777777" w:rsidR="008C3C2A" w:rsidRPr="006F0EF0" w:rsidRDefault="008C3C2A" w:rsidP="008C3C2A">
      <w:pPr>
        <w:pStyle w:val="ListParagraph"/>
        <w:numPr>
          <w:ilvl w:val="0"/>
          <w:numId w:val="21"/>
        </w:numPr>
        <w:spacing w:after="160" w:line="278" w:lineRule="auto"/>
        <w:ind w:right="0"/>
        <w:rPr>
          <w:rFonts w:ascii="Arial" w:hAnsi="Arial" w:cs="Arial"/>
        </w:rPr>
      </w:pPr>
      <w:r w:rsidRPr="006F0EF0">
        <w:rPr>
          <w:rFonts w:ascii="Arial" w:hAnsi="Arial" w:cs="Arial"/>
        </w:rPr>
        <w:t>General descriptors (e.g., a 7-year-old participant shared...) to be used instead.</w:t>
      </w:r>
    </w:p>
    <w:p w14:paraId="6A17A189" w14:textId="795D6A0D" w:rsidR="008C3C2A" w:rsidRDefault="008C3C2A" w:rsidP="00B27C74">
      <w:pPr>
        <w:rPr>
          <w:rFonts w:ascii="Arial" w:hAnsi="Arial" w:cs="Arial"/>
        </w:rPr>
      </w:pPr>
      <w:r w:rsidRPr="006F0EF0">
        <w:rPr>
          <w:rFonts w:ascii="Arial" w:hAnsi="Arial" w:cs="Arial"/>
        </w:rPr>
        <w:t>At the end of the session, each person leaves with a tangible reflection of their relationships, sparking deeper conversations about love, identity, and connection, researchers will ask permission to photograph the artwork and invite participants to a focus group</w:t>
      </w:r>
      <w:r w:rsidR="00B27C74">
        <w:rPr>
          <w:rFonts w:ascii="Arial" w:hAnsi="Arial" w:cs="Arial"/>
        </w:rPr>
        <w:t>.</w:t>
      </w:r>
    </w:p>
    <w:p w14:paraId="7EE25CBE" w14:textId="77777777" w:rsidR="00B27C74" w:rsidRPr="00B27C74" w:rsidRDefault="00B27C74" w:rsidP="00B27C74">
      <w:pPr>
        <w:rPr>
          <w:rFonts w:ascii="Arial" w:hAnsi="Arial" w:cs="Arial"/>
        </w:rPr>
      </w:pPr>
    </w:p>
    <w:p w14:paraId="279CE834" w14:textId="77777777" w:rsidR="008C3C2A" w:rsidRPr="006F0EF0" w:rsidRDefault="008C3C2A" w:rsidP="008C3C2A">
      <w:pPr>
        <w:rPr>
          <w:rFonts w:ascii="Arial" w:hAnsi="Arial" w:cs="Arial"/>
          <w:u w:val="single"/>
        </w:rPr>
      </w:pPr>
    </w:p>
    <w:p w14:paraId="4984C7CA" w14:textId="77777777" w:rsidR="008C3C2A" w:rsidRPr="006F0EF0" w:rsidRDefault="008C3C2A" w:rsidP="008C3C2A">
      <w:pPr>
        <w:rPr>
          <w:rFonts w:ascii="Arial" w:hAnsi="Arial" w:cs="Arial"/>
        </w:rPr>
      </w:pPr>
      <w:r w:rsidRPr="006F0EF0">
        <w:rPr>
          <w:rFonts w:ascii="Arial" w:hAnsi="Arial" w:cs="Arial"/>
          <w:u w:val="single"/>
        </w:rPr>
        <w:t>Sample questions for focus group</w:t>
      </w:r>
      <w:r w:rsidRPr="006F0EF0">
        <w:rPr>
          <w:rFonts w:ascii="Arial" w:hAnsi="Arial" w:cs="Arial"/>
        </w:rPr>
        <w:t>.</w:t>
      </w:r>
    </w:p>
    <w:p w14:paraId="05F1735E" w14:textId="77777777" w:rsidR="008C3C2A" w:rsidRPr="006F0EF0" w:rsidRDefault="008C3C2A" w:rsidP="008C3C2A">
      <w:pPr>
        <w:pStyle w:val="ListParagraph"/>
        <w:numPr>
          <w:ilvl w:val="0"/>
          <w:numId w:val="19"/>
        </w:numPr>
        <w:spacing w:after="160" w:line="278" w:lineRule="auto"/>
        <w:ind w:right="0"/>
        <w:rPr>
          <w:rFonts w:ascii="Arial" w:hAnsi="Arial" w:cs="Arial"/>
        </w:rPr>
      </w:pPr>
      <w:r w:rsidRPr="006F0EF0">
        <w:rPr>
          <w:rFonts w:ascii="Arial" w:hAnsi="Arial" w:cs="Arial"/>
        </w:rPr>
        <w:t>What relationships are important to us?</w:t>
      </w:r>
    </w:p>
    <w:p w14:paraId="1AE38E9B" w14:textId="77777777" w:rsidR="008C3C2A" w:rsidRPr="006F0EF0" w:rsidRDefault="008C3C2A" w:rsidP="008C3C2A">
      <w:pPr>
        <w:pStyle w:val="ListParagraph"/>
        <w:numPr>
          <w:ilvl w:val="0"/>
          <w:numId w:val="19"/>
        </w:numPr>
        <w:spacing w:after="160" w:line="278" w:lineRule="auto"/>
        <w:ind w:right="0"/>
        <w:rPr>
          <w:rFonts w:ascii="Arial" w:hAnsi="Arial" w:cs="Arial"/>
        </w:rPr>
      </w:pPr>
      <w:r w:rsidRPr="006F0EF0">
        <w:rPr>
          <w:rFonts w:ascii="Arial" w:hAnsi="Arial" w:cs="Arial"/>
        </w:rPr>
        <w:t>What makes a good friend/partner/parent?</w:t>
      </w:r>
    </w:p>
    <w:p w14:paraId="26E27F4A" w14:textId="77777777" w:rsidR="008C3C2A" w:rsidRPr="006F0EF0" w:rsidRDefault="008C3C2A" w:rsidP="008C3C2A">
      <w:pPr>
        <w:pStyle w:val="ListParagraph"/>
        <w:numPr>
          <w:ilvl w:val="0"/>
          <w:numId w:val="19"/>
        </w:numPr>
        <w:spacing w:after="160" w:line="278" w:lineRule="auto"/>
        <w:ind w:right="0"/>
        <w:rPr>
          <w:rFonts w:ascii="Arial" w:hAnsi="Arial" w:cs="Arial"/>
        </w:rPr>
      </w:pPr>
      <w:r w:rsidRPr="006F0EF0">
        <w:rPr>
          <w:rFonts w:ascii="Arial" w:hAnsi="Arial" w:cs="Arial"/>
        </w:rPr>
        <w:t>How do we learn about relationships?</w:t>
      </w:r>
    </w:p>
    <w:p w14:paraId="5A3A0F73" w14:textId="77777777" w:rsidR="008C3C2A" w:rsidRPr="006F0EF0" w:rsidRDefault="008C3C2A" w:rsidP="008C3C2A">
      <w:pPr>
        <w:pStyle w:val="ListParagraph"/>
        <w:numPr>
          <w:ilvl w:val="0"/>
          <w:numId w:val="19"/>
        </w:numPr>
        <w:spacing w:after="160" w:line="278" w:lineRule="auto"/>
        <w:ind w:right="0"/>
        <w:rPr>
          <w:rFonts w:ascii="Arial" w:hAnsi="Arial" w:cs="Arial"/>
        </w:rPr>
      </w:pPr>
      <w:r w:rsidRPr="006F0EF0">
        <w:rPr>
          <w:rFonts w:ascii="Arial" w:hAnsi="Arial" w:cs="Arial"/>
        </w:rPr>
        <w:t>What do you wish you knew before becoming an adult?</w:t>
      </w:r>
    </w:p>
    <w:p w14:paraId="006F9941" w14:textId="77777777" w:rsidR="008C3C2A" w:rsidRPr="006F0EF0" w:rsidRDefault="008C3C2A" w:rsidP="008C3C2A">
      <w:pPr>
        <w:pStyle w:val="ListParagraph"/>
        <w:numPr>
          <w:ilvl w:val="0"/>
          <w:numId w:val="19"/>
        </w:numPr>
        <w:spacing w:after="160" w:line="278" w:lineRule="auto"/>
        <w:ind w:right="0"/>
        <w:rPr>
          <w:rFonts w:ascii="Arial" w:hAnsi="Arial" w:cs="Arial"/>
        </w:rPr>
      </w:pPr>
      <w:r w:rsidRPr="006F0EF0">
        <w:rPr>
          <w:rFonts w:ascii="Arial" w:hAnsi="Arial" w:cs="Arial"/>
        </w:rPr>
        <w:t>What do we need to keep our families safe and happy?</w:t>
      </w:r>
    </w:p>
    <w:p w14:paraId="4536E123" w14:textId="77777777" w:rsidR="00B27C74" w:rsidRDefault="00B27C74" w:rsidP="008C3C2A">
      <w:pPr>
        <w:rPr>
          <w:rFonts w:ascii="Arial" w:hAnsi="Arial" w:cs="Arial"/>
        </w:rPr>
      </w:pPr>
    </w:p>
    <w:p w14:paraId="5930F482" w14:textId="77777777" w:rsidR="00B27C74" w:rsidRDefault="00B27C74" w:rsidP="008C3C2A">
      <w:pPr>
        <w:rPr>
          <w:rFonts w:ascii="Arial" w:hAnsi="Arial" w:cs="Arial"/>
        </w:rPr>
      </w:pPr>
    </w:p>
    <w:p w14:paraId="597DEF2A" w14:textId="6567C657" w:rsidR="008C3C2A" w:rsidRPr="006F0EF0" w:rsidRDefault="008C3C2A" w:rsidP="008C3C2A">
      <w:pPr>
        <w:rPr>
          <w:rFonts w:ascii="Arial" w:hAnsi="Arial" w:cs="Arial"/>
          <w:u w:val="single"/>
        </w:rPr>
      </w:pPr>
      <w:r w:rsidRPr="006F0EF0">
        <w:rPr>
          <w:rFonts w:ascii="Arial" w:hAnsi="Arial" w:cs="Arial"/>
          <w:u w:val="single"/>
        </w:rPr>
        <w:t>The World Health Organization-Five Well-Being Index </w:t>
      </w:r>
    </w:p>
    <w:p w14:paraId="4F4CF9D2" w14:textId="77777777" w:rsidR="008C3C2A" w:rsidRPr="006F0EF0" w:rsidRDefault="008C3C2A" w:rsidP="008C3C2A">
      <w:pPr>
        <w:rPr>
          <w:rFonts w:ascii="Arial" w:hAnsi="Arial" w:cs="Arial"/>
        </w:rPr>
      </w:pPr>
      <w:r w:rsidRPr="006F0EF0">
        <w:rPr>
          <w:rFonts w:ascii="Arial" w:hAnsi="Arial" w:cs="Arial"/>
          <w:noProof/>
        </w:rPr>
        <w:drawing>
          <wp:inline distT="0" distB="0" distL="0" distR="0" wp14:anchorId="7441621D" wp14:editId="0B5DF896">
            <wp:extent cx="3633746" cy="2727297"/>
            <wp:effectExtent l="0" t="0" r="5080" b="0"/>
            <wp:docPr id="3394257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425705" name="Picture 1" descr="A screenshot of a computer&#10;&#10;AI-generated content may be incorrect."/>
                    <pic:cNvPicPr/>
                  </pic:nvPicPr>
                  <pic:blipFill rotWithShape="1">
                    <a:blip r:embed="rId74"/>
                    <a:srcRect l="35446" t="20940" r="13288" b="10656"/>
                    <a:stretch/>
                  </pic:blipFill>
                  <pic:spPr bwMode="auto">
                    <a:xfrm>
                      <a:off x="0" y="0"/>
                      <a:ext cx="3633955" cy="2727454"/>
                    </a:xfrm>
                    <a:prstGeom prst="rect">
                      <a:avLst/>
                    </a:prstGeom>
                    <a:ln>
                      <a:noFill/>
                    </a:ln>
                    <a:extLst>
                      <a:ext uri="{53640926-AAD7-44D8-BBD7-CCE9431645EC}">
                        <a14:shadowObscured xmlns:a14="http://schemas.microsoft.com/office/drawing/2010/main"/>
                      </a:ext>
                    </a:extLst>
                  </pic:spPr>
                </pic:pic>
              </a:graphicData>
            </a:graphic>
          </wp:inline>
        </w:drawing>
      </w:r>
      <w:r w:rsidRPr="006F0EF0">
        <w:rPr>
          <w:rFonts w:ascii="Arial" w:hAnsi="Arial" w:cs="Arial"/>
        </w:rPr>
        <w:t>(WHO, 2024.)</w:t>
      </w:r>
    </w:p>
    <w:p w14:paraId="69A4CA4A" w14:textId="77777777" w:rsidR="008C3C2A" w:rsidRPr="006F0EF0" w:rsidRDefault="008C3C2A" w:rsidP="00103BCC">
      <w:pPr>
        <w:ind w:left="0"/>
        <w:rPr>
          <w:rFonts w:ascii="Arial" w:hAnsi="Arial" w:cs="Arial"/>
        </w:rPr>
      </w:pPr>
    </w:p>
    <w:p w14:paraId="71F1757C" w14:textId="77777777" w:rsidR="008C3C2A" w:rsidRPr="00103BCC" w:rsidRDefault="008C3C2A" w:rsidP="008C3C2A">
      <w:pPr>
        <w:rPr>
          <w:rFonts w:ascii="Arial" w:hAnsi="Arial" w:cs="Arial"/>
          <w:sz w:val="20"/>
          <w:szCs w:val="20"/>
          <w:u w:val="single"/>
        </w:rPr>
      </w:pPr>
      <w:r w:rsidRPr="00AB5544">
        <w:rPr>
          <w:rFonts w:ascii="Arial" w:hAnsi="Arial" w:cs="Arial"/>
          <w:noProof/>
          <w:sz w:val="20"/>
          <w:szCs w:val="20"/>
          <w:u w:val="single"/>
        </w:rPr>
        <w:lastRenderedPageBreak/>
        <mc:AlternateContent>
          <mc:Choice Requires="wps">
            <w:drawing>
              <wp:anchor distT="45720" distB="45720" distL="114300" distR="114300" simplePos="0" relativeHeight="251658240" behindDoc="1" locked="0" layoutInCell="1" allowOverlap="1" wp14:anchorId="2F164452" wp14:editId="0447CF9D">
                <wp:simplePos x="0" y="0"/>
                <wp:positionH relativeFrom="column">
                  <wp:posOffset>-173422</wp:posOffset>
                </wp:positionH>
                <wp:positionV relativeFrom="page">
                  <wp:posOffset>820420</wp:posOffset>
                </wp:positionV>
                <wp:extent cx="6053455" cy="8197850"/>
                <wp:effectExtent l="0" t="0" r="23495"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3455" cy="8197850"/>
                        </a:xfrm>
                        <a:prstGeom prst="rect">
                          <a:avLst/>
                        </a:prstGeom>
                        <a:solidFill>
                          <a:srgbClr val="FFFFFF"/>
                        </a:solidFill>
                        <a:ln w="9525">
                          <a:solidFill>
                            <a:srgbClr val="000000"/>
                          </a:solidFill>
                          <a:miter lim="800000"/>
                          <a:headEnd/>
                          <a:tailEnd/>
                        </a:ln>
                      </wps:spPr>
                      <wps:txbx>
                        <w:txbxContent>
                          <w:p w14:paraId="4CADFD28" w14:textId="77777777" w:rsidR="008C3C2A" w:rsidRDefault="008C3C2A" w:rsidP="008C3C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164452" id="_x0000_t202" coordsize="21600,21600" o:spt="202" path="m,l,21600r21600,l21600,xe">
                <v:stroke joinstyle="miter"/>
                <v:path gradientshapeok="t" o:connecttype="rect"/>
              </v:shapetype>
              <v:shape id="Text Box 2" o:spid="_x0000_s1026" type="#_x0000_t202" style="position:absolute;left:0;text-align:left;margin-left:-13.65pt;margin-top:64.6pt;width:476.65pt;height:645.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">
                <v:textbox>
                  <w:txbxContent>
                    <w:p w14:paraId="4CADFD28" w14:textId="77777777" w:rsidR="008C3C2A" w:rsidRDefault="008C3C2A" w:rsidP="008C3C2A"/>
                  </w:txbxContent>
                </v:textbox>
                <w10:wrap anchory="page"/>
              </v:shape>
            </w:pict>
          </mc:Fallback>
        </mc:AlternateContent>
      </w:r>
      <w:r w:rsidRPr="00AB5544">
        <w:rPr>
          <w:rFonts w:ascii="Arial" w:hAnsi="Arial" w:cs="Arial"/>
          <w:sz w:val="20"/>
          <w:szCs w:val="20"/>
          <w:u w:val="single"/>
        </w:rPr>
        <w:t>R</w:t>
      </w:r>
      <w:r w:rsidRPr="00103BCC">
        <w:rPr>
          <w:rFonts w:ascii="Arial" w:hAnsi="Arial" w:cs="Arial"/>
          <w:sz w:val="20"/>
          <w:szCs w:val="20"/>
          <w:u w:val="single"/>
        </w:rPr>
        <w:t>isk Assessment for Research project: How do intergenerational relationship practices affect the wellbeing of children and their families?</w:t>
      </w:r>
    </w:p>
    <w:p w14:paraId="573518DF" w14:textId="77777777" w:rsidR="008C3C2A" w:rsidRPr="00103BCC" w:rsidRDefault="008C3C2A" w:rsidP="008C3C2A">
      <w:pPr>
        <w:rPr>
          <w:rFonts w:ascii="Arial" w:hAnsi="Arial" w:cs="Arial"/>
          <w:sz w:val="20"/>
          <w:szCs w:val="20"/>
        </w:rPr>
      </w:pPr>
    </w:p>
    <w:p w14:paraId="2B08028C" w14:textId="77777777" w:rsidR="008C3C2A" w:rsidRPr="00103BCC" w:rsidRDefault="008C3C2A" w:rsidP="008C3C2A">
      <w:pPr>
        <w:rPr>
          <w:rFonts w:ascii="Arial" w:hAnsi="Arial" w:cs="Arial"/>
          <w:sz w:val="20"/>
          <w:szCs w:val="20"/>
          <w:u w:val="single"/>
        </w:rPr>
      </w:pPr>
      <w:r w:rsidRPr="00103BCC">
        <w:rPr>
          <w:rFonts w:ascii="Arial" w:hAnsi="Arial" w:cs="Arial"/>
          <w:sz w:val="20"/>
          <w:szCs w:val="20"/>
          <w:u w:val="single"/>
        </w:rPr>
        <w:t>Supervision</w:t>
      </w:r>
    </w:p>
    <w:p w14:paraId="6D567F09" w14:textId="77777777" w:rsidR="008C3C2A" w:rsidRPr="00103BCC" w:rsidRDefault="008C3C2A" w:rsidP="008C3C2A">
      <w:pPr>
        <w:pStyle w:val="ListParagraph"/>
        <w:numPr>
          <w:ilvl w:val="0"/>
          <w:numId w:val="24"/>
        </w:numPr>
        <w:spacing w:after="160" w:line="278" w:lineRule="auto"/>
        <w:ind w:right="0"/>
        <w:rPr>
          <w:rFonts w:ascii="Arial" w:hAnsi="Arial" w:cs="Arial"/>
          <w:sz w:val="20"/>
          <w:szCs w:val="20"/>
        </w:rPr>
      </w:pPr>
      <w:r w:rsidRPr="00103BCC">
        <w:rPr>
          <w:rFonts w:ascii="Arial" w:hAnsi="Arial" w:cs="Arial"/>
          <w:sz w:val="20"/>
          <w:szCs w:val="20"/>
        </w:rPr>
        <w:t xml:space="preserve">Welsh Government Guidelines state a ratio of 1 adult to 8 </w:t>
      </w:r>
      <w:proofErr w:type="gramStart"/>
      <w:r w:rsidRPr="00103BCC">
        <w:rPr>
          <w:rFonts w:ascii="Arial" w:hAnsi="Arial" w:cs="Arial"/>
          <w:sz w:val="20"/>
          <w:szCs w:val="20"/>
        </w:rPr>
        <w:t>children,</w:t>
      </w:r>
      <w:proofErr w:type="gramEnd"/>
      <w:r w:rsidRPr="00103BCC">
        <w:rPr>
          <w:rFonts w:ascii="Arial" w:hAnsi="Arial" w:cs="Arial"/>
          <w:sz w:val="20"/>
          <w:szCs w:val="20"/>
        </w:rPr>
        <w:t xml:space="preserve"> The research team will be mindful of this when adults are involved in Focus Groups.</w:t>
      </w:r>
    </w:p>
    <w:p w14:paraId="2A5475BB" w14:textId="77777777" w:rsidR="008C3C2A" w:rsidRPr="00103BCC" w:rsidRDefault="008C3C2A" w:rsidP="008C3C2A">
      <w:pPr>
        <w:pStyle w:val="ListParagraph"/>
        <w:numPr>
          <w:ilvl w:val="0"/>
          <w:numId w:val="24"/>
        </w:numPr>
        <w:spacing w:after="160" w:line="278" w:lineRule="auto"/>
        <w:ind w:right="0"/>
        <w:rPr>
          <w:rFonts w:ascii="Arial" w:hAnsi="Arial" w:cs="Arial"/>
          <w:sz w:val="20"/>
          <w:szCs w:val="20"/>
        </w:rPr>
      </w:pPr>
      <w:r w:rsidRPr="00103BCC">
        <w:rPr>
          <w:rFonts w:ascii="Arial" w:hAnsi="Arial" w:cs="Arial"/>
          <w:sz w:val="20"/>
          <w:szCs w:val="20"/>
        </w:rPr>
        <w:t xml:space="preserve">Ensure all members of the research team have enhanced DBS checks.  </w:t>
      </w:r>
    </w:p>
    <w:p w14:paraId="05354B59" w14:textId="77777777" w:rsidR="008C3C2A" w:rsidRPr="00103BCC" w:rsidRDefault="008C3C2A" w:rsidP="008C3C2A">
      <w:pPr>
        <w:pStyle w:val="ListParagraph"/>
        <w:numPr>
          <w:ilvl w:val="0"/>
          <w:numId w:val="24"/>
        </w:numPr>
        <w:spacing w:after="160" w:line="278" w:lineRule="auto"/>
        <w:ind w:right="0"/>
        <w:rPr>
          <w:rFonts w:ascii="Arial" w:hAnsi="Arial" w:cs="Arial"/>
          <w:sz w:val="20"/>
          <w:szCs w:val="20"/>
        </w:rPr>
      </w:pPr>
      <w:r w:rsidRPr="00103BCC">
        <w:rPr>
          <w:rFonts w:ascii="Arial" w:hAnsi="Arial" w:cs="Arial"/>
          <w:sz w:val="20"/>
          <w:szCs w:val="20"/>
        </w:rPr>
        <w:t>Ensure the room does not become crowded so we can uphold consent, privacy and safety of the participants and researchers.</w:t>
      </w:r>
    </w:p>
    <w:p w14:paraId="68984296" w14:textId="77777777" w:rsidR="008C3C2A" w:rsidRPr="00103BCC" w:rsidRDefault="008C3C2A" w:rsidP="008C3C2A">
      <w:pPr>
        <w:rPr>
          <w:rFonts w:ascii="Arial" w:hAnsi="Arial" w:cs="Arial"/>
          <w:sz w:val="20"/>
          <w:szCs w:val="20"/>
        </w:rPr>
      </w:pPr>
    </w:p>
    <w:p w14:paraId="343F699B" w14:textId="77777777" w:rsidR="008C3C2A" w:rsidRPr="00103BCC" w:rsidRDefault="008C3C2A" w:rsidP="008C3C2A">
      <w:pPr>
        <w:rPr>
          <w:rFonts w:ascii="Arial" w:hAnsi="Arial" w:cs="Arial"/>
          <w:sz w:val="20"/>
          <w:szCs w:val="20"/>
          <w:u w:val="single"/>
        </w:rPr>
      </w:pPr>
      <w:r w:rsidRPr="00103BCC">
        <w:rPr>
          <w:rFonts w:ascii="Arial" w:hAnsi="Arial" w:cs="Arial"/>
          <w:sz w:val="20"/>
          <w:szCs w:val="20"/>
          <w:u w:val="single"/>
        </w:rPr>
        <w:t>Data Protection</w:t>
      </w:r>
    </w:p>
    <w:p w14:paraId="7FC33579" w14:textId="77777777" w:rsidR="008C3C2A" w:rsidRPr="00103BCC" w:rsidRDefault="008C3C2A" w:rsidP="008C3C2A">
      <w:pPr>
        <w:pStyle w:val="ListParagraph"/>
        <w:numPr>
          <w:ilvl w:val="0"/>
          <w:numId w:val="25"/>
        </w:numPr>
        <w:spacing w:after="160" w:line="278" w:lineRule="auto"/>
        <w:ind w:right="0"/>
        <w:rPr>
          <w:rFonts w:ascii="Arial" w:hAnsi="Arial" w:cs="Arial"/>
          <w:sz w:val="20"/>
          <w:szCs w:val="20"/>
        </w:rPr>
      </w:pPr>
      <w:r w:rsidRPr="00103BCC">
        <w:rPr>
          <w:rFonts w:ascii="Arial" w:hAnsi="Arial" w:cs="Arial"/>
          <w:sz w:val="20"/>
          <w:szCs w:val="20"/>
        </w:rPr>
        <w:t>Secure signatures for consent forms for photography/use of children’s work</w:t>
      </w:r>
    </w:p>
    <w:p w14:paraId="7EE75ECF" w14:textId="77777777" w:rsidR="008C3C2A" w:rsidRPr="00103BCC" w:rsidRDefault="008C3C2A" w:rsidP="008C3C2A">
      <w:pPr>
        <w:pStyle w:val="ListParagraph"/>
        <w:numPr>
          <w:ilvl w:val="0"/>
          <w:numId w:val="25"/>
        </w:numPr>
        <w:spacing w:after="160" w:line="278" w:lineRule="auto"/>
        <w:ind w:right="0"/>
        <w:rPr>
          <w:rFonts w:ascii="Arial" w:hAnsi="Arial" w:cs="Arial"/>
          <w:sz w:val="20"/>
          <w:szCs w:val="20"/>
        </w:rPr>
      </w:pPr>
      <w:r w:rsidRPr="00103BCC">
        <w:rPr>
          <w:rFonts w:ascii="Arial" w:hAnsi="Arial" w:cs="Arial"/>
          <w:sz w:val="20"/>
          <w:szCs w:val="20"/>
        </w:rPr>
        <w:t>Store all data in line with GDPR.</w:t>
      </w:r>
    </w:p>
    <w:p w14:paraId="0D2D3525" w14:textId="77777777" w:rsidR="008C3C2A" w:rsidRPr="00103BCC" w:rsidRDefault="008C3C2A" w:rsidP="008C3C2A">
      <w:pPr>
        <w:pStyle w:val="ListParagraph"/>
        <w:numPr>
          <w:ilvl w:val="0"/>
          <w:numId w:val="25"/>
        </w:numPr>
        <w:spacing w:after="160" w:line="278" w:lineRule="auto"/>
        <w:ind w:right="0"/>
        <w:rPr>
          <w:rFonts w:ascii="Arial" w:hAnsi="Arial" w:cs="Arial"/>
          <w:sz w:val="20"/>
          <w:szCs w:val="20"/>
        </w:rPr>
      </w:pPr>
      <w:r w:rsidRPr="00103BCC">
        <w:rPr>
          <w:rFonts w:ascii="Arial" w:hAnsi="Arial" w:cs="Arial"/>
          <w:sz w:val="20"/>
          <w:szCs w:val="20"/>
        </w:rPr>
        <w:t xml:space="preserve"> Avoid using names in the data collected.  </w:t>
      </w:r>
    </w:p>
    <w:p w14:paraId="1A5C8F5B" w14:textId="77777777" w:rsidR="008C3C2A" w:rsidRPr="00103BCC" w:rsidRDefault="008C3C2A" w:rsidP="008C3C2A">
      <w:pPr>
        <w:rPr>
          <w:rFonts w:ascii="Arial" w:hAnsi="Arial" w:cs="Arial"/>
          <w:sz w:val="20"/>
          <w:szCs w:val="20"/>
        </w:rPr>
      </w:pPr>
    </w:p>
    <w:p w14:paraId="6BF45166" w14:textId="77777777" w:rsidR="008C3C2A" w:rsidRPr="00103BCC" w:rsidRDefault="008C3C2A" w:rsidP="008C3C2A">
      <w:pPr>
        <w:rPr>
          <w:rFonts w:ascii="Arial" w:hAnsi="Arial" w:cs="Arial"/>
          <w:sz w:val="20"/>
          <w:szCs w:val="20"/>
          <w:u w:val="single"/>
        </w:rPr>
      </w:pPr>
      <w:r w:rsidRPr="00103BCC">
        <w:rPr>
          <w:rFonts w:ascii="Arial" w:hAnsi="Arial" w:cs="Arial"/>
          <w:sz w:val="20"/>
          <w:szCs w:val="20"/>
          <w:u w:val="single"/>
        </w:rPr>
        <w:t>Physical Hazards</w:t>
      </w:r>
    </w:p>
    <w:p w14:paraId="16E3B0DD" w14:textId="77777777" w:rsidR="008C3C2A" w:rsidRPr="00103BCC" w:rsidRDefault="008C3C2A" w:rsidP="008C3C2A">
      <w:pPr>
        <w:pStyle w:val="ListParagraph"/>
        <w:numPr>
          <w:ilvl w:val="0"/>
          <w:numId w:val="26"/>
        </w:numPr>
        <w:spacing w:after="160" w:line="278" w:lineRule="auto"/>
        <w:ind w:right="0"/>
        <w:rPr>
          <w:rFonts w:ascii="Arial" w:hAnsi="Arial" w:cs="Arial"/>
          <w:sz w:val="20"/>
          <w:szCs w:val="20"/>
        </w:rPr>
      </w:pPr>
      <w:r w:rsidRPr="00103BCC">
        <w:rPr>
          <w:rFonts w:ascii="Arial" w:hAnsi="Arial" w:cs="Arial"/>
          <w:sz w:val="20"/>
          <w:szCs w:val="20"/>
        </w:rPr>
        <w:t>Scissors - Use child-safe, blunt-ended scissors.</w:t>
      </w:r>
    </w:p>
    <w:p w14:paraId="3804DD09" w14:textId="77777777" w:rsidR="008C3C2A" w:rsidRPr="00103BCC" w:rsidRDefault="008C3C2A" w:rsidP="008C3C2A">
      <w:pPr>
        <w:pStyle w:val="ListParagraph"/>
        <w:numPr>
          <w:ilvl w:val="0"/>
          <w:numId w:val="26"/>
        </w:numPr>
        <w:spacing w:after="160" w:line="278" w:lineRule="auto"/>
        <w:ind w:right="0"/>
        <w:rPr>
          <w:rFonts w:ascii="Arial" w:hAnsi="Arial" w:cs="Arial"/>
          <w:sz w:val="20"/>
          <w:szCs w:val="20"/>
        </w:rPr>
      </w:pPr>
      <w:r w:rsidRPr="00103BCC">
        <w:rPr>
          <w:rFonts w:ascii="Arial" w:hAnsi="Arial" w:cs="Arial"/>
          <w:sz w:val="20"/>
          <w:szCs w:val="20"/>
        </w:rPr>
        <w:t>Glue – Use non-toxic glue. Supervise closely.</w:t>
      </w:r>
    </w:p>
    <w:p w14:paraId="2DA07870" w14:textId="77777777" w:rsidR="008C3C2A" w:rsidRPr="00103BCC" w:rsidRDefault="008C3C2A" w:rsidP="008C3C2A">
      <w:pPr>
        <w:pStyle w:val="ListParagraph"/>
        <w:numPr>
          <w:ilvl w:val="0"/>
          <w:numId w:val="26"/>
        </w:numPr>
        <w:spacing w:after="160" w:line="278" w:lineRule="auto"/>
        <w:ind w:right="0"/>
        <w:rPr>
          <w:rFonts w:ascii="Arial" w:hAnsi="Arial" w:cs="Arial"/>
          <w:sz w:val="20"/>
          <w:szCs w:val="20"/>
        </w:rPr>
      </w:pPr>
      <w:r w:rsidRPr="00103BCC">
        <w:rPr>
          <w:rFonts w:ascii="Arial" w:hAnsi="Arial" w:cs="Arial"/>
          <w:sz w:val="20"/>
          <w:szCs w:val="20"/>
        </w:rPr>
        <w:t xml:space="preserve">Loose parts - Check materials do not smash or splinter. Supervise closely.  </w:t>
      </w:r>
    </w:p>
    <w:p w14:paraId="0039362F" w14:textId="77777777" w:rsidR="008C3C2A" w:rsidRPr="00103BCC" w:rsidRDefault="008C3C2A" w:rsidP="008C3C2A">
      <w:pPr>
        <w:pStyle w:val="ListParagraph"/>
        <w:numPr>
          <w:ilvl w:val="0"/>
          <w:numId w:val="26"/>
        </w:numPr>
        <w:spacing w:after="160" w:line="278" w:lineRule="auto"/>
        <w:ind w:right="0"/>
        <w:rPr>
          <w:rFonts w:ascii="Arial" w:hAnsi="Arial" w:cs="Arial"/>
          <w:sz w:val="20"/>
          <w:szCs w:val="20"/>
        </w:rPr>
      </w:pPr>
      <w:r w:rsidRPr="00103BCC">
        <w:rPr>
          <w:rFonts w:ascii="Arial" w:hAnsi="Arial" w:cs="Arial"/>
          <w:sz w:val="20"/>
          <w:szCs w:val="20"/>
        </w:rPr>
        <w:t>A first Aider will be on site at all times and any accidents will be logged.</w:t>
      </w:r>
    </w:p>
    <w:p w14:paraId="2DE06638" w14:textId="77777777" w:rsidR="008C3C2A" w:rsidRPr="00103BCC" w:rsidRDefault="008C3C2A" w:rsidP="008C3C2A">
      <w:pPr>
        <w:rPr>
          <w:rFonts w:ascii="Arial" w:hAnsi="Arial" w:cs="Arial"/>
          <w:sz w:val="20"/>
          <w:szCs w:val="20"/>
        </w:rPr>
      </w:pPr>
      <w:r w:rsidRPr="00103BCC">
        <w:rPr>
          <w:rFonts w:ascii="Arial" w:hAnsi="Arial" w:cs="Arial"/>
          <w:sz w:val="20"/>
          <w:szCs w:val="20"/>
        </w:rPr>
        <w:t xml:space="preserve">  </w:t>
      </w:r>
    </w:p>
    <w:p w14:paraId="14BE2E37" w14:textId="77777777" w:rsidR="008C3C2A" w:rsidRPr="00103BCC" w:rsidRDefault="008C3C2A" w:rsidP="008C3C2A">
      <w:pPr>
        <w:rPr>
          <w:rFonts w:ascii="Arial" w:hAnsi="Arial" w:cs="Arial"/>
          <w:sz w:val="20"/>
          <w:szCs w:val="20"/>
          <w:u w:val="single"/>
        </w:rPr>
      </w:pPr>
      <w:r w:rsidRPr="00103BCC">
        <w:rPr>
          <w:rFonts w:ascii="Arial" w:hAnsi="Arial" w:cs="Arial"/>
          <w:sz w:val="20"/>
          <w:szCs w:val="20"/>
          <w:u w:val="single"/>
        </w:rPr>
        <w:t xml:space="preserve">Distress/Disruption  </w:t>
      </w:r>
    </w:p>
    <w:p w14:paraId="5EFFBADC" w14:textId="77777777" w:rsidR="008C3C2A" w:rsidRPr="00103BCC" w:rsidRDefault="008C3C2A" w:rsidP="008C3C2A">
      <w:pPr>
        <w:rPr>
          <w:rFonts w:ascii="Arial" w:hAnsi="Arial" w:cs="Arial"/>
          <w:sz w:val="20"/>
          <w:szCs w:val="20"/>
        </w:rPr>
      </w:pPr>
      <w:r w:rsidRPr="00103BCC">
        <w:rPr>
          <w:rFonts w:ascii="Arial" w:hAnsi="Arial" w:cs="Arial"/>
          <w:sz w:val="20"/>
          <w:szCs w:val="20"/>
        </w:rPr>
        <w:t xml:space="preserve">Research team must be trauma informed, and strategies for deescalating emotional distress will be agreed before the study begins. </w:t>
      </w:r>
    </w:p>
    <w:p w14:paraId="13B083AF" w14:textId="77777777" w:rsidR="008C3C2A" w:rsidRPr="00103BCC" w:rsidRDefault="008C3C2A" w:rsidP="008C3C2A">
      <w:pPr>
        <w:rPr>
          <w:rFonts w:ascii="Arial" w:hAnsi="Arial" w:cs="Arial"/>
          <w:sz w:val="20"/>
          <w:szCs w:val="20"/>
        </w:rPr>
      </w:pPr>
      <w:r w:rsidRPr="00103BCC">
        <w:rPr>
          <w:rFonts w:ascii="Arial" w:hAnsi="Arial" w:cs="Arial"/>
          <w:sz w:val="20"/>
          <w:szCs w:val="20"/>
        </w:rPr>
        <w:t>If a person becomes upset, a designated space will be provided for them to take a break and talk to one of the team if they choose.</w:t>
      </w:r>
    </w:p>
    <w:p w14:paraId="6145FCDC" w14:textId="6C252A1B" w:rsidR="008C3C2A" w:rsidRDefault="008C3C2A" w:rsidP="006F0EF0">
      <w:pPr>
        <w:rPr>
          <w:rFonts w:ascii="Arial" w:hAnsi="Arial" w:cs="Arial"/>
        </w:rPr>
      </w:pPr>
      <w:r w:rsidRPr="006F0EF0">
        <w:rPr>
          <w:rFonts w:ascii="Arial" w:hAnsi="Arial" w:cs="Arial"/>
        </w:rPr>
        <w:t xml:space="preserve">In the event of aggression, the facilitators will calmy guide participants out the room, a safe distance will be maintained, and the relevant services will be contacted (ambulance, social worker, police). </w:t>
      </w:r>
    </w:p>
    <w:p w14:paraId="23E3C11E" w14:textId="77777777" w:rsidR="006F0EF0" w:rsidRPr="006F0EF0" w:rsidRDefault="006F0EF0" w:rsidP="006F0EF0">
      <w:pPr>
        <w:rPr>
          <w:rFonts w:ascii="Arial" w:hAnsi="Arial" w:cs="Arial"/>
        </w:rPr>
      </w:pPr>
    </w:p>
    <w:p w14:paraId="550278F5" w14:textId="77777777" w:rsidR="008C3C2A" w:rsidRPr="006F0EF0" w:rsidRDefault="008C3C2A" w:rsidP="008C3C2A">
      <w:pPr>
        <w:rPr>
          <w:rFonts w:ascii="Arial" w:hAnsi="Arial" w:cs="Arial"/>
        </w:rPr>
      </w:pPr>
    </w:p>
    <w:p w14:paraId="5AE74491" w14:textId="77777777" w:rsidR="008C3C2A" w:rsidRPr="006F0EF0" w:rsidRDefault="008C3C2A" w:rsidP="008C3C2A">
      <w:pPr>
        <w:rPr>
          <w:rFonts w:ascii="Arial" w:hAnsi="Arial" w:cs="Arial"/>
          <w:u w:val="single"/>
        </w:rPr>
      </w:pPr>
      <w:r w:rsidRPr="006F0EF0">
        <w:rPr>
          <w:rFonts w:ascii="Arial" w:hAnsi="Arial" w:cs="Arial"/>
          <w:u w:val="single"/>
        </w:rPr>
        <w:lastRenderedPageBreak/>
        <w:t>Example consent form</w:t>
      </w:r>
    </w:p>
    <w:p w14:paraId="753E4849" w14:textId="77777777" w:rsidR="008C3C2A" w:rsidRDefault="008C3C2A" w:rsidP="008C3C2A">
      <w:pPr>
        <w:rPr>
          <w:noProof/>
        </w:rPr>
      </w:pPr>
      <w:r>
        <w:rPr>
          <w:noProof/>
        </w:rPr>
        <w:drawing>
          <wp:inline distT="0" distB="0" distL="0" distR="0" wp14:anchorId="51F47AFF" wp14:editId="2B1F74FC">
            <wp:extent cx="5330952" cy="7342500"/>
            <wp:effectExtent l="0" t="0" r="3175" b="0"/>
            <wp:docPr id="18494305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430585" name="Picture 1" descr="A screenshot of a computer&#10;&#10;AI-generated content may be incorrect."/>
                    <pic:cNvPicPr/>
                  </pic:nvPicPr>
                  <pic:blipFill rotWithShape="1">
                    <a:blip r:embed="rId75"/>
                    <a:srcRect l="12153" t="9100" r="53460" b="6700"/>
                    <a:stretch/>
                  </pic:blipFill>
                  <pic:spPr bwMode="auto">
                    <a:xfrm>
                      <a:off x="0" y="0"/>
                      <a:ext cx="5341960" cy="7357661"/>
                    </a:xfrm>
                    <a:prstGeom prst="rect">
                      <a:avLst/>
                    </a:prstGeom>
                    <a:ln>
                      <a:noFill/>
                    </a:ln>
                    <a:extLst>
                      <a:ext uri="{53640926-AAD7-44D8-BBD7-CCE9431645EC}">
                        <a14:shadowObscured xmlns:a14="http://schemas.microsoft.com/office/drawing/2010/main"/>
                      </a:ext>
                    </a:extLst>
                  </pic:spPr>
                </pic:pic>
              </a:graphicData>
            </a:graphic>
          </wp:inline>
        </w:drawing>
      </w:r>
    </w:p>
    <w:p w14:paraId="300AAC48" w14:textId="77777777" w:rsidR="00EF11B6" w:rsidRPr="00264A1A" w:rsidRDefault="00EF11B6" w:rsidP="008C3C2A">
      <w:pPr>
        <w:ind w:left="0"/>
        <w:rPr>
          <w:rFonts w:ascii="Aptos" w:hAnsi="Aptos"/>
          <w:color w:val="000000" w:themeColor="text1"/>
        </w:rPr>
      </w:pPr>
    </w:p>
    <w:sectPr w:rsidR="00EF11B6" w:rsidRPr="00264A1A">
      <w:headerReference w:type="default" r:id="rId76"/>
      <w:foot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128A3" w14:textId="77777777" w:rsidR="00FD6C6A" w:rsidRDefault="00FD6C6A" w:rsidP="00FF7827">
      <w:pPr>
        <w:spacing w:after="0" w:line="240" w:lineRule="auto"/>
      </w:pPr>
      <w:r>
        <w:separator/>
      </w:r>
    </w:p>
  </w:endnote>
  <w:endnote w:type="continuationSeparator" w:id="0">
    <w:p w14:paraId="0440A08E" w14:textId="77777777" w:rsidR="00FD6C6A" w:rsidRDefault="00FD6C6A" w:rsidP="00FF7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6493176"/>
      <w:docPartObj>
        <w:docPartGallery w:val="Page Numbers (Bottom of Page)"/>
        <w:docPartUnique/>
      </w:docPartObj>
    </w:sdtPr>
    <w:sdtEndPr>
      <w:rPr>
        <w:noProof/>
      </w:rPr>
    </w:sdtEndPr>
    <w:sdtContent>
      <w:p w14:paraId="2DDC21C2" w14:textId="6523CFE1" w:rsidR="00264A1A" w:rsidRDefault="00264A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187BC4" w14:textId="77777777" w:rsidR="00264A1A" w:rsidRDefault="00264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16155" w14:textId="77777777" w:rsidR="00FD6C6A" w:rsidRDefault="00FD6C6A" w:rsidP="00FF7827">
      <w:pPr>
        <w:spacing w:after="0" w:line="240" w:lineRule="auto"/>
      </w:pPr>
      <w:r>
        <w:separator/>
      </w:r>
    </w:p>
  </w:footnote>
  <w:footnote w:type="continuationSeparator" w:id="0">
    <w:p w14:paraId="6E287998" w14:textId="77777777" w:rsidR="00FD6C6A" w:rsidRDefault="00FD6C6A" w:rsidP="00FF78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6F7CC" w14:textId="35DA2090" w:rsidR="00FF7827" w:rsidRDefault="00264A1A">
    <w:pPr>
      <w:pStyle w:val="Header"/>
    </w:pPr>
    <w:r>
      <w:t>2216953</w:t>
    </w:r>
    <w:r>
      <w:ptab w:relativeTo="margin" w:alignment="center" w:leader="none"/>
    </w:r>
    <w:hyperlink r:id="rId1" w:tooltip="ECGE7005 Assessment 2 Research Proposal 24.25.pptx" w:history="1">
      <w:r w:rsidRPr="00264A1A">
        <w:rPr>
          <w:rStyle w:val="Hyperlink"/>
          <w:color w:val="000000" w:themeColor="text1"/>
          <w:u w:val="none"/>
        </w:rPr>
        <w:t>ECGE7005</w:t>
      </w:r>
    </w:hyperlink>
    <w:r>
      <w:ptab w:relativeTo="margin" w:alignment="right" w:leader="none"/>
    </w:r>
    <w:r>
      <w:t>3972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D47"/>
    <w:multiLevelType w:val="multilevel"/>
    <w:tmpl w:val="90662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F062D"/>
    <w:multiLevelType w:val="hybridMultilevel"/>
    <w:tmpl w:val="1DA6B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76666"/>
    <w:multiLevelType w:val="multilevel"/>
    <w:tmpl w:val="5C360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8201B1"/>
    <w:multiLevelType w:val="multilevel"/>
    <w:tmpl w:val="2748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415715"/>
    <w:multiLevelType w:val="hybridMultilevel"/>
    <w:tmpl w:val="19729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96BBE"/>
    <w:multiLevelType w:val="multilevel"/>
    <w:tmpl w:val="68E0D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054ACE"/>
    <w:multiLevelType w:val="hybridMultilevel"/>
    <w:tmpl w:val="0A1A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FA32E6"/>
    <w:multiLevelType w:val="multilevel"/>
    <w:tmpl w:val="9D486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363A06"/>
    <w:multiLevelType w:val="multilevel"/>
    <w:tmpl w:val="5D62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82740E"/>
    <w:multiLevelType w:val="hybridMultilevel"/>
    <w:tmpl w:val="F30A6B6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2EBC285C"/>
    <w:multiLevelType w:val="hybridMultilevel"/>
    <w:tmpl w:val="1AF22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DE6D5D"/>
    <w:multiLevelType w:val="hybridMultilevel"/>
    <w:tmpl w:val="996665EC"/>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2" w15:restartNumberingAfterBreak="0">
    <w:nsid w:val="337A1084"/>
    <w:multiLevelType w:val="multilevel"/>
    <w:tmpl w:val="A7EA5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C10A5F"/>
    <w:multiLevelType w:val="hybridMultilevel"/>
    <w:tmpl w:val="1FBE1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846602"/>
    <w:multiLevelType w:val="multilevel"/>
    <w:tmpl w:val="426A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1638A6"/>
    <w:multiLevelType w:val="hybridMultilevel"/>
    <w:tmpl w:val="095C6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783691"/>
    <w:multiLevelType w:val="multilevel"/>
    <w:tmpl w:val="16C25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500F5A"/>
    <w:multiLevelType w:val="multilevel"/>
    <w:tmpl w:val="4A5AC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D21AFE"/>
    <w:multiLevelType w:val="multilevel"/>
    <w:tmpl w:val="7D801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695469"/>
    <w:multiLevelType w:val="multilevel"/>
    <w:tmpl w:val="23443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FB5DD3"/>
    <w:multiLevelType w:val="multilevel"/>
    <w:tmpl w:val="7AFC9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3E7183"/>
    <w:multiLevelType w:val="multilevel"/>
    <w:tmpl w:val="F0E6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CA067D"/>
    <w:multiLevelType w:val="hybridMultilevel"/>
    <w:tmpl w:val="13D07C5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6F9152A2"/>
    <w:multiLevelType w:val="multilevel"/>
    <w:tmpl w:val="A98AB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821E96"/>
    <w:multiLevelType w:val="multilevel"/>
    <w:tmpl w:val="0D56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1E0B0A"/>
    <w:multiLevelType w:val="multilevel"/>
    <w:tmpl w:val="66A2E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1765698">
    <w:abstractNumId w:val="11"/>
  </w:num>
  <w:num w:numId="2" w16cid:durableId="1877353347">
    <w:abstractNumId w:val="9"/>
  </w:num>
  <w:num w:numId="3" w16cid:durableId="1450321361">
    <w:abstractNumId w:val="22"/>
  </w:num>
  <w:num w:numId="4" w16cid:durableId="2096169253">
    <w:abstractNumId w:val="12"/>
  </w:num>
  <w:num w:numId="5" w16cid:durableId="47195142">
    <w:abstractNumId w:val="7"/>
  </w:num>
  <w:num w:numId="6" w16cid:durableId="568543516">
    <w:abstractNumId w:val="8"/>
  </w:num>
  <w:num w:numId="7" w16cid:durableId="177818209">
    <w:abstractNumId w:val="14"/>
  </w:num>
  <w:num w:numId="8" w16cid:durableId="1209991217">
    <w:abstractNumId w:val="24"/>
  </w:num>
  <w:num w:numId="9" w16cid:durableId="757673291">
    <w:abstractNumId w:val="17"/>
  </w:num>
  <w:num w:numId="10" w16cid:durableId="62990512">
    <w:abstractNumId w:val="20"/>
  </w:num>
  <w:num w:numId="11" w16cid:durableId="642124128">
    <w:abstractNumId w:val="18"/>
  </w:num>
  <w:num w:numId="12" w16cid:durableId="1072312656">
    <w:abstractNumId w:val="16"/>
  </w:num>
  <w:num w:numId="13" w16cid:durableId="1082873068">
    <w:abstractNumId w:val="19"/>
  </w:num>
  <w:num w:numId="14" w16cid:durableId="1856336221">
    <w:abstractNumId w:val="23"/>
  </w:num>
  <w:num w:numId="15" w16cid:durableId="82072585">
    <w:abstractNumId w:val="3"/>
  </w:num>
  <w:num w:numId="16" w16cid:durableId="731735323">
    <w:abstractNumId w:val="0"/>
  </w:num>
  <w:num w:numId="17" w16cid:durableId="1649043957">
    <w:abstractNumId w:val="21"/>
  </w:num>
  <w:num w:numId="18" w16cid:durableId="1346790154">
    <w:abstractNumId w:val="5"/>
  </w:num>
  <w:num w:numId="19" w16cid:durableId="1412123726">
    <w:abstractNumId w:val="1"/>
  </w:num>
  <w:num w:numId="20" w16cid:durableId="557863715">
    <w:abstractNumId w:val="2"/>
  </w:num>
  <w:num w:numId="21" w16cid:durableId="1634410427">
    <w:abstractNumId w:val="4"/>
  </w:num>
  <w:num w:numId="22" w16cid:durableId="46338109">
    <w:abstractNumId w:val="10"/>
  </w:num>
  <w:num w:numId="23" w16cid:durableId="274022249">
    <w:abstractNumId w:val="25"/>
  </w:num>
  <w:num w:numId="24" w16cid:durableId="618679926">
    <w:abstractNumId w:val="13"/>
  </w:num>
  <w:num w:numId="25" w16cid:durableId="1456945958">
    <w:abstractNumId w:val="15"/>
  </w:num>
  <w:num w:numId="26" w16cid:durableId="2356284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1B6"/>
    <w:rsid w:val="00052D22"/>
    <w:rsid w:val="0005657E"/>
    <w:rsid w:val="000731EE"/>
    <w:rsid w:val="0007494E"/>
    <w:rsid w:val="00076543"/>
    <w:rsid w:val="000B34D2"/>
    <w:rsid w:val="000F17EF"/>
    <w:rsid w:val="00103BCC"/>
    <w:rsid w:val="0022788E"/>
    <w:rsid w:val="00257A59"/>
    <w:rsid w:val="00264A1A"/>
    <w:rsid w:val="002D0BC2"/>
    <w:rsid w:val="002F40FE"/>
    <w:rsid w:val="002F4122"/>
    <w:rsid w:val="002F487A"/>
    <w:rsid w:val="00404534"/>
    <w:rsid w:val="004D2725"/>
    <w:rsid w:val="004F52A7"/>
    <w:rsid w:val="005362C3"/>
    <w:rsid w:val="00543458"/>
    <w:rsid w:val="005E479C"/>
    <w:rsid w:val="005F21B8"/>
    <w:rsid w:val="006379FA"/>
    <w:rsid w:val="00655F24"/>
    <w:rsid w:val="006F0EF0"/>
    <w:rsid w:val="00760CF5"/>
    <w:rsid w:val="007C2356"/>
    <w:rsid w:val="007D6777"/>
    <w:rsid w:val="007E5915"/>
    <w:rsid w:val="007E73C1"/>
    <w:rsid w:val="008606A2"/>
    <w:rsid w:val="008679F8"/>
    <w:rsid w:val="008730AF"/>
    <w:rsid w:val="008B31EF"/>
    <w:rsid w:val="008C3C2A"/>
    <w:rsid w:val="008F37F5"/>
    <w:rsid w:val="00961376"/>
    <w:rsid w:val="009836FC"/>
    <w:rsid w:val="009915F0"/>
    <w:rsid w:val="009A636B"/>
    <w:rsid w:val="009E5ABA"/>
    <w:rsid w:val="00A45050"/>
    <w:rsid w:val="00AB5544"/>
    <w:rsid w:val="00AE6A80"/>
    <w:rsid w:val="00B06864"/>
    <w:rsid w:val="00B27C74"/>
    <w:rsid w:val="00BD60C9"/>
    <w:rsid w:val="00BE4EFB"/>
    <w:rsid w:val="00BE5153"/>
    <w:rsid w:val="00C06C28"/>
    <w:rsid w:val="00C45DAA"/>
    <w:rsid w:val="00C505E3"/>
    <w:rsid w:val="00C72305"/>
    <w:rsid w:val="00CA078B"/>
    <w:rsid w:val="00CE67CB"/>
    <w:rsid w:val="00D85D1B"/>
    <w:rsid w:val="00DF2CA2"/>
    <w:rsid w:val="00E15334"/>
    <w:rsid w:val="00E162E8"/>
    <w:rsid w:val="00EE230A"/>
    <w:rsid w:val="00EF11B6"/>
    <w:rsid w:val="00F16BF7"/>
    <w:rsid w:val="00F3492B"/>
    <w:rsid w:val="00FB1825"/>
    <w:rsid w:val="00FD3DE5"/>
    <w:rsid w:val="00FD6C6A"/>
    <w:rsid w:val="00FF7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524D61"/>
  <w15:chartTrackingRefBased/>
  <w15:docId w15:val="{7CAA1B3B-1E2F-48DD-B065-C1B62C6A9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1B6"/>
    <w:pPr>
      <w:spacing w:after="200" w:line="360" w:lineRule="auto"/>
      <w:ind w:left="851" w:right="851"/>
    </w:pPr>
    <w:rPr>
      <w:rFonts w:eastAsiaTheme="minorEastAsia"/>
      <w:kern w:val="0"/>
      <w14:ligatures w14:val="none"/>
    </w:rPr>
  </w:style>
  <w:style w:type="paragraph" w:styleId="Heading1">
    <w:name w:val="heading 1"/>
    <w:basedOn w:val="Normal"/>
    <w:next w:val="Normal"/>
    <w:link w:val="Heading1Char"/>
    <w:uiPriority w:val="9"/>
    <w:qFormat/>
    <w:rsid w:val="00EF11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F11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F11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11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11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11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1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1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1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1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F11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F11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11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11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11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11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11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11B6"/>
    <w:rPr>
      <w:rFonts w:eastAsiaTheme="majorEastAsia" w:cstheme="majorBidi"/>
      <w:color w:val="272727" w:themeColor="text1" w:themeTint="D8"/>
    </w:rPr>
  </w:style>
  <w:style w:type="paragraph" w:styleId="Title">
    <w:name w:val="Title"/>
    <w:basedOn w:val="Normal"/>
    <w:next w:val="Normal"/>
    <w:link w:val="TitleChar"/>
    <w:uiPriority w:val="10"/>
    <w:qFormat/>
    <w:rsid w:val="00EF11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1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11B6"/>
    <w:pPr>
      <w:numPr>
        <w:ilvl w:val="1"/>
      </w:numPr>
      <w:ind w:left="851"/>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1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11B6"/>
    <w:pPr>
      <w:spacing w:before="160"/>
      <w:jc w:val="center"/>
    </w:pPr>
    <w:rPr>
      <w:i/>
      <w:iCs/>
      <w:color w:val="404040" w:themeColor="text1" w:themeTint="BF"/>
    </w:rPr>
  </w:style>
  <w:style w:type="character" w:customStyle="1" w:styleId="QuoteChar">
    <w:name w:val="Quote Char"/>
    <w:basedOn w:val="DefaultParagraphFont"/>
    <w:link w:val="Quote"/>
    <w:uiPriority w:val="29"/>
    <w:rsid w:val="00EF11B6"/>
    <w:rPr>
      <w:i/>
      <w:iCs/>
      <w:color w:val="404040" w:themeColor="text1" w:themeTint="BF"/>
    </w:rPr>
  </w:style>
  <w:style w:type="paragraph" w:styleId="ListParagraph">
    <w:name w:val="List Paragraph"/>
    <w:basedOn w:val="Normal"/>
    <w:uiPriority w:val="34"/>
    <w:qFormat/>
    <w:rsid w:val="00EF11B6"/>
    <w:pPr>
      <w:ind w:left="720"/>
      <w:contextualSpacing/>
    </w:pPr>
  </w:style>
  <w:style w:type="character" w:styleId="IntenseEmphasis">
    <w:name w:val="Intense Emphasis"/>
    <w:basedOn w:val="DefaultParagraphFont"/>
    <w:uiPriority w:val="21"/>
    <w:qFormat/>
    <w:rsid w:val="00EF11B6"/>
    <w:rPr>
      <w:i/>
      <w:iCs/>
      <w:color w:val="0F4761" w:themeColor="accent1" w:themeShade="BF"/>
    </w:rPr>
  </w:style>
  <w:style w:type="paragraph" w:styleId="IntenseQuote">
    <w:name w:val="Intense Quote"/>
    <w:basedOn w:val="Normal"/>
    <w:next w:val="Normal"/>
    <w:link w:val="IntenseQuoteChar"/>
    <w:uiPriority w:val="30"/>
    <w:qFormat/>
    <w:rsid w:val="00EF11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11B6"/>
    <w:rPr>
      <w:i/>
      <w:iCs/>
      <w:color w:val="0F4761" w:themeColor="accent1" w:themeShade="BF"/>
    </w:rPr>
  </w:style>
  <w:style w:type="character" w:styleId="IntenseReference">
    <w:name w:val="Intense Reference"/>
    <w:basedOn w:val="DefaultParagraphFont"/>
    <w:uiPriority w:val="32"/>
    <w:qFormat/>
    <w:rsid w:val="00EF11B6"/>
    <w:rPr>
      <w:b/>
      <w:bCs/>
      <w:smallCaps/>
      <w:color w:val="0F4761" w:themeColor="accent1" w:themeShade="BF"/>
      <w:spacing w:val="5"/>
    </w:rPr>
  </w:style>
  <w:style w:type="character" w:styleId="Hyperlink">
    <w:name w:val="Hyperlink"/>
    <w:basedOn w:val="DefaultParagraphFont"/>
    <w:uiPriority w:val="99"/>
    <w:unhideWhenUsed/>
    <w:rsid w:val="00EF11B6"/>
    <w:rPr>
      <w:color w:val="467886" w:themeColor="hyperlink"/>
      <w:u w:val="single"/>
    </w:rPr>
  </w:style>
  <w:style w:type="character" w:styleId="Strong">
    <w:name w:val="Strong"/>
    <w:basedOn w:val="DefaultParagraphFont"/>
    <w:uiPriority w:val="22"/>
    <w:qFormat/>
    <w:rsid w:val="0022788E"/>
    <w:rPr>
      <w:b/>
      <w:bCs/>
    </w:rPr>
  </w:style>
  <w:style w:type="paragraph" w:styleId="Header">
    <w:name w:val="header"/>
    <w:basedOn w:val="Normal"/>
    <w:link w:val="HeaderChar"/>
    <w:uiPriority w:val="99"/>
    <w:unhideWhenUsed/>
    <w:rsid w:val="00FF78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827"/>
    <w:rPr>
      <w:rFonts w:eastAsiaTheme="minorEastAsia"/>
      <w:kern w:val="0"/>
      <w14:ligatures w14:val="none"/>
    </w:rPr>
  </w:style>
  <w:style w:type="paragraph" w:styleId="Footer">
    <w:name w:val="footer"/>
    <w:basedOn w:val="Normal"/>
    <w:link w:val="FooterChar"/>
    <w:uiPriority w:val="99"/>
    <w:unhideWhenUsed/>
    <w:rsid w:val="00FF78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827"/>
    <w:rPr>
      <w:rFonts w:eastAsiaTheme="minorEastAsia"/>
      <w:kern w:val="0"/>
      <w14:ligatures w14:val="none"/>
    </w:rPr>
  </w:style>
  <w:style w:type="character" w:styleId="UnresolvedMention">
    <w:name w:val="Unresolved Mention"/>
    <w:basedOn w:val="DefaultParagraphFont"/>
    <w:uiPriority w:val="99"/>
    <w:semiHidden/>
    <w:unhideWhenUsed/>
    <w:rsid w:val="00264A1A"/>
    <w:rPr>
      <w:color w:val="605E5C"/>
      <w:shd w:val="clear" w:color="auto" w:fill="E1DFDD"/>
    </w:rPr>
  </w:style>
  <w:style w:type="character" w:styleId="CommentReference">
    <w:name w:val="annotation reference"/>
    <w:basedOn w:val="DefaultParagraphFont"/>
    <w:uiPriority w:val="99"/>
    <w:semiHidden/>
    <w:unhideWhenUsed/>
    <w:rsid w:val="00264A1A"/>
    <w:rPr>
      <w:sz w:val="16"/>
      <w:szCs w:val="16"/>
    </w:rPr>
  </w:style>
  <w:style w:type="paragraph" w:styleId="CommentText">
    <w:name w:val="annotation text"/>
    <w:basedOn w:val="Normal"/>
    <w:link w:val="CommentTextChar"/>
    <w:uiPriority w:val="99"/>
    <w:unhideWhenUsed/>
    <w:rsid w:val="00264A1A"/>
    <w:pPr>
      <w:spacing w:line="240" w:lineRule="auto"/>
    </w:pPr>
    <w:rPr>
      <w:sz w:val="20"/>
      <w:szCs w:val="20"/>
    </w:rPr>
  </w:style>
  <w:style w:type="character" w:customStyle="1" w:styleId="CommentTextChar">
    <w:name w:val="Comment Text Char"/>
    <w:basedOn w:val="DefaultParagraphFont"/>
    <w:link w:val="CommentText"/>
    <w:uiPriority w:val="99"/>
    <w:rsid w:val="00264A1A"/>
    <w:rPr>
      <w:rFonts w:eastAsiaTheme="minorEastAsia"/>
      <w:kern w:val="0"/>
      <w:sz w:val="20"/>
      <w:szCs w:val="20"/>
      <w14:ligatures w14:val="none"/>
    </w:rPr>
  </w:style>
  <w:style w:type="paragraph" w:customStyle="1" w:styleId="ds-markdown-paragraph">
    <w:name w:val="ds-markdown-paragraph"/>
    <w:basedOn w:val="Normal"/>
    <w:rsid w:val="000B34D2"/>
    <w:pPr>
      <w:spacing w:before="100" w:beforeAutospacing="1" w:after="100" w:afterAutospacing="1" w:line="240" w:lineRule="auto"/>
      <w:ind w:left="0" w:right="0"/>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0B34D2"/>
    <w:rPr>
      <w:color w:val="96607D" w:themeColor="followedHyperlink"/>
      <w:u w:val="single"/>
    </w:rPr>
  </w:style>
  <w:style w:type="paragraph" w:styleId="NoSpacing">
    <w:name w:val="No Spacing"/>
    <w:uiPriority w:val="1"/>
    <w:qFormat/>
    <w:rsid w:val="000B34D2"/>
    <w:pPr>
      <w:spacing w:after="0" w:line="240" w:lineRule="auto"/>
    </w:pPr>
  </w:style>
  <w:style w:type="table" w:styleId="TableGrid">
    <w:name w:val="Table Grid"/>
    <w:basedOn w:val="TableNormal"/>
    <w:uiPriority w:val="59"/>
    <w:rsid w:val="008C3C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8C3C2A"/>
    <w:pPr>
      <w:spacing w:after="120" w:line="240" w:lineRule="auto"/>
      <w:ind w:left="0" w:right="0"/>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8C3C2A"/>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738825">
      <w:bodyDiv w:val="1"/>
      <w:marLeft w:val="0"/>
      <w:marRight w:val="0"/>
      <w:marTop w:val="0"/>
      <w:marBottom w:val="0"/>
      <w:divBdr>
        <w:top w:val="none" w:sz="0" w:space="0" w:color="auto"/>
        <w:left w:val="none" w:sz="0" w:space="0" w:color="auto"/>
        <w:bottom w:val="none" w:sz="0" w:space="0" w:color="auto"/>
        <w:right w:val="none" w:sz="0" w:space="0" w:color="auto"/>
      </w:divBdr>
    </w:div>
    <w:div w:id="825366542">
      <w:bodyDiv w:val="1"/>
      <w:marLeft w:val="0"/>
      <w:marRight w:val="0"/>
      <w:marTop w:val="0"/>
      <w:marBottom w:val="0"/>
      <w:divBdr>
        <w:top w:val="none" w:sz="0" w:space="0" w:color="auto"/>
        <w:left w:val="none" w:sz="0" w:space="0" w:color="auto"/>
        <w:bottom w:val="none" w:sz="0" w:space="0" w:color="auto"/>
        <w:right w:val="none" w:sz="0" w:space="0" w:color="auto"/>
      </w:divBdr>
    </w:div>
    <w:div w:id="1085031917">
      <w:bodyDiv w:val="1"/>
      <w:marLeft w:val="0"/>
      <w:marRight w:val="0"/>
      <w:marTop w:val="0"/>
      <w:marBottom w:val="0"/>
      <w:divBdr>
        <w:top w:val="none" w:sz="0" w:space="0" w:color="auto"/>
        <w:left w:val="none" w:sz="0" w:space="0" w:color="auto"/>
        <w:bottom w:val="none" w:sz="0" w:space="0" w:color="auto"/>
        <w:right w:val="none" w:sz="0" w:space="0" w:color="auto"/>
      </w:divBdr>
    </w:div>
    <w:div w:id="139076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pada.uns.ac.id/pluginfile.php/510378/mod_resource/content/1/creswell.pdf" TargetMode="External"/><Relationship Id="rId21" Type="http://schemas.openxmlformats.org/officeDocument/2006/relationships/hyperlink" Target="https://cdn.prod.website-files.com/65b6b3c3bd2e7d160db2dbc0/6749a0f54b2bfb3ef7f498b5_TSFS%20Final%20-%20Gen%20Z%20Group%20Mail.pdf" TargetMode="External"/><Relationship Id="rId42" Type="http://schemas.openxmlformats.org/officeDocument/2006/relationships/hyperlink" Target="https://orca.cardiff.ac.uk/view/cardiffauthors/A399792J.html" TargetMode="External"/><Relationship Id="rId47" Type="http://schemas.openxmlformats.org/officeDocument/2006/relationships/hyperlink" Target="https://doi.org/10.1177/15248380241301781" TargetMode="External"/><Relationship Id="rId63" Type="http://schemas.openxmlformats.org/officeDocument/2006/relationships/hyperlink" Target="https://doi.org/10.1016/j.edurev.2023.100527" TargetMode="External"/><Relationship Id="rId68" Type="http://schemas.openxmlformats.org/officeDocument/2006/relationships/hyperlink" Target="https://hwb.gov.wales/curriculum-for-wales/" TargetMode="External"/><Relationship Id="rId16" Type="http://schemas.openxmlformats.org/officeDocument/2006/relationships/hyperlink" Target="https://mindsplain.com/wp-content/uploads/2021/01/Ainsworth-Patterns-of-Attachment.pdf" TargetMode="External"/><Relationship Id="rId11" Type="http://schemas.openxmlformats.org/officeDocument/2006/relationships/hyperlink" Target="https://odphp.health.gov/healthypeople/topic/social-and-community-context" TargetMode="External"/><Relationship Id="rId24" Type="http://schemas.openxmlformats.org/officeDocument/2006/relationships/hyperlink" Target="https://cpag.org.uk/news/has-two-child-limit-affected-how-many-children-families-have" TargetMode="External"/><Relationship Id="rId32" Type="http://schemas.openxmlformats.org/officeDocument/2006/relationships/hyperlink" Target="https://dsq-sds.org/index.php/dsq/article/view/5236/4475" TargetMode="External"/><Relationship Id="rId37" Type="http://schemas.openxmlformats.org/officeDocument/2006/relationships/hyperlink" Target="https://doi.org/10.1016/j.cpr.2020.101891" TargetMode="External"/><Relationship Id="rId40" Type="http://schemas.openxmlformats.org/officeDocument/2006/relationships/hyperlink" Target="https://doi.org/10.1080/13229400.2015.1045923" TargetMode="External"/><Relationship Id="rId45" Type="http://schemas.openxmlformats.org/officeDocument/2006/relationships/hyperlink" Target="https://pmc.ncbi.nlm.nih.gov/articles/PMC2642503/" TargetMode="External"/><Relationship Id="rId53" Type="http://schemas.openxmlformats.org/officeDocument/2006/relationships/hyperlink" Target="https://www.reggiochildren.it/en/" TargetMode="External"/><Relationship Id="rId58" Type="http://schemas.openxmlformats.org/officeDocument/2006/relationships/hyperlink" Target="https://doi.org/10.1016/j.chiabu.2022.105999" TargetMode="External"/><Relationship Id="rId66" Type="http://schemas.openxmlformats.org/officeDocument/2006/relationships/hyperlink" Target="https://www.wcpp.org.uk/wp-content/uploads/2022/09/Poverty-in-Wales-Policy-Briefing.pdf" TargetMode="External"/><Relationship Id="rId74" Type="http://schemas.openxmlformats.org/officeDocument/2006/relationships/image" Target="media/image1.png"/><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doi.org/10.5539/gjhs.v12n3p86" TargetMode="External"/><Relationship Id="rId19" Type="http://schemas.openxmlformats.org/officeDocument/2006/relationships/hyperlink" Target="https://www.brook.org.uk/blog/why-good-rse-is-not-only-important-but-essential/" TargetMode="External"/><Relationship Id="rId14" Type="http://schemas.openxmlformats.org/officeDocument/2006/relationships/hyperlink" Target="https://bera-journals.onlinelibrary.wiley.com/authored-by/Roberts/Amanda" TargetMode="External"/><Relationship Id="rId22" Type="http://schemas.openxmlformats.org/officeDocument/2006/relationships/hyperlink" Target="https://www.childcomwales.org.uk/our-work/policy-positions/relationships-and-sexuality-education-rse/" TargetMode="External"/><Relationship Id="rId27" Type="http://schemas.openxmlformats.org/officeDocument/2006/relationships/hyperlink" Target="https://doi.org/10.1177/0016986217738050" TargetMode="External"/><Relationship Id="rId30" Type="http://schemas.openxmlformats.org/officeDocument/2006/relationships/hyperlink" Target="https://www.gov.uk/government/organisations/department-for-work-pensions" TargetMode="External"/><Relationship Id="rId35" Type="http://schemas.openxmlformats.org/officeDocument/2006/relationships/hyperlink" Target="https://www.researchgate.net/profile/Deri-Firmansyah/publication/367220348_Social_Learning_Theory_Cognitive_and_Behavioral_Approaches/links/63ef71a319130a1a4a893997/Social-Learning-Theory-Cognitive-and-Behavioral-Approaches.pdf" TargetMode="External"/><Relationship Id="rId43" Type="http://schemas.openxmlformats.org/officeDocument/2006/relationships/hyperlink" Target="https://orca.cardiff.ac.uk/id/eprint/162711/" TargetMode="External"/><Relationship Id="rId48" Type="http://schemas.openxmlformats.org/officeDocument/2006/relationships/hyperlink" Target="https://doi.org/10.1007/s11266-021-00400-3" TargetMode="External"/><Relationship Id="rId56" Type="http://schemas.openxmlformats.org/officeDocument/2006/relationships/hyperlink" Target="https://sheltercymru.org.uk/housing-advice/repairs-and-bad-conditions/" TargetMode="External"/><Relationship Id="rId64" Type="http://schemas.openxmlformats.org/officeDocument/2006/relationships/hyperlink" Target="https://doi.org/10.1186/s12884-016-0911-2" TargetMode="External"/><Relationship Id="rId69" Type="http://schemas.openxmlformats.org/officeDocument/2006/relationships/hyperlink" Target="https://www.gov.wales/sites/default/files/publications/2021-12/draft-relationships-sexuality-education-statutory-guidance-code_1.pdf" TargetMode="External"/><Relationship Id="rId77" Type="http://schemas.openxmlformats.org/officeDocument/2006/relationships/footer" Target="footer1.xml"/><Relationship Id="rId8" Type="http://schemas.openxmlformats.org/officeDocument/2006/relationships/hyperlink" Target="https://odphp.health.gov/healthypeople/topic/education-access-and-quality" TargetMode="External"/><Relationship Id="rId51" Type="http://schemas.openxmlformats.org/officeDocument/2006/relationships/hyperlink" Target="https://doi.org/10.1080/03004279.2022.2095416" TargetMode="External"/><Relationship Id="rId72" Type="http://schemas.openxmlformats.org/officeDocument/2006/relationships/hyperlink" Target="https://cdn.who.int/media/docs/default-source/mental-health/who-5_english-original4da539d6ed4b49389e3afe47cda2326a.pdf?sfvrsn=ed43f352_11&amp;download=true" TargetMode="External"/><Relationship Id="rId3" Type="http://schemas.openxmlformats.org/officeDocument/2006/relationships/settings" Target="settings.xml"/><Relationship Id="rId12" Type="http://schemas.openxmlformats.org/officeDocument/2006/relationships/hyperlink" Target="https://www.tandfonline.com/doi/full/10.1080/1743727X.2023.2266375" TargetMode="External"/><Relationship Id="rId17" Type="http://schemas.openxmlformats.org/officeDocument/2006/relationships/hyperlink" Target="https://www.bera.ac.uk/publication/ethical-guidelines-for-educational-research-fifth-edition-2024" TargetMode="External"/><Relationship Id="rId25" Type="http://schemas.openxmlformats.org/officeDocument/2006/relationships/hyperlink" Target="https://www.tandfonline.com/servlet/linkout?suffix=ref&amp;dbid=4&amp;doi=10.1080%2F1743727X.2023.2266375&amp;key=10.1080%2F1743727X.2018.1533939&amp;tollfreelink=2_18_31d8d324a226d8ebde401a62034b1a09a42b07f6ece2d35fe1449c94d392fbe3&amp;getFTLinkType=true&amp;doiForPubOfPage=10.1080%2F1743727X.2023.2266375&amp;refDoi=10.1080%2F1743727X.2018.1533939&amp;linkType=VIEW_FULL_ACCESS&amp;linkSource=FULL_TEXT&amp;linkLocation=Reference" TargetMode="External"/><Relationship Id="rId33" Type="http://schemas.openxmlformats.org/officeDocument/2006/relationships/hyperlink" Target="https://doi.org/10.1177/0145482X20987707" TargetMode="External"/><Relationship Id="rId38" Type="http://schemas.openxmlformats.org/officeDocument/2006/relationships/hyperlink" Target="https://developingchild.harvard.edu/resources/infographics/aces-and-toxic-stress-frequently-asked-questions/" TargetMode="External"/><Relationship Id="rId46" Type="http://schemas.openxmlformats.org/officeDocument/2006/relationships/hyperlink" Target="https://www.health.org.uk/reports-and-analysis/reports/health-equity-in-england-the-marmot-review-10-years-on-0" TargetMode="External"/><Relationship Id="rId59" Type="http://schemas.openxmlformats.org/officeDocument/2006/relationships/hyperlink" Target="https://www.southwalescommissioner.org.uk/wp-content/uploads/2024/02/c22-0138_police-crime-commissiner_annual-report-2022_v2_pages.pdf" TargetMode="External"/><Relationship Id="rId67" Type="http://schemas.openxmlformats.org/officeDocument/2006/relationships/hyperlink" Target="https://schools.warwickshire.gov.uk/early-help-targeted-support/participation-engagement/2" TargetMode="External"/><Relationship Id="rId20" Type="http://schemas.openxmlformats.org/officeDocument/2006/relationships/hyperlink" Target="http://dx.doi.org/10.4234/9781003162926.5" TargetMode="External"/><Relationship Id="rId41" Type="http://schemas.openxmlformats.org/officeDocument/2006/relationships/hyperlink" Target="https://www.jrf.org.uk/what-is-poverty" TargetMode="External"/><Relationship Id="rId54" Type="http://schemas.openxmlformats.org/officeDocument/2006/relationships/hyperlink" Target="https://www.reggiochildren.it/en/rc/exhibitions/the-hundred-languages-of-children/" TargetMode="External"/><Relationship Id="rId62" Type="http://schemas.openxmlformats.org/officeDocument/2006/relationships/hyperlink" Target="https://commonslibrary.parliament.uk/research-briefings/cbp-9428/" TargetMode="External"/><Relationship Id="rId70" Type="http://schemas.openxmlformats.org/officeDocument/2006/relationships/hyperlink" Target="https://www.gov.wales/written-statement-verdict-high-court-relationships-and-sexuality-education-rse" TargetMode="External"/><Relationship Id="rId75"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bera-journals.onlinelibrary.wiley.com/authored-by/Woods/Philip+A." TargetMode="External"/><Relationship Id="rId23" Type="http://schemas.openxmlformats.org/officeDocument/2006/relationships/hyperlink" Target="https://cpag.org.uk/child-poverty/effects-poverty" TargetMode="External"/><Relationship Id="rId28" Type="http://schemas.openxmlformats.org/officeDocument/2006/relationships/hyperlink" Target="https://www.bevanfoundation.org/views/time-for-progress-on-child-poverty-to-be-a-priority/" TargetMode="External"/><Relationship Id="rId36" Type="http://schemas.openxmlformats.org/officeDocument/2006/relationships/hyperlink" Target="https://doi.org/10.1177/1609406917748215" TargetMode="External"/><Relationship Id="rId49" Type="http://schemas.openxmlformats.org/officeDocument/2006/relationships/hyperlink" Target="https://doi.org/10.1007/s40617-023-00850-9" TargetMode="External"/><Relationship Id="rId57" Type="http://schemas.openxmlformats.org/officeDocument/2006/relationships/hyperlink" Target="https://doi.org/10.1007/s11135-019-00914-5" TargetMode="External"/><Relationship Id="rId10" Type="http://schemas.openxmlformats.org/officeDocument/2006/relationships/hyperlink" Target="https://odphp.health.gov/healthypeople/topic/neighborhood-and-built-environment" TargetMode="External"/><Relationship Id="rId31" Type="http://schemas.openxmlformats.org/officeDocument/2006/relationships/hyperlink" Target="https://www.gov.uk/guidance/claiming-benefits-for-2-or-more-children" TargetMode="External"/><Relationship Id="rId44" Type="http://schemas.openxmlformats.org/officeDocument/2006/relationships/hyperlink" Target="https://doi.org/10.3389/fpsyt.2023.1243558" TargetMode="External"/><Relationship Id="rId52" Type="http://schemas.openxmlformats.org/officeDocument/2006/relationships/hyperlink" Target="https://phw.nhs.wales/topics/adverse-childhood-experiences/" TargetMode="External"/><Relationship Id="rId60" Type="http://schemas.openxmlformats.org/officeDocument/2006/relationships/hyperlink" Target="https://theconversation.com/poor-kids-hit-puberty-sooner-and-risk-a-lifetime-of-health-problems-78178" TargetMode="External"/><Relationship Id="rId65" Type="http://schemas.openxmlformats.org/officeDocument/2006/relationships/hyperlink" Target="https://www.south-wales.police.uk/" TargetMode="External"/><Relationship Id="rId73" Type="http://schemas.openxmlformats.org/officeDocument/2006/relationships/hyperlink" Target="http://dx.doi.org/10.2991/iccese-18.2018.117"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odphp.health.gov/healthypeople/topic/health-care-access-and-quality" TargetMode="External"/><Relationship Id="rId13" Type="http://schemas.openxmlformats.org/officeDocument/2006/relationships/hyperlink" Target="https://www.reggiochildren.it/en/" TargetMode="External"/><Relationship Id="rId18" Type="http://schemas.openxmlformats.org/officeDocument/2006/relationships/hyperlink" Target="https://doi.org/10.1177/16094069211010087" TargetMode="External"/><Relationship Id="rId39" Type="http://schemas.openxmlformats.org/officeDocument/2006/relationships/hyperlink" Target="https://repository.essex.ac.uk/38990/" TargetMode="External"/><Relationship Id="rId34" Type="http://schemas.openxmlformats.org/officeDocument/2006/relationships/hyperlink" Target="https://www.fsrh.org/Public/Public/News/Articles/Office-for-National-Statistics-release-England-and-Wales-conception-data-for-under-18s-Q1-Q2-2024.aspx" TargetMode="External"/><Relationship Id="rId50" Type="http://schemas.openxmlformats.org/officeDocument/2006/relationships/hyperlink" Target="https://doi.org/10.1007/s10826-019-01490-w" TargetMode="External"/><Relationship Id="rId55" Type="http://schemas.openxmlformats.org/officeDocument/2006/relationships/hyperlink" Target="https://www.legislation.gov.uk/asc/2021/4/section/71" TargetMode="External"/><Relationship Id="rId76" Type="http://schemas.openxmlformats.org/officeDocument/2006/relationships/header" Target="header1.xml"/><Relationship Id="rId7" Type="http://schemas.openxmlformats.org/officeDocument/2006/relationships/hyperlink" Target="https://odphp.health.gov/healthypeople/topic/economic-stability" TargetMode="External"/><Relationship Id="rId71" Type="http://schemas.openxmlformats.org/officeDocument/2006/relationships/hyperlink" Target="https://www.who.int/publications/m/item/adverse-childhood-experiences-international-questionnaire-(ace-iq)" TargetMode="External"/><Relationship Id="rId2" Type="http://schemas.openxmlformats.org/officeDocument/2006/relationships/styles" Target="styles.xml"/><Relationship Id="rId29" Type="http://schemas.openxmlformats.org/officeDocument/2006/relationships/hyperlink" Target="https://doi.org/10.4135/9781526402660.n3"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moodle.uwtsd.ac.uk/pluginfile.php/911291/mod_folder/content/0/ECGE7005%20Assessment%202%20Research%20Proposal%2024.25.pptx?forcedownloa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8657</Words>
  <Characters>49351</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Dwyer</dc:creator>
  <cp:keywords/>
  <dc:description/>
  <cp:lastModifiedBy>Sophie Dwyer</cp:lastModifiedBy>
  <cp:revision>2</cp:revision>
  <cp:lastPrinted>2025-05-05T11:19:00Z</cp:lastPrinted>
  <dcterms:created xsi:type="dcterms:W3CDTF">2025-05-05T19:46:00Z</dcterms:created>
  <dcterms:modified xsi:type="dcterms:W3CDTF">2025-05-05T19:46:00Z</dcterms:modified>
</cp:coreProperties>
</file>