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C5667" w14:textId="29885568" w:rsidR="006231D7" w:rsidRPr="00A319CF" w:rsidRDefault="006231D7" w:rsidP="009F77C1">
      <w:pPr>
        <w:tabs>
          <w:tab w:val="left" w:pos="2811"/>
        </w:tabs>
        <w:rPr>
          <w:b/>
          <w:bCs/>
          <w:sz w:val="28"/>
          <w:szCs w:val="28"/>
        </w:rPr>
      </w:pPr>
    </w:p>
    <w:p w14:paraId="3BAB8E9A" w14:textId="77777777" w:rsidR="006231D7" w:rsidRPr="00CA266C" w:rsidRDefault="006231D7" w:rsidP="00301B72">
      <w:pPr>
        <w:jc w:val="center"/>
        <w:rPr>
          <w:rFonts w:ascii="Arial" w:hAnsi="Arial"/>
          <w:b/>
          <w:bCs/>
          <w:sz w:val="32"/>
          <w:szCs w:val="32"/>
        </w:rPr>
      </w:pPr>
      <w:r w:rsidRPr="00CA266C">
        <w:rPr>
          <w:rFonts w:ascii="Arial" w:hAnsi="Arial"/>
          <w:b/>
          <w:bCs/>
          <w:sz w:val="32"/>
          <w:szCs w:val="32"/>
        </w:rPr>
        <w:t>Module code: BMIH5004</w:t>
      </w:r>
    </w:p>
    <w:p w14:paraId="3F8A73FA" w14:textId="77777777" w:rsidR="006231D7" w:rsidRPr="00CA266C" w:rsidRDefault="006231D7" w:rsidP="00301B72">
      <w:pPr>
        <w:jc w:val="center"/>
        <w:rPr>
          <w:rFonts w:ascii="Arial" w:hAnsi="Arial"/>
          <w:b/>
          <w:bCs/>
          <w:sz w:val="32"/>
          <w:szCs w:val="32"/>
        </w:rPr>
      </w:pPr>
      <w:r w:rsidRPr="00CA266C">
        <w:rPr>
          <w:rFonts w:ascii="Arial" w:hAnsi="Arial"/>
          <w:b/>
          <w:bCs/>
          <w:sz w:val="32"/>
          <w:szCs w:val="32"/>
        </w:rPr>
        <w:t>Programme: BA International Hotel Management</w:t>
      </w:r>
    </w:p>
    <w:p w14:paraId="3D9002FB" w14:textId="77777777" w:rsidR="006231D7" w:rsidRPr="00CA266C" w:rsidRDefault="006231D7" w:rsidP="00301B72">
      <w:pPr>
        <w:jc w:val="center"/>
        <w:rPr>
          <w:rFonts w:ascii="Arial" w:hAnsi="Arial"/>
          <w:b/>
          <w:bCs/>
          <w:sz w:val="32"/>
          <w:szCs w:val="32"/>
        </w:rPr>
      </w:pPr>
      <w:r w:rsidRPr="00CA266C">
        <w:rPr>
          <w:rFonts w:ascii="Arial" w:hAnsi="Arial"/>
          <w:b/>
          <w:bCs/>
          <w:sz w:val="32"/>
          <w:szCs w:val="32"/>
        </w:rPr>
        <w:t>Module name: Management &amp; Organisational Behaviour</w:t>
      </w:r>
    </w:p>
    <w:p w14:paraId="648ED47B" w14:textId="77777777" w:rsidR="00732736" w:rsidRPr="00CA266C" w:rsidRDefault="00732736" w:rsidP="00301B72">
      <w:pPr>
        <w:jc w:val="center"/>
        <w:rPr>
          <w:rFonts w:ascii="Arial" w:hAnsi="Arial"/>
          <w:b/>
          <w:bCs/>
          <w:sz w:val="32"/>
          <w:szCs w:val="32"/>
          <w:lang w:val="en-US"/>
        </w:rPr>
      </w:pPr>
      <w:r w:rsidRPr="00CA266C">
        <w:rPr>
          <w:rFonts w:ascii="Arial" w:hAnsi="Arial"/>
          <w:b/>
          <w:bCs/>
          <w:sz w:val="32"/>
          <w:szCs w:val="32"/>
          <w:lang w:val="en-US"/>
        </w:rPr>
        <w:t>Student name: Klaudia Modrzejewska</w:t>
      </w:r>
    </w:p>
    <w:p w14:paraId="567A4F38" w14:textId="77777777" w:rsidR="00732736" w:rsidRPr="00CA266C" w:rsidRDefault="00732736" w:rsidP="00301B72">
      <w:pPr>
        <w:jc w:val="center"/>
        <w:rPr>
          <w:rFonts w:ascii="Arial" w:hAnsi="Arial"/>
          <w:b/>
          <w:bCs/>
          <w:sz w:val="32"/>
          <w:szCs w:val="32"/>
          <w:lang w:val="en-US"/>
        </w:rPr>
      </w:pPr>
      <w:r w:rsidRPr="00CA266C">
        <w:rPr>
          <w:rFonts w:ascii="Arial" w:hAnsi="Arial"/>
          <w:b/>
          <w:bCs/>
          <w:sz w:val="32"/>
          <w:szCs w:val="32"/>
          <w:lang w:val="en-US"/>
        </w:rPr>
        <w:t>Student ID: 2243846</w:t>
      </w:r>
    </w:p>
    <w:p w14:paraId="2D3DFDB3" w14:textId="77777777" w:rsidR="00732736" w:rsidRPr="00CA266C" w:rsidRDefault="00732736" w:rsidP="00301B72">
      <w:pPr>
        <w:jc w:val="center"/>
        <w:rPr>
          <w:rFonts w:ascii="Arial" w:hAnsi="Arial"/>
          <w:b/>
          <w:bCs/>
          <w:sz w:val="32"/>
          <w:szCs w:val="32"/>
          <w:lang w:val="en-US"/>
        </w:rPr>
      </w:pPr>
      <w:r w:rsidRPr="00CA266C">
        <w:rPr>
          <w:rFonts w:ascii="Arial" w:hAnsi="Arial"/>
          <w:b/>
          <w:bCs/>
          <w:sz w:val="32"/>
          <w:szCs w:val="32"/>
          <w:lang w:val="en-US"/>
        </w:rPr>
        <w:t>Lecturer Name: Antoinette Milne</w:t>
      </w:r>
    </w:p>
    <w:p w14:paraId="58CF23C2" w14:textId="5295279D" w:rsidR="006231D7" w:rsidRPr="00CA266C" w:rsidRDefault="006231D7" w:rsidP="00301B72">
      <w:pPr>
        <w:jc w:val="center"/>
        <w:rPr>
          <w:rFonts w:ascii="Arial" w:hAnsi="Arial"/>
          <w:b/>
          <w:bCs/>
          <w:sz w:val="32"/>
          <w:szCs w:val="32"/>
        </w:rPr>
      </w:pPr>
      <w:r w:rsidRPr="00CA266C">
        <w:rPr>
          <w:rFonts w:ascii="Arial" w:hAnsi="Arial"/>
          <w:b/>
          <w:bCs/>
          <w:sz w:val="32"/>
          <w:szCs w:val="32"/>
        </w:rPr>
        <w:t>Assessment Component 2: Written report</w:t>
      </w:r>
    </w:p>
    <w:p w14:paraId="1D9BBBBF" w14:textId="77777777" w:rsidR="006231D7" w:rsidRPr="00CA266C" w:rsidRDefault="006231D7" w:rsidP="00301B72">
      <w:pPr>
        <w:jc w:val="center"/>
        <w:rPr>
          <w:rFonts w:ascii="Arial" w:hAnsi="Arial"/>
          <w:b/>
          <w:bCs/>
          <w:sz w:val="32"/>
          <w:szCs w:val="32"/>
        </w:rPr>
      </w:pPr>
      <w:r w:rsidRPr="00CA266C">
        <w:rPr>
          <w:rFonts w:ascii="Arial" w:hAnsi="Arial"/>
          <w:b/>
          <w:bCs/>
          <w:sz w:val="32"/>
          <w:szCs w:val="32"/>
        </w:rPr>
        <w:t>Word count: 1999</w:t>
      </w:r>
    </w:p>
    <w:p w14:paraId="42EA7AAF" w14:textId="77777777" w:rsidR="009F77C1" w:rsidRPr="0080596A" w:rsidRDefault="006231D7" w:rsidP="00301B72">
      <w:pPr>
        <w:spacing w:before="200" w:after="200"/>
        <w:jc w:val="center"/>
        <w:rPr>
          <w:rFonts w:eastAsia="Times New Roman" w:cs="Times New Roman"/>
          <w:b/>
        </w:rPr>
      </w:pPr>
      <w:r>
        <w:br w:type="page"/>
      </w:r>
      <w:r w:rsidR="009F77C1" w:rsidRPr="0080596A">
        <w:rPr>
          <w:rFonts w:eastAsia="Times New Roman" w:cs="Times New Roman"/>
          <w:b/>
        </w:rPr>
        <w:lastRenderedPageBreak/>
        <w:t>AI guidance acknowledgement</w:t>
      </w:r>
    </w:p>
    <w:p w14:paraId="38715B99" w14:textId="007279F1" w:rsidR="009F77C1" w:rsidRPr="0080596A" w:rsidRDefault="009F77C1" w:rsidP="009F77C1">
      <w:pPr>
        <w:spacing w:before="200" w:after="200"/>
        <w:rPr>
          <w:rFonts w:eastAsia="Times New Roman" w:cs="Times New Roman"/>
        </w:rPr>
      </w:pPr>
      <w:r w:rsidRPr="0080596A">
        <w:rPr>
          <w:rFonts w:eastAsia="Times New Roman" w:cs="Times New Roman"/>
        </w:rPr>
        <w:t xml:space="preserve">I confirm that I have not presented any </w:t>
      </w:r>
      <w:r w:rsidR="00A67D0F">
        <w:rPr>
          <w:rFonts w:eastAsia="Times New Roman" w:cs="Times New Roman"/>
        </w:rPr>
        <w:t>AI-generated</w:t>
      </w:r>
      <w:r w:rsidRPr="0080596A">
        <w:rPr>
          <w:rFonts w:eastAsia="Times New Roman" w:cs="Times New Roman"/>
        </w:rPr>
        <w:t xml:space="preserve"> text as my own work. I confirm I have copies of my drafts, notes, and other resources I used before, and after the use of AI tools which I may be asked to provide in evidence.</w:t>
      </w:r>
    </w:p>
    <w:p w14:paraId="7F2492D4" w14:textId="6FD3D61E" w:rsidR="009F77C1" w:rsidRPr="0080596A" w:rsidRDefault="009F77C1" w:rsidP="009F77C1">
      <w:pPr>
        <w:spacing w:before="200" w:after="200"/>
        <w:jc w:val="center"/>
        <w:rPr>
          <w:rFonts w:eastAsia="Times New Roman" w:cs="Times New Roman"/>
        </w:rPr>
      </w:pPr>
    </w:p>
    <w:p w14:paraId="7A7E41EF" w14:textId="3921C7E0" w:rsidR="006231D7" w:rsidRDefault="006231D7" w:rsidP="006231D7">
      <w:pPr>
        <w:pBdr>
          <w:top w:val="nil"/>
          <w:left w:val="nil"/>
          <w:bottom w:val="nil"/>
          <w:right w:val="nil"/>
          <w:between w:val="nil"/>
        </w:pBdr>
        <w:jc w:val="center"/>
      </w:pPr>
    </w:p>
    <w:p w14:paraId="0F76DCB7" w14:textId="77777777" w:rsidR="009F77C1" w:rsidRDefault="009F77C1" w:rsidP="006231D7">
      <w:pPr>
        <w:pBdr>
          <w:top w:val="nil"/>
          <w:left w:val="nil"/>
          <w:bottom w:val="nil"/>
          <w:right w:val="nil"/>
          <w:between w:val="nil"/>
        </w:pBdr>
        <w:jc w:val="center"/>
        <w:rPr>
          <w:rFonts w:eastAsia="Times New Roman" w:cs="Times New Roman"/>
          <w:b/>
          <w:sz w:val="28"/>
          <w:szCs w:val="28"/>
        </w:rPr>
      </w:pPr>
    </w:p>
    <w:p w14:paraId="58B46CD4" w14:textId="77777777" w:rsidR="006231D7" w:rsidRDefault="006231D7" w:rsidP="006231D7">
      <w:pPr>
        <w:pBdr>
          <w:top w:val="nil"/>
          <w:left w:val="nil"/>
          <w:bottom w:val="nil"/>
          <w:right w:val="nil"/>
          <w:between w:val="nil"/>
        </w:pBdr>
        <w:jc w:val="center"/>
        <w:rPr>
          <w:rFonts w:eastAsia="Times New Roman" w:cs="Times New Roman"/>
          <w:b/>
          <w:sz w:val="28"/>
          <w:szCs w:val="28"/>
        </w:rPr>
      </w:pPr>
      <w:r>
        <w:rPr>
          <w:rFonts w:eastAsia="Times New Roman" w:cs="Times New Roman"/>
          <w:b/>
          <w:sz w:val="28"/>
          <w:szCs w:val="28"/>
        </w:rPr>
        <w:t xml:space="preserve">Executive Summary </w:t>
      </w:r>
    </w:p>
    <w:p w14:paraId="1CBFD65D" w14:textId="36582A68"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 xml:space="preserve">In the context of organisational management and </w:t>
      </w:r>
      <w:proofErr w:type="spellStart"/>
      <w:r w:rsidR="004F1E22">
        <w:rPr>
          <w:rFonts w:eastAsia="Times New Roman" w:cs="Times New Roman"/>
          <w:szCs w:val="24"/>
        </w:rPr>
        <w:t>behavior</w:t>
      </w:r>
      <w:proofErr w:type="spellEnd"/>
      <w:r>
        <w:rPr>
          <w:rFonts w:eastAsia="Times New Roman" w:cs="Times New Roman"/>
          <w:szCs w:val="24"/>
        </w:rPr>
        <w:t xml:space="preserve"> coherence of organisational structure, culture, and goals are emancipated to be effective. The report provides an overview of Marriott International's corporate and individual practices in terms of change management and strategic direction analysis. It can be </w:t>
      </w:r>
      <w:proofErr w:type="gramStart"/>
      <w:r>
        <w:rPr>
          <w:rFonts w:eastAsia="Times New Roman" w:cs="Times New Roman"/>
          <w:szCs w:val="24"/>
        </w:rPr>
        <w:t>seen,</w:t>
      </w:r>
      <w:proofErr w:type="gramEnd"/>
      <w:r>
        <w:rPr>
          <w:rFonts w:eastAsia="Times New Roman" w:cs="Times New Roman"/>
          <w:szCs w:val="24"/>
        </w:rPr>
        <w:t xml:space="preserve"> that the company operates on a hybrid structure, developing functional and divisional attributes for global operation along with creating a sustained cultural coherence with Hofstede’s cultural dimensions. With the help of Lewin’s change management model, the report evaluated the recent change in integrating the environment sustainability initiative of Marriott International. It also provided an overview of the differentiation strategic objective of the organisation based on integrated customer service, diversification, and quality standards.</w:t>
      </w:r>
    </w:p>
    <w:p w14:paraId="068F5CFE" w14:textId="77777777" w:rsidR="006231D7" w:rsidRDefault="006231D7" w:rsidP="006231D7">
      <w:pPr>
        <w:rPr>
          <w:rFonts w:eastAsia="Times New Roman" w:cs="Times New Roman"/>
          <w:szCs w:val="24"/>
        </w:rPr>
      </w:pPr>
      <w:r>
        <w:br w:type="page"/>
      </w:r>
    </w:p>
    <w:p w14:paraId="44EF4062"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  </w:t>
      </w:r>
    </w:p>
    <w:p w14:paraId="2985CDB7" w14:textId="77777777" w:rsidR="006231D7" w:rsidRDefault="006231D7" w:rsidP="006231D7">
      <w:pPr>
        <w:keepNext/>
        <w:keepLines/>
        <w:pBdr>
          <w:top w:val="nil"/>
          <w:left w:val="nil"/>
          <w:bottom w:val="nil"/>
          <w:right w:val="nil"/>
          <w:between w:val="nil"/>
        </w:pBdr>
        <w:spacing w:before="480"/>
        <w:jc w:val="center"/>
        <w:rPr>
          <w:rFonts w:eastAsia="Times New Roman" w:cs="Times New Roman"/>
          <w:b/>
          <w:szCs w:val="24"/>
        </w:rPr>
      </w:pPr>
      <w:r>
        <w:rPr>
          <w:rFonts w:eastAsia="Times New Roman" w:cs="Times New Roman"/>
          <w:b/>
          <w:sz w:val="28"/>
          <w:szCs w:val="28"/>
        </w:rPr>
        <w:t>Table of Contents</w:t>
      </w:r>
    </w:p>
    <w:sdt>
      <w:sdtPr>
        <w:id w:val="-1352787410"/>
        <w:docPartObj>
          <w:docPartGallery w:val="Table of Contents"/>
          <w:docPartUnique/>
        </w:docPartObj>
      </w:sdtPr>
      <w:sdtContent>
        <w:p w14:paraId="0D319E5B" w14:textId="77777777" w:rsidR="006231D7" w:rsidRDefault="006231D7" w:rsidP="006231D7">
          <w:pPr>
            <w:widowControl w:val="0"/>
            <w:tabs>
              <w:tab w:val="right" w:leader="dot" w:pos="12000"/>
            </w:tabs>
            <w:spacing w:before="60"/>
            <w:rPr>
              <w:rFonts w:eastAsia="Times New Roman" w:cs="Times New Roman"/>
              <w:color w:val="000000"/>
              <w:szCs w:val="24"/>
            </w:rPr>
          </w:pPr>
          <w:r>
            <w:fldChar w:fldCharType="begin"/>
          </w:r>
          <w:r>
            <w:instrText xml:space="preserve"> TOC \h \u \z \t "Heading 1,1,Heading 2,2,Heading 3,3,"</w:instrText>
          </w:r>
          <w:r>
            <w:fldChar w:fldCharType="separate"/>
          </w:r>
          <w:hyperlink w:anchor="_heading=h.gjdgxs">
            <w:r>
              <w:rPr>
                <w:rFonts w:eastAsia="Times New Roman" w:cs="Times New Roman"/>
                <w:color w:val="000000"/>
                <w:szCs w:val="24"/>
              </w:rPr>
              <w:t>Introduction</w:t>
            </w:r>
            <w:r>
              <w:rPr>
                <w:rFonts w:eastAsia="Times New Roman" w:cs="Times New Roman"/>
                <w:color w:val="000000"/>
                <w:szCs w:val="24"/>
              </w:rPr>
              <w:tab/>
              <w:t>4</w:t>
            </w:r>
          </w:hyperlink>
        </w:p>
        <w:p w14:paraId="4394B75D" w14:textId="77777777" w:rsidR="006231D7" w:rsidRDefault="006231D7" w:rsidP="006231D7">
          <w:pPr>
            <w:widowControl w:val="0"/>
            <w:tabs>
              <w:tab w:val="right" w:leader="dot" w:pos="12000"/>
            </w:tabs>
            <w:spacing w:before="60"/>
            <w:rPr>
              <w:rFonts w:eastAsia="Times New Roman" w:cs="Times New Roman"/>
              <w:color w:val="000000"/>
              <w:szCs w:val="24"/>
            </w:rPr>
          </w:pPr>
          <w:hyperlink w:anchor="_heading=h.yri1t11nf4pf">
            <w:r>
              <w:rPr>
                <w:rFonts w:eastAsia="Times New Roman" w:cs="Times New Roman"/>
                <w:color w:val="000000"/>
                <w:szCs w:val="24"/>
              </w:rPr>
              <w:t>Main body</w:t>
            </w:r>
            <w:r>
              <w:rPr>
                <w:rFonts w:eastAsia="Times New Roman" w:cs="Times New Roman"/>
                <w:color w:val="000000"/>
                <w:szCs w:val="24"/>
              </w:rPr>
              <w:tab/>
              <w:t>5</w:t>
            </w:r>
          </w:hyperlink>
        </w:p>
        <w:p w14:paraId="3B4B4E5E" w14:textId="77777777" w:rsidR="006231D7" w:rsidRDefault="006231D7" w:rsidP="006231D7">
          <w:pPr>
            <w:widowControl w:val="0"/>
            <w:tabs>
              <w:tab w:val="right" w:leader="dot" w:pos="12000"/>
            </w:tabs>
            <w:spacing w:before="60"/>
            <w:ind w:left="360"/>
            <w:rPr>
              <w:rFonts w:eastAsia="Times New Roman" w:cs="Times New Roman"/>
              <w:color w:val="000000"/>
              <w:szCs w:val="24"/>
            </w:rPr>
          </w:pPr>
          <w:hyperlink w:anchor="_heading=h.30j0zll">
            <w:r>
              <w:rPr>
                <w:rFonts w:eastAsia="Times New Roman" w:cs="Times New Roman"/>
                <w:color w:val="000000"/>
                <w:szCs w:val="24"/>
              </w:rPr>
              <w:t>Organisation Structure, Culture, and Goals</w:t>
            </w:r>
            <w:r>
              <w:rPr>
                <w:rFonts w:eastAsia="Times New Roman" w:cs="Times New Roman"/>
                <w:color w:val="000000"/>
                <w:szCs w:val="24"/>
              </w:rPr>
              <w:tab/>
              <w:t>5</w:t>
            </w:r>
          </w:hyperlink>
        </w:p>
        <w:p w14:paraId="530A2EFC" w14:textId="77777777" w:rsidR="006231D7" w:rsidRDefault="006231D7" w:rsidP="006231D7">
          <w:pPr>
            <w:widowControl w:val="0"/>
            <w:tabs>
              <w:tab w:val="right" w:leader="dot" w:pos="12000"/>
            </w:tabs>
            <w:spacing w:before="60"/>
            <w:ind w:left="360"/>
            <w:rPr>
              <w:rFonts w:eastAsia="Times New Roman" w:cs="Times New Roman"/>
              <w:color w:val="000000"/>
              <w:szCs w:val="24"/>
            </w:rPr>
          </w:pPr>
          <w:hyperlink w:anchor="_heading=h.1fob9te">
            <w:r>
              <w:rPr>
                <w:rFonts w:eastAsia="Times New Roman" w:cs="Times New Roman"/>
                <w:color w:val="000000"/>
                <w:szCs w:val="24"/>
              </w:rPr>
              <w:t>Recent Change Initiative</w:t>
            </w:r>
            <w:r>
              <w:rPr>
                <w:rFonts w:eastAsia="Times New Roman" w:cs="Times New Roman"/>
                <w:color w:val="000000"/>
                <w:szCs w:val="24"/>
              </w:rPr>
              <w:tab/>
              <w:t>6</w:t>
            </w:r>
          </w:hyperlink>
        </w:p>
        <w:p w14:paraId="48B95449" w14:textId="77777777" w:rsidR="006231D7" w:rsidRDefault="006231D7" w:rsidP="006231D7">
          <w:pPr>
            <w:widowControl w:val="0"/>
            <w:tabs>
              <w:tab w:val="right" w:leader="dot" w:pos="12000"/>
            </w:tabs>
            <w:spacing w:before="60"/>
            <w:ind w:left="360"/>
            <w:rPr>
              <w:rFonts w:eastAsia="Times New Roman" w:cs="Times New Roman"/>
              <w:color w:val="000000"/>
              <w:szCs w:val="24"/>
            </w:rPr>
          </w:pPr>
          <w:hyperlink w:anchor="_heading=h.3znysh7">
            <w:r>
              <w:rPr>
                <w:rFonts w:eastAsia="Times New Roman" w:cs="Times New Roman"/>
                <w:color w:val="000000"/>
                <w:szCs w:val="24"/>
              </w:rPr>
              <w:t>Strategic Direction</w:t>
            </w:r>
            <w:r>
              <w:rPr>
                <w:rFonts w:eastAsia="Times New Roman" w:cs="Times New Roman"/>
                <w:color w:val="000000"/>
                <w:szCs w:val="24"/>
              </w:rPr>
              <w:tab/>
              <w:t>8</w:t>
            </w:r>
          </w:hyperlink>
        </w:p>
        <w:p w14:paraId="08E34D17" w14:textId="77777777" w:rsidR="006231D7" w:rsidRDefault="006231D7" w:rsidP="006231D7">
          <w:pPr>
            <w:widowControl w:val="0"/>
            <w:tabs>
              <w:tab w:val="right" w:leader="dot" w:pos="12000"/>
            </w:tabs>
            <w:spacing w:before="60"/>
            <w:rPr>
              <w:rFonts w:eastAsia="Times New Roman" w:cs="Times New Roman"/>
              <w:color w:val="000000"/>
              <w:szCs w:val="24"/>
            </w:rPr>
          </w:pPr>
          <w:hyperlink w:anchor="_heading=h.tyjcwt">
            <w:r>
              <w:rPr>
                <w:rFonts w:eastAsia="Times New Roman" w:cs="Times New Roman"/>
                <w:color w:val="000000"/>
                <w:szCs w:val="24"/>
              </w:rPr>
              <w:t>Conclusion</w:t>
            </w:r>
            <w:r>
              <w:rPr>
                <w:rFonts w:eastAsia="Times New Roman" w:cs="Times New Roman"/>
                <w:color w:val="000000"/>
                <w:szCs w:val="24"/>
              </w:rPr>
              <w:tab/>
              <w:t>9</w:t>
            </w:r>
          </w:hyperlink>
        </w:p>
        <w:p w14:paraId="1311134C" w14:textId="77777777" w:rsidR="006231D7" w:rsidRDefault="006231D7" w:rsidP="006231D7">
          <w:pPr>
            <w:widowControl w:val="0"/>
            <w:tabs>
              <w:tab w:val="right" w:leader="dot" w:pos="12000"/>
            </w:tabs>
            <w:spacing w:before="60"/>
            <w:rPr>
              <w:rFonts w:eastAsia="Times New Roman" w:cs="Times New Roman"/>
              <w:color w:val="000000"/>
              <w:szCs w:val="24"/>
            </w:rPr>
          </w:pPr>
          <w:hyperlink w:anchor="_heading=h.2et92p0">
            <w:r>
              <w:rPr>
                <w:rFonts w:eastAsia="Times New Roman" w:cs="Times New Roman"/>
                <w:color w:val="000000"/>
                <w:szCs w:val="24"/>
              </w:rPr>
              <w:t>Recommendations</w:t>
            </w:r>
            <w:r>
              <w:rPr>
                <w:rFonts w:eastAsia="Times New Roman" w:cs="Times New Roman"/>
                <w:color w:val="000000"/>
                <w:szCs w:val="24"/>
              </w:rPr>
              <w:tab/>
              <w:t>10</w:t>
            </w:r>
          </w:hyperlink>
        </w:p>
        <w:p w14:paraId="111DF6F8" w14:textId="77777777" w:rsidR="006231D7" w:rsidRDefault="006231D7" w:rsidP="006231D7">
          <w:pPr>
            <w:widowControl w:val="0"/>
            <w:tabs>
              <w:tab w:val="right" w:leader="dot" w:pos="12000"/>
            </w:tabs>
            <w:spacing w:before="60"/>
            <w:rPr>
              <w:b/>
              <w:color w:val="000000"/>
            </w:rPr>
          </w:pPr>
          <w:hyperlink w:anchor="_heading=h.3dy6vkm">
            <w:r>
              <w:rPr>
                <w:rFonts w:eastAsia="Times New Roman" w:cs="Times New Roman"/>
                <w:color w:val="000000"/>
                <w:szCs w:val="24"/>
              </w:rPr>
              <w:t>References</w:t>
            </w:r>
          </w:hyperlink>
          <w:hyperlink w:anchor="_heading=h.3dy6vkm">
            <w:r>
              <w:rPr>
                <w:rFonts w:eastAsia="Times New Roman" w:cs="Times New Roman"/>
                <w:color w:val="000000"/>
                <w:szCs w:val="24"/>
              </w:rPr>
              <w:tab/>
              <w:t>11</w:t>
            </w:r>
          </w:hyperlink>
          <w:r>
            <w:fldChar w:fldCharType="end"/>
          </w:r>
        </w:p>
      </w:sdtContent>
    </w:sdt>
    <w:p w14:paraId="45984FF3" w14:textId="77777777" w:rsidR="006231D7" w:rsidRDefault="006231D7" w:rsidP="006231D7">
      <w:pPr>
        <w:pBdr>
          <w:top w:val="nil"/>
          <w:left w:val="nil"/>
          <w:bottom w:val="nil"/>
          <w:right w:val="nil"/>
          <w:between w:val="nil"/>
        </w:pBdr>
        <w:jc w:val="center"/>
        <w:rPr>
          <w:rFonts w:eastAsia="Times New Roman" w:cs="Times New Roman"/>
          <w:b/>
          <w:sz w:val="28"/>
          <w:szCs w:val="28"/>
        </w:rPr>
      </w:pPr>
      <w:r>
        <w:br w:type="page"/>
      </w:r>
    </w:p>
    <w:p w14:paraId="7F3FFE88" w14:textId="77777777" w:rsidR="006231D7" w:rsidRDefault="006231D7" w:rsidP="006231D7">
      <w:pPr>
        <w:pStyle w:val="Heading1"/>
      </w:pPr>
      <w:bookmarkStart w:id="0" w:name="_heading=h.gjdgxs" w:colFirst="0" w:colLast="0"/>
      <w:bookmarkEnd w:id="0"/>
      <w:r>
        <w:lastRenderedPageBreak/>
        <w:t xml:space="preserve">Introduction </w:t>
      </w:r>
    </w:p>
    <w:p w14:paraId="55149EC4"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Marriott International is operating as a significant leader in the hospitality sector. The company has built its reputation and growth with the help of an appropriate expansion strategy. As a prominent network of luxury hotels with more than 8,484 facilities in 139 countries as well as territories, Marriott International began operations in 1927 from a "single root beer stand" in Washington, D.C. by J. Willard Marriott and Alice, his wife (</w:t>
      </w:r>
      <w:r>
        <w:rPr>
          <w:rFonts w:eastAsia="Times New Roman" w:cs="Times New Roman"/>
          <w:szCs w:val="24"/>
          <w:highlight w:val="white"/>
        </w:rPr>
        <w:t>Marriott International, 2025a</w:t>
      </w:r>
      <w:r>
        <w:rPr>
          <w:rFonts w:eastAsia="Times New Roman" w:cs="Times New Roman"/>
          <w:szCs w:val="24"/>
        </w:rPr>
        <w:t xml:space="preserve">). With 30 brands that are varied according to comfort and convenience, the company constitutes among the most successful companies in the sector. Marriott International provides a variety of services and offerings for every tourist, from big and luxurious hotel chains like The Ritz-Carlton right to well-known Marriott Hotels as well as family-oriented lodgings such as Courtyard by Marriott. Besides, the company incorporates every opportunity for precise adaptation of technology and supports the sustainability of the environment. The business has truly raised the standards for both its consumers and its rivals with the release of innovative mobile apps and strategic choices. </w:t>
      </w:r>
    </w:p>
    <w:p w14:paraId="131BACAF" w14:textId="77777777" w:rsidR="006231D7" w:rsidRDefault="006231D7" w:rsidP="006231D7">
      <w:pPr>
        <w:pBdr>
          <w:top w:val="nil"/>
          <w:left w:val="nil"/>
          <w:bottom w:val="nil"/>
          <w:right w:val="nil"/>
          <w:between w:val="nil"/>
        </w:pBdr>
        <w:jc w:val="center"/>
        <w:rPr>
          <w:rFonts w:eastAsia="Times New Roman" w:cs="Times New Roman"/>
          <w:szCs w:val="24"/>
        </w:rPr>
      </w:pPr>
      <w:r>
        <w:rPr>
          <w:rFonts w:eastAsia="Times New Roman" w:cs="Times New Roman"/>
          <w:noProof/>
          <w:szCs w:val="24"/>
        </w:rPr>
        <w:drawing>
          <wp:inline distT="114300" distB="114300" distL="114300" distR="114300" wp14:anchorId="61067A37" wp14:editId="5B437E0C">
            <wp:extent cx="5184000" cy="2178658"/>
            <wp:effectExtent l="25400" t="25400" r="25400" b="25400"/>
            <wp:docPr id="5" name="image1.png" descr="A collage of logos&#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1.png" descr="A collage of logos&#10;&#10;AI-generated content may be incorrect."/>
                    <pic:cNvPicPr preferRelativeResize="0"/>
                  </pic:nvPicPr>
                  <pic:blipFill>
                    <a:blip r:embed="rId5"/>
                    <a:srcRect/>
                    <a:stretch>
                      <a:fillRect/>
                    </a:stretch>
                  </pic:blipFill>
                  <pic:spPr>
                    <a:xfrm>
                      <a:off x="0" y="0"/>
                      <a:ext cx="5184000" cy="2178658"/>
                    </a:xfrm>
                    <a:prstGeom prst="rect">
                      <a:avLst/>
                    </a:prstGeom>
                    <a:ln w="25400">
                      <a:solidFill>
                        <a:srgbClr val="000000"/>
                      </a:solidFill>
                      <a:prstDash val="solid"/>
                    </a:ln>
                  </pic:spPr>
                </pic:pic>
              </a:graphicData>
            </a:graphic>
          </wp:inline>
        </w:drawing>
      </w:r>
    </w:p>
    <w:p w14:paraId="27BC6322" w14:textId="77777777" w:rsidR="006231D7" w:rsidRDefault="006231D7" w:rsidP="006231D7">
      <w:pPr>
        <w:pBdr>
          <w:top w:val="nil"/>
          <w:left w:val="nil"/>
          <w:bottom w:val="nil"/>
          <w:right w:val="nil"/>
          <w:between w:val="nil"/>
        </w:pBdr>
        <w:jc w:val="center"/>
        <w:rPr>
          <w:rFonts w:eastAsia="Times New Roman" w:cs="Times New Roman"/>
          <w:b/>
          <w:szCs w:val="24"/>
        </w:rPr>
      </w:pPr>
      <w:r>
        <w:rPr>
          <w:rFonts w:eastAsia="Times New Roman" w:cs="Times New Roman"/>
          <w:b/>
          <w:szCs w:val="24"/>
        </w:rPr>
        <w:t xml:space="preserve">Figure 1: Brands of Marriott International </w:t>
      </w:r>
    </w:p>
    <w:p w14:paraId="0133D39E" w14:textId="77777777" w:rsidR="006231D7" w:rsidRDefault="006231D7" w:rsidP="006231D7">
      <w:pPr>
        <w:pBdr>
          <w:top w:val="nil"/>
          <w:left w:val="nil"/>
          <w:bottom w:val="nil"/>
          <w:right w:val="nil"/>
          <w:between w:val="nil"/>
        </w:pBdr>
        <w:jc w:val="center"/>
        <w:rPr>
          <w:rFonts w:eastAsia="Times New Roman" w:cs="Times New Roman"/>
          <w:szCs w:val="24"/>
        </w:rPr>
      </w:pPr>
      <w:r>
        <w:rPr>
          <w:rFonts w:eastAsia="Times New Roman" w:cs="Times New Roman"/>
          <w:szCs w:val="24"/>
        </w:rPr>
        <w:t xml:space="preserve">(Source: </w:t>
      </w:r>
      <w:r>
        <w:rPr>
          <w:rFonts w:eastAsia="Times New Roman" w:cs="Times New Roman"/>
          <w:szCs w:val="24"/>
          <w:highlight w:val="white"/>
        </w:rPr>
        <w:t>Marriott International, 2025d)</w:t>
      </w:r>
    </w:p>
    <w:p w14:paraId="3C49F3B8" w14:textId="0FF5B1F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 xml:space="preserve">The report focuses on Marriott International as the case study organisation to bring out management and organisational behaviour practices and theory analysis based on certain grounds. It will emphasise the structure, culture, and goals of the </w:t>
      </w:r>
      <w:r w:rsidR="00E27EAA">
        <w:rPr>
          <w:rFonts w:eastAsia="Times New Roman" w:cs="Times New Roman"/>
          <w:szCs w:val="24"/>
        </w:rPr>
        <w:t>organization</w:t>
      </w:r>
      <w:r>
        <w:rPr>
          <w:rFonts w:eastAsia="Times New Roman" w:cs="Times New Roman"/>
          <w:szCs w:val="24"/>
        </w:rPr>
        <w:t xml:space="preserve"> along with discussing recent change initiatives taken by the company fostered by theory and models. It will apprehend the strategic direction of the company to further develop recommendations. </w:t>
      </w:r>
    </w:p>
    <w:p w14:paraId="7C17B0D5" w14:textId="77777777" w:rsidR="006231D7" w:rsidRDefault="006231D7" w:rsidP="006231D7">
      <w:pPr>
        <w:pStyle w:val="Heading1"/>
      </w:pPr>
      <w:bookmarkStart w:id="1" w:name="_heading=h.yri1t11nf4pf" w:colFirst="0" w:colLast="0"/>
      <w:bookmarkEnd w:id="1"/>
      <w:r>
        <w:lastRenderedPageBreak/>
        <w:t>Main body</w:t>
      </w:r>
    </w:p>
    <w:p w14:paraId="33E7E2A0" w14:textId="77777777" w:rsidR="006231D7" w:rsidRDefault="006231D7" w:rsidP="006231D7">
      <w:pPr>
        <w:pStyle w:val="Heading2"/>
      </w:pPr>
      <w:bookmarkStart w:id="2" w:name="_heading=h.30j0zll" w:colFirst="0" w:colLast="0"/>
      <w:bookmarkEnd w:id="2"/>
      <w:r>
        <w:t>Organisation Structure, Culture, and Goals</w:t>
      </w:r>
    </w:p>
    <w:p w14:paraId="61EDE8B8" w14:textId="77777777" w:rsidR="006231D7" w:rsidRDefault="006231D7" w:rsidP="006231D7">
      <w:pPr>
        <w:pBdr>
          <w:top w:val="nil"/>
          <w:left w:val="nil"/>
          <w:bottom w:val="nil"/>
          <w:right w:val="nil"/>
          <w:between w:val="nil"/>
        </w:pBdr>
        <w:rPr>
          <w:rFonts w:eastAsia="Times New Roman" w:cs="Times New Roman"/>
          <w:b/>
          <w:szCs w:val="24"/>
        </w:rPr>
      </w:pPr>
      <w:r>
        <w:rPr>
          <w:rFonts w:eastAsia="Times New Roman" w:cs="Times New Roman"/>
          <w:b/>
          <w:szCs w:val="24"/>
        </w:rPr>
        <w:t xml:space="preserve">Organisation structure of Marriott </w:t>
      </w:r>
    </w:p>
    <w:p w14:paraId="7F05B774" w14:textId="160C090D"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 xml:space="preserve">Organisation structure is an essential framework that outlines the activities of a company which is essential in achieving the overall goal. According to </w:t>
      </w:r>
      <w:proofErr w:type="spellStart"/>
      <w:r>
        <w:rPr>
          <w:rFonts w:eastAsia="Times New Roman" w:cs="Times New Roman"/>
          <w:szCs w:val="24"/>
          <w:highlight w:val="white"/>
        </w:rPr>
        <w:t>Iranmanesh</w:t>
      </w:r>
      <w:proofErr w:type="spellEnd"/>
      <w:r>
        <w:rPr>
          <w:rFonts w:eastAsia="Times New Roman" w:cs="Times New Roman"/>
          <w:szCs w:val="24"/>
          <w:highlight w:val="white"/>
        </w:rPr>
        <w:t xml:space="preserve"> </w:t>
      </w:r>
      <w:r>
        <w:rPr>
          <w:rFonts w:eastAsia="Times New Roman" w:cs="Times New Roman"/>
          <w:i/>
          <w:szCs w:val="24"/>
          <w:highlight w:val="white"/>
        </w:rPr>
        <w:t xml:space="preserve">et al. </w:t>
      </w:r>
      <w:r>
        <w:rPr>
          <w:rFonts w:eastAsia="Times New Roman" w:cs="Times New Roman"/>
          <w:szCs w:val="24"/>
        </w:rPr>
        <w:t xml:space="preserve">(2021), the organisational structure is a significant factor that derives innovation capability throughout the operation and management. Considering the current practice and operations, it can </w:t>
      </w:r>
      <w:r w:rsidR="0047294C">
        <w:rPr>
          <w:rFonts w:eastAsia="Times New Roman" w:cs="Times New Roman"/>
          <w:szCs w:val="24"/>
        </w:rPr>
        <w:t>state</w:t>
      </w:r>
      <w:r>
        <w:rPr>
          <w:rFonts w:eastAsia="Times New Roman" w:cs="Times New Roman"/>
          <w:szCs w:val="24"/>
        </w:rPr>
        <w:t xml:space="preserve"> that Marriott International is associated with a hybrid model incorporating both matrix and functional structures (</w:t>
      </w:r>
      <w:r>
        <w:rPr>
          <w:rFonts w:eastAsia="Times New Roman" w:cs="Times New Roman"/>
          <w:szCs w:val="24"/>
          <w:highlight w:val="white"/>
        </w:rPr>
        <w:t>Marriott International, 2025c)</w:t>
      </w:r>
      <w:r w:rsidR="00153F7C">
        <w:rPr>
          <w:rFonts w:eastAsia="Times New Roman" w:cs="Times New Roman"/>
          <w:szCs w:val="24"/>
        </w:rPr>
        <w:t>.</w:t>
      </w:r>
      <w:r>
        <w:rPr>
          <w:rFonts w:eastAsia="Times New Roman" w:cs="Times New Roman"/>
          <w:szCs w:val="24"/>
        </w:rPr>
        <w:t xml:space="preserve"> The mixture of functional and divisional layouts indicates the matrix structure of the organisation. Marriott maintains local units exhibiting within geographic regions with an inclusion of sales, marketing, and operations divisions functional. This structure centres on catering to the needs of both local and international aspects followed by adaptation and homogeneity for the largest hotel company. With distinct functional segments for each zone, the matrix layout in the organisational structure for Marriot functions in collaboration with a regional system. Not only that, </w:t>
      </w:r>
      <w:proofErr w:type="gramStart"/>
      <w:r>
        <w:rPr>
          <w:rFonts w:eastAsia="Times New Roman" w:cs="Times New Roman"/>
          <w:szCs w:val="24"/>
        </w:rPr>
        <w:t>it can</w:t>
      </w:r>
      <w:proofErr w:type="gramEnd"/>
      <w:r>
        <w:rPr>
          <w:rFonts w:eastAsia="Times New Roman" w:cs="Times New Roman"/>
          <w:szCs w:val="24"/>
        </w:rPr>
        <w:t xml:space="preserve"> be seen the CEO including the executive team has prominent focus and authority in terms of decision-making for all the regional units of Marriott, posing a significant control of the centralisation structure (</w:t>
      </w:r>
      <w:r>
        <w:rPr>
          <w:rFonts w:eastAsia="Times New Roman" w:cs="Times New Roman"/>
          <w:szCs w:val="24"/>
          <w:highlight w:val="white"/>
        </w:rPr>
        <w:t>Marriott International, 2025c)</w:t>
      </w:r>
      <w:r>
        <w:rPr>
          <w:rFonts w:eastAsia="Times New Roman" w:cs="Times New Roman"/>
          <w:szCs w:val="24"/>
        </w:rPr>
        <w:t xml:space="preserve">. Overall, the adaptation to both matrix and centralisation structures forming a hybrid structure helps in maintaining a uniform brand image along with consistent service quality throughout the regions. </w:t>
      </w:r>
    </w:p>
    <w:p w14:paraId="195BCA77" w14:textId="77777777" w:rsidR="006231D7" w:rsidRDefault="006231D7" w:rsidP="006231D7">
      <w:pPr>
        <w:pBdr>
          <w:top w:val="nil"/>
          <w:left w:val="nil"/>
          <w:bottom w:val="nil"/>
          <w:right w:val="nil"/>
          <w:between w:val="nil"/>
        </w:pBdr>
        <w:rPr>
          <w:rFonts w:eastAsia="Times New Roman" w:cs="Times New Roman"/>
          <w:b/>
          <w:szCs w:val="24"/>
        </w:rPr>
      </w:pPr>
      <w:r>
        <w:rPr>
          <w:rFonts w:eastAsia="Times New Roman" w:cs="Times New Roman"/>
          <w:b/>
          <w:szCs w:val="24"/>
        </w:rPr>
        <w:t xml:space="preserve">Corporate culture of Marriott International </w:t>
      </w:r>
    </w:p>
    <w:p w14:paraId="7172EB4E"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An organisational culture of corporate culture is described as a system of common beliefs and values that assists individuals in comprehending how organisations operate and thus convey them with conventions for behaviour in the company (</w:t>
      </w:r>
      <w:proofErr w:type="spellStart"/>
      <w:r>
        <w:rPr>
          <w:rFonts w:eastAsia="Times New Roman" w:cs="Times New Roman"/>
          <w:szCs w:val="24"/>
          <w:highlight w:val="white"/>
        </w:rPr>
        <w:t>Iranmanesh</w:t>
      </w:r>
      <w:proofErr w:type="spellEnd"/>
      <w:r>
        <w:rPr>
          <w:rFonts w:eastAsia="Times New Roman" w:cs="Times New Roman"/>
          <w:szCs w:val="24"/>
          <w:highlight w:val="white"/>
        </w:rPr>
        <w:t xml:space="preserve"> </w:t>
      </w:r>
      <w:r>
        <w:rPr>
          <w:rFonts w:eastAsia="Times New Roman" w:cs="Times New Roman"/>
          <w:i/>
          <w:szCs w:val="24"/>
          <w:highlight w:val="white"/>
        </w:rPr>
        <w:t xml:space="preserve">et al. </w:t>
      </w:r>
      <w:r>
        <w:rPr>
          <w:rFonts w:eastAsia="Times New Roman" w:cs="Times New Roman"/>
          <w:szCs w:val="24"/>
          <w:highlight w:val="white"/>
        </w:rPr>
        <w:t>2021</w:t>
      </w:r>
      <w:r>
        <w:rPr>
          <w:rFonts w:eastAsia="Times New Roman" w:cs="Times New Roman"/>
          <w:szCs w:val="24"/>
        </w:rPr>
        <w:t>). To create a competitive edge and hence improve efficiency, the corporate culture supports additional capabilities (</w:t>
      </w:r>
      <w:r>
        <w:rPr>
          <w:rFonts w:eastAsia="Times New Roman" w:cs="Times New Roman"/>
          <w:szCs w:val="24"/>
          <w:highlight w:val="white"/>
        </w:rPr>
        <w:t>Armstrong, 2012)</w:t>
      </w:r>
      <w:r>
        <w:rPr>
          <w:rFonts w:eastAsia="Times New Roman" w:cs="Times New Roman"/>
          <w:szCs w:val="24"/>
        </w:rPr>
        <w:t xml:space="preserve">. According to Hofstede’s cultural dimensions, every organisation has the potential to favour certain dimensions in its core </w:t>
      </w:r>
      <w:proofErr w:type="gramStart"/>
      <w:r>
        <w:rPr>
          <w:rFonts w:eastAsia="Times New Roman" w:cs="Times New Roman"/>
          <w:szCs w:val="24"/>
        </w:rPr>
        <w:t>operation;</w:t>
      </w:r>
      <w:proofErr w:type="gramEnd"/>
      <w:r>
        <w:rPr>
          <w:rFonts w:eastAsia="Times New Roman" w:cs="Times New Roman"/>
          <w:szCs w:val="24"/>
        </w:rPr>
        <w:t xml:space="preserve"> including power distance, masculinity/femininity, individualism/collectivism, long-term orientation, and uncertainty avoidance (</w:t>
      </w:r>
      <w:proofErr w:type="spellStart"/>
      <w:r>
        <w:rPr>
          <w:rFonts w:eastAsia="Times New Roman" w:cs="Times New Roman"/>
          <w:szCs w:val="24"/>
          <w:highlight w:val="white"/>
        </w:rPr>
        <w:t>Żemojtel</w:t>
      </w:r>
      <w:proofErr w:type="spellEnd"/>
      <w:r>
        <w:rPr>
          <w:rFonts w:eastAsia="Times New Roman" w:cs="Times New Roman"/>
          <w:szCs w:val="24"/>
          <w:highlight w:val="white"/>
        </w:rPr>
        <w:t>-Piotrowska and Piotrowski, 2023</w:t>
      </w:r>
      <w:r>
        <w:rPr>
          <w:rFonts w:eastAsia="Times New Roman" w:cs="Times New Roman"/>
          <w:szCs w:val="24"/>
        </w:rPr>
        <w:t xml:space="preserve">). </w:t>
      </w:r>
    </w:p>
    <w:p w14:paraId="60B9F264"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 xml:space="preserve">The core values of the company drive the cultural association of it. </w:t>
      </w:r>
      <w:proofErr w:type="gramStart"/>
      <w:r>
        <w:rPr>
          <w:rFonts w:eastAsia="Times New Roman" w:cs="Times New Roman"/>
          <w:szCs w:val="24"/>
        </w:rPr>
        <w:t>It can be seen that Marriott</w:t>
      </w:r>
      <w:proofErr w:type="gramEnd"/>
      <w:r>
        <w:rPr>
          <w:rFonts w:eastAsia="Times New Roman" w:cs="Times New Roman"/>
          <w:szCs w:val="24"/>
        </w:rPr>
        <w:t xml:space="preserve"> has maintained a low score in terms of power distance due to their people-first commitment to preserve leadership. In terms of masculinity/femininity, the organisation has fostered no </w:t>
      </w:r>
      <w:r>
        <w:rPr>
          <w:rFonts w:eastAsia="Times New Roman" w:cs="Times New Roman"/>
          <w:szCs w:val="24"/>
        </w:rPr>
        <w:lastRenderedPageBreak/>
        <w:t>differentiation prospect by providing equal opportunity and work without discrimination. To preserve effective performance and organisational growth it can be evaluated that, Marriott International has emphasised a healthy individualism and collectivism factor by the equal premise (</w:t>
      </w:r>
      <w:r>
        <w:rPr>
          <w:rFonts w:eastAsia="Times New Roman" w:cs="Times New Roman"/>
          <w:szCs w:val="24"/>
          <w:highlight w:val="white"/>
        </w:rPr>
        <w:t>Marriott International, 2025b</w:t>
      </w:r>
      <w:r>
        <w:rPr>
          <w:rFonts w:eastAsia="Times New Roman" w:cs="Times New Roman"/>
          <w:szCs w:val="24"/>
        </w:rPr>
        <w:t xml:space="preserve">). The organisation promotes the long-term orientation of its management by working on employee learning and management. While the uncertainty avoidance score of the organisation is low as it poses an effective decision-making process while being open to challenges. </w:t>
      </w:r>
    </w:p>
    <w:p w14:paraId="5894C543"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b/>
          <w:szCs w:val="24"/>
        </w:rPr>
        <w:t>The goal of the organisation</w:t>
      </w:r>
      <w:r>
        <w:rPr>
          <w:rFonts w:eastAsia="Times New Roman" w:cs="Times New Roman"/>
          <w:szCs w:val="24"/>
        </w:rPr>
        <w:t xml:space="preserve"> </w:t>
      </w:r>
    </w:p>
    <w:p w14:paraId="5E607A7F"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The organisation is working to be a sustainable, responsible, and inclusive company in the hospitality sector. They work effectively to create sustainable solutions for vacations and enable significant leisure experiences for their customers (</w:t>
      </w:r>
      <w:r>
        <w:rPr>
          <w:rFonts w:eastAsia="Times New Roman" w:cs="Times New Roman"/>
          <w:szCs w:val="24"/>
          <w:highlight w:val="white"/>
        </w:rPr>
        <w:t>Marriott International, 2025d)</w:t>
      </w:r>
      <w:r>
        <w:rPr>
          <w:rFonts w:eastAsia="Times New Roman" w:cs="Times New Roman"/>
          <w:szCs w:val="24"/>
        </w:rPr>
        <w:t>. With a core concentration on customer engagement, the company works inclusively in every part of the world to provide good food and experience to the customers. They are aware of the competitive marketplace and the changing needs of the customers. To tackle the situation, Marriott International is continually working on leadership development and augmentation to effective operation management. With a goal of innovation, the organisation is developing unique choices with cutting-edge technology adaptation (</w:t>
      </w:r>
      <w:r>
        <w:rPr>
          <w:rFonts w:eastAsia="Times New Roman" w:cs="Times New Roman"/>
          <w:szCs w:val="24"/>
          <w:highlight w:val="white"/>
        </w:rPr>
        <w:t>Marriott International, 2025d</w:t>
      </w:r>
      <w:r>
        <w:rPr>
          <w:rFonts w:eastAsia="Times New Roman" w:cs="Times New Roman"/>
          <w:szCs w:val="24"/>
        </w:rPr>
        <w:t xml:space="preserve">). </w:t>
      </w:r>
    </w:p>
    <w:p w14:paraId="36484E34" w14:textId="77777777" w:rsidR="006231D7" w:rsidRDefault="006231D7" w:rsidP="006231D7">
      <w:pPr>
        <w:pStyle w:val="Heading2"/>
      </w:pPr>
      <w:bookmarkStart w:id="3" w:name="_heading=h.1fob9te" w:colFirst="0" w:colLast="0"/>
      <w:bookmarkEnd w:id="3"/>
      <w:r>
        <w:t>Recent Change Initiative</w:t>
      </w:r>
    </w:p>
    <w:p w14:paraId="0EECE23B" w14:textId="20894FBC"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The term "organisational change" describes the measures taken by a firm or company that modifies a significant aspect of its framework, regardless of the internal policies, foundational framework or technology, or corporate culture in the organisational behaviour aspect (</w:t>
      </w:r>
      <w:proofErr w:type="spellStart"/>
      <w:r>
        <w:rPr>
          <w:rFonts w:eastAsia="Times New Roman" w:cs="Times New Roman"/>
          <w:szCs w:val="24"/>
          <w:highlight w:val="white"/>
        </w:rPr>
        <w:t>Errida</w:t>
      </w:r>
      <w:proofErr w:type="spellEnd"/>
      <w:r>
        <w:rPr>
          <w:rFonts w:eastAsia="Times New Roman" w:cs="Times New Roman"/>
          <w:szCs w:val="24"/>
          <w:highlight w:val="white"/>
        </w:rPr>
        <w:t xml:space="preserve"> and Lotfi, 2021</w:t>
      </w:r>
      <w:r>
        <w:rPr>
          <w:rFonts w:eastAsia="Times New Roman" w:cs="Times New Roman"/>
          <w:szCs w:val="24"/>
        </w:rPr>
        <w:t>). The approach of leading the change within an organisation towards an effective conclusion is known as organisational change management (</w:t>
      </w:r>
      <w:proofErr w:type="spellStart"/>
      <w:r>
        <w:rPr>
          <w:rFonts w:eastAsia="Times New Roman" w:cs="Times New Roman"/>
          <w:szCs w:val="24"/>
          <w:highlight w:val="white"/>
        </w:rPr>
        <w:t>Bloisi</w:t>
      </w:r>
      <w:proofErr w:type="spellEnd"/>
      <w:r>
        <w:rPr>
          <w:rFonts w:eastAsia="Times New Roman" w:cs="Times New Roman"/>
          <w:szCs w:val="24"/>
          <w:highlight w:val="white"/>
        </w:rPr>
        <w:t xml:space="preserve"> </w:t>
      </w:r>
      <w:r>
        <w:rPr>
          <w:rFonts w:eastAsia="Times New Roman" w:cs="Times New Roman"/>
          <w:i/>
          <w:szCs w:val="24"/>
          <w:highlight w:val="white"/>
        </w:rPr>
        <w:t>et al</w:t>
      </w:r>
      <w:r>
        <w:rPr>
          <w:rFonts w:eastAsia="Times New Roman" w:cs="Times New Roman"/>
          <w:szCs w:val="24"/>
          <w:highlight w:val="white"/>
        </w:rPr>
        <w:t>. 2017</w:t>
      </w:r>
      <w:r>
        <w:rPr>
          <w:rFonts w:eastAsia="Times New Roman" w:cs="Times New Roman"/>
          <w:szCs w:val="24"/>
        </w:rPr>
        <w:t xml:space="preserve">). There are two broad categories of changes that are associated with organisational behaviour </w:t>
      </w:r>
      <w:r w:rsidR="00A212B2">
        <w:rPr>
          <w:rFonts w:eastAsia="Times New Roman" w:cs="Times New Roman"/>
          <w:szCs w:val="24"/>
        </w:rPr>
        <w:t>theory:</w:t>
      </w:r>
      <w:r>
        <w:rPr>
          <w:rFonts w:eastAsia="Times New Roman" w:cs="Times New Roman"/>
          <w:szCs w:val="24"/>
        </w:rPr>
        <w:t xml:space="preserve"> adaptive change and transformational change (</w:t>
      </w:r>
      <w:r>
        <w:rPr>
          <w:rFonts w:eastAsia="Times New Roman" w:cs="Times New Roman"/>
          <w:szCs w:val="24"/>
          <w:highlight w:val="white"/>
        </w:rPr>
        <w:t>Mullins, 2023)</w:t>
      </w:r>
      <w:r>
        <w:rPr>
          <w:rFonts w:eastAsia="Times New Roman" w:cs="Times New Roman"/>
          <w:szCs w:val="24"/>
        </w:rPr>
        <w:t>. In this context, adaptive change deals with short and incremental changes, which need to be considered for overall organisational growth, on the other hand, transformational changes often deal with large-scale practice changes that need effective planning, implementation, and adaptation (</w:t>
      </w:r>
      <w:proofErr w:type="spellStart"/>
      <w:r>
        <w:rPr>
          <w:rFonts w:eastAsia="Times New Roman" w:cs="Times New Roman"/>
          <w:szCs w:val="24"/>
          <w:highlight w:val="white"/>
        </w:rPr>
        <w:t>Wijethilake</w:t>
      </w:r>
      <w:proofErr w:type="spellEnd"/>
      <w:r>
        <w:rPr>
          <w:rFonts w:eastAsia="Times New Roman" w:cs="Times New Roman"/>
          <w:szCs w:val="24"/>
          <w:highlight w:val="white"/>
        </w:rPr>
        <w:t xml:space="preserve"> </w:t>
      </w:r>
      <w:r>
        <w:rPr>
          <w:rFonts w:eastAsia="Times New Roman" w:cs="Times New Roman"/>
          <w:i/>
          <w:szCs w:val="24"/>
          <w:highlight w:val="white"/>
        </w:rPr>
        <w:t xml:space="preserve">et al. </w:t>
      </w:r>
      <w:r>
        <w:rPr>
          <w:rFonts w:eastAsia="Times New Roman" w:cs="Times New Roman"/>
          <w:szCs w:val="24"/>
          <w:highlight w:val="white"/>
        </w:rPr>
        <w:t>2023</w:t>
      </w:r>
      <w:r>
        <w:rPr>
          <w:rFonts w:eastAsia="Times New Roman" w:cs="Times New Roman"/>
          <w:szCs w:val="24"/>
        </w:rPr>
        <w:t>)</w:t>
      </w:r>
    </w:p>
    <w:p w14:paraId="30AFB3E5"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In describing the change initiative and its management within Marriott International, Lewin’s change management model can be utilised. According to this model, change management in an organisational setting goes under three interlinked stages; unfreezing, change, and refreezing (</w:t>
      </w:r>
      <w:r>
        <w:rPr>
          <w:rFonts w:eastAsia="Times New Roman" w:cs="Times New Roman"/>
          <w:szCs w:val="24"/>
          <w:highlight w:val="white"/>
        </w:rPr>
        <w:t xml:space="preserve">Allam </w:t>
      </w:r>
      <w:r>
        <w:rPr>
          <w:rFonts w:eastAsia="Times New Roman" w:cs="Times New Roman"/>
          <w:i/>
          <w:szCs w:val="24"/>
          <w:highlight w:val="white"/>
        </w:rPr>
        <w:t xml:space="preserve">et al. </w:t>
      </w:r>
      <w:r>
        <w:rPr>
          <w:rFonts w:eastAsia="Times New Roman" w:cs="Times New Roman"/>
          <w:szCs w:val="24"/>
          <w:highlight w:val="white"/>
        </w:rPr>
        <w:t>2024)</w:t>
      </w:r>
      <w:r>
        <w:rPr>
          <w:rFonts w:eastAsia="Times New Roman" w:cs="Times New Roman"/>
          <w:szCs w:val="24"/>
        </w:rPr>
        <w:t xml:space="preserve">. In the unfreezing stage, an organisation needs to evaluate the drivers for </w:t>
      </w:r>
      <w:r>
        <w:rPr>
          <w:rFonts w:eastAsia="Times New Roman" w:cs="Times New Roman"/>
          <w:szCs w:val="24"/>
        </w:rPr>
        <w:lastRenderedPageBreak/>
        <w:t>change in its internal and external aspects. With an effective understanding of the company's core values, beliefs, and purpose unfreezing begins (</w:t>
      </w:r>
      <w:r>
        <w:rPr>
          <w:rFonts w:eastAsia="Times New Roman" w:cs="Times New Roman"/>
          <w:szCs w:val="24"/>
          <w:highlight w:val="white"/>
        </w:rPr>
        <w:t xml:space="preserve">Allam </w:t>
      </w:r>
      <w:r>
        <w:rPr>
          <w:rFonts w:eastAsia="Times New Roman" w:cs="Times New Roman"/>
          <w:i/>
          <w:szCs w:val="24"/>
          <w:highlight w:val="white"/>
        </w:rPr>
        <w:t xml:space="preserve">et al. </w:t>
      </w:r>
      <w:r>
        <w:rPr>
          <w:rFonts w:eastAsia="Times New Roman" w:cs="Times New Roman"/>
          <w:szCs w:val="24"/>
          <w:highlight w:val="white"/>
        </w:rPr>
        <w:t>2024</w:t>
      </w:r>
      <w:r>
        <w:rPr>
          <w:rFonts w:eastAsia="Times New Roman" w:cs="Times New Roman"/>
          <w:szCs w:val="24"/>
        </w:rPr>
        <w:t>). In the change process, actual change happens followed by incremental adaptation for the betterment of the overall operation. In the last stage, the organisation reviews the change based on the core values. Marriott implemented policy and practice changes to tackle environmental implications.</w:t>
      </w:r>
    </w:p>
    <w:p w14:paraId="5F953673" w14:textId="77777777" w:rsidR="006231D7" w:rsidRDefault="006231D7" w:rsidP="006231D7">
      <w:pPr>
        <w:pBdr>
          <w:top w:val="nil"/>
          <w:left w:val="nil"/>
          <w:bottom w:val="nil"/>
          <w:right w:val="nil"/>
          <w:between w:val="nil"/>
        </w:pBdr>
        <w:jc w:val="center"/>
        <w:rPr>
          <w:rFonts w:eastAsia="Times New Roman" w:cs="Times New Roman"/>
          <w:szCs w:val="24"/>
        </w:rPr>
      </w:pPr>
      <w:r>
        <w:rPr>
          <w:rFonts w:eastAsia="Times New Roman" w:cs="Times New Roman"/>
          <w:noProof/>
          <w:szCs w:val="24"/>
        </w:rPr>
        <w:drawing>
          <wp:inline distT="114300" distB="114300" distL="114300" distR="114300" wp14:anchorId="11D17329" wp14:editId="391E8782">
            <wp:extent cx="5162550" cy="2562225"/>
            <wp:effectExtent l="12700" t="12700" r="12700" b="12700"/>
            <wp:docPr id="4" name="image2.png" descr="A diagram of a change process&#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2.png" descr="A diagram of a change process&#10;&#10;AI-generated content may be incorrect."/>
                    <pic:cNvPicPr preferRelativeResize="0"/>
                  </pic:nvPicPr>
                  <pic:blipFill>
                    <a:blip r:embed="rId6"/>
                    <a:srcRect/>
                    <a:stretch>
                      <a:fillRect/>
                    </a:stretch>
                  </pic:blipFill>
                  <pic:spPr>
                    <a:xfrm>
                      <a:off x="0" y="0"/>
                      <a:ext cx="5162550" cy="2562225"/>
                    </a:xfrm>
                    <a:prstGeom prst="rect">
                      <a:avLst/>
                    </a:prstGeom>
                    <a:ln w="12700">
                      <a:solidFill>
                        <a:srgbClr val="000000"/>
                      </a:solidFill>
                      <a:prstDash val="solid"/>
                    </a:ln>
                  </pic:spPr>
                </pic:pic>
              </a:graphicData>
            </a:graphic>
          </wp:inline>
        </w:drawing>
      </w:r>
    </w:p>
    <w:p w14:paraId="7A56C6F2" w14:textId="77777777" w:rsidR="006231D7" w:rsidRDefault="006231D7" w:rsidP="006231D7">
      <w:pPr>
        <w:pBdr>
          <w:top w:val="nil"/>
          <w:left w:val="nil"/>
          <w:bottom w:val="nil"/>
          <w:right w:val="nil"/>
          <w:between w:val="nil"/>
        </w:pBdr>
        <w:jc w:val="center"/>
        <w:rPr>
          <w:rFonts w:eastAsia="Times New Roman" w:cs="Times New Roman"/>
          <w:b/>
          <w:szCs w:val="24"/>
        </w:rPr>
      </w:pPr>
      <w:r>
        <w:rPr>
          <w:rFonts w:eastAsia="Times New Roman" w:cs="Times New Roman"/>
          <w:b/>
          <w:szCs w:val="24"/>
        </w:rPr>
        <w:t xml:space="preserve">Figure 2: Change management model </w:t>
      </w:r>
    </w:p>
    <w:p w14:paraId="6E1B24B4" w14:textId="77777777" w:rsidR="006231D7" w:rsidRDefault="006231D7" w:rsidP="006231D7">
      <w:pPr>
        <w:pBdr>
          <w:top w:val="nil"/>
          <w:left w:val="nil"/>
          <w:bottom w:val="nil"/>
          <w:right w:val="nil"/>
          <w:between w:val="nil"/>
        </w:pBdr>
        <w:jc w:val="center"/>
        <w:rPr>
          <w:rFonts w:eastAsia="Times New Roman" w:cs="Times New Roman"/>
          <w:szCs w:val="24"/>
        </w:rPr>
      </w:pPr>
      <w:r>
        <w:rPr>
          <w:rFonts w:eastAsia="Times New Roman" w:cs="Times New Roman"/>
          <w:szCs w:val="24"/>
        </w:rPr>
        <w:t xml:space="preserve">(Source: </w:t>
      </w:r>
      <w:r>
        <w:rPr>
          <w:rFonts w:eastAsia="Times New Roman" w:cs="Times New Roman"/>
          <w:color w:val="222222"/>
          <w:szCs w:val="24"/>
          <w:highlight w:val="white"/>
        </w:rPr>
        <w:t xml:space="preserve">Hussain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2018)</w:t>
      </w:r>
    </w:p>
    <w:p w14:paraId="225BF1B9" w14:textId="77777777" w:rsidR="006231D7" w:rsidRDefault="006231D7" w:rsidP="006231D7">
      <w:pPr>
        <w:pBdr>
          <w:top w:val="nil"/>
          <w:left w:val="nil"/>
          <w:bottom w:val="nil"/>
          <w:right w:val="nil"/>
          <w:between w:val="nil"/>
        </w:pBdr>
        <w:rPr>
          <w:rFonts w:eastAsia="Times New Roman" w:cs="Times New Roman"/>
          <w:b/>
          <w:szCs w:val="24"/>
        </w:rPr>
      </w:pPr>
      <w:r>
        <w:rPr>
          <w:rFonts w:eastAsia="Times New Roman" w:cs="Times New Roman"/>
          <w:b/>
          <w:szCs w:val="24"/>
        </w:rPr>
        <w:t xml:space="preserve">Unfreezing: </w:t>
      </w:r>
    </w:p>
    <w:p w14:paraId="3C550213"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Environmental sustainability has become a prominent factor of every organisation to improve business management from every perspective. Marriott International is a multi-level company that has made a great contribution to environmental issues throughout its operation. The organisation is energised by accomplishing this important target and is dedicated to fostering substantial enhancements to biodiversity as it continues to bring together communities via the influence of tourism.</w:t>
      </w:r>
    </w:p>
    <w:p w14:paraId="243D71C3" w14:textId="77777777" w:rsidR="006231D7" w:rsidRDefault="006231D7" w:rsidP="006231D7">
      <w:pPr>
        <w:pBdr>
          <w:top w:val="nil"/>
          <w:left w:val="nil"/>
          <w:bottom w:val="nil"/>
          <w:right w:val="nil"/>
          <w:between w:val="nil"/>
        </w:pBdr>
        <w:rPr>
          <w:rFonts w:eastAsia="Times New Roman" w:cs="Times New Roman"/>
          <w:b/>
          <w:szCs w:val="24"/>
        </w:rPr>
      </w:pPr>
      <w:r>
        <w:rPr>
          <w:rFonts w:eastAsia="Times New Roman" w:cs="Times New Roman"/>
          <w:b/>
          <w:szCs w:val="24"/>
        </w:rPr>
        <w:t xml:space="preserve">Change: </w:t>
      </w:r>
    </w:p>
    <w:p w14:paraId="64421E07"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 xml:space="preserve">Systematically within 2030, the multinational hotel industry wants to cut overall Scope 1 and 2 greenhouse gas emissions by 46.2% compared to an initial baseline established in </w:t>
      </w:r>
      <w:proofErr w:type="gramStart"/>
      <w:r>
        <w:rPr>
          <w:rFonts w:eastAsia="Times New Roman" w:cs="Times New Roman"/>
          <w:szCs w:val="24"/>
        </w:rPr>
        <w:t>2019  (</w:t>
      </w:r>
      <w:proofErr w:type="gramEnd"/>
      <w:r>
        <w:rPr>
          <w:rFonts w:eastAsia="Times New Roman" w:cs="Times New Roman"/>
          <w:szCs w:val="24"/>
          <w:highlight w:val="white"/>
        </w:rPr>
        <w:t>Marriott, 2025b)</w:t>
      </w:r>
      <w:r>
        <w:rPr>
          <w:rFonts w:eastAsia="Times New Roman" w:cs="Times New Roman"/>
          <w:szCs w:val="24"/>
        </w:rPr>
        <w:t>. Furthermore, by 2030, it aims to reduce aggregate greenhouse gas (GHG) emissions from Scope 3 by 27.5%, which includes waste management, energy use, and staff transportation. Marriott International has recently implemented its "climate action program (CAP)" while establishing specific carbon emission and energy reduction goals across every maintained and franchised property as part of its environmental efforts (</w:t>
      </w:r>
      <w:r>
        <w:rPr>
          <w:rFonts w:eastAsia="Times New Roman" w:cs="Times New Roman"/>
          <w:szCs w:val="24"/>
          <w:highlight w:val="white"/>
        </w:rPr>
        <w:t>Marriott, 2025b)</w:t>
      </w:r>
      <w:r>
        <w:rPr>
          <w:rFonts w:eastAsia="Times New Roman" w:cs="Times New Roman"/>
          <w:szCs w:val="24"/>
        </w:rPr>
        <w:t xml:space="preserve">. By 2050, the corporation wants to reduce its Scope 1 and 2 emissions of greenhouse gases by 90% </w:t>
      </w:r>
      <w:r>
        <w:rPr>
          <w:rFonts w:eastAsia="Times New Roman" w:cs="Times New Roman"/>
          <w:szCs w:val="24"/>
        </w:rPr>
        <w:lastRenderedPageBreak/>
        <w:t xml:space="preserve">in total along with Scope 3 emission levels. The elimination of emissions from renewable materials will be included in the goal perimeter. </w:t>
      </w:r>
    </w:p>
    <w:p w14:paraId="5786EABA" w14:textId="77777777" w:rsidR="006231D7" w:rsidRDefault="006231D7" w:rsidP="006231D7">
      <w:pPr>
        <w:pBdr>
          <w:top w:val="nil"/>
          <w:left w:val="nil"/>
          <w:bottom w:val="nil"/>
          <w:right w:val="nil"/>
          <w:between w:val="nil"/>
        </w:pBdr>
        <w:rPr>
          <w:rFonts w:eastAsia="Times New Roman" w:cs="Times New Roman"/>
          <w:b/>
          <w:szCs w:val="24"/>
        </w:rPr>
      </w:pPr>
      <w:r>
        <w:rPr>
          <w:rFonts w:eastAsia="Times New Roman" w:cs="Times New Roman"/>
          <w:b/>
          <w:szCs w:val="24"/>
        </w:rPr>
        <w:t xml:space="preserve">Refreezing: </w:t>
      </w:r>
    </w:p>
    <w:p w14:paraId="6DE7C8E5"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The sustainability strategy of Marriott is concentrated on a range of activities such as resource-efficient hotel design, technology implementation for tracking water and energy consumption, reducing water and energy usage, and reducing food waste with great management of operational efficiency. In the initiative to be a net-zero organisation by 2030, the organisation needs to track the progress of the Climate Action Programme (CAP) in line with organisational sustainability with the effective reduction of GHG emissions, food waste, and energy waste. With effective management and leadership, property-specific target development and overall change management are essential in this context (</w:t>
      </w:r>
      <w:r>
        <w:rPr>
          <w:rFonts w:eastAsia="Times New Roman" w:cs="Times New Roman"/>
          <w:szCs w:val="24"/>
          <w:highlight w:val="white"/>
        </w:rPr>
        <w:t>Economic Times, 2025)</w:t>
      </w:r>
      <w:r>
        <w:rPr>
          <w:rFonts w:eastAsia="Times New Roman" w:cs="Times New Roman"/>
          <w:szCs w:val="24"/>
        </w:rPr>
        <w:t xml:space="preserve">. </w:t>
      </w:r>
    </w:p>
    <w:p w14:paraId="7012E589" w14:textId="77777777" w:rsidR="006231D7" w:rsidRDefault="006231D7" w:rsidP="006231D7">
      <w:pPr>
        <w:pStyle w:val="Heading2"/>
      </w:pPr>
      <w:bookmarkStart w:id="4" w:name="_heading=h.3znysh7" w:colFirst="0" w:colLast="0"/>
      <w:bookmarkEnd w:id="4"/>
      <w:r>
        <w:t>Strategic Direction</w:t>
      </w:r>
    </w:p>
    <w:p w14:paraId="1FFCABC9" w14:textId="77777777" w:rsidR="006231D7" w:rsidRDefault="006231D7" w:rsidP="006231D7">
      <w:pPr>
        <w:pBdr>
          <w:top w:val="nil"/>
          <w:left w:val="nil"/>
          <w:bottom w:val="nil"/>
          <w:right w:val="nil"/>
          <w:between w:val="nil"/>
        </w:pBdr>
        <w:jc w:val="center"/>
        <w:rPr>
          <w:rFonts w:eastAsia="Times New Roman" w:cs="Times New Roman"/>
          <w:b/>
          <w:szCs w:val="24"/>
        </w:rPr>
      </w:pPr>
      <w:r>
        <w:rPr>
          <w:rFonts w:eastAsia="Times New Roman" w:cs="Times New Roman"/>
          <w:b/>
          <w:noProof/>
          <w:szCs w:val="24"/>
        </w:rPr>
        <w:drawing>
          <wp:inline distT="114300" distB="114300" distL="114300" distR="114300" wp14:anchorId="28BFB84C" wp14:editId="63414D68">
            <wp:extent cx="3862388" cy="2842255"/>
            <wp:effectExtent l="12700" t="12700" r="12700" b="12700"/>
            <wp:docPr id="6" name="image3.png" descr="A group of luggage boxes&#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3.png" descr="A group of luggage boxes&#10;&#10;AI-generated content may be incorrect."/>
                    <pic:cNvPicPr preferRelativeResize="0"/>
                  </pic:nvPicPr>
                  <pic:blipFill>
                    <a:blip r:embed="rId7"/>
                    <a:srcRect/>
                    <a:stretch>
                      <a:fillRect/>
                    </a:stretch>
                  </pic:blipFill>
                  <pic:spPr>
                    <a:xfrm>
                      <a:off x="0" y="0"/>
                      <a:ext cx="3862388" cy="2842255"/>
                    </a:xfrm>
                    <a:prstGeom prst="rect">
                      <a:avLst/>
                    </a:prstGeom>
                    <a:ln w="12700">
                      <a:solidFill>
                        <a:srgbClr val="000000"/>
                      </a:solidFill>
                      <a:prstDash val="solid"/>
                    </a:ln>
                  </pic:spPr>
                </pic:pic>
              </a:graphicData>
            </a:graphic>
          </wp:inline>
        </w:drawing>
      </w:r>
    </w:p>
    <w:p w14:paraId="3B5710F7" w14:textId="77777777" w:rsidR="006231D7" w:rsidRDefault="006231D7" w:rsidP="006231D7">
      <w:pPr>
        <w:pBdr>
          <w:top w:val="nil"/>
          <w:left w:val="nil"/>
          <w:bottom w:val="nil"/>
          <w:right w:val="nil"/>
          <w:between w:val="nil"/>
        </w:pBdr>
        <w:jc w:val="center"/>
        <w:rPr>
          <w:rFonts w:eastAsia="Times New Roman" w:cs="Times New Roman"/>
          <w:b/>
          <w:szCs w:val="24"/>
        </w:rPr>
      </w:pPr>
      <w:r>
        <w:rPr>
          <w:rFonts w:eastAsia="Times New Roman" w:cs="Times New Roman"/>
          <w:b/>
          <w:szCs w:val="24"/>
        </w:rPr>
        <w:t xml:space="preserve">Figure 3: Company strategy of Marriott International </w:t>
      </w:r>
    </w:p>
    <w:p w14:paraId="1632B07F" w14:textId="77777777" w:rsidR="006231D7" w:rsidRDefault="006231D7" w:rsidP="006231D7">
      <w:pPr>
        <w:pBdr>
          <w:top w:val="nil"/>
          <w:left w:val="nil"/>
          <w:bottom w:val="nil"/>
          <w:right w:val="nil"/>
          <w:between w:val="nil"/>
        </w:pBdr>
        <w:jc w:val="center"/>
        <w:rPr>
          <w:rFonts w:eastAsia="Times New Roman" w:cs="Times New Roman"/>
          <w:szCs w:val="24"/>
        </w:rPr>
      </w:pPr>
      <w:r>
        <w:rPr>
          <w:rFonts w:eastAsia="Times New Roman" w:cs="Times New Roman"/>
          <w:szCs w:val="24"/>
        </w:rPr>
        <w:t xml:space="preserve">(Source: </w:t>
      </w:r>
      <w:r>
        <w:rPr>
          <w:rFonts w:eastAsia="Times New Roman" w:cs="Times New Roman"/>
          <w:szCs w:val="24"/>
          <w:highlight w:val="white"/>
        </w:rPr>
        <w:t>Marriott International, 2025b)</w:t>
      </w:r>
    </w:p>
    <w:p w14:paraId="31A9A6AB"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szCs w:val="24"/>
        </w:rPr>
        <w:t>The strategic direction of a company is focused on the internal and external environment analysis leveraged for goal achievement. Constructing an effective barrier against competing factors is the meaning of competitive strategy (</w:t>
      </w:r>
      <w:r>
        <w:rPr>
          <w:rFonts w:eastAsia="Times New Roman" w:cs="Times New Roman"/>
          <w:szCs w:val="24"/>
          <w:highlight w:val="white"/>
        </w:rPr>
        <w:t xml:space="preserve">Islami </w:t>
      </w:r>
      <w:r>
        <w:rPr>
          <w:rFonts w:eastAsia="Times New Roman" w:cs="Times New Roman"/>
          <w:i/>
          <w:szCs w:val="24"/>
          <w:highlight w:val="white"/>
        </w:rPr>
        <w:t xml:space="preserve">et al. </w:t>
      </w:r>
      <w:r>
        <w:rPr>
          <w:rFonts w:eastAsia="Times New Roman" w:cs="Times New Roman"/>
          <w:szCs w:val="24"/>
          <w:highlight w:val="white"/>
        </w:rPr>
        <w:t>2023</w:t>
      </w:r>
      <w:r>
        <w:rPr>
          <w:rFonts w:eastAsia="Times New Roman" w:cs="Times New Roman"/>
          <w:szCs w:val="24"/>
        </w:rPr>
        <w:t>). Businesses in the hospitality sector require a volatile position via its competitive approach for successfully navigating Porter's five conflicting forces and therefore, creating a sustainable competitive advantage (</w:t>
      </w:r>
      <w:r>
        <w:rPr>
          <w:rFonts w:eastAsia="Times New Roman" w:cs="Times New Roman"/>
          <w:szCs w:val="24"/>
          <w:highlight w:val="white"/>
        </w:rPr>
        <w:t xml:space="preserve">Memon </w:t>
      </w:r>
      <w:r>
        <w:rPr>
          <w:rFonts w:eastAsia="Times New Roman" w:cs="Times New Roman"/>
          <w:i/>
          <w:szCs w:val="24"/>
          <w:highlight w:val="white"/>
        </w:rPr>
        <w:t xml:space="preserve">et al. </w:t>
      </w:r>
      <w:r>
        <w:rPr>
          <w:rFonts w:eastAsia="Times New Roman" w:cs="Times New Roman"/>
          <w:szCs w:val="24"/>
          <w:highlight w:val="white"/>
        </w:rPr>
        <w:t>2021)</w:t>
      </w:r>
      <w:r>
        <w:rPr>
          <w:rFonts w:eastAsia="Times New Roman" w:cs="Times New Roman"/>
          <w:szCs w:val="24"/>
        </w:rPr>
        <w:t xml:space="preserve">. In Porter’s generic forces, five competitive approaches can be mentioned; cost leadership, differentiation, and focus, each of the components provides insights into the </w:t>
      </w:r>
      <w:r>
        <w:rPr>
          <w:rFonts w:eastAsia="Times New Roman" w:cs="Times New Roman"/>
          <w:szCs w:val="24"/>
        </w:rPr>
        <w:lastRenderedPageBreak/>
        <w:t>market and competitive advantages (</w:t>
      </w:r>
      <w:r>
        <w:rPr>
          <w:rFonts w:eastAsia="Times New Roman" w:cs="Times New Roman"/>
          <w:szCs w:val="24"/>
          <w:highlight w:val="white"/>
        </w:rPr>
        <w:t>Ali and Anwar, 2021)</w:t>
      </w:r>
      <w:r>
        <w:rPr>
          <w:rFonts w:eastAsia="Times New Roman" w:cs="Times New Roman"/>
          <w:szCs w:val="24"/>
        </w:rPr>
        <w:t>. Every generic strategy uses a distinct path to get a competitive edge. By using the cost leadership approach, the company can turn into the sector's lowest-cost creator or provider with a comparable earnings potential. The differentiation strategy enables the company to create or market distinctive goods or services (</w:t>
      </w:r>
      <w:r>
        <w:rPr>
          <w:rFonts w:eastAsia="Times New Roman" w:cs="Times New Roman"/>
          <w:szCs w:val="24"/>
          <w:highlight w:val="white"/>
        </w:rPr>
        <w:t>Ali and Anwar, 2021)</w:t>
      </w:r>
      <w:r>
        <w:rPr>
          <w:rFonts w:eastAsia="Times New Roman" w:cs="Times New Roman"/>
          <w:szCs w:val="24"/>
        </w:rPr>
        <w:t xml:space="preserve">. On the other hand, a focus strategy enables the company to effectively cater to a certain market sector or consumer base. It can be stated that Marriott International is concentrating on differentiation strategy implementation by fostering unique experiences and customer-focused service without solely focusing on any customer niche or unique cost leadership attributes. </w:t>
      </w:r>
    </w:p>
    <w:p w14:paraId="546BC03E" w14:textId="77777777" w:rsidR="006231D7" w:rsidRDefault="006231D7" w:rsidP="006231D7">
      <w:pPr>
        <w:pBdr>
          <w:top w:val="nil"/>
          <w:left w:val="nil"/>
          <w:bottom w:val="nil"/>
          <w:right w:val="nil"/>
          <w:between w:val="nil"/>
        </w:pBdr>
        <w:rPr>
          <w:rFonts w:eastAsia="Times New Roman" w:cs="Times New Roman"/>
          <w:b/>
          <w:szCs w:val="24"/>
        </w:rPr>
      </w:pPr>
      <w:r>
        <w:rPr>
          <w:rFonts w:eastAsia="Times New Roman" w:cs="Times New Roman"/>
          <w:b/>
          <w:szCs w:val="24"/>
        </w:rPr>
        <w:t>Strategies to meet long-term objectives</w:t>
      </w:r>
    </w:p>
    <w:p w14:paraId="44BAE75C"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b/>
          <w:i/>
          <w:szCs w:val="24"/>
        </w:rPr>
        <w:t>Diversity in the brand portfolio:</w:t>
      </w:r>
      <w:r>
        <w:rPr>
          <w:rFonts w:eastAsia="Times New Roman" w:cs="Times New Roman"/>
          <w:szCs w:val="24"/>
        </w:rPr>
        <w:t xml:space="preserve"> Marriott’s differentiation strategy includes exceptionally diverse brands of the organisation catering to the needs of every type of customer. In the luxury segment, Ritz-Carlton emphasises luxurious staying options while Courtyard by Marriott is associated with catering to the requirements of the mid-scale customer segment (</w:t>
      </w:r>
      <w:r>
        <w:rPr>
          <w:rFonts w:eastAsia="Times New Roman" w:cs="Times New Roman"/>
          <w:szCs w:val="24"/>
          <w:highlight w:val="white"/>
        </w:rPr>
        <w:t>Marriott, 2025a)</w:t>
      </w:r>
      <w:r>
        <w:rPr>
          <w:rFonts w:eastAsia="Times New Roman" w:cs="Times New Roman"/>
          <w:szCs w:val="24"/>
        </w:rPr>
        <w:t xml:space="preserve">. An upscale brand of the organisation is JW Marriott providing significantly diverse products and service offerings. Therefore, for each segment, Marriott has a lot of brands applicable to meet the demands of the customers in every domain. </w:t>
      </w:r>
    </w:p>
    <w:p w14:paraId="514A9049" w14:textId="7BB41913" w:rsidR="006231D7" w:rsidRDefault="00CD6AF1" w:rsidP="006231D7">
      <w:pPr>
        <w:pBdr>
          <w:top w:val="nil"/>
          <w:left w:val="nil"/>
          <w:bottom w:val="nil"/>
          <w:right w:val="nil"/>
          <w:between w:val="nil"/>
        </w:pBdr>
        <w:rPr>
          <w:rFonts w:eastAsia="Times New Roman" w:cs="Times New Roman"/>
          <w:szCs w:val="24"/>
        </w:rPr>
      </w:pPr>
      <w:r>
        <w:rPr>
          <w:rFonts w:eastAsia="Times New Roman" w:cs="Times New Roman"/>
          <w:b/>
          <w:i/>
          <w:szCs w:val="24"/>
        </w:rPr>
        <w:t>Personalized</w:t>
      </w:r>
      <w:r w:rsidR="006231D7">
        <w:rPr>
          <w:rFonts w:eastAsia="Times New Roman" w:cs="Times New Roman"/>
          <w:b/>
          <w:i/>
          <w:szCs w:val="24"/>
        </w:rPr>
        <w:t xml:space="preserve"> experience: </w:t>
      </w:r>
      <w:r w:rsidR="006231D7">
        <w:rPr>
          <w:rFonts w:eastAsia="Times New Roman" w:cs="Times New Roman"/>
          <w:szCs w:val="24"/>
        </w:rPr>
        <w:t>Another context of differentiation objectives, Marriott is associated with providing excellent quality personalised experiences to its customers in their 8,484 facilities across the globe (</w:t>
      </w:r>
      <w:r w:rsidR="006231D7">
        <w:rPr>
          <w:rFonts w:eastAsia="Times New Roman" w:cs="Times New Roman"/>
          <w:szCs w:val="24"/>
          <w:highlight w:val="white"/>
        </w:rPr>
        <w:t>Marriott, 2025a)</w:t>
      </w:r>
      <w:r w:rsidR="006231D7">
        <w:rPr>
          <w:rFonts w:eastAsia="Times New Roman" w:cs="Times New Roman"/>
          <w:szCs w:val="24"/>
        </w:rPr>
        <w:t xml:space="preserve">. To maintain the large attributes, the company has incorporated local amenities and local experiences for the customers to maintain a sustainable culture throughout its locations. With guest-centric service options and imposing greater emphasis on customer choice, the company can cater to individualised custom experiences. </w:t>
      </w:r>
    </w:p>
    <w:p w14:paraId="348E0E85" w14:textId="77777777" w:rsidR="006231D7" w:rsidRDefault="006231D7" w:rsidP="006231D7">
      <w:pPr>
        <w:pBdr>
          <w:top w:val="nil"/>
          <w:left w:val="nil"/>
          <w:bottom w:val="nil"/>
          <w:right w:val="nil"/>
          <w:between w:val="nil"/>
        </w:pBdr>
        <w:rPr>
          <w:rFonts w:eastAsia="Times New Roman" w:cs="Times New Roman"/>
          <w:szCs w:val="24"/>
        </w:rPr>
      </w:pPr>
      <w:r>
        <w:rPr>
          <w:rFonts w:eastAsia="Times New Roman" w:cs="Times New Roman"/>
          <w:b/>
          <w:i/>
          <w:szCs w:val="24"/>
        </w:rPr>
        <w:t xml:space="preserve">Quality standard consistency: </w:t>
      </w:r>
      <w:r>
        <w:rPr>
          <w:rFonts w:eastAsia="Times New Roman" w:cs="Times New Roman"/>
          <w:szCs w:val="24"/>
        </w:rPr>
        <w:t>The organisation is applicable in developing and maintaining efficient quality standards which are accentuated by the consideration of different loyalty programs and customer satisfaction (</w:t>
      </w:r>
      <w:r>
        <w:rPr>
          <w:rFonts w:eastAsia="Times New Roman" w:cs="Times New Roman"/>
          <w:szCs w:val="24"/>
          <w:highlight w:val="white"/>
        </w:rPr>
        <w:t>Marriott, 2025a)</w:t>
      </w:r>
      <w:r>
        <w:rPr>
          <w:rFonts w:eastAsia="Times New Roman" w:cs="Times New Roman"/>
          <w:szCs w:val="24"/>
        </w:rPr>
        <w:t xml:space="preserve">. With improved quality maintenance, customers get competitive pricing enabling a greater customer base and brand exposure. </w:t>
      </w:r>
    </w:p>
    <w:p w14:paraId="48CFE187" w14:textId="77777777" w:rsidR="006231D7" w:rsidRDefault="006231D7" w:rsidP="006231D7">
      <w:pPr>
        <w:pStyle w:val="Heading1"/>
      </w:pPr>
      <w:bookmarkStart w:id="5" w:name="_heading=h.tyjcwt" w:colFirst="0" w:colLast="0"/>
      <w:bookmarkEnd w:id="5"/>
      <w:r>
        <w:t xml:space="preserve">Conclusion </w:t>
      </w:r>
    </w:p>
    <w:p w14:paraId="6A0BD062" w14:textId="77777777" w:rsidR="006231D7" w:rsidRDefault="006231D7" w:rsidP="006231D7">
      <w:pPr>
        <w:rPr>
          <w:rFonts w:eastAsia="Times New Roman" w:cs="Times New Roman"/>
          <w:szCs w:val="24"/>
        </w:rPr>
      </w:pPr>
      <w:r>
        <w:rPr>
          <w:rFonts w:eastAsia="Times New Roman" w:cs="Times New Roman"/>
          <w:szCs w:val="24"/>
        </w:rPr>
        <w:t xml:space="preserve">Considering each of the points of the discussion, it can be stated that Marriott International is in a very good position in terms of strategic objectives and organisational performance management. With significantly heterogeneous facility management across the globe, the organisation has developed major management objectives for its leadership and operational </w:t>
      </w:r>
      <w:r>
        <w:rPr>
          <w:rFonts w:eastAsia="Times New Roman" w:cs="Times New Roman"/>
          <w:szCs w:val="24"/>
        </w:rPr>
        <w:lastRenderedPageBreak/>
        <w:t xml:space="preserve">team. The hybrid structure of the organisation has developed precise attributes of a specifically diversified corporate culture management along with effective change management. The diversification strategy of the organisation helps the company to successfully manage change. </w:t>
      </w:r>
    </w:p>
    <w:p w14:paraId="62461F5C" w14:textId="77777777" w:rsidR="006231D7" w:rsidRDefault="006231D7" w:rsidP="006231D7">
      <w:pPr>
        <w:pStyle w:val="Heading1"/>
      </w:pPr>
      <w:bookmarkStart w:id="6" w:name="_heading=h.2et92p0" w:colFirst="0" w:colLast="0"/>
      <w:bookmarkEnd w:id="6"/>
      <w:r>
        <w:t>Recommendations</w:t>
      </w:r>
    </w:p>
    <w:p w14:paraId="372DEB82" w14:textId="77777777" w:rsidR="006231D7" w:rsidRDefault="006231D7" w:rsidP="006231D7">
      <w:pPr>
        <w:numPr>
          <w:ilvl w:val="0"/>
          <w:numId w:val="1"/>
        </w:numPr>
        <w:pBdr>
          <w:top w:val="nil"/>
          <w:left w:val="nil"/>
          <w:bottom w:val="nil"/>
          <w:right w:val="nil"/>
          <w:between w:val="nil"/>
        </w:pBdr>
        <w:rPr>
          <w:rFonts w:eastAsia="Times New Roman" w:cs="Times New Roman"/>
          <w:szCs w:val="24"/>
        </w:rPr>
      </w:pPr>
      <w:r>
        <w:rPr>
          <w:rFonts w:eastAsia="Times New Roman" w:cs="Times New Roman"/>
          <w:szCs w:val="24"/>
        </w:rPr>
        <w:t xml:space="preserve">Marriott International must focus on leadership development prospects for maintaining and leveraging a similar working culture throughout its locations. Meeting the Climate Action Programme (CAP) to develop brand sustainability is essential for the organisation by looking at the level of emission brought into the environment by all the facilities. With the consideration of effective management and team collaboration, the development of environmental sustainability can be apprehended. </w:t>
      </w:r>
    </w:p>
    <w:p w14:paraId="77B0A0F5" w14:textId="77777777" w:rsidR="006231D7" w:rsidRDefault="006231D7" w:rsidP="006231D7">
      <w:pPr>
        <w:numPr>
          <w:ilvl w:val="0"/>
          <w:numId w:val="1"/>
        </w:numPr>
        <w:pBdr>
          <w:top w:val="nil"/>
          <w:left w:val="nil"/>
          <w:bottom w:val="nil"/>
          <w:right w:val="nil"/>
          <w:between w:val="nil"/>
        </w:pBdr>
        <w:rPr>
          <w:rFonts w:eastAsia="Times New Roman" w:cs="Times New Roman"/>
          <w:szCs w:val="24"/>
        </w:rPr>
      </w:pPr>
      <w:r>
        <w:rPr>
          <w:rFonts w:eastAsia="Times New Roman" w:cs="Times New Roman"/>
          <w:szCs w:val="24"/>
        </w:rPr>
        <w:t>For overall management and developing incremental changes in organisational behaviour, it is essential to conduct a thorough analysis of its strengths, weaknesses, threats, and opportunities (</w:t>
      </w:r>
      <w:r>
        <w:rPr>
          <w:rFonts w:eastAsia="Times New Roman" w:cs="Times New Roman"/>
          <w:szCs w:val="24"/>
          <w:highlight w:val="white"/>
        </w:rPr>
        <w:t xml:space="preserve">Boddy, 2017). Possible measures to tackle the change management are effective to take the organisation to its success. </w:t>
      </w:r>
    </w:p>
    <w:p w14:paraId="4E1BC2D3" w14:textId="77777777" w:rsidR="006231D7" w:rsidRDefault="006231D7" w:rsidP="006231D7">
      <w:pPr>
        <w:pBdr>
          <w:top w:val="nil"/>
          <w:left w:val="nil"/>
          <w:bottom w:val="nil"/>
          <w:right w:val="nil"/>
          <w:between w:val="nil"/>
        </w:pBdr>
        <w:rPr>
          <w:rFonts w:eastAsia="Times New Roman" w:cs="Times New Roman"/>
          <w:b/>
          <w:szCs w:val="24"/>
        </w:rPr>
      </w:pPr>
      <w:r>
        <w:br w:type="page"/>
      </w:r>
    </w:p>
    <w:p w14:paraId="1A0E012E" w14:textId="77777777" w:rsidR="006231D7" w:rsidRDefault="006231D7" w:rsidP="006231D7">
      <w:pPr>
        <w:pStyle w:val="Heading1"/>
      </w:pPr>
      <w:bookmarkStart w:id="7" w:name="_heading=h.3dy6vkm" w:colFirst="0" w:colLast="0"/>
      <w:bookmarkEnd w:id="7"/>
      <w:r>
        <w:lastRenderedPageBreak/>
        <w:t xml:space="preserve">References </w:t>
      </w:r>
    </w:p>
    <w:p w14:paraId="26500419"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Ali, B.J. and Anwar, G., (2021). Porter’s Generic Competitive Strategies and its influence on the Competitive Advantage. </w:t>
      </w:r>
      <w:r>
        <w:rPr>
          <w:rFonts w:eastAsia="Times New Roman" w:cs="Times New Roman"/>
          <w:i/>
          <w:szCs w:val="24"/>
          <w:highlight w:val="white"/>
        </w:rPr>
        <w:t>International Journal of Advanced Engineering, Management and Science</w:t>
      </w:r>
      <w:r>
        <w:rPr>
          <w:rFonts w:eastAsia="Times New Roman" w:cs="Times New Roman"/>
          <w:szCs w:val="24"/>
          <w:highlight w:val="white"/>
        </w:rPr>
        <w:t xml:space="preserve">, </w:t>
      </w:r>
      <w:r>
        <w:rPr>
          <w:rFonts w:eastAsia="Times New Roman" w:cs="Times New Roman"/>
          <w:i/>
          <w:szCs w:val="24"/>
          <w:highlight w:val="white"/>
        </w:rPr>
        <w:t>7</w:t>
      </w:r>
      <w:r>
        <w:rPr>
          <w:rFonts w:eastAsia="Times New Roman" w:cs="Times New Roman"/>
          <w:szCs w:val="24"/>
          <w:highlight w:val="white"/>
        </w:rPr>
        <w:t>(6), pp.42-51.</w:t>
      </w:r>
    </w:p>
    <w:p w14:paraId="66BA0A5F"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Allam, A.R., Farhan, K.A., Kommineni, H.P., Deming, C. and </w:t>
      </w:r>
      <w:proofErr w:type="spellStart"/>
      <w:r>
        <w:rPr>
          <w:rFonts w:eastAsia="Times New Roman" w:cs="Times New Roman"/>
          <w:szCs w:val="24"/>
          <w:highlight w:val="white"/>
        </w:rPr>
        <w:t>Boinapalli</w:t>
      </w:r>
      <w:proofErr w:type="spellEnd"/>
      <w:r>
        <w:rPr>
          <w:rFonts w:eastAsia="Times New Roman" w:cs="Times New Roman"/>
          <w:szCs w:val="24"/>
          <w:highlight w:val="white"/>
        </w:rPr>
        <w:t xml:space="preserve">, N.R., (2024). Effective Change Management Strategies: Lessons Learned from Successful Organizational Transformations. </w:t>
      </w:r>
      <w:r>
        <w:rPr>
          <w:rFonts w:eastAsia="Times New Roman" w:cs="Times New Roman"/>
          <w:i/>
          <w:szCs w:val="24"/>
          <w:highlight w:val="white"/>
        </w:rPr>
        <w:t>American Journal of Trade and Policy</w:t>
      </w:r>
      <w:r>
        <w:rPr>
          <w:rFonts w:eastAsia="Times New Roman" w:cs="Times New Roman"/>
          <w:szCs w:val="24"/>
          <w:highlight w:val="white"/>
        </w:rPr>
        <w:t xml:space="preserve">, </w:t>
      </w:r>
      <w:r>
        <w:rPr>
          <w:rFonts w:eastAsia="Times New Roman" w:cs="Times New Roman"/>
          <w:i/>
          <w:szCs w:val="24"/>
          <w:highlight w:val="white"/>
        </w:rPr>
        <w:t>11</w:t>
      </w:r>
      <w:r>
        <w:rPr>
          <w:rFonts w:eastAsia="Times New Roman" w:cs="Times New Roman"/>
          <w:szCs w:val="24"/>
          <w:highlight w:val="white"/>
        </w:rPr>
        <w:t>(1), pp.17-30.</w:t>
      </w:r>
    </w:p>
    <w:p w14:paraId="0A2CCFCF"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Armstrong, M. (2012) </w:t>
      </w:r>
      <w:r>
        <w:rPr>
          <w:rFonts w:eastAsia="Times New Roman" w:cs="Times New Roman"/>
          <w:i/>
          <w:szCs w:val="24"/>
          <w:highlight w:val="white"/>
        </w:rPr>
        <w:t>Armstrong’s Handbook of Management and Leadership (3rd Ed),</w:t>
      </w:r>
      <w:r>
        <w:rPr>
          <w:rFonts w:eastAsia="Times New Roman" w:cs="Times New Roman"/>
          <w:szCs w:val="24"/>
          <w:highlight w:val="white"/>
        </w:rPr>
        <w:t xml:space="preserve"> London: Kogan Page.</w:t>
      </w:r>
    </w:p>
    <w:p w14:paraId="742CDDE3"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proofErr w:type="spellStart"/>
      <w:r>
        <w:rPr>
          <w:rFonts w:eastAsia="Times New Roman" w:cs="Times New Roman"/>
          <w:szCs w:val="24"/>
          <w:highlight w:val="white"/>
        </w:rPr>
        <w:t>Bloisi</w:t>
      </w:r>
      <w:proofErr w:type="spellEnd"/>
      <w:r>
        <w:rPr>
          <w:rFonts w:eastAsia="Times New Roman" w:cs="Times New Roman"/>
          <w:szCs w:val="24"/>
          <w:highlight w:val="white"/>
        </w:rPr>
        <w:t xml:space="preserve">, W. et al (2007) </w:t>
      </w:r>
      <w:r>
        <w:rPr>
          <w:rFonts w:eastAsia="Times New Roman" w:cs="Times New Roman"/>
          <w:i/>
          <w:szCs w:val="24"/>
          <w:highlight w:val="white"/>
        </w:rPr>
        <w:t>Management and Organisational Behaviour, (2nd edition)</w:t>
      </w:r>
      <w:r>
        <w:rPr>
          <w:rFonts w:eastAsia="Times New Roman" w:cs="Times New Roman"/>
          <w:szCs w:val="24"/>
          <w:highlight w:val="white"/>
        </w:rPr>
        <w:t xml:space="preserve"> Maidenhead: McGraw-Hill.</w:t>
      </w:r>
    </w:p>
    <w:p w14:paraId="78493550"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Boddy, D. (2017) </w:t>
      </w:r>
      <w:r>
        <w:rPr>
          <w:rFonts w:eastAsia="Times New Roman" w:cs="Times New Roman"/>
          <w:i/>
          <w:szCs w:val="24"/>
          <w:highlight w:val="white"/>
        </w:rPr>
        <w:t>Management: An Introduction</w:t>
      </w:r>
      <w:r>
        <w:rPr>
          <w:rFonts w:eastAsia="Times New Roman" w:cs="Times New Roman"/>
          <w:szCs w:val="24"/>
          <w:highlight w:val="white"/>
        </w:rPr>
        <w:t xml:space="preserve"> </w:t>
      </w:r>
      <w:r>
        <w:rPr>
          <w:rFonts w:eastAsia="Times New Roman" w:cs="Times New Roman"/>
          <w:i/>
          <w:szCs w:val="24"/>
          <w:highlight w:val="white"/>
        </w:rPr>
        <w:t>(7th Ed),</w:t>
      </w:r>
      <w:r>
        <w:rPr>
          <w:rFonts w:eastAsia="Times New Roman" w:cs="Times New Roman"/>
          <w:szCs w:val="24"/>
          <w:highlight w:val="white"/>
        </w:rPr>
        <w:t xml:space="preserve"> Harlow, Pearson</w:t>
      </w:r>
    </w:p>
    <w:p w14:paraId="2B8F34FA"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Economic Times (2024).</w:t>
      </w:r>
      <w:r>
        <w:rPr>
          <w:rFonts w:eastAsia="Times New Roman" w:cs="Times New Roman"/>
          <w:i/>
          <w:szCs w:val="24"/>
          <w:highlight w:val="white"/>
        </w:rPr>
        <w:t xml:space="preserve"> Marriott International celebrates milestone on the journey towards net zero,</w:t>
      </w:r>
      <w:r>
        <w:rPr>
          <w:rFonts w:eastAsia="Times New Roman" w:cs="Times New Roman"/>
          <w:szCs w:val="24"/>
          <w:highlight w:val="white"/>
        </w:rPr>
        <w:t xml:space="preserve"> Available at: </w:t>
      </w:r>
      <w:hyperlink r:id="rId8">
        <w:r>
          <w:rPr>
            <w:rFonts w:eastAsia="Times New Roman" w:cs="Times New Roman"/>
            <w:szCs w:val="24"/>
            <w:highlight w:val="white"/>
            <w:u w:val="single"/>
          </w:rPr>
          <w:t>https://hospitality.economictimes.indiatimes.com/news/hotels/marriott-international-celebrates-milestone-on-journey-towards-net-zero/109551763</w:t>
        </w:r>
      </w:hyperlink>
      <w:r>
        <w:rPr>
          <w:rFonts w:eastAsia="Times New Roman" w:cs="Times New Roman"/>
          <w:szCs w:val="24"/>
          <w:highlight w:val="white"/>
        </w:rPr>
        <w:t xml:space="preserve"> [Accessed on: 21st February 2025]</w:t>
      </w:r>
    </w:p>
    <w:p w14:paraId="2FF0187D"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proofErr w:type="spellStart"/>
      <w:r>
        <w:rPr>
          <w:rFonts w:eastAsia="Times New Roman" w:cs="Times New Roman"/>
          <w:szCs w:val="24"/>
          <w:highlight w:val="white"/>
        </w:rPr>
        <w:t>Errida</w:t>
      </w:r>
      <w:proofErr w:type="spellEnd"/>
      <w:r>
        <w:rPr>
          <w:rFonts w:eastAsia="Times New Roman" w:cs="Times New Roman"/>
          <w:szCs w:val="24"/>
          <w:highlight w:val="white"/>
        </w:rPr>
        <w:t xml:space="preserve">, A. and Lotfi, B., (2021). The determinants of organizational change management success: Literature review and case study. </w:t>
      </w:r>
      <w:r>
        <w:rPr>
          <w:rFonts w:eastAsia="Times New Roman" w:cs="Times New Roman"/>
          <w:i/>
          <w:szCs w:val="24"/>
          <w:highlight w:val="white"/>
        </w:rPr>
        <w:t>International Journal of Engineering Business Management</w:t>
      </w:r>
      <w:r>
        <w:rPr>
          <w:rFonts w:eastAsia="Times New Roman" w:cs="Times New Roman"/>
          <w:szCs w:val="24"/>
          <w:highlight w:val="white"/>
        </w:rPr>
        <w:t xml:space="preserve">, </w:t>
      </w:r>
      <w:r>
        <w:rPr>
          <w:rFonts w:eastAsia="Times New Roman" w:cs="Times New Roman"/>
          <w:i/>
          <w:szCs w:val="24"/>
          <w:highlight w:val="white"/>
        </w:rPr>
        <w:t>13</w:t>
      </w:r>
      <w:r>
        <w:rPr>
          <w:rFonts w:eastAsia="Times New Roman" w:cs="Times New Roman"/>
          <w:szCs w:val="24"/>
          <w:highlight w:val="white"/>
        </w:rPr>
        <w:t>, p.18479790211016273.</w:t>
      </w:r>
    </w:p>
    <w:p w14:paraId="28E839B2" w14:textId="77777777" w:rsidR="006231D7" w:rsidRDefault="006231D7" w:rsidP="006231D7">
      <w:pPr>
        <w:spacing w:after="240"/>
        <w:rPr>
          <w:rFonts w:eastAsia="Times New Roman" w:cs="Times New Roman"/>
          <w:szCs w:val="24"/>
          <w:highlight w:val="white"/>
        </w:rPr>
      </w:pPr>
      <w:r>
        <w:rPr>
          <w:rFonts w:eastAsia="Times New Roman" w:cs="Times New Roman"/>
          <w:color w:val="222222"/>
          <w:szCs w:val="24"/>
          <w:highlight w:val="white"/>
        </w:rPr>
        <w:t xml:space="preserve">Hussain, S.T., Lei, S., Akram, T., Haider, M.J., Hussain, S.H. and Ali, M., (2018). Kurt Lewin's change model: A critical review of the role of leadership and employee involvement in organizational change. </w:t>
      </w:r>
      <w:r>
        <w:rPr>
          <w:rFonts w:eastAsia="Times New Roman" w:cs="Times New Roman"/>
          <w:i/>
          <w:color w:val="222222"/>
          <w:szCs w:val="24"/>
          <w:highlight w:val="white"/>
        </w:rPr>
        <w:t>Journal of innovation &amp; knowledge</w:t>
      </w:r>
      <w:r>
        <w:rPr>
          <w:rFonts w:eastAsia="Times New Roman" w:cs="Times New Roman"/>
          <w:color w:val="222222"/>
          <w:szCs w:val="24"/>
          <w:highlight w:val="white"/>
        </w:rPr>
        <w:t xml:space="preserve">, </w:t>
      </w:r>
      <w:r>
        <w:rPr>
          <w:rFonts w:eastAsia="Times New Roman" w:cs="Times New Roman"/>
          <w:i/>
          <w:color w:val="222222"/>
          <w:szCs w:val="24"/>
          <w:highlight w:val="white"/>
        </w:rPr>
        <w:t>3</w:t>
      </w:r>
      <w:r>
        <w:rPr>
          <w:rFonts w:eastAsia="Times New Roman" w:cs="Times New Roman"/>
          <w:color w:val="222222"/>
          <w:szCs w:val="24"/>
          <w:highlight w:val="white"/>
        </w:rPr>
        <w:t>(3), pp.123-127.</w:t>
      </w:r>
    </w:p>
    <w:p w14:paraId="6FFA23AC"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proofErr w:type="spellStart"/>
      <w:r>
        <w:rPr>
          <w:rFonts w:eastAsia="Times New Roman" w:cs="Times New Roman"/>
          <w:szCs w:val="24"/>
          <w:highlight w:val="white"/>
        </w:rPr>
        <w:t>Iranmanesh</w:t>
      </w:r>
      <w:proofErr w:type="spellEnd"/>
      <w:r>
        <w:rPr>
          <w:rFonts w:eastAsia="Times New Roman" w:cs="Times New Roman"/>
          <w:szCs w:val="24"/>
          <w:highlight w:val="white"/>
        </w:rPr>
        <w:t xml:space="preserve">, M., Kumar, K.M., Foroughi, B., Mavi, R.K. and Min, N.H., (2021). The impacts of organizational structure on operational performance through innovation capability: innovative culture as moderator. </w:t>
      </w:r>
      <w:r>
        <w:rPr>
          <w:rFonts w:eastAsia="Times New Roman" w:cs="Times New Roman"/>
          <w:i/>
          <w:szCs w:val="24"/>
          <w:highlight w:val="white"/>
        </w:rPr>
        <w:t>Review of Managerial Science</w:t>
      </w:r>
      <w:r>
        <w:rPr>
          <w:rFonts w:eastAsia="Times New Roman" w:cs="Times New Roman"/>
          <w:szCs w:val="24"/>
          <w:highlight w:val="white"/>
        </w:rPr>
        <w:t xml:space="preserve">, </w:t>
      </w:r>
      <w:r>
        <w:rPr>
          <w:rFonts w:eastAsia="Times New Roman" w:cs="Times New Roman"/>
          <w:i/>
          <w:szCs w:val="24"/>
          <w:highlight w:val="white"/>
        </w:rPr>
        <w:t>15</w:t>
      </w:r>
      <w:r>
        <w:rPr>
          <w:rFonts w:eastAsia="Times New Roman" w:cs="Times New Roman"/>
          <w:szCs w:val="24"/>
          <w:highlight w:val="white"/>
        </w:rPr>
        <w:t>, pp.1885-1911.</w:t>
      </w:r>
    </w:p>
    <w:p w14:paraId="6A377EA9"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lastRenderedPageBreak/>
        <w:t xml:space="preserve">Islami, X., </w:t>
      </w:r>
      <w:proofErr w:type="spellStart"/>
      <w:r>
        <w:rPr>
          <w:rFonts w:eastAsia="Times New Roman" w:cs="Times New Roman"/>
          <w:szCs w:val="24"/>
          <w:highlight w:val="white"/>
        </w:rPr>
        <w:t>Topuzovska</w:t>
      </w:r>
      <w:proofErr w:type="spellEnd"/>
      <w:r>
        <w:rPr>
          <w:rFonts w:eastAsia="Times New Roman" w:cs="Times New Roman"/>
          <w:szCs w:val="24"/>
          <w:highlight w:val="white"/>
        </w:rPr>
        <w:t xml:space="preserve"> </w:t>
      </w:r>
      <w:proofErr w:type="spellStart"/>
      <w:r>
        <w:rPr>
          <w:rFonts w:eastAsia="Times New Roman" w:cs="Times New Roman"/>
          <w:szCs w:val="24"/>
          <w:highlight w:val="white"/>
        </w:rPr>
        <w:t>Latkovikj</w:t>
      </w:r>
      <w:proofErr w:type="spellEnd"/>
      <w:r>
        <w:rPr>
          <w:rFonts w:eastAsia="Times New Roman" w:cs="Times New Roman"/>
          <w:szCs w:val="24"/>
          <w:highlight w:val="white"/>
        </w:rPr>
        <w:t xml:space="preserve">, M., </w:t>
      </w:r>
      <w:proofErr w:type="spellStart"/>
      <w:r>
        <w:rPr>
          <w:rFonts w:eastAsia="Times New Roman" w:cs="Times New Roman"/>
          <w:szCs w:val="24"/>
          <w:highlight w:val="white"/>
        </w:rPr>
        <w:t>Drakulevski</w:t>
      </w:r>
      <w:proofErr w:type="spellEnd"/>
      <w:r>
        <w:rPr>
          <w:rFonts w:eastAsia="Times New Roman" w:cs="Times New Roman"/>
          <w:szCs w:val="24"/>
          <w:highlight w:val="white"/>
        </w:rPr>
        <w:t xml:space="preserve">, L. and Borota </w:t>
      </w:r>
      <w:proofErr w:type="spellStart"/>
      <w:r>
        <w:rPr>
          <w:rFonts w:eastAsia="Times New Roman" w:cs="Times New Roman"/>
          <w:szCs w:val="24"/>
          <w:highlight w:val="white"/>
        </w:rPr>
        <w:t>Popovska</w:t>
      </w:r>
      <w:proofErr w:type="spellEnd"/>
      <w:r>
        <w:rPr>
          <w:rFonts w:eastAsia="Times New Roman" w:cs="Times New Roman"/>
          <w:szCs w:val="24"/>
          <w:highlight w:val="white"/>
        </w:rPr>
        <w:t xml:space="preserve">, M., (2023). Does competitive strategy moderate the linkage between HRM practices and company performance. </w:t>
      </w:r>
      <w:r>
        <w:rPr>
          <w:rFonts w:eastAsia="Times New Roman" w:cs="Times New Roman"/>
          <w:i/>
          <w:szCs w:val="24"/>
          <w:highlight w:val="white"/>
        </w:rPr>
        <w:t>Management: Journal of Contemporary Management Issues</w:t>
      </w:r>
      <w:r>
        <w:rPr>
          <w:rFonts w:eastAsia="Times New Roman" w:cs="Times New Roman"/>
          <w:szCs w:val="24"/>
          <w:highlight w:val="white"/>
        </w:rPr>
        <w:t xml:space="preserve">, </w:t>
      </w:r>
      <w:r>
        <w:rPr>
          <w:rFonts w:eastAsia="Times New Roman" w:cs="Times New Roman"/>
          <w:i/>
          <w:szCs w:val="24"/>
          <w:highlight w:val="white"/>
        </w:rPr>
        <w:t>28</w:t>
      </w:r>
      <w:r>
        <w:rPr>
          <w:rFonts w:eastAsia="Times New Roman" w:cs="Times New Roman"/>
          <w:szCs w:val="24"/>
          <w:highlight w:val="white"/>
        </w:rPr>
        <w:t>(1), pp.45-63.</w:t>
      </w:r>
    </w:p>
    <w:p w14:paraId="6E02F8ED"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Marriott (2025a). Diversity and inclusion, Available at: </w:t>
      </w:r>
      <w:hyperlink r:id="rId9">
        <w:r>
          <w:rPr>
            <w:rFonts w:eastAsia="Times New Roman" w:cs="Times New Roman"/>
            <w:szCs w:val="24"/>
            <w:highlight w:val="white"/>
            <w:u w:val="single"/>
          </w:rPr>
          <w:t>https://www.marriott.com/diversity/diversity-and-inclusion.mi</w:t>
        </w:r>
      </w:hyperlink>
      <w:r>
        <w:rPr>
          <w:rFonts w:eastAsia="Times New Roman" w:cs="Times New Roman"/>
          <w:szCs w:val="24"/>
          <w:highlight w:val="white"/>
        </w:rPr>
        <w:t xml:space="preserve"> [Accessed on: 21st February 2025]</w:t>
      </w:r>
    </w:p>
    <w:p w14:paraId="03148CA5"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Marriott (2025b).</w:t>
      </w:r>
      <w:r>
        <w:rPr>
          <w:rFonts w:eastAsia="Times New Roman" w:cs="Times New Roman"/>
          <w:i/>
          <w:szCs w:val="24"/>
          <w:highlight w:val="white"/>
        </w:rPr>
        <w:t xml:space="preserve"> Serve 360,</w:t>
      </w:r>
      <w:r>
        <w:rPr>
          <w:rFonts w:eastAsia="Times New Roman" w:cs="Times New Roman"/>
          <w:szCs w:val="24"/>
          <w:highlight w:val="white"/>
        </w:rPr>
        <w:t xml:space="preserve"> Available at: </w:t>
      </w:r>
      <w:hyperlink r:id="rId10">
        <w:r>
          <w:rPr>
            <w:rFonts w:eastAsia="Times New Roman" w:cs="Times New Roman"/>
            <w:szCs w:val="24"/>
            <w:highlight w:val="white"/>
            <w:u w:val="single"/>
          </w:rPr>
          <w:t>https://serve360.marriott.com/</w:t>
        </w:r>
      </w:hyperlink>
      <w:r>
        <w:rPr>
          <w:rFonts w:eastAsia="Times New Roman" w:cs="Times New Roman"/>
          <w:szCs w:val="24"/>
          <w:highlight w:val="white"/>
        </w:rPr>
        <w:t xml:space="preserve"> [Accessed on: 21st February 2025]</w:t>
      </w:r>
    </w:p>
    <w:p w14:paraId="466442D3"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Marriott International (2025a). </w:t>
      </w:r>
      <w:r>
        <w:rPr>
          <w:rFonts w:eastAsia="Times New Roman" w:cs="Times New Roman"/>
          <w:i/>
          <w:szCs w:val="24"/>
          <w:highlight w:val="white"/>
        </w:rPr>
        <w:t>About Marriot,</w:t>
      </w:r>
      <w:r>
        <w:rPr>
          <w:rFonts w:eastAsia="Times New Roman" w:cs="Times New Roman"/>
          <w:szCs w:val="24"/>
          <w:highlight w:val="white"/>
        </w:rPr>
        <w:t xml:space="preserve"> Available at: </w:t>
      </w:r>
      <w:hyperlink r:id="rId11">
        <w:r>
          <w:rPr>
            <w:rFonts w:eastAsia="Times New Roman" w:cs="Times New Roman"/>
            <w:szCs w:val="24"/>
            <w:highlight w:val="white"/>
            <w:u w:val="single"/>
          </w:rPr>
          <w:t>https://www.marriott.com/marriott/aboutmarriott.mi</w:t>
        </w:r>
      </w:hyperlink>
      <w:r>
        <w:rPr>
          <w:rFonts w:eastAsia="Times New Roman" w:cs="Times New Roman"/>
          <w:szCs w:val="24"/>
          <w:highlight w:val="white"/>
        </w:rPr>
        <w:t xml:space="preserve"> [Accessed on: 21st February 2025]</w:t>
      </w:r>
    </w:p>
    <w:p w14:paraId="0F646AEE"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Marriott International (2025b). </w:t>
      </w:r>
      <w:r>
        <w:rPr>
          <w:rFonts w:eastAsia="Times New Roman" w:cs="Times New Roman"/>
          <w:i/>
          <w:szCs w:val="24"/>
          <w:highlight w:val="white"/>
        </w:rPr>
        <w:t>Core values and heritage,</w:t>
      </w:r>
      <w:r>
        <w:rPr>
          <w:rFonts w:eastAsia="Times New Roman" w:cs="Times New Roman"/>
          <w:szCs w:val="24"/>
          <w:highlight w:val="white"/>
        </w:rPr>
        <w:t xml:space="preserve"> Available at: </w:t>
      </w:r>
      <w:hyperlink r:id="rId12">
        <w:r>
          <w:rPr>
            <w:rFonts w:eastAsia="Times New Roman" w:cs="Times New Roman"/>
            <w:szCs w:val="24"/>
            <w:highlight w:val="white"/>
            <w:u w:val="single"/>
          </w:rPr>
          <w:t>https://www.marriott.com/culture-and-values/core-values.mi</w:t>
        </w:r>
      </w:hyperlink>
      <w:r>
        <w:rPr>
          <w:rFonts w:eastAsia="Times New Roman" w:cs="Times New Roman"/>
          <w:szCs w:val="24"/>
          <w:highlight w:val="white"/>
        </w:rPr>
        <w:t xml:space="preserve"> [Accessed on: 21st February 2025]</w:t>
      </w:r>
    </w:p>
    <w:p w14:paraId="1A66E183"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Marriott International (2025c). </w:t>
      </w:r>
      <w:r>
        <w:rPr>
          <w:rFonts w:eastAsia="Times New Roman" w:cs="Times New Roman"/>
          <w:i/>
          <w:szCs w:val="24"/>
          <w:highlight w:val="white"/>
        </w:rPr>
        <w:t>Our story,</w:t>
      </w:r>
      <w:r>
        <w:rPr>
          <w:rFonts w:eastAsia="Times New Roman" w:cs="Times New Roman"/>
          <w:szCs w:val="24"/>
          <w:highlight w:val="white"/>
        </w:rPr>
        <w:t xml:space="preserve"> Available at: </w:t>
      </w:r>
      <w:hyperlink r:id="rId13">
        <w:r>
          <w:rPr>
            <w:rFonts w:eastAsia="Times New Roman" w:cs="Times New Roman"/>
            <w:szCs w:val="24"/>
            <w:highlight w:val="white"/>
            <w:u w:val="single"/>
          </w:rPr>
          <w:t>https://www.hotel-development.marriott.com/power-of-marriott/our-story</w:t>
        </w:r>
      </w:hyperlink>
      <w:r>
        <w:rPr>
          <w:rFonts w:eastAsia="Times New Roman" w:cs="Times New Roman"/>
          <w:szCs w:val="24"/>
          <w:highlight w:val="white"/>
        </w:rPr>
        <w:t xml:space="preserve"> [Accessed on: 21st February 2025]</w:t>
      </w:r>
    </w:p>
    <w:p w14:paraId="77E62924"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Marriott International (2025d). </w:t>
      </w:r>
      <w:r>
        <w:rPr>
          <w:rFonts w:eastAsia="Times New Roman" w:cs="Times New Roman"/>
          <w:i/>
          <w:szCs w:val="24"/>
          <w:highlight w:val="white"/>
        </w:rPr>
        <w:t>We are Marriott International,</w:t>
      </w:r>
      <w:r>
        <w:rPr>
          <w:rFonts w:eastAsia="Times New Roman" w:cs="Times New Roman"/>
          <w:szCs w:val="24"/>
          <w:highlight w:val="white"/>
        </w:rPr>
        <w:t xml:space="preserve"> Available at: </w:t>
      </w:r>
      <w:hyperlink r:id="rId14">
        <w:r>
          <w:rPr>
            <w:rFonts w:eastAsia="Times New Roman" w:cs="Times New Roman"/>
            <w:szCs w:val="24"/>
            <w:highlight w:val="white"/>
            <w:u w:val="single"/>
          </w:rPr>
          <w:t>https://www.marriott.com/marriott/aboutmarriott.mi</w:t>
        </w:r>
      </w:hyperlink>
      <w:r>
        <w:rPr>
          <w:rFonts w:eastAsia="Times New Roman" w:cs="Times New Roman"/>
          <w:szCs w:val="24"/>
          <w:highlight w:val="white"/>
        </w:rPr>
        <w:t xml:space="preserve"> [Accessed on: 21st February 2025]</w:t>
      </w:r>
    </w:p>
    <w:p w14:paraId="53C54004"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Memon, A.A., Afshan, G., Memon, A.A., Rajput, O. and Kumar, K., (2021). War for Competitive Advantage</w:t>
      </w:r>
      <w:proofErr w:type="gramStart"/>
      <w:r>
        <w:rPr>
          <w:rFonts w:eastAsia="Times New Roman" w:cs="Times New Roman"/>
          <w:szCs w:val="24"/>
          <w:highlight w:val="white"/>
        </w:rPr>
        <w:t>–‘</w:t>
      </w:r>
      <w:proofErr w:type="gramEnd"/>
      <w:r>
        <w:rPr>
          <w:rFonts w:eastAsia="Times New Roman" w:cs="Times New Roman"/>
          <w:szCs w:val="24"/>
          <w:highlight w:val="white"/>
        </w:rPr>
        <w:t xml:space="preserve">Porter’s Generic Strategies Past–Present–Future’–A Review. </w:t>
      </w:r>
      <w:r>
        <w:rPr>
          <w:rFonts w:eastAsia="Times New Roman" w:cs="Times New Roman"/>
          <w:i/>
          <w:szCs w:val="24"/>
          <w:highlight w:val="white"/>
        </w:rPr>
        <w:t>Available at SSRN 3846056</w:t>
      </w:r>
      <w:r>
        <w:rPr>
          <w:rFonts w:eastAsia="Times New Roman" w:cs="Times New Roman"/>
          <w:szCs w:val="24"/>
          <w:highlight w:val="white"/>
        </w:rPr>
        <w:t>.</w:t>
      </w:r>
    </w:p>
    <w:p w14:paraId="5135AFB2"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r>
        <w:rPr>
          <w:rFonts w:eastAsia="Times New Roman" w:cs="Times New Roman"/>
          <w:szCs w:val="24"/>
          <w:highlight w:val="white"/>
        </w:rPr>
        <w:t xml:space="preserve">Mullins, L. (2023) </w:t>
      </w:r>
      <w:r>
        <w:rPr>
          <w:rFonts w:eastAsia="Times New Roman" w:cs="Times New Roman"/>
          <w:i/>
          <w:szCs w:val="24"/>
          <w:highlight w:val="white"/>
        </w:rPr>
        <w:t xml:space="preserve">Management and Organisational Behaviour (13th edition) </w:t>
      </w:r>
      <w:r>
        <w:rPr>
          <w:rFonts w:eastAsia="Times New Roman" w:cs="Times New Roman"/>
          <w:szCs w:val="24"/>
          <w:highlight w:val="white"/>
        </w:rPr>
        <w:t>Harlow: Pearson</w:t>
      </w:r>
    </w:p>
    <w:p w14:paraId="13A21C21"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proofErr w:type="spellStart"/>
      <w:r>
        <w:rPr>
          <w:rFonts w:eastAsia="Times New Roman" w:cs="Times New Roman"/>
          <w:szCs w:val="24"/>
          <w:highlight w:val="white"/>
        </w:rPr>
        <w:t>Wijethilake</w:t>
      </w:r>
      <w:proofErr w:type="spellEnd"/>
      <w:r>
        <w:rPr>
          <w:rFonts w:eastAsia="Times New Roman" w:cs="Times New Roman"/>
          <w:szCs w:val="24"/>
          <w:highlight w:val="white"/>
        </w:rPr>
        <w:t xml:space="preserve">, C., </w:t>
      </w:r>
      <w:proofErr w:type="spellStart"/>
      <w:r>
        <w:rPr>
          <w:rFonts w:eastAsia="Times New Roman" w:cs="Times New Roman"/>
          <w:szCs w:val="24"/>
          <w:highlight w:val="white"/>
        </w:rPr>
        <w:t>Upadhaya</w:t>
      </w:r>
      <w:proofErr w:type="spellEnd"/>
      <w:r>
        <w:rPr>
          <w:rFonts w:eastAsia="Times New Roman" w:cs="Times New Roman"/>
          <w:szCs w:val="24"/>
          <w:highlight w:val="white"/>
        </w:rPr>
        <w:t xml:space="preserve">, B. and Lama, T., (2023). The role of organisational culture in organisational change towards sustainability: evidence from the garment manufacturing industry. </w:t>
      </w:r>
      <w:r>
        <w:rPr>
          <w:rFonts w:eastAsia="Times New Roman" w:cs="Times New Roman"/>
          <w:i/>
          <w:szCs w:val="24"/>
          <w:highlight w:val="white"/>
        </w:rPr>
        <w:t>Production Planning &amp; Control</w:t>
      </w:r>
      <w:r>
        <w:rPr>
          <w:rFonts w:eastAsia="Times New Roman" w:cs="Times New Roman"/>
          <w:szCs w:val="24"/>
          <w:highlight w:val="white"/>
        </w:rPr>
        <w:t xml:space="preserve">, </w:t>
      </w:r>
      <w:r>
        <w:rPr>
          <w:rFonts w:eastAsia="Times New Roman" w:cs="Times New Roman"/>
          <w:i/>
          <w:szCs w:val="24"/>
          <w:highlight w:val="white"/>
        </w:rPr>
        <w:t>34</w:t>
      </w:r>
      <w:r>
        <w:rPr>
          <w:rFonts w:eastAsia="Times New Roman" w:cs="Times New Roman"/>
          <w:szCs w:val="24"/>
          <w:highlight w:val="white"/>
        </w:rPr>
        <w:t>(3), pp.275-294.</w:t>
      </w:r>
    </w:p>
    <w:p w14:paraId="4D1DD702" w14:textId="77777777" w:rsidR="006231D7" w:rsidRDefault="006231D7" w:rsidP="006231D7">
      <w:pPr>
        <w:pBdr>
          <w:top w:val="nil"/>
          <w:left w:val="nil"/>
          <w:bottom w:val="nil"/>
          <w:right w:val="nil"/>
          <w:between w:val="nil"/>
        </w:pBdr>
        <w:spacing w:after="240"/>
        <w:rPr>
          <w:rFonts w:eastAsia="Times New Roman" w:cs="Times New Roman"/>
          <w:szCs w:val="24"/>
          <w:highlight w:val="white"/>
        </w:rPr>
      </w:pPr>
      <w:proofErr w:type="spellStart"/>
      <w:r>
        <w:rPr>
          <w:rFonts w:eastAsia="Times New Roman" w:cs="Times New Roman"/>
          <w:szCs w:val="24"/>
          <w:highlight w:val="white"/>
        </w:rPr>
        <w:t>Żemojtel</w:t>
      </w:r>
      <w:proofErr w:type="spellEnd"/>
      <w:r>
        <w:rPr>
          <w:rFonts w:eastAsia="Times New Roman" w:cs="Times New Roman"/>
          <w:szCs w:val="24"/>
          <w:highlight w:val="white"/>
        </w:rPr>
        <w:t xml:space="preserve">-Piotrowska, M. and Piotrowski, J., (2023). Hofstede’s cultural dimensions theory. In </w:t>
      </w:r>
      <w:proofErr w:type="spellStart"/>
      <w:r>
        <w:rPr>
          <w:rFonts w:eastAsia="Times New Roman" w:cs="Times New Roman"/>
          <w:i/>
          <w:szCs w:val="24"/>
          <w:highlight w:val="white"/>
        </w:rPr>
        <w:t>Encyclopedia</w:t>
      </w:r>
      <w:proofErr w:type="spellEnd"/>
      <w:r>
        <w:rPr>
          <w:rFonts w:eastAsia="Times New Roman" w:cs="Times New Roman"/>
          <w:i/>
          <w:szCs w:val="24"/>
          <w:highlight w:val="white"/>
        </w:rPr>
        <w:t xml:space="preserve"> of sexual psychology and </w:t>
      </w:r>
      <w:proofErr w:type="spellStart"/>
      <w:r>
        <w:rPr>
          <w:rFonts w:eastAsia="Times New Roman" w:cs="Times New Roman"/>
          <w:i/>
          <w:szCs w:val="24"/>
          <w:highlight w:val="white"/>
        </w:rPr>
        <w:t>behavior</w:t>
      </w:r>
      <w:proofErr w:type="spellEnd"/>
      <w:r>
        <w:rPr>
          <w:rFonts w:eastAsia="Times New Roman" w:cs="Times New Roman"/>
          <w:szCs w:val="24"/>
          <w:highlight w:val="white"/>
        </w:rPr>
        <w:t xml:space="preserve"> (pp. 1-4). Cham: Springer International Publishing.</w:t>
      </w:r>
    </w:p>
    <w:p w14:paraId="0CCE4A56" w14:textId="77777777" w:rsidR="006231D7" w:rsidRDefault="006231D7" w:rsidP="006231D7">
      <w:pPr>
        <w:pBdr>
          <w:top w:val="nil"/>
          <w:left w:val="nil"/>
          <w:bottom w:val="nil"/>
          <w:right w:val="nil"/>
          <w:between w:val="nil"/>
        </w:pBdr>
        <w:rPr>
          <w:rFonts w:eastAsia="Times New Roman" w:cs="Times New Roman"/>
          <w:szCs w:val="24"/>
          <w:highlight w:val="white"/>
        </w:rPr>
      </w:pPr>
    </w:p>
    <w:p w14:paraId="3F2D4484" w14:textId="77777777" w:rsidR="006231D7" w:rsidRDefault="006231D7"/>
    <w:sectPr w:rsidR="006231D7" w:rsidSect="006231D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C580F"/>
    <w:multiLevelType w:val="multilevel"/>
    <w:tmpl w:val="0C381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8718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D7"/>
    <w:rsid w:val="00153F7C"/>
    <w:rsid w:val="001A5611"/>
    <w:rsid w:val="00301B72"/>
    <w:rsid w:val="0047294C"/>
    <w:rsid w:val="00475C95"/>
    <w:rsid w:val="004F1E22"/>
    <w:rsid w:val="00540A93"/>
    <w:rsid w:val="006231D7"/>
    <w:rsid w:val="00732736"/>
    <w:rsid w:val="00756799"/>
    <w:rsid w:val="009F77C1"/>
    <w:rsid w:val="00A212B2"/>
    <w:rsid w:val="00A319CF"/>
    <w:rsid w:val="00A67D0F"/>
    <w:rsid w:val="00B833C8"/>
    <w:rsid w:val="00CA266C"/>
    <w:rsid w:val="00CD6AF1"/>
    <w:rsid w:val="00D45B49"/>
    <w:rsid w:val="00E27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51F4F"/>
  <w15:chartTrackingRefBased/>
  <w15:docId w15:val="{8CBF24F0-1F8E-482E-8AAF-0AED7E866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1D7"/>
    <w:pPr>
      <w:spacing w:after="0" w:line="360" w:lineRule="auto"/>
      <w:jc w:val="both"/>
    </w:pPr>
    <w:rPr>
      <w:rFonts w:ascii="Times New Roman" w:eastAsia="Arial" w:hAnsi="Times New Roman" w:cs="Arial"/>
      <w:kern w:val="0"/>
      <w:szCs w:val="22"/>
      <w:lang w:eastAsia="en-IN"/>
      <w14:ligatures w14:val="none"/>
    </w:rPr>
  </w:style>
  <w:style w:type="paragraph" w:styleId="Heading1">
    <w:name w:val="heading 1"/>
    <w:basedOn w:val="Normal"/>
    <w:next w:val="Normal"/>
    <w:link w:val="Heading1Char"/>
    <w:uiPriority w:val="9"/>
    <w:qFormat/>
    <w:rsid w:val="00623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3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31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1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1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1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1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1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31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31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3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3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3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1D7"/>
    <w:rPr>
      <w:rFonts w:eastAsiaTheme="majorEastAsia" w:cstheme="majorBidi"/>
      <w:color w:val="272727" w:themeColor="text1" w:themeTint="D8"/>
    </w:rPr>
  </w:style>
  <w:style w:type="paragraph" w:styleId="Title">
    <w:name w:val="Title"/>
    <w:basedOn w:val="Normal"/>
    <w:next w:val="Normal"/>
    <w:link w:val="TitleChar"/>
    <w:uiPriority w:val="10"/>
    <w:qFormat/>
    <w:rsid w:val="00623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1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1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1D7"/>
    <w:pPr>
      <w:spacing w:before="160"/>
      <w:jc w:val="center"/>
    </w:pPr>
    <w:rPr>
      <w:i/>
      <w:iCs/>
      <w:color w:val="404040" w:themeColor="text1" w:themeTint="BF"/>
    </w:rPr>
  </w:style>
  <w:style w:type="character" w:customStyle="1" w:styleId="QuoteChar">
    <w:name w:val="Quote Char"/>
    <w:basedOn w:val="DefaultParagraphFont"/>
    <w:link w:val="Quote"/>
    <w:uiPriority w:val="29"/>
    <w:rsid w:val="006231D7"/>
    <w:rPr>
      <w:i/>
      <w:iCs/>
      <w:color w:val="404040" w:themeColor="text1" w:themeTint="BF"/>
    </w:rPr>
  </w:style>
  <w:style w:type="paragraph" w:styleId="ListParagraph">
    <w:name w:val="List Paragraph"/>
    <w:basedOn w:val="Normal"/>
    <w:uiPriority w:val="34"/>
    <w:qFormat/>
    <w:rsid w:val="006231D7"/>
    <w:pPr>
      <w:ind w:left="720"/>
      <w:contextualSpacing/>
    </w:pPr>
  </w:style>
  <w:style w:type="character" w:styleId="IntenseEmphasis">
    <w:name w:val="Intense Emphasis"/>
    <w:basedOn w:val="DefaultParagraphFont"/>
    <w:uiPriority w:val="21"/>
    <w:qFormat/>
    <w:rsid w:val="006231D7"/>
    <w:rPr>
      <w:i/>
      <w:iCs/>
      <w:color w:val="0F4761" w:themeColor="accent1" w:themeShade="BF"/>
    </w:rPr>
  </w:style>
  <w:style w:type="paragraph" w:styleId="IntenseQuote">
    <w:name w:val="Intense Quote"/>
    <w:basedOn w:val="Normal"/>
    <w:next w:val="Normal"/>
    <w:link w:val="IntenseQuoteChar"/>
    <w:uiPriority w:val="30"/>
    <w:qFormat/>
    <w:rsid w:val="00623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1D7"/>
    <w:rPr>
      <w:i/>
      <w:iCs/>
      <w:color w:val="0F4761" w:themeColor="accent1" w:themeShade="BF"/>
    </w:rPr>
  </w:style>
  <w:style w:type="character" w:styleId="IntenseReference">
    <w:name w:val="Intense Reference"/>
    <w:basedOn w:val="DefaultParagraphFont"/>
    <w:uiPriority w:val="32"/>
    <w:qFormat/>
    <w:rsid w:val="006231D7"/>
    <w:rPr>
      <w:b/>
      <w:bCs/>
      <w:smallCaps/>
      <w:color w:val="0F4761" w:themeColor="accent1" w:themeShade="BF"/>
      <w:spacing w:val="5"/>
    </w:rPr>
  </w:style>
  <w:style w:type="paragraph" w:styleId="NoSpacing">
    <w:name w:val="No Spacing"/>
    <w:uiPriority w:val="1"/>
    <w:qFormat/>
    <w:rsid w:val="00A319CF"/>
    <w:pPr>
      <w:spacing w:after="0" w:line="240" w:lineRule="auto"/>
      <w:jc w:val="both"/>
    </w:pPr>
    <w:rPr>
      <w:rFonts w:ascii="Times New Roman" w:eastAsia="Arial" w:hAnsi="Times New Roman" w:cs="Arial"/>
      <w:kern w:val="0"/>
      <w:szCs w:val="22"/>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economictimes.indiatimes.com/news/hotels/marriott-international-celebrates-milestone-on-journey-towards-net-zero/109551763" TargetMode="External"/><Relationship Id="rId13" Type="http://schemas.openxmlformats.org/officeDocument/2006/relationships/hyperlink" Target="https://www.hotel-development.marriott.com/power-of-marriott/our-story"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arriott.com/culture-and-values/core-values.m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arriott.com/marriott/aboutmarriott.mi"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serve360.marriott.com/" TargetMode="External"/><Relationship Id="rId4" Type="http://schemas.openxmlformats.org/officeDocument/2006/relationships/webSettings" Target="webSettings.xml"/><Relationship Id="rId9" Type="http://schemas.openxmlformats.org/officeDocument/2006/relationships/hyperlink" Target="https://www.marriott.com/diversity/diversity-and-inclusion.mi" TargetMode="External"/><Relationship Id="rId14" Type="http://schemas.openxmlformats.org/officeDocument/2006/relationships/hyperlink" Target="https://www.marriott.com/marriott/aboutmarriott.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1116</TotalTime>
  <Pages>13</Pages>
  <Words>2784</Words>
  <Characters>17821</Characters>
  <Application>Microsoft Office Word</Application>
  <DocSecurity>0</DocSecurity>
  <Lines>292</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16</cp:revision>
  <dcterms:created xsi:type="dcterms:W3CDTF">2025-02-25T18:45:00Z</dcterms:created>
  <dcterms:modified xsi:type="dcterms:W3CDTF">2025-03-03T09:47:00Z</dcterms:modified>
</cp:coreProperties>
</file>