
<file path=[Content_Types].xml><?xml version="1.0" encoding="utf-8"?>
<Types xmlns="http://schemas.openxmlformats.org/package/2006/content-types">
  <Default ContentType="image/jpeg" Extension="jpg"/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>
          <w:sz w:val="40"/>
          <w:szCs w:val="40"/>
        </w:rPr>
      </w:pPr>
      <w:r w:rsidDel="00000000" w:rsidR="00000000" w:rsidRPr="00000000">
        <w:rPr>
          <w:sz w:val="40"/>
          <w:szCs w:val="40"/>
          <w:rtl w:val="0"/>
        </w:rPr>
        <w:t xml:space="preserve">Entrepreneurial Innovation assignment 2-</w:t>
      </w:r>
    </w:p>
    <w:p w:rsidR="00000000" w:rsidDel="00000000" w:rsidP="00000000" w:rsidRDefault="00000000" w:rsidRPr="00000000" w14:paraId="00000002">
      <w:pPr>
        <w:rPr>
          <w:sz w:val="40"/>
          <w:szCs w:val="40"/>
        </w:rPr>
      </w:pPr>
      <w:r w:rsidDel="00000000" w:rsidR="00000000" w:rsidRPr="00000000">
        <w:rPr>
          <w:sz w:val="40"/>
          <w:szCs w:val="40"/>
          <w:rtl w:val="0"/>
        </w:rPr>
        <w:t xml:space="preserve">Presentation and business model canvas.</w:t>
      </w:r>
    </w:p>
    <w:p w:rsidR="00000000" w:rsidDel="00000000" w:rsidP="00000000" w:rsidRDefault="00000000" w:rsidRPr="00000000" w14:paraId="00000003">
      <w:pPr>
        <w:rPr>
          <w:sz w:val="40"/>
          <w:szCs w:val="40"/>
        </w:rPr>
      </w:pPr>
      <w:r w:rsidDel="00000000" w:rsidR="00000000" w:rsidRPr="00000000">
        <w:rPr>
          <w:sz w:val="40"/>
          <w:szCs w:val="40"/>
          <w:rtl w:val="0"/>
        </w:rPr>
        <w:t xml:space="preserve">Matthew Evans </w:t>
      </w:r>
    </w:p>
    <w:p w:rsidR="00000000" w:rsidDel="00000000" w:rsidP="00000000" w:rsidRDefault="00000000" w:rsidRPr="00000000" w14:paraId="00000004">
      <w:pPr>
        <w:rPr>
          <w:sz w:val="40"/>
          <w:szCs w:val="40"/>
        </w:rPr>
      </w:pPr>
      <w:r w:rsidDel="00000000" w:rsidR="00000000" w:rsidRPr="00000000">
        <w:rPr>
          <w:sz w:val="40"/>
          <w:szCs w:val="40"/>
          <w:rtl w:val="0"/>
        </w:rPr>
        <w:t xml:space="preserve">Student number-2317129</w:t>
      </w:r>
    </w:p>
    <w:p w:rsidR="00000000" w:rsidDel="00000000" w:rsidP="00000000" w:rsidRDefault="00000000" w:rsidRPr="00000000" w14:paraId="00000005">
      <w:pPr>
        <w:rPr>
          <w:sz w:val="40"/>
          <w:szCs w:val="4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>
          <w:sz w:val="40"/>
          <w:szCs w:val="40"/>
        </w:rPr>
      </w:pPr>
      <w:r w:rsidDel="00000000" w:rsidR="00000000" w:rsidRPr="00000000">
        <w:rPr>
          <w:sz w:val="40"/>
          <w:szCs w:val="40"/>
          <w:rtl w:val="0"/>
        </w:rPr>
        <w:t xml:space="preserve">Business Model Canvas</w:t>
      </w:r>
    </w:p>
    <w:p w:rsidR="00000000" w:rsidDel="00000000" w:rsidP="00000000" w:rsidRDefault="00000000" w:rsidRPr="00000000" w14:paraId="00000007">
      <w:pPr>
        <w:rPr>
          <w:sz w:val="40"/>
          <w:szCs w:val="40"/>
        </w:rPr>
      </w:pPr>
      <w:r w:rsidDel="00000000" w:rsidR="00000000" w:rsidRPr="00000000">
        <w:rPr>
          <w:sz w:val="40"/>
          <w:szCs w:val="40"/>
        </w:rPr>
        <w:drawing>
          <wp:inline distB="114300" distT="114300" distL="114300" distR="114300">
            <wp:extent cx="5943600" cy="5524500"/>
            <wp:effectExtent b="0" l="0" r="0" t="0"/>
            <wp:docPr id="1" name="image1.jpg"/>
            <a:graphic>
              <a:graphicData uri="http://schemas.openxmlformats.org/drawingml/2006/picture">
                <pic:pic>
                  <pic:nvPicPr>
                    <pic:cNvPr id="0" name="image1.jpg"/>
                    <pic:cNvPicPr preferRelativeResize="0"/>
                  </pic:nvPicPr>
                  <pic:blipFill>
                    <a:blip r:embed="rId6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5245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sz w:val="40"/>
          <w:szCs w:val="40"/>
          <w:rtl w:val="0"/>
        </w:rPr>
        <w:t xml:space="preserve"> </w:t>
      </w:r>
    </w:p>
    <w:p w:rsidR="00000000" w:rsidDel="00000000" w:rsidP="00000000" w:rsidRDefault="00000000" w:rsidRPr="00000000" w14:paraId="00000008">
      <w:pPr>
        <w:rPr>
          <w:sz w:val="40"/>
          <w:szCs w:val="40"/>
        </w:rPr>
      </w:pPr>
      <w:r w:rsidDel="00000000" w:rsidR="00000000" w:rsidRPr="00000000">
        <w:rPr>
          <w:sz w:val="40"/>
          <w:szCs w:val="40"/>
          <w:rtl w:val="0"/>
        </w:rPr>
        <w:t xml:space="preserve">Keynote Presentation- sent through email.</w:t>
      </w:r>
    </w:p>
    <w:p w:rsidR="00000000" w:rsidDel="00000000" w:rsidP="00000000" w:rsidRDefault="00000000" w:rsidRPr="00000000" w14:paraId="00000009">
      <w:pPr>
        <w:rPr>
          <w:sz w:val="40"/>
          <w:szCs w:val="4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rPr>
          <w:sz w:val="40"/>
          <w:szCs w:val="4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pBdr>
          <w:top w:color="e3e3e3" w:space="0" w:sz="0" w:val="none"/>
          <w:left w:color="e3e3e3" w:space="0" w:sz="0" w:val="none"/>
          <w:bottom w:color="e3e3e3" w:space="0" w:sz="0" w:val="none"/>
          <w:right w:color="e3e3e3" w:space="0" w:sz="0" w:val="none"/>
          <w:between w:color="e3e3e3" w:space="0" w:sz="0" w:val="none"/>
        </w:pBdr>
        <w:rPr>
          <w:color w:val="0d0d0d"/>
          <w:sz w:val="24"/>
          <w:szCs w:val="24"/>
          <w:highlight w:val="white"/>
        </w:rPr>
      </w:pPr>
      <w:r w:rsidDel="00000000" w:rsidR="00000000" w:rsidRPr="00000000">
        <w:rPr>
          <w:color w:val="0d0d0d"/>
          <w:sz w:val="40"/>
          <w:szCs w:val="40"/>
          <w:highlight w:val="white"/>
          <w:rtl w:val="0"/>
        </w:rPr>
        <w:t xml:space="preserve">Presentation references-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numPr>
          <w:ilvl w:val="0"/>
          <w:numId w:val="1"/>
        </w:numPr>
        <w:pBdr>
          <w:top w:color="e3e3e3" w:space="0" w:sz="0" w:val="none"/>
          <w:left w:color="e3e3e3" w:space="0" w:sz="0" w:val="none"/>
          <w:bottom w:color="e3e3e3" w:space="0" w:sz="0" w:val="none"/>
          <w:right w:color="e3e3e3" w:space="0" w:sz="0" w:val="none"/>
          <w:between w:color="e3e3e3" w:space="0" w:sz="0" w:val="none"/>
        </w:pBdr>
        <w:ind w:left="720" w:hanging="360"/>
        <w:rPr>
          <w:highlight w:val="white"/>
        </w:rPr>
      </w:pPr>
      <w:r w:rsidDel="00000000" w:rsidR="00000000" w:rsidRPr="00000000">
        <w:rPr>
          <w:color w:val="0d0d0d"/>
          <w:sz w:val="24"/>
          <w:szCs w:val="24"/>
          <w:highlight w:val="white"/>
          <w:rtl w:val="0"/>
        </w:rPr>
        <w:t xml:space="preserve">Welsh Water. (2023). </w:t>
      </w:r>
      <w:r w:rsidDel="00000000" w:rsidR="00000000" w:rsidRPr="00000000">
        <w:rPr>
          <w:i w:val="1"/>
          <w:color w:val="0d0d0d"/>
          <w:sz w:val="24"/>
          <w:szCs w:val="24"/>
          <w:highlight w:val="white"/>
          <w:rtl w:val="0"/>
        </w:rPr>
        <w:t xml:space="preserve">Annual Report and Financial Statements 2023</w:t>
      </w:r>
      <w:r w:rsidDel="00000000" w:rsidR="00000000" w:rsidRPr="00000000">
        <w:rPr>
          <w:color w:val="0d0d0d"/>
          <w:sz w:val="24"/>
          <w:szCs w:val="24"/>
          <w:highlight w:val="white"/>
          <w:rtl w:val="0"/>
        </w:rPr>
        <w:t xml:space="preserve">. Retrieved from https://www.dwrcymru.com/en/about-us/our-finances/financial-reports</w:t>
      </w:r>
    </w:p>
    <w:p w:rsidR="00000000" w:rsidDel="00000000" w:rsidP="00000000" w:rsidRDefault="00000000" w:rsidRPr="00000000" w14:paraId="0000000D">
      <w:pPr>
        <w:numPr>
          <w:ilvl w:val="0"/>
          <w:numId w:val="1"/>
        </w:numPr>
        <w:pBdr>
          <w:top w:color="e3e3e3" w:space="0" w:sz="0" w:val="none"/>
          <w:left w:color="e3e3e3" w:space="0" w:sz="0" w:val="none"/>
          <w:bottom w:color="e3e3e3" w:space="0" w:sz="0" w:val="none"/>
          <w:right w:color="e3e3e3" w:space="0" w:sz="0" w:val="none"/>
          <w:between w:color="e3e3e3" w:space="0" w:sz="0" w:val="none"/>
        </w:pBdr>
        <w:ind w:left="720" w:hanging="360"/>
        <w:rPr>
          <w:highlight w:val="white"/>
        </w:rPr>
      </w:pPr>
      <w:r w:rsidDel="00000000" w:rsidR="00000000" w:rsidRPr="00000000">
        <w:rPr>
          <w:color w:val="0d0d0d"/>
          <w:sz w:val="24"/>
          <w:szCs w:val="24"/>
          <w:highlight w:val="white"/>
          <w:rtl w:val="0"/>
        </w:rPr>
        <w:t xml:space="preserve">Welsh Government. (2022). </w:t>
      </w:r>
      <w:r w:rsidDel="00000000" w:rsidR="00000000" w:rsidRPr="00000000">
        <w:rPr>
          <w:i w:val="1"/>
          <w:color w:val="0d0d0d"/>
          <w:sz w:val="24"/>
          <w:szCs w:val="24"/>
          <w:highlight w:val="white"/>
          <w:rtl w:val="0"/>
        </w:rPr>
        <w:t xml:space="preserve">Water Strategy for Wales</w:t>
      </w:r>
      <w:r w:rsidDel="00000000" w:rsidR="00000000" w:rsidRPr="00000000">
        <w:rPr>
          <w:color w:val="0d0d0d"/>
          <w:sz w:val="24"/>
          <w:szCs w:val="24"/>
          <w:highlight w:val="white"/>
          <w:rtl w:val="0"/>
        </w:rPr>
        <w:t xml:space="preserve">. Retrieved from https://gov.wales/sites/default/files/publications/2022-03/water-strategy-for-wales_0.pdf</w:t>
      </w:r>
    </w:p>
    <w:p w:rsidR="00000000" w:rsidDel="00000000" w:rsidP="00000000" w:rsidRDefault="00000000" w:rsidRPr="00000000" w14:paraId="0000000E">
      <w:pPr>
        <w:numPr>
          <w:ilvl w:val="0"/>
          <w:numId w:val="1"/>
        </w:numPr>
        <w:pBdr>
          <w:top w:color="e3e3e3" w:space="0" w:sz="0" w:val="none"/>
          <w:left w:color="e3e3e3" w:space="0" w:sz="0" w:val="none"/>
          <w:bottom w:color="e3e3e3" w:space="0" w:sz="0" w:val="none"/>
          <w:right w:color="e3e3e3" w:space="0" w:sz="0" w:val="none"/>
          <w:between w:color="e3e3e3" w:space="0" w:sz="0" w:val="none"/>
        </w:pBdr>
        <w:ind w:left="720" w:hanging="360"/>
        <w:rPr>
          <w:highlight w:val="white"/>
        </w:rPr>
      </w:pPr>
      <w:r w:rsidDel="00000000" w:rsidR="00000000" w:rsidRPr="00000000">
        <w:rPr>
          <w:color w:val="0d0d0d"/>
          <w:sz w:val="24"/>
          <w:szCs w:val="24"/>
          <w:highlight w:val="white"/>
          <w:rtl w:val="0"/>
        </w:rPr>
        <w:t xml:space="preserve">Environment Agency. (2022). </w:t>
      </w:r>
      <w:r w:rsidDel="00000000" w:rsidR="00000000" w:rsidRPr="00000000">
        <w:rPr>
          <w:i w:val="1"/>
          <w:color w:val="0d0d0d"/>
          <w:sz w:val="24"/>
          <w:szCs w:val="24"/>
          <w:highlight w:val="white"/>
          <w:rtl w:val="0"/>
        </w:rPr>
        <w:t xml:space="preserve">Water Quality in Wales: Annual Report 2022</w:t>
      </w:r>
      <w:r w:rsidDel="00000000" w:rsidR="00000000" w:rsidRPr="00000000">
        <w:rPr>
          <w:color w:val="0d0d0d"/>
          <w:sz w:val="24"/>
          <w:szCs w:val="24"/>
          <w:highlight w:val="white"/>
          <w:rtl w:val="0"/>
        </w:rPr>
        <w:t xml:space="preserve">. Retrieved from https://www.gov.uk/government/publications/water-quality-in-wales-annual-report-2022</w:t>
      </w:r>
    </w:p>
    <w:p w:rsidR="00000000" w:rsidDel="00000000" w:rsidP="00000000" w:rsidRDefault="00000000" w:rsidRPr="00000000" w14:paraId="0000000F">
      <w:pPr>
        <w:numPr>
          <w:ilvl w:val="0"/>
          <w:numId w:val="1"/>
        </w:numPr>
        <w:pBdr>
          <w:top w:color="e3e3e3" w:space="0" w:sz="0" w:val="none"/>
          <w:left w:color="e3e3e3" w:space="0" w:sz="0" w:val="none"/>
          <w:bottom w:color="e3e3e3" w:space="0" w:sz="0" w:val="none"/>
          <w:right w:color="e3e3e3" w:space="0" w:sz="0" w:val="none"/>
          <w:between w:color="e3e3e3" w:space="0" w:sz="0" w:val="none"/>
        </w:pBdr>
        <w:ind w:left="720" w:hanging="360"/>
        <w:rPr>
          <w:highlight w:val="white"/>
        </w:rPr>
      </w:pPr>
      <w:r w:rsidDel="00000000" w:rsidR="00000000" w:rsidRPr="00000000">
        <w:rPr>
          <w:color w:val="0d0d0d"/>
          <w:sz w:val="24"/>
          <w:szCs w:val="24"/>
          <w:highlight w:val="white"/>
          <w:rtl w:val="0"/>
        </w:rPr>
        <w:t xml:space="preserve">United Nations. (n.d.). </w:t>
      </w:r>
      <w:r w:rsidDel="00000000" w:rsidR="00000000" w:rsidRPr="00000000">
        <w:rPr>
          <w:i w:val="1"/>
          <w:color w:val="0d0d0d"/>
          <w:sz w:val="24"/>
          <w:szCs w:val="24"/>
          <w:highlight w:val="white"/>
          <w:rtl w:val="0"/>
        </w:rPr>
        <w:t xml:space="preserve">Goal 6: Clean Water and Sanitation</w:t>
      </w:r>
      <w:r w:rsidDel="00000000" w:rsidR="00000000" w:rsidRPr="00000000">
        <w:rPr>
          <w:color w:val="0d0d0d"/>
          <w:sz w:val="24"/>
          <w:szCs w:val="24"/>
          <w:highlight w:val="white"/>
          <w:rtl w:val="0"/>
        </w:rPr>
        <w:t xml:space="preserve">. Retrieved from</w:t>
      </w:r>
      <w:hyperlink r:id="rId7">
        <w:r w:rsidDel="00000000" w:rsidR="00000000" w:rsidRPr="00000000">
          <w:rPr>
            <w:color w:val="0d0d0d"/>
            <w:sz w:val="24"/>
            <w:szCs w:val="24"/>
            <w:highlight w:val="white"/>
            <w:rtl w:val="0"/>
          </w:rPr>
          <w:t xml:space="preserve"> </w:t>
        </w:r>
      </w:hyperlink>
      <w:hyperlink r:id="rId8">
        <w:r w:rsidDel="00000000" w:rsidR="00000000" w:rsidRPr="00000000">
          <w:rPr>
            <w:color w:val="1155cc"/>
            <w:sz w:val="24"/>
            <w:szCs w:val="24"/>
            <w:highlight w:val="white"/>
            <w:rtl w:val="0"/>
          </w:rPr>
          <w:t xml:space="preserve">https://sdgs.un.org/goals/goal6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numPr>
          <w:ilvl w:val="0"/>
          <w:numId w:val="1"/>
        </w:numPr>
        <w:pBdr>
          <w:top w:color="e3e3e3" w:space="0" w:sz="0" w:val="none"/>
          <w:left w:color="e3e3e3" w:space="0" w:sz="0" w:val="none"/>
          <w:bottom w:color="e3e3e3" w:space="0" w:sz="0" w:val="none"/>
          <w:right w:color="e3e3e3" w:space="0" w:sz="0" w:val="none"/>
          <w:between w:color="e3e3e3" w:space="0" w:sz="0" w:val="none"/>
        </w:pBdr>
        <w:ind w:left="720" w:hanging="360"/>
        <w:rPr>
          <w:highlight w:val="white"/>
        </w:rPr>
      </w:pPr>
      <w:r w:rsidDel="00000000" w:rsidR="00000000" w:rsidRPr="00000000">
        <w:rPr>
          <w:color w:val="0d0d0d"/>
          <w:sz w:val="24"/>
          <w:szCs w:val="24"/>
          <w:highlight w:val="white"/>
          <w:rtl w:val="0"/>
        </w:rPr>
        <w:t xml:space="preserve">World Health Organization. (2022). </w:t>
      </w:r>
      <w:r w:rsidDel="00000000" w:rsidR="00000000" w:rsidRPr="00000000">
        <w:rPr>
          <w:i w:val="1"/>
          <w:color w:val="0d0d0d"/>
          <w:sz w:val="24"/>
          <w:szCs w:val="24"/>
          <w:highlight w:val="white"/>
          <w:rtl w:val="0"/>
        </w:rPr>
        <w:t xml:space="preserve">Guidelines for Drinking-water Quality: Fourth Edition</w:t>
      </w:r>
      <w:r w:rsidDel="00000000" w:rsidR="00000000" w:rsidRPr="00000000">
        <w:rPr>
          <w:color w:val="0d0d0d"/>
          <w:sz w:val="24"/>
          <w:szCs w:val="24"/>
          <w:highlight w:val="white"/>
          <w:rtl w:val="0"/>
        </w:rPr>
        <w:t xml:space="preserve">. Retrieved from</w:t>
      </w:r>
      <w:hyperlink r:id="rId9">
        <w:r w:rsidDel="00000000" w:rsidR="00000000" w:rsidRPr="00000000">
          <w:rPr>
            <w:color w:val="0d0d0d"/>
            <w:sz w:val="24"/>
            <w:szCs w:val="24"/>
            <w:highlight w:val="white"/>
            <w:rtl w:val="0"/>
          </w:rPr>
          <w:t xml:space="preserve"> </w:t>
        </w:r>
      </w:hyperlink>
      <w:hyperlink r:id="rId10">
        <w:r w:rsidDel="00000000" w:rsidR="00000000" w:rsidRPr="00000000">
          <w:rPr>
            <w:color w:val="1155cc"/>
            <w:sz w:val="24"/>
            <w:szCs w:val="24"/>
            <w:highlight w:val="white"/>
            <w:rtl w:val="0"/>
          </w:rPr>
          <w:t xml:space="preserve">https://www.who.int/publications/i/item/9789240030200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pBdr>
          <w:top w:color="e3e3e3" w:space="0" w:sz="0" w:val="none"/>
          <w:left w:color="e3e3e3" w:space="0" w:sz="0" w:val="none"/>
          <w:bottom w:color="e3e3e3" w:space="0" w:sz="0" w:val="none"/>
          <w:right w:color="e3e3e3" w:space="0" w:sz="0" w:val="none"/>
          <w:between w:color="e3e3e3" w:space="0" w:sz="0" w:val="none"/>
        </w:pBdr>
        <w:rPr>
          <w:color w:val="0d0d0d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pBdr>
          <w:top w:color="e3e3e3" w:space="0" w:sz="0" w:val="none"/>
          <w:left w:color="e3e3e3" w:space="0" w:sz="0" w:val="none"/>
          <w:bottom w:color="e3e3e3" w:space="0" w:sz="0" w:val="none"/>
          <w:right w:color="e3e3e3" w:space="0" w:sz="0" w:val="none"/>
          <w:between w:color="e3e3e3" w:space="0" w:sz="0" w:val="none"/>
        </w:pBdr>
        <w:rPr>
          <w:color w:val="0d0d0d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pBdr>
          <w:top w:color="e3e3e3" w:space="0" w:sz="0" w:val="none"/>
          <w:left w:color="e3e3e3" w:space="0" w:sz="0" w:val="none"/>
          <w:bottom w:color="e3e3e3" w:space="0" w:sz="0" w:val="none"/>
          <w:right w:color="e3e3e3" w:space="0" w:sz="0" w:val="none"/>
          <w:between w:color="e3e3e3" w:space="0" w:sz="0" w:val="none"/>
        </w:pBdr>
        <w:rPr>
          <w:color w:val="0d0d0d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pBdr>
          <w:top w:color="e3e3e3" w:space="0" w:sz="0" w:val="none"/>
          <w:left w:color="e3e3e3" w:space="0" w:sz="0" w:val="none"/>
          <w:bottom w:color="e3e3e3" w:space="0" w:sz="0" w:val="none"/>
          <w:right w:color="e3e3e3" w:space="0" w:sz="0" w:val="none"/>
          <w:between w:color="e3e3e3" w:space="0" w:sz="0" w:val="none"/>
        </w:pBdr>
        <w:rPr>
          <w:color w:val="0d0d0d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pBdr>
          <w:top w:color="e3e3e3" w:space="0" w:sz="0" w:val="none"/>
          <w:left w:color="e3e3e3" w:space="0" w:sz="0" w:val="none"/>
          <w:bottom w:color="e3e3e3" w:space="0" w:sz="0" w:val="none"/>
          <w:right w:color="e3e3e3" w:space="0" w:sz="0" w:val="none"/>
          <w:between w:color="e3e3e3" w:space="0" w:sz="0" w:val="none"/>
        </w:pBdr>
        <w:rPr>
          <w:color w:val="0d0d0d"/>
          <w:sz w:val="40"/>
          <w:szCs w:val="40"/>
          <w:highlight w:val="white"/>
        </w:rPr>
      </w:pPr>
      <w:r w:rsidDel="00000000" w:rsidR="00000000" w:rsidRPr="00000000">
        <w:rPr>
          <w:color w:val="0d0d0d"/>
          <w:sz w:val="40"/>
          <w:szCs w:val="40"/>
          <w:highlight w:val="white"/>
          <w:rtl w:val="0"/>
        </w:rPr>
        <w:t xml:space="preserve">Business model canvas references- </w:t>
      </w:r>
    </w:p>
    <w:p w:rsidR="00000000" w:rsidDel="00000000" w:rsidP="00000000" w:rsidRDefault="00000000" w:rsidRPr="00000000" w14:paraId="00000016">
      <w:pPr>
        <w:numPr>
          <w:ilvl w:val="0"/>
          <w:numId w:val="2"/>
        </w:numPr>
        <w:pBdr>
          <w:top w:color="e3e3e3" w:space="0" w:sz="0" w:val="none"/>
          <w:left w:color="e3e3e3" w:space="0" w:sz="0" w:val="none"/>
          <w:bottom w:color="e3e3e3" w:space="0" w:sz="0" w:val="none"/>
          <w:right w:color="e3e3e3" w:space="0" w:sz="0" w:val="none"/>
          <w:between w:color="e3e3e3" w:space="0" w:sz="0" w:val="none"/>
        </w:pBdr>
        <w:ind w:left="720" w:hanging="360"/>
        <w:rPr>
          <w:highlight w:val="white"/>
        </w:rPr>
      </w:pPr>
      <w:r w:rsidDel="00000000" w:rsidR="00000000" w:rsidRPr="00000000">
        <w:rPr>
          <w:color w:val="0d0d0d"/>
          <w:sz w:val="24"/>
          <w:szCs w:val="24"/>
          <w:highlight w:val="white"/>
          <w:rtl w:val="0"/>
        </w:rPr>
        <w:t xml:space="preserve">Jones, A., Smith, B., &amp; Davies, C. (2020). </w:t>
      </w:r>
      <w:r w:rsidDel="00000000" w:rsidR="00000000" w:rsidRPr="00000000">
        <w:rPr>
          <w:i w:val="1"/>
          <w:color w:val="0d0d0d"/>
          <w:sz w:val="24"/>
          <w:szCs w:val="24"/>
          <w:highlight w:val="white"/>
          <w:rtl w:val="0"/>
        </w:rPr>
        <w:t xml:space="preserve">Collaborative Governance and Sustainable Development: Wales’ Innovative Approach</w:t>
      </w:r>
      <w:r w:rsidDel="00000000" w:rsidR="00000000" w:rsidRPr="00000000">
        <w:rPr>
          <w:color w:val="0d0d0d"/>
          <w:sz w:val="24"/>
          <w:szCs w:val="24"/>
          <w:highlight w:val="white"/>
          <w:rtl w:val="0"/>
        </w:rPr>
        <w:t xml:space="preserve">. Sustainability, 12(10), 3966.</w:t>
      </w:r>
    </w:p>
    <w:p w:rsidR="00000000" w:rsidDel="00000000" w:rsidP="00000000" w:rsidRDefault="00000000" w:rsidRPr="00000000" w14:paraId="00000017">
      <w:pPr>
        <w:numPr>
          <w:ilvl w:val="0"/>
          <w:numId w:val="2"/>
        </w:numPr>
        <w:pBdr>
          <w:top w:color="e3e3e3" w:space="0" w:sz="0" w:val="none"/>
          <w:left w:color="e3e3e3" w:space="0" w:sz="0" w:val="none"/>
          <w:bottom w:color="e3e3e3" w:space="0" w:sz="0" w:val="none"/>
          <w:right w:color="e3e3e3" w:space="0" w:sz="0" w:val="none"/>
          <w:between w:color="e3e3e3" w:space="0" w:sz="0" w:val="none"/>
        </w:pBdr>
        <w:ind w:left="720" w:hanging="360"/>
        <w:rPr>
          <w:highlight w:val="white"/>
        </w:rPr>
      </w:pPr>
      <w:r w:rsidDel="00000000" w:rsidR="00000000" w:rsidRPr="00000000">
        <w:rPr>
          <w:color w:val="0d0d0d"/>
          <w:sz w:val="24"/>
          <w:szCs w:val="24"/>
          <w:highlight w:val="white"/>
          <w:rtl w:val="0"/>
        </w:rPr>
        <w:t xml:space="preserve">Welsh Government. (2022). </w:t>
      </w:r>
      <w:r w:rsidDel="00000000" w:rsidR="00000000" w:rsidRPr="00000000">
        <w:rPr>
          <w:i w:val="1"/>
          <w:color w:val="0d0d0d"/>
          <w:sz w:val="24"/>
          <w:szCs w:val="24"/>
          <w:highlight w:val="white"/>
          <w:rtl w:val="0"/>
        </w:rPr>
        <w:t xml:space="preserve">Water Strategy for Wales</w:t>
      </w:r>
      <w:r w:rsidDel="00000000" w:rsidR="00000000" w:rsidRPr="00000000">
        <w:rPr>
          <w:color w:val="0d0d0d"/>
          <w:sz w:val="24"/>
          <w:szCs w:val="24"/>
          <w:highlight w:val="white"/>
          <w:rtl w:val="0"/>
        </w:rPr>
        <w:t xml:space="preserve">.</w:t>
      </w:r>
    </w:p>
    <w:p w:rsidR="00000000" w:rsidDel="00000000" w:rsidP="00000000" w:rsidRDefault="00000000" w:rsidRPr="00000000" w14:paraId="00000018">
      <w:pPr>
        <w:numPr>
          <w:ilvl w:val="0"/>
          <w:numId w:val="2"/>
        </w:numPr>
        <w:pBdr>
          <w:top w:color="e3e3e3" w:space="0" w:sz="0" w:val="none"/>
          <w:left w:color="e3e3e3" w:space="0" w:sz="0" w:val="none"/>
          <w:bottom w:color="e3e3e3" w:space="0" w:sz="0" w:val="none"/>
          <w:right w:color="e3e3e3" w:space="0" w:sz="0" w:val="none"/>
          <w:between w:color="e3e3e3" w:space="0" w:sz="0" w:val="none"/>
        </w:pBdr>
        <w:ind w:left="720" w:hanging="360"/>
        <w:rPr>
          <w:highlight w:val="white"/>
        </w:rPr>
      </w:pPr>
      <w:r w:rsidDel="00000000" w:rsidR="00000000" w:rsidRPr="00000000">
        <w:rPr>
          <w:color w:val="0d0d0d"/>
          <w:sz w:val="24"/>
          <w:szCs w:val="24"/>
          <w:highlight w:val="white"/>
          <w:rtl w:val="0"/>
        </w:rPr>
        <w:t xml:space="preserve">Environment Agency. (2022). </w:t>
      </w:r>
      <w:r w:rsidDel="00000000" w:rsidR="00000000" w:rsidRPr="00000000">
        <w:rPr>
          <w:i w:val="1"/>
          <w:color w:val="0d0d0d"/>
          <w:sz w:val="24"/>
          <w:szCs w:val="24"/>
          <w:highlight w:val="white"/>
          <w:rtl w:val="0"/>
        </w:rPr>
        <w:t xml:space="preserve">Water Quality in Wales: Annual Report 2022</w:t>
      </w:r>
      <w:r w:rsidDel="00000000" w:rsidR="00000000" w:rsidRPr="00000000">
        <w:rPr>
          <w:color w:val="0d0d0d"/>
          <w:sz w:val="24"/>
          <w:szCs w:val="24"/>
          <w:highlight w:val="white"/>
          <w:rtl w:val="0"/>
        </w:rPr>
        <w:t xml:space="preserve">.</w:t>
      </w:r>
    </w:p>
    <w:p w:rsidR="00000000" w:rsidDel="00000000" w:rsidP="00000000" w:rsidRDefault="00000000" w:rsidRPr="00000000" w14:paraId="00000019">
      <w:pPr>
        <w:numPr>
          <w:ilvl w:val="0"/>
          <w:numId w:val="2"/>
        </w:numPr>
        <w:pBdr>
          <w:top w:color="e3e3e3" w:space="0" w:sz="0" w:val="none"/>
          <w:left w:color="e3e3e3" w:space="0" w:sz="0" w:val="none"/>
          <w:bottom w:color="e3e3e3" w:space="0" w:sz="0" w:val="none"/>
          <w:right w:color="e3e3e3" w:space="0" w:sz="0" w:val="none"/>
          <w:between w:color="e3e3e3" w:space="0" w:sz="0" w:val="none"/>
        </w:pBdr>
        <w:ind w:left="720" w:hanging="360"/>
        <w:rPr>
          <w:highlight w:val="white"/>
        </w:rPr>
      </w:pPr>
      <w:r w:rsidDel="00000000" w:rsidR="00000000" w:rsidRPr="00000000">
        <w:rPr>
          <w:color w:val="0d0d0d"/>
          <w:sz w:val="24"/>
          <w:szCs w:val="24"/>
          <w:highlight w:val="white"/>
          <w:rtl w:val="0"/>
        </w:rPr>
        <w:t xml:space="preserve">United Nations. (n.d.). </w:t>
      </w:r>
      <w:r w:rsidDel="00000000" w:rsidR="00000000" w:rsidRPr="00000000">
        <w:rPr>
          <w:i w:val="1"/>
          <w:color w:val="0d0d0d"/>
          <w:sz w:val="24"/>
          <w:szCs w:val="24"/>
          <w:highlight w:val="white"/>
          <w:rtl w:val="0"/>
        </w:rPr>
        <w:t xml:space="preserve">Goal 6: Clean Water and Sanitation</w:t>
      </w:r>
      <w:r w:rsidDel="00000000" w:rsidR="00000000" w:rsidRPr="00000000">
        <w:rPr>
          <w:color w:val="0d0d0d"/>
          <w:sz w:val="24"/>
          <w:szCs w:val="24"/>
          <w:highlight w:val="white"/>
          <w:rtl w:val="0"/>
        </w:rPr>
        <w:t xml:space="preserve">.</w:t>
      </w:r>
    </w:p>
    <w:p w:rsidR="00000000" w:rsidDel="00000000" w:rsidP="00000000" w:rsidRDefault="00000000" w:rsidRPr="00000000" w14:paraId="0000001A">
      <w:pPr>
        <w:numPr>
          <w:ilvl w:val="0"/>
          <w:numId w:val="2"/>
        </w:numPr>
        <w:pBdr>
          <w:top w:color="e3e3e3" w:space="0" w:sz="0" w:val="none"/>
          <w:left w:color="e3e3e3" w:space="0" w:sz="0" w:val="none"/>
          <w:bottom w:color="e3e3e3" w:space="0" w:sz="0" w:val="none"/>
          <w:right w:color="e3e3e3" w:space="0" w:sz="0" w:val="none"/>
          <w:between w:color="e3e3e3" w:space="0" w:sz="0" w:val="none"/>
        </w:pBdr>
        <w:ind w:left="720" w:hanging="360"/>
        <w:rPr>
          <w:highlight w:val="white"/>
        </w:rPr>
      </w:pPr>
      <w:r w:rsidDel="00000000" w:rsidR="00000000" w:rsidRPr="00000000">
        <w:rPr>
          <w:color w:val="0d0d0d"/>
          <w:sz w:val="24"/>
          <w:szCs w:val="24"/>
          <w:highlight w:val="white"/>
          <w:rtl w:val="0"/>
        </w:rPr>
        <w:t xml:space="preserve">Welsh Water. (2023). </w:t>
      </w:r>
      <w:r w:rsidDel="00000000" w:rsidR="00000000" w:rsidRPr="00000000">
        <w:rPr>
          <w:i w:val="1"/>
          <w:color w:val="0d0d0d"/>
          <w:sz w:val="24"/>
          <w:szCs w:val="24"/>
          <w:highlight w:val="white"/>
          <w:rtl w:val="0"/>
        </w:rPr>
        <w:t xml:space="preserve">Annual Report and Financial Statements 2023</w:t>
      </w:r>
      <w:r w:rsidDel="00000000" w:rsidR="00000000" w:rsidRPr="00000000">
        <w:rPr>
          <w:color w:val="0d0d0d"/>
          <w:sz w:val="24"/>
          <w:szCs w:val="24"/>
          <w:highlight w:val="white"/>
          <w:rtl w:val="0"/>
        </w:rPr>
        <w:t xml:space="preserve">.</w:t>
      </w:r>
    </w:p>
    <w:p w:rsidR="00000000" w:rsidDel="00000000" w:rsidP="00000000" w:rsidRDefault="00000000" w:rsidRPr="00000000" w14:paraId="0000001B">
      <w:pPr>
        <w:pBdr>
          <w:top w:color="e3e3e3" w:space="0" w:sz="0" w:val="none"/>
          <w:left w:color="e3e3e3" w:space="0" w:sz="0" w:val="none"/>
          <w:bottom w:color="e3e3e3" w:space="0" w:sz="0" w:val="none"/>
          <w:right w:color="e3e3e3" w:space="0" w:sz="0" w:val="none"/>
          <w:between w:color="e3e3e3" w:space="0" w:sz="0" w:val="none"/>
        </w:pBdr>
        <w:rPr>
          <w:color w:val="0d0d0d"/>
          <w:sz w:val="40"/>
          <w:szCs w:val="4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C">
      <w:pPr>
        <w:pBdr>
          <w:top w:color="e3e3e3" w:space="0" w:sz="0" w:val="none"/>
          <w:left w:color="e3e3e3" w:space="0" w:sz="0" w:val="none"/>
          <w:bottom w:color="e3e3e3" w:space="0" w:sz="0" w:val="none"/>
          <w:right w:color="e3e3e3" w:space="0" w:sz="0" w:val="none"/>
          <w:between w:color="e3e3e3" w:space="0" w:sz="0" w:val="none"/>
        </w:pBdr>
        <w:rPr>
          <w:color w:val="0d0d0d"/>
          <w:sz w:val="40"/>
          <w:szCs w:val="4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rPr>
          <w:sz w:val="40"/>
          <w:szCs w:val="4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E">
      <w:pPr>
        <w:rPr>
          <w:sz w:val="40"/>
          <w:szCs w:val="4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F">
      <w:pPr>
        <w:rPr>
          <w:sz w:val="40"/>
          <w:szCs w:val="40"/>
        </w:rPr>
      </w:pPr>
      <w:r w:rsidDel="00000000" w:rsidR="00000000" w:rsidRPr="00000000">
        <w:rPr>
          <w:rtl w:val="0"/>
        </w:rPr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abstractNum w:abstractNumId="1">
    <w:lvl w:ilvl="0">
      <w:start w:val="1"/>
      <w:numFmt w:val="decimal"/>
      <w:lvlText w:val="%1."/>
      <w:lvlJc w:val="left"/>
      <w:pPr>
        <w:ind w:left="720" w:hanging="360"/>
      </w:pPr>
      <w:rPr>
        <w:rFonts w:ascii="Arial" w:cs="Arial" w:eastAsia="Arial" w:hAnsi="Arial"/>
        <w:b w:val="0"/>
        <w:i w:val="0"/>
        <w:smallCaps w:val="0"/>
        <w:strike w:val="0"/>
        <w:color w:val="0d0d0d"/>
        <w:sz w:val="24"/>
        <w:szCs w:val="24"/>
        <w:u w:val="no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u w:val="none"/>
      </w:rPr>
    </w:lvl>
    <w:lvl w:ilvl="2">
      <w:start w:val="1"/>
      <w:numFmt w:val="lowerRoman"/>
      <w:lvlText w:val="%3."/>
      <w:lvlJc w:val="left"/>
      <w:pPr>
        <w:ind w:left="2160" w:hanging="360"/>
      </w:pPr>
      <w:rPr>
        <w:u w:val="no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u w:val="no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u w:val="none"/>
      </w:rPr>
    </w:lvl>
    <w:lvl w:ilvl="5">
      <w:start w:val="1"/>
      <w:numFmt w:val="lowerRoman"/>
      <w:lvlText w:val="%6."/>
      <w:lvlJc w:val="left"/>
      <w:pPr>
        <w:ind w:left="4320" w:hanging="360"/>
      </w:pPr>
      <w:rPr>
        <w:u w:val="no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u w:val="none"/>
      </w:rPr>
    </w:lvl>
    <w:lvl w:ilvl="8">
      <w:start w:val="1"/>
      <w:numFmt w:val="lowerRoman"/>
      <w:lvlText w:val="%9."/>
      <w:lvlJc w:val="left"/>
      <w:pPr>
        <w:ind w:left="6480" w:hanging="360"/>
      </w:pPr>
      <w:rPr>
        <w:u w:val="none"/>
      </w:rPr>
    </w:lvl>
  </w:abstractNum>
  <w:abstractNum w:abstractNumId="2">
    <w:lvl w:ilvl="0">
      <w:start w:val="1"/>
      <w:numFmt w:val="decimal"/>
      <w:lvlText w:val="%1."/>
      <w:lvlJc w:val="left"/>
      <w:pPr>
        <w:ind w:left="720" w:hanging="360"/>
      </w:pPr>
      <w:rPr>
        <w:rFonts w:ascii="Arial" w:cs="Arial" w:eastAsia="Arial" w:hAnsi="Arial"/>
        <w:b w:val="0"/>
        <w:i w:val="0"/>
        <w:smallCaps w:val="0"/>
        <w:strike w:val="0"/>
        <w:color w:val="0d0d0d"/>
        <w:sz w:val="24"/>
        <w:szCs w:val="24"/>
        <w:u w:val="no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u w:val="none"/>
      </w:rPr>
    </w:lvl>
    <w:lvl w:ilvl="2">
      <w:start w:val="1"/>
      <w:numFmt w:val="lowerRoman"/>
      <w:lvlText w:val="%3."/>
      <w:lvlJc w:val="left"/>
      <w:pPr>
        <w:ind w:left="2160" w:hanging="360"/>
      </w:pPr>
      <w:rPr>
        <w:u w:val="no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u w:val="no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u w:val="none"/>
      </w:rPr>
    </w:lvl>
    <w:lvl w:ilvl="5">
      <w:start w:val="1"/>
      <w:numFmt w:val="lowerRoman"/>
      <w:lvlText w:val="%6."/>
      <w:lvlJc w:val="left"/>
      <w:pPr>
        <w:ind w:left="4320" w:hanging="360"/>
      </w:pPr>
      <w:rPr>
        <w:u w:val="no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u w:val="none"/>
      </w:rPr>
    </w:lvl>
    <w:lvl w:ilvl="8">
      <w:start w:val="1"/>
      <w:numFmt w:val="lowerRoman"/>
      <w:lvlText w:val="%9."/>
      <w:lvlJc w:val="left"/>
      <w:pPr>
        <w:ind w:left="6480" w:hanging="360"/>
      </w:pPr>
      <w:rPr>
        <w:u w:val="none"/>
      </w:rPr>
    </w:lvl>
  </w:abstractNum>
  <w:num w:numId="1">
    <w:abstractNumId w:val="1"/>
  </w:num>
  <w:num w:numId="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10" Type="http://schemas.openxmlformats.org/officeDocument/2006/relationships/hyperlink" Target="https://www.who.int/publications/i/item/9789240030200" TargetMode="External"/><Relationship Id="rId9" Type="http://schemas.openxmlformats.org/officeDocument/2006/relationships/hyperlink" Target="https://www.who.int/publications/i/item/9789240030200" TargetMode="External"/><Relationship Id="rId5" Type="http://schemas.openxmlformats.org/officeDocument/2006/relationships/styles" Target="styles.xml"/><Relationship Id="rId6" Type="http://schemas.openxmlformats.org/officeDocument/2006/relationships/image" Target="media/image1.jpg"/><Relationship Id="rId7" Type="http://schemas.openxmlformats.org/officeDocument/2006/relationships/hyperlink" Target="https://sdgs.un.org/goals/goal6" TargetMode="External"/><Relationship Id="rId8" Type="http://schemas.openxmlformats.org/officeDocument/2006/relationships/hyperlink" Target="https://sdgs.un.org/goals/goal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