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7666979"/>
        <w:docPartObj>
          <w:docPartGallery w:val="Cover Pages"/>
          <w:docPartUnique/>
        </w:docPartObj>
      </w:sdtPr>
      <w:sdtContent>
        <w:p w14:paraId="463EFD7D" w14:textId="5566FA4B" w:rsidR="00DD1ACF" w:rsidRDefault="00DD1ACF">
          <w:r>
            <w:rPr>
              <w:noProof/>
            </w:rPr>
            <mc:AlternateContent>
              <mc:Choice Requires="wps">
                <w:drawing>
                  <wp:anchor distT="0" distB="0" distL="114300" distR="114300" simplePos="0" relativeHeight="251664384" behindDoc="0" locked="0" layoutInCell="1" allowOverlap="1" wp14:anchorId="798F8BBC" wp14:editId="12F097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A259B0D" w14:textId="7425B642" w:rsidR="00DD1ACF" w:rsidRDefault="003366B6">
                                <w:pPr>
                                  <w:pStyle w:val="NoSpacing"/>
                                  <w:rPr>
                                    <w:noProof/>
                                    <w:color w:val="0E2841" w:themeColor="text2"/>
                                  </w:rPr>
                                </w:pPr>
                                <w:r>
                                  <w:rPr>
                                    <w:noProof/>
                                    <w:color w:val="0E2841" w:themeColor="text2"/>
                                  </w:rPr>
                                  <w:t>HAJAR TAKIDINE</w:t>
                                </w:r>
                                <w:r w:rsidR="00C22C1E">
                                  <w:rPr>
                                    <w:noProof/>
                                    <w:color w:val="0E2841" w:themeColor="text2"/>
                                  </w:rPr>
                                  <w:t xml:space="preserve"> </w:t>
                                </w:r>
                                <w:r w:rsidR="000E5F9D">
                                  <w:rPr>
                                    <w:noProof/>
                                    <w:color w:val="0E2841" w:themeColor="text2"/>
                                  </w:rPr>
                                  <w:t xml:space="preserve"> </w:t>
                                </w:r>
                                <w:r w:rsidR="00C22C1E">
                                  <w:rPr>
                                    <w:noProof/>
                                    <w:color w:val="0E2841" w:themeColor="text2"/>
                                  </w:rPr>
                                  <w:t>23125</w:t>
                                </w:r>
                                <w:r w:rsidR="000E5F9D">
                                  <w:rPr>
                                    <w:noProof/>
                                    <w:color w:val="0E2841" w:themeColor="text2"/>
                                  </w:rPr>
                                  <w:t>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98F8BBC"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A259B0D" w14:textId="7425B642" w:rsidR="00DD1ACF" w:rsidRDefault="003366B6">
                          <w:pPr>
                            <w:pStyle w:val="NoSpacing"/>
                            <w:rPr>
                              <w:noProof/>
                              <w:color w:val="0E2841" w:themeColor="text2"/>
                            </w:rPr>
                          </w:pPr>
                          <w:r>
                            <w:rPr>
                              <w:noProof/>
                              <w:color w:val="0E2841" w:themeColor="text2"/>
                            </w:rPr>
                            <w:t>HAJAR TAKIDINE</w:t>
                          </w:r>
                          <w:r w:rsidR="00C22C1E">
                            <w:rPr>
                              <w:noProof/>
                              <w:color w:val="0E2841" w:themeColor="text2"/>
                            </w:rPr>
                            <w:t xml:space="preserve"> </w:t>
                          </w:r>
                          <w:r w:rsidR="000E5F9D">
                            <w:rPr>
                              <w:noProof/>
                              <w:color w:val="0E2841" w:themeColor="text2"/>
                            </w:rPr>
                            <w:t xml:space="preserve"> </w:t>
                          </w:r>
                          <w:r w:rsidR="00C22C1E">
                            <w:rPr>
                              <w:noProof/>
                              <w:color w:val="0E2841" w:themeColor="text2"/>
                            </w:rPr>
                            <w:t>23125</w:t>
                          </w:r>
                          <w:r w:rsidR="000E5F9D">
                            <w:rPr>
                              <w:noProof/>
                              <w:color w:val="0E2841" w:themeColor="text2"/>
                            </w:rPr>
                            <w:t>30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2F66198" wp14:editId="310AD71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F7D795" w14:textId="77777777" w:rsidR="00DD1ACF" w:rsidRDefault="00DD1AC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F66198"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BF7D795" w14:textId="77777777" w:rsidR="00DD1ACF" w:rsidRDefault="00DD1AC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EA6327" wp14:editId="45EA81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82ED23" w14:textId="4BBE2468" w:rsidR="00DD1ACF" w:rsidRDefault="00DD1ACF" w:rsidP="00DD1ACF">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7EA6327"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6F82ED23" w14:textId="4BBE2468" w:rsidR="00DD1ACF" w:rsidRDefault="00DD1ACF" w:rsidP="00DD1ACF">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0832709" wp14:editId="527D64A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FF7EA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F8A3E98" wp14:editId="659019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F57D5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42933C9" wp14:editId="1BB498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1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5813EE" w14:textId="7B843A69" w:rsidR="00DD1ACF" w:rsidRPr="00052463" w:rsidRDefault="00052463" w:rsidP="00052463">
                                    <w:pPr>
                                      <w:spacing w:line="240" w:lineRule="auto"/>
                                      <w:rPr>
                                        <w:rFonts w:asciiTheme="majorHAnsi" w:eastAsiaTheme="majorEastAsia" w:hAnsiTheme="majorHAnsi" w:cstheme="majorBidi"/>
                                        <w:noProof/>
                                        <w:color w:val="156082" w:themeColor="accent1"/>
                                        <w:sz w:val="72"/>
                                        <w:szCs w:val="144"/>
                                      </w:rPr>
                                    </w:pPr>
                                    <w:r w:rsidRPr="00052463">
                                      <w:rPr>
                                        <w:rFonts w:asciiTheme="majorHAnsi" w:eastAsiaTheme="majorEastAsia" w:hAnsiTheme="majorHAnsi" w:cstheme="majorBidi"/>
                                        <w:noProof/>
                                        <w:color w:val="156082" w:themeColor="accent1"/>
                                        <w:sz w:val="72"/>
                                        <w:szCs w:val="144"/>
                                      </w:rPr>
                                      <w:t>Data Handling &amp; Business Intelligence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2933C9"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1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5813EE" w14:textId="7B843A69" w:rsidR="00DD1ACF" w:rsidRPr="00052463" w:rsidRDefault="00052463" w:rsidP="00052463">
                              <w:pPr>
                                <w:spacing w:line="240" w:lineRule="auto"/>
                                <w:rPr>
                                  <w:rFonts w:asciiTheme="majorHAnsi" w:eastAsiaTheme="majorEastAsia" w:hAnsiTheme="majorHAnsi" w:cstheme="majorBidi"/>
                                  <w:noProof/>
                                  <w:color w:val="156082" w:themeColor="accent1"/>
                                  <w:sz w:val="72"/>
                                  <w:szCs w:val="144"/>
                                </w:rPr>
                              </w:pPr>
                              <w:r w:rsidRPr="00052463">
                                <w:rPr>
                                  <w:rFonts w:asciiTheme="majorHAnsi" w:eastAsiaTheme="majorEastAsia" w:hAnsiTheme="majorHAnsi" w:cstheme="majorBidi"/>
                                  <w:noProof/>
                                  <w:color w:val="156082" w:themeColor="accent1"/>
                                  <w:sz w:val="72"/>
                                  <w:szCs w:val="144"/>
                                </w:rPr>
                                <w:t>Data Handling &amp; Business Intelligence</w:t>
                              </w:r>
                            </w:p>
                          </w:sdtContent>
                        </w:sdt>
                      </w:txbxContent>
                    </v:textbox>
                    <w10:wrap type="square" anchorx="page" anchory="page"/>
                  </v:shape>
                </w:pict>
              </mc:Fallback>
            </mc:AlternateContent>
          </w:r>
        </w:p>
        <w:p w14:paraId="41D73344" w14:textId="0F637E8E" w:rsidR="00DD1ACF" w:rsidRDefault="00DD1ACF">
          <w:pPr>
            <w:rPr>
              <w:rFonts w:asciiTheme="majorHAnsi" w:eastAsiaTheme="majorEastAsia" w:hAnsiTheme="majorHAnsi" w:cstheme="majorBidi"/>
              <w:spacing w:val="-10"/>
              <w:kern w:val="28"/>
              <w:sz w:val="56"/>
              <w:szCs w:val="56"/>
            </w:rPr>
          </w:pPr>
          <w:r>
            <w:br w:type="page"/>
          </w:r>
        </w:p>
      </w:sdtContent>
    </w:sdt>
    <w:p w14:paraId="6FCA5010" w14:textId="77777777" w:rsidR="00140654" w:rsidRDefault="00140654" w:rsidP="00F67660">
      <w:pPr>
        <w:pStyle w:val="Title"/>
      </w:pPr>
    </w:p>
    <w:p w14:paraId="66F01875" w14:textId="77777777" w:rsidR="00D81974" w:rsidRPr="00F72F55" w:rsidRDefault="00D81974" w:rsidP="00D81974">
      <w:pPr>
        <w:rPr>
          <w:b/>
          <w:bCs/>
          <w:sz w:val="28"/>
          <w:szCs w:val="28"/>
        </w:rPr>
      </w:pPr>
      <w:r w:rsidRPr="00F72F55">
        <w:rPr>
          <w:b/>
          <w:bCs/>
          <w:sz w:val="28"/>
          <w:szCs w:val="28"/>
        </w:rPr>
        <w:t>Name: Hajar Takidine</w:t>
      </w:r>
    </w:p>
    <w:p w14:paraId="23E737CB" w14:textId="77777777" w:rsidR="00D81974" w:rsidRPr="00F72F55" w:rsidRDefault="00D81974" w:rsidP="00D81974">
      <w:pPr>
        <w:pStyle w:val="NoSpacing"/>
        <w:rPr>
          <w:b/>
          <w:bCs/>
          <w:sz w:val="28"/>
          <w:szCs w:val="28"/>
        </w:rPr>
      </w:pPr>
      <w:r w:rsidRPr="00F72F55">
        <w:rPr>
          <w:b/>
          <w:bCs/>
          <w:sz w:val="28"/>
          <w:szCs w:val="28"/>
        </w:rPr>
        <w:t>Student number: 2312530</w:t>
      </w:r>
    </w:p>
    <w:p w14:paraId="785420D0" w14:textId="66F6AFB3" w:rsidR="00D81974" w:rsidRPr="000D2DA5" w:rsidRDefault="00D81974" w:rsidP="00D81974">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A12646" w:rsidRPr="00A12646">
        <w:rPr>
          <w:rFonts w:ascii="Arial" w:hAnsi="Arial" w:cs="Arial"/>
          <w:b/>
        </w:rPr>
        <w:t>LCBB5014</w:t>
      </w:r>
    </w:p>
    <w:p w14:paraId="4E7BC2FF" w14:textId="77777777" w:rsidR="00D81974" w:rsidRDefault="00D81974" w:rsidP="00D81974">
      <w:pPr>
        <w:tabs>
          <w:tab w:val="left" w:pos="1843"/>
        </w:tabs>
        <w:spacing w:line="256" w:lineRule="auto"/>
        <w:rPr>
          <w:rFonts w:asciiTheme="majorHAnsi" w:hAnsiTheme="majorHAnsi"/>
          <w:b/>
          <w:bCs/>
          <w:sz w:val="28"/>
          <w:szCs w:val="28"/>
        </w:rPr>
      </w:pPr>
      <w:r w:rsidRPr="000D2DA5">
        <w:rPr>
          <w:rFonts w:asciiTheme="majorHAnsi" w:hAnsiTheme="majorHAnsi"/>
          <w:b/>
          <w:bCs/>
          <w:sz w:val="28"/>
          <w:szCs w:val="28"/>
        </w:rPr>
        <w:t>Module Title</w:t>
      </w:r>
      <w:r>
        <w:rPr>
          <w:rFonts w:asciiTheme="majorHAnsi" w:hAnsiTheme="majorHAnsi"/>
          <w:b/>
          <w:bCs/>
          <w:sz w:val="28"/>
          <w:szCs w:val="28"/>
        </w:rPr>
        <w:t xml:space="preserve">: </w:t>
      </w:r>
      <w:r w:rsidRPr="00CE52C0">
        <w:rPr>
          <w:rFonts w:asciiTheme="majorHAnsi" w:hAnsiTheme="majorHAnsi"/>
          <w:b/>
          <w:bCs/>
          <w:sz w:val="28"/>
          <w:szCs w:val="28"/>
        </w:rPr>
        <w:t xml:space="preserve">Data Handling &amp; Business Intelligence </w:t>
      </w:r>
    </w:p>
    <w:p w14:paraId="4F8A984C" w14:textId="441459C8" w:rsidR="00D81974" w:rsidRPr="00F72F55" w:rsidRDefault="00D81974" w:rsidP="00BF0E2B">
      <w:pPr>
        <w:tabs>
          <w:tab w:val="left" w:pos="1843"/>
        </w:tabs>
        <w:spacing w:line="256" w:lineRule="auto"/>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BF0E2B" w:rsidRPr="00BF0E2B">
        <w:rPr>
          <w:b/>
          <w:bCs/>
          <w:sz w:val="28"/>
          <w:szCs w:val="28"/>
        </w:rPr>
        <w:t>Component 2 Coursework: Report</w:t>
      </w:r>
    </w:p>
    <w:p w14:paraId="130182A4" w14:textId="77777777" w:rsidR="00D81974" w:rsidRPr="0022789B" w:rsidRDefault="00D81974" w:rsidP="00D81974">
      <w:pPr>
        <w:pStyle w:val="NoSpacing"/>
      </w:pPr>
      <w:r w:rsidRPr="00F72F55">
        <w:rPr>
          <w:b/>
          <w:bCs/>
          <w:sz w:val="28"/>
          <w:szCs w:val="28"/>
        </w:rPr>
        <w:t>University of Wales Trinity Saint David, Birmingham</w:t>
      </w:r>
    </w:p>
    <w:p w14:paraId="3BFD77B0" w14:textId="77777777" w:rsidR="00D81974" w:rsidRDefault="00D81974" w:rsidP="00D81974">
      <w:pPr>
        <w:rPr>
          <w:b/>
          <w:bCs/>
        </w:rPr>
      </w:pPr>
    </w:p>
    <w:p w14:paraId="05E577ED" w14:textId="77777777" w:rsidR="00D81974" w:rsidRDefault="00D81974" w:rsidP="00D81974">
      <w:pPr>
        <w:pStyle w:val="Title"/>
      </w:pPr>
    </w:p>
    <w:p w14:paraId="00717206" w14:textId="77777777" w:rsidR="00CD18A8" w:rsidRDefault="00CD18A8" w:rsidP="00CD18A8"/>
    <w:p w14:paraId="1962B43A" w14:textId="77777777" w:rsidR="00CD18A8" w:rsidRDefault="00CD18A8" w:rsidP="00CD18A8"/>
    <w:p w14:paraId="3BCFDA2D" w14:textId="77777777" w:rsidR="00CD18A8" w:rsidRDefault="00CD18A8" w:rsidP="00CD18A8"/>
    <w:p w14:paraId="6BAC90AC" w14:textId="77777777" w:rsidR="00CD18A8" w:rsidRDefault="00CD18A8" w:rsidP="00CD18A8"/>
    <w:p w14:paraId="1A852EA7" w14:textId="77777777" w:rsidR="00CD18A8" w:rsidRDefault="00CD18A8" w:rsidP="00CD18A8"/>
    <w:p w14:paraId="0AB3188E" w14:textId="77777777" w:rsidR="00CD18A8" w:rsidRDefault="00CD18A8" w:rsidP="00CD18A8"/>
    <w:p w14:paraId="08783B8F" w14:textId="77777777" w:rsidR="00CD18A8" w:rsidRDefault="00CD18A8" w:rsidP="00CD18A8"/>
    <w:p w14:paraId="78B00C90" w14:textId="77777777" w:rsidR="00CD18A8" w:rsidRDefault="00CD18A8" w:rsidP="00CD18A8"/>
    <w:p w14:paraId="43BFE7A3" w14:textId="77777777" w:rsidR="00CD18A8" w:rsidRDefault="00CD18A8" w:rsidP="00CD18A8"/>
    <w:p w14:paraId="39E4E30A" w14:textId="77777777" w:rsidR="00CD18A8" w:rsidRDefault="00CD18A8" w:rsidP="00CD18A8"/>
    <w:p w14:paraId="5F6811A7" w14:textId="77777777" w:rsidR="00CD18A8" w:rsidRDefault="00CD18A8" w:rsidP="00CD18A8"/>
    <w:p w14:paraId="03B86227" w14:textId="77777777" w:rsidR="00CD18A8" w:rsidRDefault="00CD18A8" w:rsidP="00CD18A8"/>
    <w:p w14:paraId="5AE82505" w14:textId="77777777" w:rsidR="00CD18A8" w:rsidRDefault="00CD18A8" w:rsidP="00CD18A8"/>
    <w:p w14:paraId="0FE4FDD8" w14:textId="77777777" w:rsidR="00CD18A8" w:rsidRDefault="00CD18A8" w:rsidP="00CD18A8"/>
    <w:p w14:paraId="77B846F0" w14:textId="77777777" w:rsidR="00CD18A8" w:rsidRDefault="00CD18A8" w:rsidP="00CD18A8"/>
    <w:p w14:paraId="02C4C37F" w14:textId="77777777" w:rsidR="00CD18A8" w:rsidRDefault="00CD18A8" w:rsidP="00CD18A8"/>
    <w:p w14:paraId="163B013C" w14:textId="77777777" w:rsidR="00CD18A8" w:rsidRDefault="00CD18A8" w:rsidP="00CD18A8"/>
    <w:p w14:paraId="523782A4" w14:textId="77777777" w:rsidR="00CD18A8" w:rsidRPr="00CD18A8" w:rsidRDefault="00CD18A8" w:rsidP="00CD18A8"/>
    <w:p w14:paraId="18BAE6EC" w14:textId="222A587F" w:rsidR="000E5F9D" w:rsidRDefault="009B2988" w:rsidP="00F67660">
      <w:pPr>
        <w:pStyle w:val="Title"/>
      </w:pPr>
      <w:r w:rsidRPr="009B2988">
        <w:t xml:space="preserve"> </w:t>
      </w:r>
    </w:p>
    <w:sdt>
      <w:sdtPr>
        <w:id w:val="77537315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EE304EC" w14:textId="1A9667E0" w:rsidR="000E7943" w:rsidRDefault="000E7943">
          <w:pPr>
            <w:pStyle w:val="TOCHeading"/>
          </w:pPr>
          <w:r>
            <w:t>Table of Contents</w:t>
          </w:r>
        </w:p>
        <w:p w14:paraId="3329D789" w14:textId="73F91684" w:rsidR="000E7943" w:rsidRDefault="000E794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283470" w:history="1">
            <w:r w:rsidRPr="00CD0BE8">
              <w:rPr>
                <w:rStyle w:val="Hyperlink"/>
                <w:noProof/>
              </w:rPr>
              <w:t>Introduction</w:t>
            </w:r>
            <w:r>
              <w:rPr>
                <w:noProof/>
                <w:webHidden/>
              </w:rPr>
              <w:tab/>
            </w:r>
            <w:r>
              <w:rPr>
                <w:noProof/>
                <w:webHidden/>
              </w:rPr>
              <w:fldChar w:fldCharType="begin"/>
            </w:r>
            <w:r>
              <w:rPr>
                <w:noProof/>
                <w:webHidden/>
              </w:rPr>
              <w:instrText xml:space="preserve"> PAGEREF _Toc225283470 \h </w:instrText>
            </w:r>
            <w:r>
              <w:rPr>
                <w:noProof/>
                <w:webHidden/>
              </w:rPr>
            </w:r>
            <w:r>
              <w:rPr>
                <w:noProof/>
                <w:webHidden/>
              </w:rPr>
              <w:fldChar w:fldCharType="separate"/>
            </w:r>
            <w:r>
              <w:rPr>
                <w:noProof/>
                <w:webHidden/>
              </w:rPr>
              <w:t>3</w:t>
            </w:r>
            <w:r>
              <w:rPr>
                <w:noProof/>
                <w:webHidden/>
              </w:rPr>
              <w:fldChar w:fldCharType="end"/>
            </w:r>
          </w:hyperlink>
        </w:p>
        <w:p w14:paraId="673E68C0" w14:textId="31FFF855" w:rsidR="000E7943" w:rsidRDefault="000E7943">
          <w:pPr>
            <w:pStyle w:val="TOC1"/>
            <w:tabs>
              <w:tab w:val="right" w:leader="dot" w:pos="9016"/>
            </w:tabs>
            <w:rPr>
              <w:rFonts w:eastAsiaTheme="minorEastAsia"/>
              <w:noProof/>
              <w:sz w:val="24"/>
              <w:szCs w:val="24"/>
              <w:lang w:eastAsia="en-GB"/>
            </w:rPr>
          </w:pPr>
          <w:hyperlink w:anchor="_Toc225283471" w:history="1">
            <w:r w:rsidRPr="00CD0BE8">
              <w:rPr>
                <w:rStyle w:val="Hyperlink"/>
                <w:noProof/>
              </w:rPr>
              <w:t>Data Cleaning and Preparation</w:t>
            </w:r>
            <w:r>
              <w:rPr>
                <w:noProof/>
                <w:webHidden/>
              </w:rPr>
              <w:tab/>
            </w:r>
            <w:r>
              <w:rPr>
                <w:noProof/>
                <w:webHidden/>
              </w:rPr>
              <w:fldChar w:fldCharType="begin"/>
            </w:r>
            <w:r>
              <w:rPr>
                <w:noProof/>
                <w:webHidden/>
              </w:rPr>
              <w:instrText xml:space="preserve"> PAGEREF _Toc225283471 \h </w:instrText>
            </w:r>
            <w:r>
              <w:rPr>
                <w:noProof/>
                <w:webHidden/>
              </w:rPr>
            </w:r>
            <w:r>
              <w:rPr>
                <w:noProof/>
                <w:webHidden/>
              </w:rPr>
              <w:fldChar w:fldCharType="separate"/>
            </w:r>
            <w:r>
              <w:rPr>
                <w:noProof/>
                <w:webHidden/>
              </w:rPr>
              <w:t>4</w:t>
            </w:r>
            <w:r>
              <w:rPr>
                <w:noProof/>
                <w:webHidden/>
              </w:rPr>
              <w:fldChar w:fldCharType="end"/>
            </w:r>
          </w:hyperlink>
        </w:p>
        <w:p w14:paraId="6045809D" w14:textId="7F5A2D99" w:rsidR="000E7943" w:rsidRDefault="000E7943">
          <w:pPr>
            <w:pStyle w:val="TOC1"/>
            <w:tabs>
              <w:tab w:val="right" w:leader="dot" w:pos="9016"/>
            </w:tabs>
            <w:rPr>
              <w:rFonts w:eastAsiaTheme="minorEastAsia"/>
              <w:noProof/>
              <w:sz w:val="24"/>
              <w:szCs w:val="24"/>
              <w:lang w:eastAsia="en-GB"/>
            </w:rPr>
          </w:pPr>
          <w:hyperlink w:anchor="_Toc225283472" w:history="1">
            <w:r w:rsidRPr="00CD0BE8">
              <w:rPr>
                <w:rStyle w:val="Hyperlink"/>
                <w:noProof/>
              </w:rPr>
              <w:t>Descriptive Statistics</w:t>
            </w:r>
            <w:r>
              <w:rPr>
                <w:noProof/>
                <w:webHidden/>
              </w:rPr>
              <w:tab/>
            </w:r>
            <w:r>
              <w:rPr>
                <w:noProof/>
                <w:webHidden/>
              </w:rPr>
              <w:fldChar w:fldCharType="begin"/>
            </w:r>
            <w:r>
              <w:rPr>
                <w:noProof/>
                <w:webHidden/>
              </w:rPr>
              <w:instrText xml:space="preserve"> PAGEREF _Toc225283472 \h </w:instrText>
            </w:r>
            <w:r>
              <w:rPr>
                <w:noProof/>
                <w:webHidden/>
              </w:rPr>
            </w:r>
            <w:r>
              <w:rPr>
                <w:noProof/>
                <w:webHidden/>
              </w:rPr>
              <w:fldChar w:fldCharType="separate"/>
            </w:r>
            <w:r>
              <w:rPr>
                <w:noProof/>
                <w:webHidden/>
              </w:rPr>
              <w:t>5</w:t>
            </w:r>
            <w:r>
              <w:rPr>
                <w:noProof/>
                <w:webHidden/>
              </w:rPr>
              <w:fldChar w:fldCharType="end"/>
            </w:r>
          </w:hyperlink>
        </w:p>
        <w:p w14:paraId="6563F255" w14:textId="6D16A540" w:rsidR="000E7943" w:rsidRDefault="000E7943">
          <w:pPr>
            <w:pStyle w:val="TOC1"/>
            <w:tabs>
              <w:tab w:val="right" w:leader="dot" w:pos="9016"/>
            </w:tabs>
            <w:rPr>
              <w:rFonts w:eastAsiaTheme="minorEastAsia"/>
              <w:noProof/>
              <w:sz w:val="24"/>
              <w:szCs w:val="24"/>
              <w:lang w:eastAsia="en-GB"/>
            </w:rPr>
          </w:pPr>
          <w:hyperlink w:anchor="_Toc225283473" w:history="1">
            <w:r w:rsidRPr="00CD0BE8">
              <w:rPr>
                <w:rStyle w:val="Hyperlink"/>
                <w:noProof/>
              </w:rPr>
              <w:t>Trend Analysis and Visualisation</w:t>
            </w:r>
            <w:r>
              <w:rPr>
                <w:noProof/>
                <w:webHidden/>
              </w:rPr>
              <w:tab/>
            </w:r>
            <w:r>
              <w:rPr>
                <w:noProof/>
                <w:webHidden/>
              </w:rPr>
              <w:fldChar w:fldCharType="begin"/>
            </w:r>
            <w:r>
              <w:rPr>
                <w:noProof/>
                <w:webHidden/>
              </w:rPr>
              <w:instrText xml:space="preserve"> PAGEREF _Toc225283473 \h </w:instrText>
            </w:r>
            <w:r>
              <w:rPr>
                <w:noProof/>
                <w:webHidden/>
              </w:rPr>
            </w:r>
            <w:r>
              <w:rPr>
                <w:noProof/>
                <w:webHidden/>
              </w:rPr>
              <w:fldChar w:fldCharType="separate"/>
            </w:r>
            <w:r>
              <w:rPr>
                <w:noProof/>
                <w:webHidden/>
              </w:rPr>
              <w:t>9</w:t>
            </w:r>
            <w:r>
              <w:rPr>
                <w:noProof/>
                <w:webHidden/>
              </w:rPr>
              <w:fldChar w:fldCharType="end"/>
            </w:r>
          </w:hyperlink>
        </w:p>
        <w:p w14:paraId="465484EA" w14:textId="420E6D3C" w:rsidR="000E7943" w:rsidRDefault="000E7943">
          <w:pPr>
            <w:pStyle w:val="TOC1"/>
            <w:tabs>
              <w:tab w:val="right" w:leader="dot" w:pos="9016"/>
            </w:tabs>
            <w:rPr>
              <w:rFonts w:eastAsiaTheme="minorEastAsia"/>
              <w:noProof/>
              <w:sz w:val="24"/>
              <w:szCs w:val="24"/>
              <w:lang w:eastAsia="en-GB"/>
            </w:rPr>
          </w:pPr>
          <w:hyperlink w:anchor="_Toc225283474" w:history="1">
            <w:r w:rsidRPr="00CD0BE8">
              <w:rPr>
                <w:rStyle w:val="Hyperlink"/>
                <w:noProof/>
              </w:rPr>
              <w:t>Statistical Analysis</w:t>
            </w:r>
            <w:r>
              <w:rPr>
                <w:noProof/>
                <w:webHidden/>
              </w:rPr>
              <w:tab/>
            </w:r>
            <w:r>
              <w:rPr>
                <w:noProof/>
                <w:webHidden/>
              </w:rPr>
              <w:fldChar w:fldCharType="begin"/>
            </w:r>
            <w:r>
              <w:rPr>
                <w:noProof/>
                <w:webHidden/>
              </w:rPr>
              <w:instrText xml:space="preserve"> PAGEREF _Toc225283474 \h </w:instrText>
            </w:r>
            <w:r>
              <w:rPr>
                <w:noProof/>
                <w:webHidden/>
              </w:rPr>
            </w:r>
            <w:r>
              <w:rPr>
                <w:noProof/>
                <w:webHidden/>
              </w:rPr>
              <w:fldChar w:fldCharType="separate"/>
            </w:r>
            <w:r>
              <w:rPr>
                <w:noProof/>
                <w:webHidden/>
              </w:rPr>
              <w:t>12</w:t>
            </w:r>
            <w:r>
              <w:rPr>
                <w:noProof/>
                <w:webHidden/>
              </w:rPr>
              <w:fldChar w:fldCharType="end"/>
            </w:r>
          </w:hyperlink>
        </w:p>
        <w:p w14:paraId="337BDD46" w14:textId="0865FC66" w:rsidR="000E7943" w:rsidRDefault="000E7943">
          <w:pPr>
            <w:pStyle w:val="TOC1"/>
            <w:tabs>
              <w:tab w:val="right" w:leader="dot" w:pos="9016"/>
            </w:tabs>
            <w:rPr>
              <w:rFonts w:eastAsiaTheme="minorEastAsia"/>
              <w:noProof/>
              <w:sz w:val="24"/>
              <w:szCs w:val="24"/>
              <w:lang w:eastAsia="en-GB"/>
            </w:rPr>
          </w:pPr>
          <w:hyperlink w:anchor="_Toc225283475" w:history="1">
            <w:r w:rsidRPr="00CD0BE8">
              <w:rPr>
                <w:rStyle w:val="Hyperlink"/>
                <w:noProof/>
              </w:rPr>
              <w:t>Insights and Recommendations</w:t>
            </w:r>
            <w:r>
              <w:rPr>
                <w:noProof/>
                <w:webHidden/>
              </w:rPr>
              <w:tab/>
            </w:r>
            <w:r>
              <w:rPr>
                <w:noProof/>
                <w:webHidden/>
              </w:rPr>
              <w:fldChar w:fldCharType="begin"/>
            </w:r>
            <w:r>
              <w:rPr>
                <w:noProof/>
                <w:webHidden/>
              </w:rPr>
              <w:instrText xml:space="preserve"> PAGEREF _Toc225283475 \h </w:instrText>
            </w:r>
            <w:r>
              <w:rPr>
                <w:noProof/>
                <w:webHidden/>
              </w:rPr>
            </w:r>
            <w:r>
              <w:rPr>
                <w:noProof/>
                <w:webHidden/>
              </w:rPr>
              <w:fldChar w:fldCharType="separate"/>
            </w:r>
            <w:r>
              <w:rPr>
                <w:noProof/>
                <w:webHidden/>
              </w:rPr>
              <w:t>16</w:t>
            </w:r>
            <w:r>
              <w:rPr>
                <w:noProof/>
                <w:webHidden/>
              </w:rPr>
              <w:fldChar w:fldCharType="end"/>
            </w:r>
          </w:hyperlink>
        </w:p>
        <w:p w14:paraId="26409B17" w14:textId="31E49F39" w:rsidR="000E7943" w:rsidRDefault="000E7943">
          <w:r>
            <w:rPr>
              <w:b/>
              <w:bCs/>
              <w:noProof/>
            </w:rPr>
            <w:fldChar w:fldCharType="end"/>
          </w:r>
        </w:p>
      </w:sdtContent>
    </w:sdt>
    <w:p w14:paraId="4D91C0F3" w14:textId="77777777" w:rsidR="000E5F9D" w:rsidRDefault="000E5F9D">
      <w:pPr>
        <w:rPr>
          <w:rFonts w:asciiTheme="majorHAnsi" w:eastAsiaTheme="majorEastAsia" w:hAnsiTheme="majorHAnsi" w:cstheme="majorBidi"/>
          <w:spacing w:val="-10"/>
          <w:kern w:val="28"/>
          <w:sz w:val="56"/>
          <w:szCs w:val="56"/>
        </w:rPr>
      </w:pPr>
      <w:r>
        <w:br w:type="page"/>
      </w:r>
    </w:p>
    <w:p w14:paraId="504520C6" w14:textId="673C8B5A" w:rsidR="009B2988" w:rsidRPr="000E7943" w:rsidRDefault="009B2988" w:rsidP="000E7943">
      <w:pPr>
        <w:pStyle w:val="Heading1"/>
        <w:rPr>
          <w:color w:val="auto"/>
        </w:rPr>
      </w:pPr>
      <w:bookmarkStart w:id="0" w:name="_Toc225283470"/>
      <w:r w:rsidRPr="000E7943">
        <w:rPr>
          <w:color w:val="auto"/>
        </w:rPr>
        <w:lastRenderedPageBreak/>
        <w:t>Introduction</w:t>
      </w:r>
      <w:bookmarkEnd w:id="0"/>
    </w:p>
    <w:p w14:paraId="07072F10" w14:textId="77777777"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 xml:space="preserve">The rapid expansion of the food delivery industry has generated substantial volumes of operational data, presenting opportunities for businesses seeking to improve service efficiency and customer satisfaction. As Chaudhuri, Dayal and </w:t>
      </w:r>
      <w:proofErr w:type="spellStart"/>
      <w:r w:rsidRPr="00AE7042">
        <w:rPr>
          <w:rFonts w:ascii="Arial" w:hAnsi="Arial" w:cs="Arial"/>
          <w:sz w:val="24"/>
          <w:szCs w:val="24"/>
        </w:rPr>
        <w:t>Narasayya</w:t>
      </w:r>
      <w:proofErr w:type="spellEnd"/>
      <w:r w:rsidRPr="00AE7042">
        <w:rPr>
          <w:rFonts w:ascii="Arial" w:hAnsi="Arial" w:cs="Arial"/>
          <w:sz w:val="24"/>
          <w:szCs w:val="24"/>
        </w:rPr>
        <w:t xml:space="preserve"> (2011) argue, effective business intelligence systems allow organisations to transform raw transactional data into actionable insights that inform strategic and operational decisions.</w:t>
      </w:r>
    </w:p>
    <w:p w14:paraId="39A53834" w14:textId="3E865A64"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This report presents a structured analytical investigation of a food delivery operations dataset comprising 11,399 records from delivery activities conducted between February and April 2022 across multiple</w:t>
      </w:r>
      <w:r w:rsidR="00F67660" w:rsidRPr="00AE7042">
        <w:rPr>
          <w:rFonts w:ascii="Arial" w:hAnsi="Arial" w:cs="Arial"/>
          <w:sz w:val="24"/>
          <w:szCs w:val="24"/>
        </w:rPr>
        <w:t xml:space="preserve"> </w:t>
      </w:r>
      <w:r w:rsidRPr="00AE7042">
        <w:rPr>
          <w:rFonts w:ascii="Arial" w:hAnsi="Arial" w:cs="Arial"/>
          <w:sz w:val="24"/>
          <w:szCs w:val="24"/>
        </w:rPr>
        <w:t xml:space="preserve">cities. The dataset encompasses variables including delivery person demographics, geospatial coordinates, order timestamps, weather conditions, road traffic density, vehicle types, and order categories, making it </w:t>
      </w:r>
      <w:r w:rsidR="00F67660" w:rsidRPr="00AE7042">
        <w:rPr>
          <w:rFonts w:ascii="Arial" w:hAnsi="Arial" w:cs="Arial"/>
          <w:sz w:val="24"/>
          <w:szCs w:val="24"/>
        </w:rPr>
        <w:t>well-suited</w:t>
      </w:r>
      <w:r w:rsidRPr="00AE7042">
        <w:rPr>
          <w:rFonts w:ascii="Arial" w:hAnsi="Arial" w:cs="Arial"/>
          <w:sz w:val="24"/>
          <w:szCs w:val="24"/>
        </w:rPr>
        <w:t xml:space="preserve"> to both descriptive and inferential statistical analysis (Han, Kamber and Pei, 2012).</w:t>
      </w:r>
    </w:p>
    <w:p w14:paraId="1269EFFF" w14:textId="77777777"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The analysis utilises Microsoft Excel for data cleaning, descriptive statistics and trend visualisation, and SPSS for inferential statistical testing, reflecting established practice in applied business analytics (Field, 2018). Five principal objectives guide the investigation: data cleaning and preparation; descriptive statistical summary; trend analysis and visualisation; hypothesis testing and regression; and evidence-based operational recommendations. As Turban et al. (2011) observe, such analysis enables organisations to move from reactive problem-solving towards proactive strategic planning.</w:t>
      </w:r>
    </w:p>
    <w:p w14:paraId="6BF9D81F" w14:textId="77777777" w:rsidR="00BE0CBB" w:rsidRDefault="00BE0CBB" w:rsidP="00060743">
      <w:pPr>
        <w:jc w:val="both"/>
      </w:pPr>
    </w:p>
    <w:p w14:paraId="4FA18E16" w14:textId="77777777" w:rsidR="00F67660" w:rsidRDefault="00F67660" w:rsidP="00060743">
      <w:pPr>
        <w:jc w:val="both"/>
        <w:rPr>
          <w:b/>
          <w:bCs/>
          <w:sz w:val="24"/>
        </w:rPr>
      </w:pPr>
    </w:p>
    <w:p w14:paraId="16E581A2" w14:textId="77777777" w:rsidR="00F67660" w:rsidRDefault="00F67660" w:rsidP="00060743">
      <w:pPr>
        <w:jc w:val="both"/>
        <w:rPr>
          <w:b/>
          <w:bCs/>
          <w:sz w:val="24"/>
        </w:rPr>
      </w:pPr>
    </w:p>
    <w:p w14:paraId="22691145" w14:textId="77777777" w:rsidR="00F67660" w:rsidRDefault="00F67660" w:rsidP="00060743">
      <w:pPr>
        <w:jc w:val="both"/>
        <w:rPr>
          <w:b/>
          <w:bCs/>
          <w:sz w:val="24"/>
        </w:rPr>
      </w:pPr>
    </w:p>
    <w:p w14:paraId="2609FE83" w14:textId="77777777" w:rsidR="00F67660" w:rsidRDefault="00F67660" w:rsidP="00060743">
      <w:pPr>
        <w:jc w:val="both"/>
        <w:rPr>
          <w:b/>
          <w:bCs/>
          <w:sz w:val="24"/>
        </w:rPr>
      </w:pPr>
    </w:p>
    <w:p w14:paraId="03EFDFA9" w14:textId="77777777" w:rsidR="00F67660" w:rsidRDefault="00F67660" w:rsidP="00060743">
      <w:pPr>
        <w:jc w:val="both"/>
        <w:rPr>
          <w:b/>
          <w:bCs/>
          <w:sz w:val="24"/>
        </w:rPr>
      </w:pPr>
    </w:p>
    <w:p w14:paraId="2D097F9E" w14:textId="77777777" w:rsidR="00F67660" w:rsidRDefault="00F67660" w:rsidP="00060743">
      <w:pPr>
        <w:jc w:val="both"/>
        <w:rPr>
          <w:b/>
          <w:bCs/>
          <w:sz w:val="24"/>
        </w:rPr>
      </w:pPr>
    </w:p>
    <w:p w14:paraId="7F69A832" w14:textId="77777777" w:rsidR="00F67660" w:rsidRDefault="00F67660" w:rsidP="00060743">
      <w:pPr>
        <w:jc w:val="both"/>
        <w:rPr>
          <w:b/>
          <w:bCs/>
          <w:sz w:val="24"/>
        </w:rPr>
      </w:pPr>
    </w:p>
    <w:p w14:paraId="602F0B08" w14:textId="77777777" w:rsidR="00F67660" w:rsidRDefault="00F67660" w:rsidP="00060743">
      <w:pPr>
        <w:jc w:val="both"/>
        <w:rPr>
          <w:b/>
          <w:bCs/>
          <w:sz w:val="24"/>
        </w:rPr>
      </w:pPr>
    </w:p>
    <w:p w14:paraId="7AF2065B" w14:textId="77777777" w:rsidR="00F67660" w:rsidRDefault="00F67660" w:rsidP="00060743">
      <w:pPr>
        <w:jc w:val="both"/>
        <w:rPr>
          <w:b/>
          <w:bCs/>
          <w:sz w:val="24"/>
        </w:rPr>
      </w:pPr>
    </w:p>
    <w:p w14:paraId="18062D8A" w14:textId="77777777" w:rsidR="00F67660" w:rsidRDefault="00F67660" w:rsidP="00060743">
      <w:pPr>
        <w:jc w:val="both"/>
        <w:rPr>
          <w:b/>
          <w:bCs/>
          <w:sz w:val="24"/>
        </w:rPr>
      </w:pPr>
    </w:p>
    <w:p w14:paraId="7A9C754C" w14:textId="77777777" w:rsidR="00F67660" w:rsidRDefault="00F67660" w:rsidP="00060743">
      <w:pPr>
        <w:jc w:val="both"/>
        <w:rPr>
          <w:b/>
          <w:bCs/>
          <w:sz w:val="24"/>
        </w:rPr>
      </w:pPr>
    </w:p>
    <w:p w14:paraId="4445C445" w14:textId="3FE01C7C" w:rsidR="009B2988" w:rsidRPr="000E7943" w:rsidRDefault="0002102B" w:rsidP="00F67660">
      <w:pPr>
        <w:pStyle w:val="Heading1"/>
        <w:rPr>
          <w:color w:val="auto"/>
        </w:rPr>
      </w:pPr>
      <w:bookmarkStart w:id="1" w:name="_Toc225283471"/>
      <w:r w:rsidRPr="000E7943">
        <w:rPr>
          <w:color w:val="auto"/>
        </w:rPr>
        <w:lastRenderedPageBreak/>
        <w:t xml:space="preserve">Data Cleaning and </w:t>
      </w:r>
      <w:r w:rsidR="005C21F7" w:rsidRPr="000E7943">
        <w:rPr>
          <w:color w:val="auto"/>
        </w:rPr>
        <w:t>Preparation</w:t>
      </w:r>
      <w:bookmarkEnd w:id="1"/>
    </w:p>
    <w:p w14:paraId="364452BB" w14:textId="4594E6D2" w:rsidR="005C21F7" w:rsidRPr="00AE7042" w:rsidRDefault="00F67660" w:rsidP="00AE7042">
      <w:pPr>
        <w:spacing w:line="276" w:lineRule="auto"/>
        <w:jc w:val="both"/>
        <w:rPr>
          <w:rFonts w:ascii="Arial" w:hAnsi="Arial" w:cs="Arial"/>
          <w:sz w:val="24"/>
          <w:szCs w:val="24"/>
        </w:rPr>
      </w:pPr>
      <w:r w:rsidRPr="00AE7042">
        <w:rPr>
          <w:rFonts w:ascii="Arial" w:hAnsi="Arial" w:cs="Arial"/>
          <w:sz w:val="24"/>
          <w:szCs w:val="24"/>
        </w:rPr>
        <w:t>Before</w:t>
      </w:r>
      <w:r w:rsidR="005C21F7" w:rsidRPr="00AE7042">
        <w:rPr>
          <w:rFonts w:ascii="Arial" w:hAnsi="Arial" w:cs="Arial"/>
          <w:sz w:val="24"/>
          <w:szCs w:val="24"/>
        </w:rPr>
        <w:t xml:space="preserve"> analysis, the dataset </w:t>
      </w:r>
      <w:r w:rsidRPr="00AE7042">
        <w:rPr>
          <w:rFonts w:ascii="Arial" w:hAnsi="Arial" w:cs="Arial"/>
          <w:sz w:val="24"/>
          <w:szCs w:val="24"/>
        </w:rPr>
        <w:t>was systematically cleaned in</w:t>
      </w:r>
      <w:r w:rsidR="005C21F7" w:rsidRPr="00AE7042">
        <w:rPr>
          <w:rFonts w:ascii="Arial" w:hAnsi="Arial" w:cs="Arial"/>
          <w:sz w:val="24"/>
          <w:szCs w:val="24"/>
        </w:rPr>
        <w:t xml:space="preserve"> Microsoft Excel to ensure data integrity and analytical reliability. Data cleaning is widely recognised as a foundational step in any analytical workflow, as inconsistencies and missing values can significantly distort statistical outputs (Rahm and Do, 2000).</w:t>
      </w:r>
    </w:p>
    <w:p w14:paraId="7626A37A" w14:textId="78AED466"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The dataset contained 11,399 records across 20 variables. Initial inspection identified two redundant columns, which were removed: the first column contained corrupt identifiers, and the final column contained only placeholder text, neither of which held analytical value.</w:t>
      </w:r>
    </w:p>
    <w:p w14:paraId="28D524C0" w14:textId="77777777" w:rsidR="00F67660" w:rsidRDefault="00F67660" w:rsidP="00060743">
      <w:pPr>
        <w:jc w:val="both"/>
      </w:pPr>
      <w:r w:rsidRPr="005C21F7">
        <w:rPr>
          <w:noProof/>
        </w:rPr>
        <w:drawing>
          <wp:inline distT="0" distB="0" distL="0" distR="0" wp14:anchorId="26EBF02C" wp14:editId="390130E9">
            <wp:extent cx="5731510" cy="3409315"/>
            <wp:effectExtent l="0" t="0" r="0" b="0"/>
            <wp:docPr id="14462451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13EFB324" w14:textId="506EE7F0" w:rsidR="00F67660" w:rsidRDefault="00F67660" w:rsidP="00F67660">
      <w:pPr>
        <w:pStyle w:val="Caption"/>
        <w:jc w:val="center"/>
        <w:rPr>
          <w:b/>
          <w:bCs/>
          <w:sz w:val="24"/>
        </w:rPr>
      </w:pPr>
      <w:r>
        <w:t xml:space="preserve">Figure </w:t>
      </w:r>
      <w:fldSimple w:instr=" SEQ Figure \* ARABIC ">
        <w:r w:rsidR="00FA4B26">
          <w:rPr>
            <w:noProof/>
          </w:rPr>
          <w:t>1</w:t>
        </w:r>
      </w:fldSimple>
      <w:r>
        <w:t xml:space="preserve"> </w:t>
      </w:r>
      <w:r w:rsidRPr="005C21F7">
        <w:t>: Data Cleaning and Preparation Summary</w:t>
      </w:r>
    </w:p>
    <w:p w14:paraId="435A6D77" w14:textId="2103C624"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 xml:space="preserve">Missing values were identified across eight variables and addressed through two methods. For numerical variables, mean imputation was applied to </w:t>
      </w:r>
      <w:proofErr w:type="spellStart"/>
      <w:r w:rsidRPr="00AE7042">
        <w:rPr>
          <w:rFonts w:ascii="Arial" w:hAnsi="Arial" w:cs="Arial"/>
          <w:sz w:val="24"/>
          <w:szCs w:val="24"/>
        </w:rPr>
        <w:t>Delivery_person_Age</w:t>
      </w:r>
      <w:proofErr w:type="spellEnd"/>
      <w:r w:rsidRPr="00AE7042">
        <w:rPr>
          <w:rFonts w:ascii="Arial" w:hAnsi="Arial" w:cs="Arial"/>
          <w:sz w:val="24"/>
          <w:szCs w:val="24"/>
        </w:rPr>
        <w:t xml:space="preserve"> (491 missing values, replaced with 29.52) and </w:t>
      </w:r>
      <w:proofErr w:type="spellStart"/>
      <w:r w:rsidRPr="00AE7042">
        <w:rPr>
          <w:rFonts w:ascii="Arial" w:hAnsi="Arial" w:cs="Arial"/>
          <w:sz w:val="24"/>
          <w:szCs w:val="24"/>
        </w:rPr>
        <w:t>Delivery_person_Ratings</w:t>
      </w:r>
      <w:proofErr w:type="spellEnd"/>
      <w:r w:rsidRPr="00AE7042">
        <w:rPr>
          <w:rFonts w:ascii="Arial" w:hAnsi="Arial" w:cs="Arial"/>
          <w:sz w:val="24"/>
          <w:szCs w:val="24"/>
        </w:rPr>
        <w:t xml:space="preserve"> (507 missing values, replaced with 4.63). Restaurant coordinates contained 870 invalid zero values, which are geographically impossible and were replaced with column means. For categorical and time variables, mode imputation was applied, replacing missing entries with the most frequently occurring value in each column, including Weather, </w:t>
      </w:r>
      <w:proofErr w:type="spellStart"/>
      <w:r w:rsidRPr="00AE7042">
        <w:rPr>
          <w:rFonts w:ascii="Arial" w:hAnsi="Arial" w:cs="Arial"/>
          <w:sz w:val="24"/>
          <w:szCs w:val="24"/>
        </w:rPr>
        <w:t>Road_traffic_density</w:t>
      </w:r>
      <w:proofErr w:type="spellEnd"/>
      <w:r w:rsidRPr="00AE7042">
        <w:rPr>
          <w:rFonts w:ascii="Arial" w:hAnsi="Arial" w:cs="Arial"/>
          <w:sz w:val="24"/>
          <w:szCs w:val="24"/>
        </w:rPr>
        <w:t xml:space="preserve">, City, Festival, </w:t>
      </w:r>
      <w:proofErr w:type="spellStart"/>
      <w:r w:rsidRPr="00AE7042">
        <w:rPr>
          <w:rFonts w:ascii="Arial" w:hAnsi="Arial" w:cs="Arial"/>
          <w:sz w:val="24"/>
          <w:szCs w:val="24"/>
        </w:rPr>
        <w:t>multiple_deliveries</w:t>
      </w:r>
      <w:proofErr w:type="spellEnd"/>
      <w:r w:rsidRPr="00AE7042">
        <w:rPr>
          <w:rFonts w:ascii="Arial" w:hAnsi="Arial" w:cs="Arial"/>
          <w:sz w:val="24"/>
          <w:szCs w:val="24"/>
        </w:rPr>
        <w:t xml:space="preserve"> and </w:t>
      </w:r>
      <w:proofErr w:type="spellStart"/>
      <w:r w:rsidRPr="00AE7042">
        <w:rPr>
          <w:rFonts w:ascii="Arial" w:hAnsi="Arial" w:cs="Arial"/>
          <w:sz w:val="24"/>
          <w:szCs w:val="24"/>
        </w:rPr>
        <w:t>Time_Orderd</w:t>
      </w:r>
      <w:proofErr w:type="spellEnd"/>
      <w:r w:rsidRPr="00AE7042">
        <w:rPr>
          <w:rFonts w:ascii="Arial" w:hAnsi="Arial" w:cs="Arial"/>
          <w:sz w:val="24"/>
          <w:szCs w:val="24"/>
        </w:rPr>
        <w:t>. This mixed imputation approach is consistent with established guidance for datasets containing both numerical and categorical variables (Hair et al., 2019).</w:t>
      </w:r>
    </w:p>
    <w:p w14:paraId="7F2648AA" w14:textId="77777777"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lastRenderedPageBreak/>
        <w:t>Date and time columns were standardised to consistent formats to ensure accuracy in trend analysis. The cleaned dataset was saved separately to preserve the original data, in accordance with best practice in data management (Wang and Strong, 1996).</w:t>
      </w:r>
    </w:p>
    <w:p w14:paraId="3E0AB91F" w14:textId="5F4CEE7A"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All missing values, imputation methods and formatting changes identified during the cleaning process have been recorded in Figure 1, which provides a comprehensive summary of all modifications made to the dataset prior to analysis.</w:t>
      </w:r>
    </w:p>
    <w:p w14:paraId="309DC4EF" w14:textId="5E7C1EB4" w:rsidR="00D63C4A" w:rsidRPr="000E7943" w:rsidRDefault="00D63C4A" w:rsidP="000E7943">
      <w:pPr>
        <w:pStyle w:val="Heading1"/>
        <w:rPr>
          <w:color w:val="auto"/>
        </w:rPr>
      </w:pPr>
      <w:bookmarkStart w:id="2" w:name="_Toc225283472"/>
      <w:r w:rsidRPr="000E7943">
        <w:rPr>
          <w:color w:val="auto"/>
        </w:rPr>
        <w:t>Descriptive Statistics</w:t>
      </w:r>
      <w:bookmarkEnd w:id="2"/>
      <w:r w:rsidRPr="000E7943">
        <w:rPr>
          <w:color w:val="auto"/>
        </w:rPr>
        <w:t xml:space="preserve"> </w:t>
      </w:r>
    </w:p>
    <w:p w14:paraId="2F98CF28" w14:textId="77777777" w:rsidR="00D63C4A" w:rsidRPr="00AE7042" w:rsidRDefault="00D63C4A" w:rsidP="00AE7042">
      <w:pPr>
        <w:spacing w:line="276" w:lineRule="auto"/>
        <w:jc w:val="both"/>
        <w:rPr>
          <w:rFonts w:ascii="Arial" w:hAnsi="Arial" w:cs="Arial"/>
          <w:sz w:val="24"/>
          <w:szCs w:val="24"/>
        </w:rPr>
      </w:pPr>
      <w:r w:rsidRPr="00AE7042">
        <w:rPr>
          <w:rFonts w:ascii="Arial" w:hAnsi="Arial" w:cs="Arial"/>
          <w:sz w:val="24"/>
          <w:szCs w:val="24"/>
        </w:rPr>
        <w:t>Descriptive statistics provide a foundational understanding of the dataset by summarising its key characteristics before more complex analysis is undertaken. As Field (2018) notes, measures of central tendency and dispersion are essential for identifying patterns and anomalies within data. The following analysis draws upon pivot tables and charts generated in Microsoft Excel across both numerical and categorical variables.</w:t>
      </w:r>
    </w:p>
    <w:p w14:paraId="3A54FF4D" w14:textId="77777777" w:rsidR="00D63C4A" w:rsidRPr="00D63C4A" w:rsidRDefault="00D63C4A" w:rsidP="00CB0BBE">
      <w:pPr>
        <w:jc w:val="both"/>
      </w:pPr>
      <w:r w:rsidRPr="00CB0BBE">
        <w:rPr>
          <w:b/>
          <w:bCs/>
        </w:rPr>
        <w:t>Numerical Variables</w:t>
      </w:r>
    </w:p>
    <w:p w14:paraId="7FBEA79D" w14:textId="77777777" w:rsidR="00D63C4A" w:rsidRDefault="00D63C4A" w:rsidP="00060743">
      <w:pPr>
        <w:keepNext/>
        <w:jc w:val="both"/>
      </w:pPr>
      <w:r w:rsidRPr="00D63C4A">
        <w:rPr>
          <w:noProof/>
        </w:rPr>
        <w:drawing>
          <wp:inline distT="0" distB="0" distL="0" distR="0" wp14:anchorId="1C6442B8" wp14:editId="3E9BC8E5">
            <wp:extent cx="5731510" cy="1659890"/>
            <wp:effectExtent l="0" t="0" r="0" b="0"/>
            <wp:docPr id="85607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71969" name=""/>
                    <pic:cNvPicPr/>
                  </pic:nvPicPr>
                  <pic:blipFill>
                    <a:blip r:embed="rId9"/>
                    <a:stretch>
                      <a:fillRect/>
                    </a:stretch>
                  </pic:blipFill>
                  <pic:spPr>
                    <a:xfrm>
                      <a:off x="0" y="0"/>
                      <a:ext cx="5731510" cy="1659890"/>
                    </a:xfrm>
                    <a:prstGeom prst="rect">
                      <a:avLst/>
                    </a:prstGeom>
                  </pic:spPr>
                </pic:pic>
              </a:graphicData>
            </a:graphic>
          </wp:inline>
        </w:drawing>
      </w:r>
    </w:p>
    <w:p w14:paraId="5F14A55E" w14:textId="779131A2" w:rsidR="00D63C4A" w:rsidRDefault="00D63C4A" w:rsidP="00060743">
      <w:pPr>
        <w:pStyle w:val="Caption"/>
        <w:jc w:val="center"/>
      </w:pPr>
      <w:r>
        <w:t xml:space="preserve">Figure </w:t>
      </w:r>
      <w:fldSimple w:instr=" SEQ Figure \* ARABIC ">
        <w:r w:rsidR="00FA4B26">
          <w:rPr>
            <w:noProof/>
          </w:rPr>
          <w:t>2</w:t>
        </w:r>
      </w:fldSimple>
      <w:r>
        <w:t xml:space="preserve"> Descriptive statistics</w:t>
      </w:r>
    </w:p>
    <w:p w14:paraId="69D2FD38" w14:textId="4866831D" w:rsidR="00D63C4A" w:rsidRDefault="00D63C4A" w:rsidP="00AE7042">
      <w:pPr>
        <w:spacing w:line="276" w:lineRule="auto"/>
        <w:jc w:val="both"/>
        <w:rPr>
          <w:rFonts w:ascii="Arial" w:hAnsi="Arial" w:cs="Arial"/>
          <w:sz w:val="24"/>
          <w:szCs w:val="24"/>
        </w:rPr>
      </w:pPr>
      <w:r w:rsidRPr="00AE7042">
        <w:rPr>
          <w:rFonts w:ascii="Arial" w:hAnsi="Arial" w:cs="Arial"/>
          <w:sz w:val="24"/>
          <w:szCs w:val="24"/>
        </w:rPr>
        <w:t xml:space="preserve">Figure 2 presents the descriptive statistics for the three key numerical variables in the dataset. Delivery persons ranged in age from 15 to 50 years, with a mean age of 29.52, suggesting a predominantly young workforce typical of gig-economy platforms (Goods, Veen and Barratt, 2019). Performance ratings ranged from 1 to 6, with a mean of 4.63, indicating that </w:t>
      </w:r>
      <w:proofErr w:type="gramStart"/>
      <w:r w:rsidRPr="00AE7042">
        <w:rPr>
          <w:rFonts w:ascii="Arial" w:hAnsi="Arial" w:cs="Arial"/>
          <w:sz w:val="24"/>
          <w:szCs w:val="24"/>
        </w:rPr>
        <w:t>the majority of</w:t>
      </w:r>
      <w:proofErr w:type="gramEnd"/>
      <w:r w:rsidRPr="00AE7042">
        <w:rPr>
          <w:rFonts w:ascii="Arial" w:hAnsi="Arial" w:cs="Arial"/>
          <w:sz w:val="24"/>
          <w:szCs w:val="24"/>
        </w:rPr>
        <w:t xml:space="preserve"> delivery personnel maintained relatively high customer satisfaction scores. The </w:t>
      </w:r>
      <w:proofErr w:type="spellStart"/>
      <w:r w:rsidRPr="00AE7042">
        <w:rPr>
          <w:rFonts w:ascii="Arial" w:hAnsi="Arial" w:cs="Arial"/>
          <w:sz w:val="24"/>
          <w:szCs w:val="24"/>
        </w:rPr>
        <w:t>multiple_deliveries</w:t>
      </w:r>
      <w:proofErr w:type="spellEnd"/>
      <w:r w:rsidRPr="00AE7042">
        <w:rPr>
          <w:rFonts w:ascii="Arial" w:hAnsi="Arial" w:cs="Arial"/>
          <w:sz w:val="24"/>
          <w:szCs w:val="24"/>
        </w:rPr>
        <w:t xml:space="preserve"> variable ranged from 0 to 3, with a mean of 0.75, suggesting that single deliveries were the most common operational pattern.</w:t>
      </w:r>
    </w:p>
    <w:p w14:paraId="6CF6491C" w14:textId="77777777" w:rsidR="00CD18A8" w:rsidRDefault="00CD18A8" w:rsidP="00AE7042">
      <w:pPr>
        <w:spacing w:line="276" w:lineRule="auto"/>
        <w:jc w:val="both"/>
        <w:rPr>
          <w:rFonts w:ascii="Arial" w:hAnsi="Arial" w:cs="Arial"/>
          <w:sz w:val="24"/>
          <w:szCs w:val="24"/>
        </w:rPr>
      </w:pPr>
    </w:p>
    <w:p w14:paraId="52225CA0" w14:textId="77777777" w:rsidR="00CD18A8" w:rsidRDefault="00CD18A8" w:rsidP="00AE7042">
      <w:pPr>
        <w:spacing w:line="276" w:lineRule="auto"/>
        <w:jc w:val="both"/>
        <w:rPr>
          <w:rFonts w:ascii="Arial" w:hAnsi="Arial" w:cs="Arial"/>
          <w:sz w:val="24"/>
          <w:szCs w:val="24"/>
        </w:rPr>
      </w:pPr>
    </w:p>
    <w:p w14:paraId="70F833CD" w14:textId="77777777" w:rsidR="00CD18A8" w:rsidRDefault="00CD18A8" w:rsidP="00AE7042">
      <w:pPr>
        <w:spacing w:line="276" w:lineRule="auto"/>
        <w:jc w:val="both"/>
        <w:rPr>
          <w:rFonts w:ascii="Arial" w:hAnsi="Arial" w:cs="Arial"/>
          <w:sz w:val="24"/>
          <w:szCs w:val="24"/>
        </w:rPr>
      </w:pPr>
    </w:p>
    <w:p w14:paraId="72811CCE" w14:textId="77777777" w:rsidR="00CD18A8" w:rsidRPr="00AE7042" w:rsidRDefault="00CD18A8" w:rsidP="00AE7042">
      <w:pPr>
        <w:spacing w:line="276" w:lineRule="auto"/>
        <w:jc w:val="both"/>
        <w:rPr>
          <w:rFonts w:ascii="Arial" w:hAnsi="Arial" w:cs="Arial"/>
          <w:sz w:val="24"/>
          <w:szCs w:val="24"/>
        </w:rPr>
      </w:pPr>
    </w:p>
    <w:p w14:paraId="54C55368" w14:textId="77777777" w:rsidR="00BC49FF" w:rsidRDefault="00BC49FF" w:rsidP="00BC49FF">
      <w:pPr>
        <w:pStyle w:val="ListParagraph"/>
        <w:jc w:val="both"/>
        <w:rPr>
          <w:b/>
          <w:bCs/>
        </w:rPr>
      </w:pPr>
    </w:p>
    <w:p w14:paraId="1D0CA088" w14:textId="77777777" w:rsidR="00BC49FF" w:rsidRDefault="00BC49FF" w:rsidP="00BC49FF">
      <w:pPr>
        <w:pStyle w:val="ListParagraph"/>
        <w:jc w:val="both"/>
        <w:rPr>
          <w:b/>
          <w:bCs/>
        </w:rPr>
      </w:pPr>
    </w:p>
    <w:p w14:paraId="33859302" w14:textId="119505CF" w:rsidR="00D63C4A" w:rsidRPr="00CB0BBE" w:rsidRDefault="00D63C4A" w:rsidP="00CB0BBE">
      <w:pPr>
        <w:jc w:val="both"/>
        <w:rPr>
          <w:b/>
          <w:bCs/>
        </w:rPr>
      </w:pPr>
      <w:r w:rsidRPr="00CB0BBE">
        <w:rPr>
          <w:b/>
          <w:bCs/>
        </w:rPr>
        <w:lastRenderedPageBreak/>
        <w:t>Weather Distribution</w:t>
      </w:r>
    </w:p>
    <w:p w14:paraId="796A57A8" w14:textId="77777777" w:rsidR="00CB0BBE" w:rsidRDefault="00D63C4A" w:rsidP="00CB0BBE">
      <w:pPr>
        <w:keepNext/>
        <w:jc w:val="center"/>
      </w:pPr>
      <w:r>
        <w:rPr>
          <w:noProof/>
        </w:rPr>
        <w:drawing>
          <wp:inline distT="0" distB="0" distL="0" distR="0" wp14:anchorId="6EE6B793" wp14:editId="54D6EEB2">
            <wp:extent cx="3750158" cy="2254250"/>
            <wp:effectExtent l="0" t="0" r="3175" b="0"/>
            <wp:docPr id="885677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8809" cy="2265462"/>
                    </a:xfrm>
                    <a:prstGeom prst="rect">
                      <a:avLst/>
                    </a:prstGeom>
                    <a:noFill/>
                  </pic:spPr>
                </pic:pic>
              </a:graphicData>
            </a:graphic>
          </wp:inline>
        </w:drawing>
      </w:r>
    </w:p>
    <w:p w14:paraId="4FF28645" w14:textId="7C130514" w:rsidR="00D63C4A" w:rsidRDefault="00CB0BBE" w:rsidP="00CB0BBE">
      <w:pPr>
        <w:pStyle w:val="Caption"/>
        <w:jc w:val="center"/>
      </w:pPr>
      <w:r>
        <w:t xml:space="preserve">Figure </w:t>
      </w:r>
      <w:fldSimple w:instr=" SEQ Figure \* ARABIC ">
        <w:r w:rsidR="00FA4B26">
          <w:rPr>
            <w:noProof/>
          </w:rPr>
          <w:t>3</w:t>
        </w:r>
      </w:fldSimple>
    </w:p>
    <w:p w14:paraId="02BC8D86" w14:textId="0A6399BF" w:rsidR="00D63C4A" w:rsidRPr="00D63C4A" w:rsidRDefault="00D63C4A" w:rsidP="00060743">
      <w:pPr>
        <w:pStyle w:val="Caption"/>
        <w:jc w:val="center"/>
      </w:pPr>
    </w:p>
    <w:p w14:paraId="2665779D" w14:textId="42CFD6EE" w:rsidR="00D63C4A" w:rsidRPr="00AE7042" w:rsidRDefault="00CB0BBE" w:rsidP="00AE7042">
      <w:pPr>
        <w:spacing w:line="276" w:lineRule="auto"/>
        <w:jc w:val="both"/>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3A7540CE" wp14:editId="1FCFC56F">
                <wp:simplePos x="0" y="0"/>
                <wp:positionH relativeFrom="column">
                  <wp:posOffset>0</wp:posOffset>
                </wp:positionH>
                <wp:positionV relativeFrom="paragraph">
                  <wp:posOffset>1468755</wp:posOffset>
                </wp:positionV>
                <wp:extent cx="2298700" cy="635"/>
                <wp:effectExtent l="0" t="0" r="0" b="0"/>
                <wp:wrapSquare wrapText="bothSides"/>
                <wp:docPr id="1078789504" name="Text Box 1"/>
                <wp:cNvGraphicFramePr/>
                <a:graphic xmlns:a="http://schemas.openxmlformats.org/drawingml/2006/main">
                  <a:graphicData uri="http://schemas.microsoft.com/office/word/2010/wordprocessingShape">
                    <wps:wsp>
                      <wps:cNvSpPr txBox="1"/>
                      <wps:spPr>
                        <a:xfrm>
                          <a:off x="0" y="0"/>
                          <a:ext cx="2298700" cy="635"/>
                        </a:xfrm>
                        <a:prstGeom prst="rect">
                          <a:avLst/>
                        </a:prstGeom>
                        <a:solidFill>
                          <a:prstClr val="white"/>
                        </a:solidFill>
                        <a:ln>
                          <a:noFill/>
                        </a:ln>
                      </wps:spPr>
                      <wps:txbx>
                        <w:txbxContent>
                          <w:p w14:paraId="43AA9361" w14:textId="05F6DDD6" w:rsidR="00CB0BBE" w:rsidRPr="00210E2F" w:rsidRDefault="00CB0BBE" w:rsidP="00CB0BBE">
                            <w:pPr>
                              <w:pStyle w:val="Caption"/>
                              <w:jc w:val="center"/>
                              <w:rPr>
                                <w:noProof/>
                                <w:sz w:val="22"/>
                                <w:szCs w:val="22"/>
                              </w:rPr>
                            </w:pPr>
                            <w:r>
                              <w:t xml:space="preserve">Figure </w:t>
                            </w:r>
                            <w:fldSimple w:instr=" SEQ Figure \* ARABIC ">
                              <w:r w:rsidR="00FA4B26">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540CE" id="Text Box 1" o:spid="_x0000_s1030" type="#_x0000_t202" style="position:absolute;left:0;text-align:left;margin-left:0;margin-top:115.65pt;width:18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" stroked="f">
                <v:textbox style="mso-fit-shape-to-text:t" inset="0,0,0,0">
                  <w:txbxContent>
                    <w:p w14:paraId="43AA9361" w14:textId="05F6DDD6" w:rsidR="00CB0BBE" w:rsidRPr="00210E2F" w:rsidRDefault="00CB0BBE" w:rsidP="00CB0BBE">
                      <w:pPr>
                        <w:pStyle w:val="Caption"/>
                        <w:jc w:val="center"/>
                        <w:rPr>
                          <w:noProof/>
                          <w:sz w:val="22"/>
                          <w:szCs w:val="22"/>
                        </w:rPr>
                      </w:pPr>
                      <w:r>
                        <w:t xml:space="preserve">Figure </w:t>
                      </w:r>
                      <w:fldSimple w:instr=" SEQ Figure \* ARABIC ">
                        <w:r w:rsidR="00FA4B26">
                          <w:rPr>
                            <w:noProof/>
                          </w:rPr>
                          <w:t>4</w:t>
                        </w:r>
                      </w:fldSimple>
                    </w:p>
                  </w:txbxContent>
                </v:textbox>
                <w10:wrap type="square"/>
              </v:shape>
            </w:pict>
          </mc:Fallback>
        </mc:AlternateContent>
      </w:r>
      <w:r w:rsidRPr="00D63C4A">
        <w:rPr>
          <w:noProof/>
        </w:rPr>
        <w:drawing>
          <wp:anchor distT="0" distB="0" distL="114300" distR="114300" simplePos="0" relativeHeight="251665408" behindDoc="0" locked="0" layoutInCell="1" allowOverlap="1" wp14:anchorId="5F48A483" wp14:editId="048388F1">
            <wp:simplePos x="0" y="0"/>
            <wp:positionH relativeFrom="column">
              <wp:posOffset>0</wp:posOffset>
            </wp:positionH>
            <wp:positionV relativeFrom="paragraph">
              <wp:posOffset>-1905</wp:posOffset>
            </wp:positionV>
            <wp:extent cx="2298700" cy="1413932"/>
            <wp:effectExtent l="0" t="0" r="6350" b="0"/>
            <wp:wrapSquare wrapText="bothSides"/>
            <wp:docPr id="1743601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1413932"/>
                    </a:xfrm>
                    <a:prstGeom prst="rect">
                      <a:avLst/>
                    </a:prstGeom>
                    <a:noFill/>
                    <a:ln>
                      <a:noFill/>
                    </a:ln>
                  </pic:spPr>
                </pic:pic>
              </a:graphicData>
            </a:graphic>
          </wp:anchor>
        </w:drawing>
      </w:r>
      <w:r w:rsidR="00D63C4A" w:rsidRPr="00AE7042">
        <w:rPr>
          <w:rFonts w:ascii="Arial" w:hAnsi="Arial" w:cs="Arial"/>
          <w:sz w:val="24"/>
          <w:szCs w:val="24"/>
        </w:rPr>
        <w:t>As illustrated in Figures 3 and 4, deliveries were distributed across six weather conditions in a notably even pattern. Sunny conditions accounted for the highest proportion at 18.71% (n=2,133), followed by Windy at 17.09% (n=1,948) and Sandstorms at 16.48% (n=1,878). The near-uniform distribution across all weather conditions suggests that delivery operations were maintained consistently regardless of prevailing weather, which has implications for understanding the relationship between weather and delivery performance (Talavera et al., 2018).</w:t>
      </w:r>
    </w:p>
    <w:p w14:paraId="37A7A989" w14:textId="385853A3" w:rsidR="00D63C4A" w:rsidRPr="00CB0BBE" w:rsidRDefault="00D63C4A" w:rsidP="00CB0BBE">
      <w:pPr>
        <w:jc w:val="both"/>
        <w:rPr>
          <w:b/>
          <w:bCs/>
        </w:rPr>
      </w:pPr>
      <w:r w:rsidRPr="00CB0BBE">
        <w:rPr>
          <w:b/>
          <w:bCs/>
        </w:rPr>
        <w:t>Road Traffic Density</w:t>
      </w:r>
    </w:p>
    <w:p w14:paraId="1E398445" w14:textId="3372DE6E" w:rsidR="00D63C4A" w:rsidRPr="00AE7042" w:rsidRDefault="005234F9" w:rsidP="005234F9">
      <w:pPr>
        <w:keepNext/>
        <w:jc w:val="both"/>
        <w:rPr>
          <w:rFonts w:ascii="Arial" w:hAnsi="Arial" w:cs="Arial"/>
          <w:sz w:val="24"/>
          <w:szCs w:val="24"/>
        </w:rPr>
      </w:pPr>
      <w:r>
        <w:rPr>
          <w:noProof/>
        </w:rPr>
        <w:drawing>
          <wp:anchor distT="0" distB="0" distL="114300" distR="114300" simplePos="0" relativeHeight="251669504" behindDoc="0" locked="0" layoutInCell="1" allowOverlap="1" wp14:anchorId="2B568E1B" wp14:editId="6AA88CB3">
            <wp:simplePos x="0" y="0"/>
            <wp:positionH relativeFrom="margin">
              <wp:posOffset>-89535</wp:posOffset>
            </wp:positionH>
            <wp:positionV relativeFrom="paragraph">
              <wp:posOffset>1294765</wp:posOffset>
            </wp:positionV>
            <wp:extent cx="2514600" cy="1612900"/>
            <wp:effectExtent l="0" t="0" r="0" b="6350"/>
            <wp:wrapSquare wrapText="bothSides"/>
            <wp:docPr id="335634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14600" cy="16129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5D9C71A9" wp14:editId="2984C661">
                <wp:simplePos x="0" y="0"/>
                <wp:positionH relativeFrom="column">
                  <wp:posOffset>0</wp:posOffset>
                </wp:positionH>
                <wp:positionV relativeFrom="paragraph">
                  <wp:posOffset>2782570</wp:posOffset>
                </wp:positionV>
                <wp:extent cx="2425700" cy="635"/>
                <wp:effectExtent l="0" t="0" r="0" b="0"/>
                <wp:wrapSquare wrapText="bothSides"/>
                <wp:docPr id="702900977" name="Text Box 1"/>
                <wp:cNvGraphicFramePr/>
                <a:graphic xmlns:a="http://schemas.openxmlformats.org/drawingml/2006/main">
                  <a:graphicData uri="http://schemas.microsoft.com/office/word/2010/wordprocessingShape">
                    <wps:wsp>
                      <wps:cNvSpPr txBox="1"/>
                      <wps:spPr>
                        <a:xfrm>
                          <a:off x="0" y="0"/>
                          <a:ext cx="2425700" cy="635"/>
                        </a:xfrm>
                        <a:prstGeom prst="rect">
                          <a:avLst/>
                        </a:prstGeom>
                        <a:solidFill>
                          <a:prstClr val="white"/>
                        </a:solidFill>
                        <a:ln>
                          <a:noFill/>
                        </a:ln>
                      </wps:spPr>
                      <wps:txbx>
                        <w:txbxContent>
                          <w:p w14:paraId="1368E2B6" w14:textId="4AA3039D" w:rsidR="005234F9" w:rsidRPr="00391DE9" w:rsidRDefault="005234F9" w:rsidP="005234F9">
                            <w:pPr>
                              <w:pStyle w:val="Caption"/>
                              <w:jc w:val="center"/>
                              <w:rPr>
                                <w:noProof/>
                                <w:sz w:val="22"/>
                                <w:szCs w:val="22"/>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C71A9" id="_x0000_s1031" type="#_x0000_t202" style="position:absolute;left:0;text-align:left;margin-left:0;margin-top:219.1pt;width:191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RUTGQIAAD8EAAAOAAAAZHJzL2Uyb0RvYy54bWysU8Fu2zAMvQ/YPwi6L06yt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w/zm45RCkmK3728i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" stroked="f">
                <v:textbox style="mso-fit-shape-to-text:t" inset="0,0,0,0">
                  <w:txbxContent>
                    <w:p w14:paraId="1368E2B6" w14:textId="4AA3039D" w:rsidR="005234F9" w:rsidRPr="00391DE9" w:rsidRDefault="005234F9" w:rsidP="005234F9">
                      <w:pPr>
                        <w:pStyle w:val="Caption"/>
                        <w:jc w:val="center"/>
                        <w:rPr>
                          <w:noProof/>
                          <w:sz w:val="22"/>
                          <w:szCs w:val="22"/>
                        </w:rPr>
                      </w:pPr>
                      <w:r>
                        <w:t>Figure 6</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0457DED4" wp14:editId="59BB5A17">
                <wp:simplePos x="0" y="0"/>
                <wp:positionH relativeFrom="column">
                  <wp:posOffset>0</wp:posOffset>
                </wp:positionH>
                <wp:positionV relativeFrom="paragraph">
                  <wp:posOffset>1038860</wp:posOffset>
                </wp:positionV>
                <wp:extent cx="2425700" cy="635"/>
                <wp:effectExtent l="0" t="0" r="0" b="0"/>
                <wp:wrapSquare wrapText="bothSides"/>
                <wp:docPr id="2011607724" name="Text Box 1"/>
                <wp:cNvGraphicFramePr/>
                <a:graphic xmlns:a="http://schemas.openxmlformats.org/drawingml/2006/main">
                  <a:graphicData uri="http://schemas.microsoft.com/office/word/2010/wordprocessingShape">
                    <wps:wsp>
                      <wps:cNvSpPr txBox="1"/>
                      <wps:spPr>
                        <a:xfrm>
                          <a:off x="0" y="0"/>
                          <a:ext cx="2425700" cy="635"/>
                        </a:xfrm>
                        <a:prstGeom prst="rect">
                          <a:avLst/>
                        </a:prstGeom>
                        <a:solidFill>
                          <a:prstClr val="white"/>
                        </a:solidFill>
                        <a:ln>
                          <a:noFill/>
                        </a:ln>
                      </wps:spPr>
                      <wps:txbx>
                        <w:txbxContent>
                          <w:p w14:paraId="50726FAF" w14:textId="2DFD32AE" w:rsidR="005234F9" w:rsidRPr="005234F9" w:rsidRDefault="005234F9" w:rsidP="005234F9">
                            <w:pPr>
                              <w:pStyle w:val="Caption"/>
                              <w:jc w:val="cente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7DED4" id="_x0000_s1032" type="#_x0000_t202" style="position:absolute;left:0;text-align:left;margin-left:0;margin-top:81.8pt;width:19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Xh8GQIAAD8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YX7zcUouSb7b9zc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" stroked="f">
                <v:textbox style="mso-fit-shape-to-text:t" inset="0,0,0,0">
                  <w:txbxContent>
                    <w:p w14:paraId="50726FAF" w14:textId="2DFD32AE" w:rsidR="005234F9" w:rsidRPr="005234F9" w:rsidRDefault="005234F9" w:rsidP="005234F9">
                      <w:pPr>
                        <w:pStyle w:val="Caption"/>
                        <w:jc w:val="center"/>
                      </w:pPr>
                      <w:r>
                        <w:t>Figure 5</w:t>
                      </w:r>
                    </w:p>
                  </w:txbxContent>
                </v:textbox>
                <w10:wrap type="square"/>
              </v:shape>
            </w:pict>
          </mc:Fallback>
        </mc:AlternateContent>
      </w:r>
      <w:r w:rsidR="00D63C4A" w:rsidRPr="00D63C4A">
        <w:rPr>
          <w:noProof/>
        </w:rPr>
        <w:drawing>
          <wp:anchor distT="0" distB="0" distL="114300" distR="114300" simplePos="0" relativeHeight="251668480" behindDoc="0" locked="0" layoutInCell="1" allowOverlap="1" wp14:anchorId="5C4CC1D1" wp14:editId="7D9505D7">
            <wp:simplePos x="0" y="0"/>
            <wp:positionH relativeFrom="column">
              <wp:posOffset>0</wp:posOffset>
            </wp:positionH>
            <wp:positionV relativeFrom="paragraph">
              <wp:posOffset>-635</wp:posOffset>
            </wp:positionV>
            <wp:extent cx="2425700" cy="982633"/>
            <wp:effectExtent l="0" t="0" r="0" b="8255"/>
            <wp:wrapSquare wrapText="bothSides"/>
            <wp:docPr id="17881267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5700" cy="982633"/>
                    </a:xfrm>
                    <a:prstGeom prst="rect">
                      <a:avLst/>
                    </a:prstGeom>
                    <a:noFill/>
                    <a:ln>
                      <a:noFill/>
                    </a:ln>
                  </pic:spPr>
                </pic:pic>
              </a:graphicData>
            </a:graphic>
          </wp:anchor>
        </w:drawing>
      </w:r>
      <w:r w:rsidR="00D63C4A" w:rsidRPr="00AE7042">
        <w:rPr>
          <w:rFonts w:ascii="Arial" w:hAnsi="Arial" w:cs="Arial"/>
          <w:sz w:val="24"/>
          <w:szCs w:val="24"/>
        </w:rPr>
        <w:t xml:space="preserve">Figures 5 and 6 </w:t>
      </w:r>
      <w:r>
        <w:rPr>
          <w:rFonts w:ascii="Arial" w:hAnsi="Arial" w:cs="Arial"/>
          <w:sz w:val="24"/>
          <w:szCs w:val="24"/>
        </w:rPr>
        <w:t>reveal</w:t>
      </w:r>
      <w:r w:rsidR="00D63C4A" w:rsidRPr="00AE7042">
        <w:rPr>
          <w:rFonts w:ascii="Arial" w:hAnsi="Arial" w:cs="Arial"/>
          <w:sz w:val="24"/>
          <w:szCs w:val="24"/>
        </w:rPr>
        <w:t xml:space="preserve"> that </w:t>
      </w:r>
      <w:proofErr w:type="gramStart"/>
      <w:r w:rsidR="00D63C4A" w:rsidRPr="00AE7042">
        <w:rPr>
          <w:rFonts w:ascii="Arial" w:hAnsi="Arial" w:cs="Arial"/>
          <w:sz w:val="24"/>
          <w:szCs w:val="24"/>
        </w:rPr>
        <w:t>the majority of</w:t>
      </w:r>
      <w:proofErr w:type="gramEnd"/>
      <w:r w:rsidR="00D63C4A" w:rsidRPr="00AE7042">
        <w:rPr>
          <w:rFonts w:ascii="Arial" w:hAnsi="Arial" w:cs="Arial"/>
          <w:sz w:val="24"/>
          <w:szCs w:val="24"/>
        </w:rPr>
        <w:t xml:space="preserve"> deliveries occurred under Low traffic conditions, accounting for 35.40% of all records (n=4,035), followed by Jam conditions at 30.73% (n=3,503) and Medium at 24.13% (n=2,751). High traffic density represented the smallest proportion at just 9.74% (n=1,110). This distribution suggests that whilst most deliveries were conducted under favourable traffic conditions, a substantial proportion occurred during congested periods, which may have implications for delivery time performance.</w:t>
      </w:r>
    </w:p>
    <w:p w14:paraId="5041394E" w14:textId="77777777" w:rsidR="005234F9" w:rsidRDefault="005234F9" w:rsidP="005234F9">
      <w:pPr>
        <w:pStyle w:val="ListParagraph"/>
        <w:jc w:val="both"/>
        <w:rPr>
          <w:b/>
          <w:bCs/>
        </w:rPr>
      </w:pPr>
    </w:p>
    <w:p w14:paraId="4817FAC7" w14:textId="77777777" w:rsidR="005234F9" w:rsidRDefault="005234F9" w:rsidP="005234F9">
      <w:pPr>
        <w:pStyle w:val="ListParagraph"/>
        <w:jc w:val="both"/>
        <w:rPr>
          <w:b/>
          <w:bCs/>
        </w:rPr>
      </w:pPr>
    </w:p>
    <w:p w14:paraId="2CCAA98A" w14:textId="77777777" w:rsidR="005234F9" w:rsidRDefault="005234F9" w:rsidP="005234F9">
      <w:pPr>
        <w:pStyle w:val="ListParagraph"/>
        <w:jc w:val="both"/>
        <w:rPr>
          <w:b/>
          <w:bCs/>
        </w:rPr>
      </w:pPr>
    </w:p>
    <w:p w14:paraId="60587EF0" w14:textId="2FE62FF5" w:rsidR="005C21F7" w:rsidRPr="005234F9" w:rsidRDefault="00D63C4A" w:rsidP="005234F9">
      <w:pPr>
        <w:jc w:val="both"/>
        <w:rPr>
          <w:b/>
          <w:bCs/>
        </w:rPr>
      </w:pPr>
      <w:r w:rsidRPr="005234F9">
        <w:rPr>
          <w:b/>
          <w:bCs/>
        </w:rPr>
        <w:lastRenderedPageBreak/>
        <w:t>Type of Order</w:t>
      </w:r>
    </w:p>
    <w:p w14:paraId="7CB553C6" w14:textId="77777777" w:rsidR="00D63C4A" w:rsidRDefault="00D63C4A" w:rsidP="00F67660">
      <w:pPr>
        <w:keepNext/>
        <w:jc w:val="center"/>
      </w:pPr>
      <w:r>
        <w:rPr>
          <w:noProof/>
        </w:rPr>
        <w:drawing>
          <wp:inline distT="0" distB="0" distL="0" distR="0" wp14:anchorId="59DE23BD" wp14:editId="2FFD19F1">
            <wp:extent cx="4584700" cy="2755900"/>
            <wp:effectExtent l="0" t="0" r="0" b="0"/>
            <wp:docPr id="11512475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F436DD0" w14:textId="1FFB36A6" w:rsidR="00D63C4A" w:rsidRDefault="00D63C4A" w:rsidP="00F67660">
      <w:pPr>
        <w:pStyle w:val="Caption"/>
        <w:jc w:val="center"/>
      </w:pPr>
      <w:r>
        <w:t xml:space="preserve">Figure </w:t>
      </w:r>
      <w:r w:rsidR="005234F9">
        <w:t>7</w:t>
      </w:r>
    </w:p>
    <w:p w14:paraId="1B5200AA" w14:textId="668A9F7C" w:rsidR="00D63C4A" w:rsidRPr="00AE7042" w:rsidRDefault="005234F9" w:rsidP="00AE7042">
      <w:pPr>
        <w:spacing w:line="276" w:lineRule="auto"/>
        <w:jc w:val="both"/>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6F153AA6" wp14:editId="435D3616">
                <wp:simplePos x="0" y="0"/>
                <wp:positionH relativeFrom="column">
                  <wp:posOffset>0</wp:posOffset>
                </wp:positionH>
                <wp:positionV relativeFrom="paragraph">
                  <wp:posOffset>895985</wp:posOffset>
                </wp:positionV>
                <wp:extent cx="1903095" cy="635"/>
                <wp:effectExtent l="0" t="0" r="0" b="0"/>
                <wp:wrapSquare wrapText="bothSides"/>
                <wp:docPr id="1037253174" name="Text Box 1"/>
                <wp:cNvGraphicFramePr/>
                <a:graphic xmlns:a="http://schemas.openxmlformats.org/drawingml/2006/main">
                  <a:graphicData uri="http://schemas.microsoft.com/office/word/2010/wordprocessingShape">
                    <wps:wsp>
                      <wps:cNvSpPr txBox="1"/>
                      <wps:spPr>
                        <a:xfrm>
                          <a:off x="0" y="0"/>
                          <a:ext cx="1903095" cy="635"/>
                        </a:xfrm>
                        <a:prstGeom prst="rect">
                          <a:avLst/>
                        </a:prstGeom>
                        <a:solidFill>
                          <a:prstClr val="white"/>
                        </a:solidFill>
                        <a:ln>
                          <a:noFill/>
                        </a:ln>
                      </wps:spPr>
                      <wps:txbx>
                        <w:txbxContent>
                          <w:p w14:paraId="50D4E95C" w14:textId="054665E1" w:rsidR="005234F9" w:rsidRPr="007429B2" w:rsidRDefault="005234F9" w:rsidP="005234F9">
                            <w:pPr>
                              <w:pStyle w:val="Caption"/>
                              <w:jc w:val="center"/>
                              <w:rPr>
                                <w:noProof/>
                                <w:sz w:val="22"/>
                                <w:szCs w:val="22"/>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153AA6" id="_x0000_s1033" type="#_x0000_t202" style="position:absolute;left:0;text-align:left;margin-left:0;margin-top:70.55pt;width:149.8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" stroked="f">
                <v:textbox style="mso-fit-shape-to-text:t" inset="0,0,0,0">
                  <w:txbxContent>
                    <w:p w14:paraId="50D4E95C" w14:textId="054665E1" w:rsidR="005234F9" w:rsidRPr="007429B2" w:rsidRDefault="005234F9" w:rsidP="005234F9">
                      <w:pPr>
                        <w:pStyle w:val="Caption"/>
                        <w:jc w:val="center"/>
                        <w:rPr>
                          <w:noProof/>
                          <w:sz w:val="22"/>
                          <w:szCs w:val="22"/>
                        </w:rPr>
                      </w:pPr>
                      <w:r>
                        <w:t>Figure 8</w:t>
                      </w:r>
                    </w:p>
                  </w:txbxContent>
                </v:textbox>
                <w10:wrap type="square"/>
              </v:shape>
            </w:pict>
          </mc:Fallback>
        </mc:AlternateContent>
      </w:r>
      <w:r w:rsidRPr="00D63C4A">
        <w:rPr>
          <w:noProof/>
        </w:rPr>
        <w:drawing>
          <wp:anchor distT="0" distB="0" distL="114300" distR="114300" simplePos="0" relativeHeight="251674624" behindDoc="0" locked="0" layoutInCell="1" allowOverlap="1" wp14:anchorId="63570117" wp14:editId="397E2A23">
            <wp:simplePos x="0" y="0"/>
            <wp:positionH relativeFrom="column">
              <wp:posOffset>0</wp:posOffset>
            </wp:positionH>
            <wp:positionV relativeFrom="paragraph">
              <wp:posOffset>-635</wp:posOffset>
            </wp:positionV>
            <wp:extent cx="1903445" cy="839896"/>
            <wp:effectExtent l="0" t="0" r="1905" b="0"/>
            <wp:wrapSquare wrapText="bothSides"/>
            <wp:docPr id="15626047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3445" cy="839896"/>
                    </a:xfrm>
                    <a:prstGeom prst="rect">
                      <a:avLst/>
                    </a:prstGeom>
                    <a:noFill/>
                    <a:ln>
                      <a:noFill/>
                    </a:ln>
                  </pic:spPr>
                </pic:pic>
              </a:graphicData>
            </a:graphic>
          </wp:anchor>
        </w:drawing>
      </w:r>
      <w:r w:rsidR="00D63C4A" w:rsidRPr="00AE7042">
        <w:rPr>
          <w:rFonts w:ascii="Arial" w:hAnsi="Arial" w:cs="Arial"/>
          <w:sz w:val="24"/>
          <w:szCs w:val="24"/>
        </w:rPr>
        <w:t>Figures 7 and 8 demonstrate a remarkably balanced distribution across all four order categories. Drinks represented the most frequent order type at 25.62% (n=2,920), followed closely by Buffet at 25.18% (n=2,870), Snack at 24.70% (n=2,815) and Meal at 24.51% (n=2,794). This near-equal distribution indicates no single order type dominates demand, suggesting a diversified customer base.</w:t>
      </w:r>
    </w:p>
    <w:p w14:paraId="3F4160F7" w14:textId="29F84B97" w:rsidR="005234F9" w:rsidRDefault="006801FD" w:rsidP="005234F9">
      <w:pPr>
        <w:jc w:val="both"/>
        <w:rPr>
          <w:b/>
          <w:bCs/>
        </w:rPr>
      </w:pPr>
      <w:r>
        <w:rPr>
          <w:noProof/>
        </w:rPr>
        <mc:AlternateContent>
          <mc:Choice Requires="wps">
            <w:drawing>
              <wp:anchor distT="0" distB="0" distL="114300" distR="114300" simplePos="0" relativeHeight="251680768" behindDoc="0" locked="0" layoutInCell="1" allowOverlap="1" wp14:anchorId="3578AD1C" wp14:editId="405010E6">
                <wp:simplePos x="0" y="0"/>
                <wp:positionH relativeFrom="column">
                  <wp:posOffset>0</wp:posOffset>
                </wp:positionH>
                <wp:positionV relativeFrom="paragraph">
                  <wp:posOffset>1454150</wp:posOffset>
                </wp:positionV>
                <wp:extent cx="3213100" cy="635"/>
                <wp:effectExtent l="0" t="0" r="0" b="0"/>
                <wp:wrapSquare wrapText="bothSides"/>
                <wp:docPr id="338908751" name="Text Box 1"/>
                <wp:cNvGraphicFramePr/>
                <a:graphic xmlns:a="http://schemas.openxmlformats.org/drawingml/2006/main">
                  <a:graphicData uri="http://schemas.microsoft.com/office/word/2010/wordprocessingShape">
                    <wps:wsp>
                      <wps:cNvSpPr txBox="1"/>
                      <wps:spPr>
                        <a:xfrm>
                          <a:off x="0" y="0"/>
                          <a:ext cx="3213100" cy="635"/>
                        </a:xfrm>
                        <a:prstGeom prst="rect">
                          <a:avLst/>
                        </a:prstGeom>
                        <a:solidFill>
                          <a:prstClr val="white"/>
                        </a:solidFill>
                        <a:ln>
                          <a:noFill/>
                        </a:ln>
                      </wps:spPr>
                      <wps:txbx>
                        <w:txbxContent>
                          <w:p w14:paraId="1B3DA97E" w14:textId="0CC146A4" w:rsidR="006801FD" w:rsidRPr="00052298" w:rsidRDefault="006801FD" w:rsidP="006801FD">
                            <w:pPr>
                              <w:pStyle w:val="Caption"/>
                              <w:jc w:val="center"/>
                              <w:rPr>
                                <w:noProof/>
                                <w:sz w:val="22"/>
                                <w:szCs w:val="22"/>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8AD1C" id="_x0000_s1034" type="#_x0000_t202" style="position:absolute;left:0;text-align:left;margin-left:0;margin-top:114.5pt;width:25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" stroked="f">
                <v:textbox style="mso-fit-shape-to-text:t" inset="0,0,0,0">
                  <w:txbxContent>
                    <w:p w14:paraId="1B3DA97E" w14:textId="0CC146A4" w:rsidR="006801FD" w:rsidRPr="00052298" w:rsidRDefault="006801FD" w:rsidP="006801FD">
                      <w:pPr>
                        <w:pStyle w:val="Caption"/>
                        <w:jc w:val="center"/>
                        <w:rPr>
                          <w:noProof/>
                          <w:sz w:val="22"/>
                          <w:szCs w:val="22"/>
                        </w:rPr>
                      </w:pPr>
                      <w:r>
                        <w:t>Figure 9</w:t>
                      </w:r>
                    </w:p>
                  </w:txbxContent>
                </v:textbox>
                <w10:wrap type="square"/>
              </v:shape>
            </w:pict>
          </mc:Fallback>
        </mc:AlternateContent>
      </w:r>
      <w:r w:rsidR="005234F9" w:rsidRPr="00D63C4A">
        <w:rPr>
          <w:noProof/>
        </w:rPr>
        <w:drawing>
          <wp:anchor distT="0" distB="0" distL="114300" distR="114300" simplePos="0" relativeHeight="251677696" behindDoc="0" locked="0" layoutInCell="1" allowOverlap="1" wp14:anchorId="2C951E1E" wp14:editId="5F29E362">
            <wp:simplePos x="0" y="0"/>
            <wp:positionH relativeFrom="margin">
              <wp:align>left</wp:align>
            </wp:positionH>
            <wp:positionV relativeFrom="paragraph">
              <wp:posOffset>285750</wp:posOffset>
            </wp:positionV>
            <wp:extent cx="3213100" cy="1111250"/>
            <wp:effectExtent l="0" t="0" r="6350" b="0"/>
            <wp:wrapSquare wrapText="bothSides"/>
            <wp:docPr id="12960208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3100" cy="1111250"/>
                    </a:xfrm>
                    <a:prstGeom prst="rect">
                      <a:avLst/>
                    </a:prstGeom>
                    <a:noFill/>
                    <a:ln>
                      <a:noFill/>
                    </a:ln>
                  </pic:spPr>
                </pic:pic>
              </a:graphicData>
            </a:graphic>
            <wp14:sizeRelH relativeFrom="margin">
              <wp14:pctWidth>0</wp14:pctWidth>
            </wp14:sizeRelH>
          </wp:anchor>
        </w:drawing>
      </w:r>
      <w:r w:rsidR="00D63C4A" w:rsidRPr="005234F9">
        <w:rPr>
          <w:b/>
          <w:bCs/>
        </w:rPr>
        <w:t>Type of Vehicle</w:t>
      </w:r>
    </w:p>
    <w:p w14:paraId="32241A61" w14:textId="158C5C82" w:rsidR="00D63C4A" w:rsidRPr="006801FD" w:rsidRDefault="006801FD" w:rsidP="006801FD">
      <w:pPr>
        <w:keepNext/>
        <w:jc w:val="both"/>
      </w:pPr>
      <w:r>
        <w:t>F</w:t>
      </w:r>
      <w:r w:rsidR="00D63C4A" w:rsidRPr="006801FD">
        <w:rPr>
          <w:rFonts w:ascii="Arial" w:hAnsi="Arial" w:cs="Arial"/>
          <w:sz w:val="24"/>
          <w:szCs w:val="24"/>
        </w:rPr>
        <w:t>igures</w:t>
      </w:r>
      <w:r w:rsidR="00D63C4A" w:rsidRPr="00AE7042">
        <w:rPr>
          <w:rFonts w:ascii="Arial" w:hAnsi="Arial" w:cs="Arial"/>
          <w:sz w:val="24"/>
          <w:szCs w:val="24"/>
        </w:rPr>
        <w:t xml:space="preserve"> 9 and 10 </w:t>
      </w:r>
      <w:r w:rsidR="00F67660" w:rsidRPr="00AE7042">
        <w:rPr>
          <w:rFonts w:ascii="Arial" w:hAnsi="Arial" w:cs="Arial"/>
          <w:sz w:val="24"/>
          <w:szCs w:val="24"/>
        </w:rPr>
        <w:t>show</w:t>
      </w:r>
      <w:r w:rsidR="00D63C4A" w:rsidRPr="00AE7042">
        <w:rPr>
          <w:rFonts w:ascii="Arial" w:hAnsi="Arial" w:cs="Arial"/>
          <w:sz w:val="24"/>
          <w:szCs w:val="24"/>
        </w:rPr>
        <w:t xml:space="preserve"> that motorcycles were the dominant vehicle type, accounting for 57.98% of all deliveries (n=6,609), followed by scooters at 33.49% (n=3,817). Electric scooters represented 8.33% (n=950), whilst bicycles accounted for a negligible 0.20% (n=23). The dominance of motorcycles is consistent with findings in the food delivery literature, where motorised two-wheelers are favoured for their speed and manoeuvrability in urban environments (</w:t>
      </w:r>
      <w:proofErr w:type="spellStart"/>
      <w:r w:rsidR="00D63C4A" w:rsidRPr="00AE7042">
        <w:rPr>
          <w:rFonts w:ascii="Arial" w:hAnsi="Arial" w:cs="Arial"/>
          <w:sz w:val="24"/>
          <w:szCs w:val="24"/>
        </w:rPr>
        <w:t>Patier</w:t>
      </w:r>
      <w:proofErr w:type="spellEnd"/>
      <w:r w:rsidR="00D63C4A" w:rsidRPr="00AE7042">
        <w:rPr>
          <w:rFonts w:ascii="Arial" w:hAnsi="Arial" w:cs="Arial"/>
          <w:sz w:val="24"/>
          <w:szCs w:val="24"/>
        </w:rPr>
        <w:t xml:space="preserve"> and Browne, 2010).</w:t>
      </w:r>
    </w:p>
    <w:p w14:paraId="2AFD740D" w14:textId="58B03606" w:rsidR="006801FD" w:rsidRDefault="006801FD" w:rsidP="00AE7042">
      <w:pPr>
        <w:spacing w:line="276" w:lineRule="auto"/>
        <w:jc w:val="both"/>
        <w:rPr>
          <w:rFonts w:ascii="Arial" w:hAnsi="Arial" w:cs="Arial"/>
          <w:sz w:val="24"/>
          <w:szCs w:val="24"/>
        </w:rPr>
      </w:pPr>
    </w:p>
    <w:p w14:paraId="444BBDAD" w14:textId="026193D7" w:rsidR="00D94BCD" w:rsidRDefault="00FA4B26" w:rsidP="00AE7042">
      <w:pPr>
        <w:spacing w:line="276" w:lineRule="auto"/>
        <w:jc w:val="both"/>
      </w:pPr>
      <w:r>
        <w:rPr>
          <w:noProof/>
        </w:rPr>
        <w:lastRenderedPageBreak/>
        <mc:AlternateContent>
          <mc:Choice Requires="wps">
            <w:drawing>
              <wp:anchor distT="0" distB="0" distL="114300" distR="114300" simplePos="0" relativeHeight="251682816" behindDoc="0" locked="0" layoutInCell="1" allowOverlap="1" wp14:anchorId="74714F0F" wp14:editId="651C1F6E">
                <wp:simplePos x="0" y="0"/>
                <wp:positionH relativeFrom="column">
                  <wp:posOffset>-97790</wp:posOffset>
                </wp:positionH>
                <wp:positionV relativeFrom="paragraph">
                  <wp:posOffset>1873250</wp:posOffset>
                </wp:positionV>
                <wp:extent cx="3001010" cy="635"/>
                <wp:effectExtent l="0" t="0" r="0" b="0"/>
                <wp:wrapSquare wrapText="bothSides"/>
                <wp:docPr id="675591413" name="Text Box 1"/>
                <wp:cNvGraphicFramePr/>
                <a:graphic xmlns:a="http://schemas.openxmlformats.org/drawingml/2006/main">
                  <a:graphicData uri="http://schemas.microsoft.com/office/word/2010/wordprocessingShape">
                    <wps:wsp>
                      <wps:cNvSpPr txBox="1"/>
                      <wps:spPr>
                        <a:xfrm>
                          <a:off x="0" y="0"/>
                          <a:ext cx="3001010" cy="635"/>
                        </a:xfrm>
                        <a:prstGeom prst="rect">
                          <a:avLst/>
                        </a:prstGeom>
                        <a:solidFill>
                          <a:prstClr val="white"/>
                        </a:solidFill>
                        <a:ln>
                          <a:noFill/>
                        </a:ln>
                      </wps:spPr>
                      <wps:txbx>
                        <w:txbxContent>
                          <w:p w14:paraId="32EE7DEC" w14:textId="0C444D6F" w:rsidR="00FA4B26" w:rsidRPr="004F5272" w:rsidRDefault="00FA4B26" w:rsidP="00FA4B26">
                            <w:pPr>
                              <w:pStyle w:val="Caption"/>
                              <w:jc w:val="center"/>
                              <w:rPr>
                                <w:noProof/>
                                <w:sz w:val="22"/>
                                <w:szCs w:val="22"/>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714F0F" id="_x0000_s1035" type="#_x0000_t202" style="position:absolute;left:0;text-align:left;margin-left:-7.7pt;margin-top:147.5pt;width:236.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" stroked="f">
                <v:textbox style="mso-fit-shape-to-text:t" inset="0,0,0,0">
                  <w:txbxContent>
                    <w:p w14:paraId="32EE7DEC" w14:textId="0C444D6F" w:rsidR="00FA4B26" w:rsidRPr="004F5272" w:rsidRDefault="00FA4B26" w:rsidP="00FA4B26">
                      <w:pPr>
                        <w:pStyle w:val="Caption"/>
                        <w:jc w:val="center"/>
                        <w:rPr>
                          <w:noProof/>
                          <w:sz w:val="22"/>
                          <w:szCs w:val="22"/>
                        </w:rPr>
                      </w:pPr>
                      <w:r>
                        <w:t>Figure 10</w:t>
                      </w:r>
                    </w:p>
                  </w:txbxContent>
                </v:textbox>
                <w10:wrap type="square"/>
              </v:shape>
            </w:pict>
          </mc:Fallback>
        </mc:AlternateContent>
      </w:r>
      <w:r w:rsidR="006801FD" w:rsidRPr="006801FD">
        <w:rPr>
          <w:noProof/>
        </w:rPr>
        <w:drawing>
          <wp:anchor distT="0" distB="0" distL="114300" distR="114300" simplePos="0" relativeHeight="251678720" behindDoc="0" locked="0" layoutInCell="1" allowOverlap="1" wp14:anchorId="69E196EF" wp14:editId="39C8F06B">
            <wp:simplePos x="0" y="0"/>
            <wp:positionH relativeFrom="margin">
              <wp:posOffset>-97790</wp:posOffset>
            </wp:positionH>
            <wp:positionV relativeFrom="paragraph">
              <wp:posOffset>0</wp:posOffset>
            </wp:positionV>
            <wp:extent cx="3001010" cy="1816100"/>
            <wp:effectExtent l="0" t="0" r="8890" b="0"/>
            <wp:wrapSquare wrapText="bothSides"/>
            <wp:docPr id="17416395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01010" cy="1816100"/>
                    </a:xfrm>
                    <a:prstGeom prst="rect">
                      <a:avLst/>
                    </a:prstGeom>
                    <a:noFill/>
                  </pic:spPr>
                </pic:pic>
              </a:graphicData>
            </a:graphic>
            <wp14:sizeRelH relativeFrom="margin">
              <wp14:pctWidth>0</wp14:pctWidth>
            </wp14:sizeRelH>
            <wp14:sizeRelV relativeFrom="margin">
              <wp14:pctHeight>0</wp14:pctHeight>
            </wp14:sizeRelV>
          </wp:anchor>
        </w:drawing>
      </w:r>
      <w:r w:rsidR="00D94BCD" w:rsidRPr="00AE7042">
        <w:rPr>
          <w:rFonts w:ascii="Arial" w:hAnsi="Arial" w:cs="Arial"/>
          <w:sz w:val="24"/>
          <w:szCs w:val="24"/>
        </w:rPr>
        <w:t>Collectively, these descriptive findings establish a comprehensive baseline understanding of the dataset, informing the more detailed trend analysis and statistical testing presented in the sections that follow</w:t>
      </w:r>
      <w:r w:rsidR="00D94BCD" w:rsidRPr="00D94BCD">
        <w:t>.</w:t>
      </w:r>
    </w:p>
    <w:p w14:paraId="7BF6A3EF" w14:textId="77777777" w:rsidR="006801FD" w:rsidRDefault="006801FD" w:rsidP="00AE7042">
      <w:pPr>
        <w:spacing w:line="276" w:lineRule="auto"/>
        <w:jc w:val="both"/>
      </w:pPr>
    </w:p>
    <w:p w14:paraId="518EB8C6" w14:textId="30EBDE6A" w:rsidR="00FA4B26" w:rsidRDefault="00FA4B26" w:rsidP="00AE7042">
      <w:pPr>
        <w:spacing w:line="276" w:lineRule="auto"/>
        <w:jc w:val="both"/>
      </w:pPr>
    </w:p>
    <w:p w14:paraId="41DE30F3" w14:textId="77777777" w:rsidR="006801FD" w:rsidRDefault="006801FD" w:rsidP="00AE7042">
      <w:pPr>
        <w:spacing w:line="276" w:lineRule="auto"/>
        <w:jc w:val="both"/>
      </w:pPr>
    </w:p>
    <w:p w14:paraId="0081A790" w14:textId="750323D8" w:rsidR="0093763E" w:rsidRPr="00F67660" w:rsidRDefault="0093763E" w:rsidP="00F67660">
      <w:pPr>
        <w:pStyle w:val="Heading1"/>
        <w:rPr>
          <w:color w:val="auto"/>
        </w:rPr>
      </w:pPr>
      <w:bookmarkStart w:id="3" w:name="_Toc225283473"/>
      <w:r w:rsidRPr="00F67660">
        <w:rPr>
          <w:color w:val="auto"/>
        </w:rPr>
        <w:t>Trend Analysis and Visualisation</w:t>
      </w:r>
      <w:bookmarkEnd w:id="3"/>
      <w:r w:rsidRPr="00F67660">
        <w:rPr>
          <w:color w:val="auto"/>
        </w:rPr>
        <w:t xml:space="preserve"> </w:t>
      </w:r>
    </w:p>
    <w:p w14:paraId="452036F8" w14:textId="159DCC8E"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Trend analysis enables the identification of patterns and relationships within operational data, transforming complex datasets into accessible insights that support informed decision-making (Few, 2009). This section examines how weather conditions, road traffic density and vehicle type influence delivery duration, alongside delivery volume trends observed across the study period of February to April 2022.</w:t>
      </w:r>
    </w:p>
    <w:p w14:paraId="54ED1EEB" w14:textId="77777777" w:rsidR="0093763E" w:rsidRDefault="0093763E" w:rsidP="00F67660">
      <w:pPr>
        <w:keepNext/>
        <w:jc w:val="center"/>
      </w:pPr>
      <w:r>
        <w:rPr>
          <w:noProof/>
        </w:rPr>
        <w:drawing>
          <wp:inline distT="0" distB="0" distL="0" distR="0" wp14:anchorId="0D7B134B" wp14:editId="2A0A8C87">
            <wp:extent cx="5864860" cy="3164205"/>
            <wp:effectExtent l="0" t="0" r="0" b="0"/>
            <wp:docPr id="11629484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4860" cy="3164205"/>
                    </a:xfrm>
                    <a:prstGeom prst="rect">
                      <a:avLst/>
                    </a:prstGeom>
                    <a:noFill/>
                  </pic:spPr>
                </pic:pic>
              </a:graphicData>
            </a:graphic>
          </wp:inline>
        </w:drawing>
      </w:r>
    </w:p>
    <w:p w14:paraId="12058F05" w14:textId="3ADF911D" w:rsidR="0093763E" w:rsidRDefault="0093763E" w:rsidP="00F67660">
      <w:pPr>
        <w:pStyle w:val="Caption"/>
        <w:jc w:val="center"/>
      </w:pPr>
      <w:r>
        <w:t xml:space="preserve">Figure </w:t>
      </w:r>
      <w:r w:rsidR="007C2975">
        <w:t>11</w:t>
      </w:r>
    </w:p>
    <w:p w14:paraId="35BE4A2B" w14:textId="77777777" w:rsidR="0093763E" w:rsidRPr="0093763E" w:rsidRDefault="0093763E" w:rsidP="00060743">
      <w:pPr>
        <w:jc w:val="both"/>
      </w:pPr>
      <w:r w:rsidRPr="0093763E">
        <w:rPr>
          <w:b/>
          <w:bCs/>
        </w:rPr>
        <w:t>Average Delivery Duration by Weather Condition</w:t>
      </w:r>
    </w:p>
    <w:p w14:paraId="603029B6" w14:textId="3BF0D468"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 xml:space="preserve">Figure 11 illustrates the average delivery duration across six weather conditions. Surprisingly, Sunny conditions recorded the highest average duration at 21.66 minutes, considerably higher than all other conditions. The remaining weather types were closely clustered between 12.10 minutes (Fog) and 13.16 minutes (Cloudy), suggesting consistent performance across adverse weather conditions. This counterintuitive finding may indicate that Sunny conditions coincide with higher order </w:t>
      </w:r>
      <w:r w:rsidRPr="00AE7042">
        <w:rPr>
          <w:rFonts w:ascii="Arial" w:hAnsi="Arial" w:cs="Arial"/>
          <w:sz w:val="24"/>
          <w:szCs w:val="24"/>
        </w:rPr>
        <w:lastRenderedPageBreak/>
        <w:t>volumes, increasing workload per driver rather than reflecting the direct impact of weather on travel speed (Böhm et al., 2021).</w:t>
      </w:r>
    </w:p>
    <w:p w14:paraId="76136B05" w14:textId="77777777" w:rsidR="0093763E" w:rsidRDefault="0093763E" w:rsidP="00F67660">
      <w:pPr>
        <w:keepNext/>
        <w:jc w:val="center"/>
      </w:pPr>
      <w:r>
        <w:rPr>
          <w:b/>
          <w:bCs/>
          <w:noProof/>
        </w:rPr>
        <w:drawing>
          <wp:inline distT="0" distB="0" distL="0" distR="0" wp14:anchorId="22144B54" wp14:editId="69266E0D">
            <wp:extent cx="5231130" cy="2865120"/>
            <wp:effectExtent l="0" t="0" r="0" b="0"/>
            <wp:docPr id="10620656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1130" cy="2865120"/>
                    </a:xfrm>
                    <a:prstGeom prst="rect">
                      <a:avLst/>
                    </a:prstGeom>
                    <a:noFill/>
                  </pic:spPr>
                </pic:pic>
              </a:graphicData>
            </a:graphic>
          </wp:inline>
        </w:drawing>
      </w:r>
    </w:p>
    <w:p w14:paraId="61FD9307" w14:textId="20604715" w:rsidR="0093763E" w:rsidRDefault="0093763E" w:rsidP="00F67660">
      <w:pPr>
        <w:pStyle w:val="Caption"/>
        <w:jc w:val="center"/>
      </w:pPr>
      <w:r>
        <w:t xml:space="preserve">Figure </w:t>
      </w:r>
      <w:r w:rsidR="007C2975">
        <w:t>12</w:t>
      </w:r>
    </w:p>
    <w:p w14:paraId="315F60F6" w14:textId="1E928560" w:rsidR="0093763E" w:rsidRPr="0093763E" w:rsidRDefault="0093763E" w:rsidP="00060743">
      <w:pPr>
        <w:jc w:val="both"/>
      </w:pPr>
      <w:r w:rsidRPr="0093763E">
        <w:rPr>
          <w:b/>
          <w:bCs/>
        </w:rPr>
        <w:t>Average Delivery Duration by Traffic Density</w:t>
      </w:r>
    </w:p>
    <w:p w14:paraId="3317940F" w14:textId="2BB4B912"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Figure 12 presents the average delivery duration by road traffic density. Counterintuitively, Low traffic conditions recorded the highest average duration at 19.47 minutes, whilst High traffic conditions produced the shortest at 9.89 minutes. Jam conditions resulted in an average of 13.58 minutes, followed by Medium at 10.18 minutes. This unexpected pattern may suggest that Low traffic areas correspond to more geographically dispersed delivery locations, requiring longer travel distances regardless of congestion levels, a relationship noted by Figliozzi (2010) in urban freight distribution research.</w:t>
      </w:r>
    </w:p>
    <w:p w14:paraId="3417BD3F" w14:textId="77777777" w:rsidR="0093763E" w:rsidRPr="0093763E" w:rsidRDefault="0093763E" w:rsidP="00060743">
      <w:pPr>
        <w:jc w:val="both"/>
      </w:pPr>
    </w:p>
    <w:p w14:paraId="0230F60C" w14:textId="77777777" w:rsidR="0093763E" w:rsidRDefault="0093763E" w:rsidP="00F67660">
      <w:pPr>
        <w:keepNext/>
        <w:jc w:val="center"/>
      </w:pPr>
      <w:r>
        <w:rPr>
          <w:noProof/>
        </w:rPr>
        <w:lastRenderedPageBreak/>
        <w:drawing>
          <wp:inline distT="0" distB="0" distL="0" distR="0" wp14:anchorId="7E2C71A8" wp14:editId="25092BE4">
            <wp:extent cx="5005070" cy="2755900"/>
            <wp:effectExtent l="0" t="0" r="0" b="0"/>
            <wp:docPr id="6798990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05070" cy="2755900"/>
                    </a:xfrm>
                    <a:prstGeom prst="rect">
                      <a:avLst/>
                    </a:prstGeom>
                    <a:noFill/>
                  </pic:spPr>
                </pic:pic>
              </a:graphicData>
            </a:graphic>
          </wp:inline>
        </w:drawing>
      </w:r>
    </w:p>
    <w:p w14:paraId="741B4C05" w14:textId="0EDE62F7" w:rsidR="0093763E" w:rsidRPr="00D63C4A" w:rsidRDefault="0093763E" w:rsidP="00F67660">
      <w:pPr>
        <w:pStyle w:val="Caption"/>
        <w:jc w:val="center"/>
      </w:pPr>
      <w:r>
        <w:t xml:space="preserve">Figure </w:t>
      </w:r>
      <w:r w:rsidR="007C2975">
        <w:t>13</w:t>
      </w:r>
    </w:p>
    <w:p w14:paraId="609128F8" w14:textId="77777777" w:rsidR="00F67660" w:rsidRDefault="00F67660" w:rsidP="00060743">
      <w:pPr>
        <w:jc w:val="both"/>
        <w:rPr>
          <w:b/>
          <w:bCs/>
        </w:rPr>
      </w:pPr>
    </w:p>
    <w:p w14:paraId="415BD2CF" w14:textId="77777777" w:rsidR="00F67660" w:rsidRDefault="00F67660" w:rsidP="00060743">
      <w:pPr>
        <w:jc w:val="both"/>
        <w:rPr>
          <w:b/>
          <w:bCs/>
        </w:rPr>
      </w:pPr>
    </w:p>
    <w:p w14:paraId="6D3274E6" w14:textId="3BDDA6FC" w:rsidR="0093763E" w:rsidRPr="0093763E" w:rsidRDefault="0093763E" w:rsidP="00060743">
      <w:pPr>
        <w:jc w:val="both"/>
      </w:pPr>
      <w:r w:rsidRPr="0093763E">
        <w:rPr>
          <w:b/>
          <w:bCs/>
        </w:rPr>
        <w:t>Average Delivery Duration by Vehicle Type</w:t>
      </w:r>
    </w:p>
    <w:p w14:paraId="43BB9D2E" w14:textId="04874765"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 xml:space="preserve">Figure 13 displays </w:t>
      </w:r>
      <w:r w:rsidR="007C2975">
        <w:rPr>
          <w:rFonts w:ascii="Arial" w:hAnsi="Arial" w:cs="Arial"/>
          <w:sz w:val="24"/>
          <w:szCs w:val="24"/>
        </w:rPr>
        <w:t xml:space="preserve">the </w:t>
      </w:r>
      <w:r w:rsidRPr="00AE7042">
        <w:rPr>
          <w:rFonts w:ascii="Arial" w:hAnsi="Arial" w:cs="Arial"/>
          <w:sz w:val="24"/>
          <w:szCs w:val="24"/>
        </w:rPr>
        <w:t>average delivery duration by vehicle type. Motorcycles and scooters recorded the most efficient delivery times at 13.41 and 14.07 minutes, respectively, whilst electric scooters averaged 20.32 minutes. Bicycles recorded an extreme outlier value of 192.65 minutes, which is statistically implausible as a genuine operational figure and most likely reflects data entry errors within the 23 bicycle records identified in Section 3. Given the negligible representation of bicycles in the dataset (0.20%), this value should be treated with caution and excluded from any comparative interpretation (Hair et al., 2019).</w:t>
      </w:r>
    </w:p>
    <w:p w14:paraId="1811CC3D" w14:textId="77777777" w:rsidR="007C2975" w:rsidRDefault="007C2975" w:rsidP="00F67660">
      <w:pPr>
        <w:keepNext/>
        <w:jc w:val="center"/>
      </w:pPr>
    </w:p>
    <w:p w14:paraId="77E91BC8" w14:textId="73F1A347" w:rsidR="0093763E" w:rsidRDefault="0093763E" w:rsidP="00F67660">
      <w:pPr>
        <w:keepNext/>
        <w:jc w:val="center"/>
      </w:pPr>
      <w:r>
        <w:rPr>
          <w:noProof/>
        </w:rPr>
        <w:drawing>
          <wp:inline distT="0" distB="0" distL="0" distR="0" wp14:anchorId="741985BF" wp14:editId="153D3142">
            <wp:extent cx="4840605" cy="2755900"/>
            <wp:effectExtent l="0" t="0" r="0" b="0"/>
            <wp:docPr id="5573963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40605" cy="2755900"/>
                    </a:xfrm>
                    <a:prstGeom prst="rect">
                      <a:avLst/>
                    </a:prstGeom>
                    <a:noFill/>
                  </pic:spPr>
                </pic:pic>
              </a:graphicData>
            </a:graphic>
          </wp:inline>
        </w:drawing>
      </w:r>
    </w:p>
    <w:p w14:paraId="5E510557" w14:textId="2DC183FF" w:rsidR="009B2988" w:rsidRDefault="0093763E" w:rsidP="00F67660">
      <w:pPr>
        <w:pStyle w:val="Caption"/>
        <w:jc w:val="center"/>
      </w:pPr>
      <w:r>
        <w:t xml:space="preserve">Figure </w:t>
      </w:r>
      <w:r w:rsidR="007C2975">
        <w:t>14</w:t>
      </w:r>
    </w:p>
    <w:p w14:paraId="5DD6CBFA" w14:textId="77777777" w:rsidR="0093763E" w:rsidRPr="00AE7042" w:rsidRDefault="0093763E" w:rsidP="00060743">
      <w:pPr>
        <w:jc w:val="both"/>
        <w:rPr>
          <w:b/>
          <w:bCs/>
        </w:rPr>
      </w:pPr>
      <w:r w:rsidRPr="00AE7042">
        <w:rPr>
          <w:b/>
          <w:bCs/>
        </w:rPr>
        <w:t>Number of Deliveries over Time</w:t>
      </w:r>
    </w:p>
    <w:p w14:paraId="28F19CB2" w14:textId="21E9E92C"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Figure 14 illustrates delivery volume across the study period. A pronounced peak is observed in March 2022, recording 7,911 deliveries, compared to 1,870 in February and 1,618 in April. This pattern likely reflects the partial nature of the February and April data, as the dataset spans from 11th February to 6th April 2022, meaning neither month represents a complete period. Nevertheless, the concentration of deliveries in March provides a reliable basis for the analyses conducted in this report, and the overall trend suggests stable operational activity during the core study period (Saunders, Lewis and Thornhill, 2019).</w:t>
      </w:r>
    </w:p>
    <w:p w14:paraId="49F8FA68" w14:textId="4C81AD0A"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Collectively, the trend analysis reveals that environmental and logistical variables influence delivery duration in complex and often counterintuitive ways, highlighting the need for deeper statistical investigation to confirm the significance of these observed patterns.</w:t>
      </w:r>
    </w:p>
    <w:p w14:paraId="589E2B00" w14:textId="26907EC2" w:rsidR="00060743" w:rsidRPr="000E7943" w:rsidRDefault="00060743" w:rsidP="000E7943">
      <w:pPr>
        <w:pStyle w:val="Heading1"/>
      </w:pPr>
      <w:r w:rsidRPr="00AE7042">
        <w:t xml:space="preserve"> </w:t>
      </w:r>
      <w:bookmarkStart w:id="4" w:name="_Toc225283474"/>
      <w:r w:rsidRPr="000E7943">
        <w:rPr>
          <w:color w:val="auto"/>
        </w:rPr>
        <w:t>Statistical Analysis</w:t>
      </w:r>
      <w:bookmarkEnd w:id="4"/>
    </w:p>
    <w:p w14:paraId="46E49769" w14:textId="77777777" w:rsidR="00060743"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 xml:space="preserve">Statistical analysis allows for the examination of relationships and differences within datasets beyond what descriptive statistics and visualisation alone can reveal. As Field (2018) notes, inferential statistical tests enable researchers to draw conclusions about populations based on sample data, providing a more rigorous foundation for evidence-based decision-making. This section presents three statistical tests conducted using SPSS: a One-Way ANOVA to examine differences in delivery person ratings across weather conditions, a correlation analysis to explore relationships between key variables, and a regression analysis to identify predictors of delivery performance. Whilst a t-test is commonly applied in hypothesis testing, a One-Way ANOVA was deemed more appropriate here, as the Weather variable contains six distinct </w:t>
      </w:r>
      <w:r w:rsidRPr="00AE7042">
        <w:rPr>
          <w:rFonts w:ascii="Arial" w:hAnsi="Arial" w:cs="Arial"/>
          <w:sz w:val="24"/>
          <w:szCs w:val="24"/>
        </w:rPr>
        <w:lastRenderedPageBreak/>
        <w:t>categories rather than two groups, making ANOVA the statistically correct choice for this analysis (Field, 2018).</w:t>
      </w:r>
    </w:p>
    <w:p w14:paraId="360C0FA2" w14:textId="77777777" w:rsidR="00060743" w:rsidRDefault="00060743" w:rsidP="00060743">
      <w:pPr>
        <w:jc w:val="both"/>
        <w:rPr>
          <w:b/>
          <w:bCs/>
        </w:rPr>
      </w:pPr>
    </w:p>
    <w:p w14:paraId="2CC1BA59" w14:textId="77777777" w:rsidR="00060743" w:rsidRDefault="00060743" w:rsidP="00F67660">
      <w:pPr>
        <w:keepNext/>
        <w:jc w:val="center"/>
      </w:pPr>
      <w:r w:rsidRPr="00060743">
        <w:rPr>
          <w:noProof/>
        </w:rPr>
        <w:drawing>
          <wp:inline distT="0" distB="0" distL="0" distR="0" wp14:anchorId="11EF631C" wp14:editId="27B9E8B6">
            <wp:extent cx="4838700" cy="1428750"/>
            <wp:effectExtent l="0" t="0" r="0" b="0"/>
            <wp:docPr id="31302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24475" name=""/>
                    <pic:cNvPicPr/>
                  </pic:nvPicPr>
                  <pic:blipFill>
                    <a:blip r:embed="rId22"/>
                    <a:stretch>
                      <a:fillRect/>
                    </a:stretch>
                  </pic:blipFill>
                  <pic:spPr>
                    <a:xfrm>
                      <a:off x="0" y="0"/>
                      <a:ext cx="4838700" cy="1428750"/>
                    </a:xfrm>
                    <a:prstGeom prst="rect">
                      <a:avLst/>
                    </a:prstGeom>
                  </pic:spPr>
                </pic:pic>
              </a:graphicData>
            </a:graphic>
          </wp:inline>
        </w:drawing>
      </w:r>
    </w:p>
    <w:p w14:paraId="76CBF19A" w14:textId="13E636C5" w:rsidR="00060743" w:rsidRDefault="00060743" w:rsidP="00F67660">
      <w:pPr>
        <w:pStyle w:val="Caption"/>
        <w:jc w:val="center"/>
      </w:pPr>
      <w:r>
        <w:t xml:space="preserve">Figure </w:t>
      </w:r>
      <w:r w:rsidR="009D5013">
        <w:t xml:space="preserve">15 </w:t>
      </w:r>
    </w:p>
    <w:p w14:paraId="6A6167DF" w14:textId="77777777" w:rsidR="007D05F7"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 xml:space="preserve">To examine whether weather conditions had a statistically significant effect on delivery person ratings, a One-Way ANOVA was conducted with </w:t>
      </w:r>
      <w:proofErr w:type="spellStart"/>
      <w:r w:rsidRPr="00AE7042">
        <w:rPr>
          <w:rFonts w:ascii="Arial" w:hAnsi="Arial" w:cs="Arial"/>
          <w:sz w:val="24"/>
          <w:szCs w:val="24"/>
        </w:rPr>
        <w:t>Delivery_person_Ratings</w:t>
      </w:r>
      <w:proofErr w:type="spellEnd"/>
      <w:r w:rsidRPr="00AE7042">
        <w:rPr>
          <w:rFonts w:ascii="Arial" w:hAnsi="Arial" w:cs="Arial"/>
          <w:sz w:val="24"/>
          <w:szCs w:val="24"/>
        </w:rPr>
        <w:t xml:space="preserve"> as the dependent variable and Weather as the factor. The null hypothesis (H0) stated that there is no significant difference in ratings across weather conditions, whilst the alternative hypothesis (H1) proposed that a significant difference exists. As presented in Figure 15, the results revealed a statistically significant effect, </w:t>
      </w:r>
      <w:proofErr w:type="gramStart"/>
      <w:r w:rsidRPr="00AE7042">
        <w:rPr>
          <w:rFonts w:ascii="Arial" w:hAnsi="Arial" w:cs="Arial"/>
          <w:sz w:val="24"/>
          <w:szCs w:val="24"/>
        </w:rPr>
        <w:t>F(</w:t>
      </w:r>
      <w:proofErr w:type="gramEnd"/>
      <w:r w:rsidRPr="00AE7042">
        <w:rPr>
          <w:rFonts w:ascii="Arial" w:hAnsi="Arial" w:cs="Arial"/>
          <w:sz w:val="24"/>
          <w:szCs w:val="24"/>
        </w:rPr>
        <w:t xml:space="preserve">5, 11393) = 7.583, p &lt; .001, leading to the rejection of the null hypothesis. </w:t>
      </w:r>
    </w:p>
    <w:p w14:paraId="1CE4A5C1" w14:textId="77777777" w:rsidR="007D05F7" w:rsidRDefault="007D05F7" w:rsidP="00F67660">
      <w:pPr>
        <w:keepNext/>
        <w:jc w:val="center"/>
      </w:pPr>
      <w:r w:rsidRPr="007D05F7">
        <w:rPr>
          <w:noProof/>
        </w:rPr>
        <w:drawing>
          <wp:inline distT="0" distB="0" distL="0" distR="0" wp14:anchorId="39684392" wp14:editId="6FF5134D">
            <wp:extent cx="5448300" cy="1971675"/>
            <wp:effectExtent l="0" t="0" r="0" b="9525"/>
            <wp:docPr id="12494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7061" name=""/>
                    <pic:cNvPicPr/>
                  </pic:nvPicPr>
                  <pic:blipFill>
                    <a:blip r:embed="rId23"/>
                    <a:stretch>
                      <a:fillRect/>
                    </a:stretch>
                  </pic:blipFill>
                  <pic:spPr>
                    <a:xfrm>
                      <a:off x="0" y="0"/>
                      <a:ext cx="5448300" cy="1971675"/>
                    </a:xfrm>
                    <a:prstGeom prst="rect">
                      <a:avLst/>
                    </a:prstGeom>
                  </pic:spPr>
                </pic:pic>
              </a:graphicData>
            </a:graphic>
          </wp:inline>
        </w:drawing>
      </w:r>
    </w:p>
    <w:p w14:paraId="0AB78F9F" w14:textId="5DC176F3" w:rsidR="007D05F7" w:rsidRDefault="007D05F7" w:rsidP="00F67660">
      <w:pPr>
        <w:pStyle w:val="Caption"/>
        <w:jc w:val="center"/>
      </w:pPr>
      <w:r>
        <w:t xml:space="preserve">Figure </w:t>
      </w:r>
      <w:r w:rsidR="009D5013">
        <w:t>16</w:t>
      </w:r>
    </w:p>
    <w:p w14:paraId="02701928" w14:textId="14DBBDBB" w:rsidR="00060743"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As shown in Figure 1</w:t>
      </w:r>
      <w:r w:rsidR="007D05F7" w:rsidRPr="00AE7042">
        <w:rPr>
          <w:rFonts w:ascii="Arial" w:hAnsi="Arial" w:cs="Arial"/>
          <w:sz w:val="24"/>
          <w:szCs w:val="24"/>
        </w:rPr>
        <w:t>6</w:t>
      </w:r>
      <w:r w:rsidRPr="00AE7042">
        <w:rPr>
          <w:rFonts w:ascii="Arial" w:hAnsi="Arial" w:cs="Arial"/>
          <w:sz w:val="24"/>
          <w:szCs w:val="24"/>
        </w:rPr>
        <w:t>, the effect size analysis indicated an Eta-squared value of 0.003, meaning that weather conditions account for only 0.3% of the variance in delivery ratings. Whilst the difference is statistically significant, its practical significance is limited, suggesting that weather alone is not a meaningful predictor of delivery performance (Field, 2018).</w:t>
      </w:r>
    </w:p>
    <w:p w14:paraId="0B9F7F30" w14:textId="77777777" w:rsidR="00060743" w:rsidRDefault="00060743" w:rsidP="00060743">
      <w:pPr>
        <w:jc w:val="both"/>
        <w:rPr>
          <w:b/>
          <w:bCs/>
        </w:rPr>
      </w:pPr>
    </w:p>
    <w:p w14:paraId="53C05325" w14:textId="77777777" w:rsidR="00EB72A5" w:rsidRDefault="00EB72A5" w:rsidP="00060743">
      <w:pPr>
        <w:jc w:val="both"/>
      </w:pPr>
    </w:p>
    <w:p w14:paraId="567FC9AD" w14:textId="77777777" w:rsidR="00EB72A5" w:rsidRDefault="00EB72A5" w:rsidP="00060743">
      <w:pPr>
        <w:jc w:val="both"/>
      </w:pPr>
    </w:p>
    <w:p w14:paraId="7146FD06" w14:textId="77777777" w:rsidR="00EB72A5" w:rsidRDefault="00EB72A5" w:rsidP="00060743">
      <w:pPr>
        <w:jc w:val="both"/>
      </w:pPr>
    </w:p>
    <w:p w14:paraId="36E4618F" w14:textId="279FD553" w:rsidR="00EB72A5" w:rsidRPr="00AE7042" w:rsidRDefault="00EB72A5" w:rsidP="00060743">
      <w:pPr>
        <w:jc w:val="both"/>
        <w:rPr>
          <w:rFonts w:ascii="Arial" w:hAnsi="Arial" w:cs="Arial"/>
          <w:b/>
          <w:bCs/>
        </w:rPr>
      </w:pPr>
      <w:r w:rsidRPr="00AE7042">
        <w:rPr>
          <w:rFonts w:ascii="Arial" w:hAnsi="Arial" w:cs="Arial"/>
          <w:b/>
          <w:bCs/>
        </w:rPr>
        <w:lastRenderedPageBreak/>
        <w:t>Correlation Analysis</w:t>
      </w:r>
    </w:p>
    <w:p w14:paraId="20ADB7D1" w14:textId="77777777" w:rsidR="00EB72A5" w:rsidRDefault="00EB72A5" w:rsidP="00F67660">
      <w:pPr>
        <w:keepNext/>
        <w:jc w:val="center"/>
      </w:pPr>
      <w:r w:rsidRPr="00EB72A5">
        <w:rPr>
          <w:noProof/>
        </w:rPr>
        <w:drawing>
          <wp:inline distT="0" distB="0" distL="0" distR="0" wp14:anchorId="5089A751" wp14:editId="4BE4AA4A">
            <wp:extent cx="5572125" cy="2619375"/>
            <wp:effectExtent l="0" t="0" r="9525" b="9525"/>
            <wp:docPr id="351075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75477" name=""/>
                    <pic:cNvPicPr/>
                  </pic:nvPicPr>
                  <pic:blipFill>
                    <a:blip r:embed="rId24"/>
                    <a:stretch>
                      <a:fillRect/>
                    </a:stretch>
                  </pic:blipFill>
                  <pic:spPr>
                    <a:xfrm>
                      <a:off x="0" y="0"/>
                      <a:ext cx="5572125" cy="2619375"/>
                    </a:xfrm>
                    <a:prstGeom prst="rect">
                      <a:avLst/>
                    </a:prstGeom>
                  </pic:spPr>
                </pic:pic>
              </a:graphicData>
            </a:graphic>
          </wp:inline>
        </w:drawing>
      </w:r>
    </w:p>
    <w:p w14:paraId="465F77AC" w14:textId="18149C6B" w:rsidR="00EB72A5" w:rsidRPr="00EB72A5" w:rsidRDefault="00EB72A5" w:rsidP="00F67660">
      <w:pPr>
        <w:pStyle w:val="Caption"/>
        <w:jc w:val="center"/>
      </w:pPr>
      <w:r>
        <w:t xml:space="preserve">Figure </w:t>
      </w:r>
      <w:r w:rsidR="00AB1B13">
        <w:t>17</w:t>
      </w:r>
    </w:p>
    <w:p w14:paraId="577EED15" w14:textId="56DB2803" w:rsidR="00EB72A5" w:rsidRPr="00AE7042" w:rsidRDefault="00EB72A5" w:rsidP="00AE7042">
      <w:pPr>
        <w:spacing w:line="276" w:lineRule="auto"/>
        <w:jc w:val="both"/>
        <w:rPr>
          <w:rFonts w:ascii="Arial" w:hAnsi="Arial" w:cs="Arial"/>
          <w:sz w:val="24"/>
          <w:szCs w:val="24"/>
        </w:rPr>
      </w:pPr>
      <w:r w:rsidRPr="00AE7042">
        <w:rPr>
          <w:rFonts w:ascii="Arial" w:hAnsi="Arial" w:cs="Arial"/>
          <w:sz w:val="24"/>
          <w:szCs w:val="24"/>
        </w:rPr>
        <w:t xml:space="preserve">A Pearson correlation analysis was conducted to examine relationships between </w:t>
      </w:r>
      <w:proofErr w:type="spellStart"/>
      <w:r w:rsidRPr="00AE7042">
        <w:rPr>
          <w:rFonts w:ascii="Arial" w:hAnsi="Arial" w:cs="Arial"/>
          <w:sz w:val="24"/>
          <w:szCs w:val="24"/>
        </w:rPr>
        <w:t>Delivery_person_Age</w:t>
      </w:r>
      <w:proofErr w:type="spellEnd"/>
      <w:r w:rsidRPr="00AE7042">
        <w:rPr>
          <w:rFonts w:ascii="Arial" w:hAnsi="Arial" w:cs="Arial"/>
          <w:sz w:val="24"/>
          <w:szCs w:val="24"/>
        </w:rPr>
        <w:t xml:space="preserve">, </w:t>
      </w:r>
      <w:proofErr w:type="spellStart"/>
      <w:r w:rsidRPr="00AE7042">
        <w:rPr>
          <w:rFonts w:ascii="Arial" w:hAnsi="Arial" w:cs="Arial"/>
          <w:sz w:val="24"/>
          <w:szCs w:val="24"/>
        </w:rPr>
        <w:t>Delivery_person_Ratings</w:t>
      </w:r>
      <w:proofErr w:type="spellEnd"/>
      <w:r w:rsidRPr="00AE7042">
        <w:rPr>
          <w:rFonts w:ascii="Arial" w:hAnsi="Arial" w:cs="Arial"/>
          <w:sz w:val="24"/>
          <w:szCs w:val="24"/>
        </w:rPr>
        <w:t xml:space="preserve"> and </w:t>
      </w:r>
      <w:proofErr w:type="spellStart"/>
      <w:r w:rsidRPr="00AE7042">
        <w:rPr>
          <w:rFonts w:ascii="Arial" w:hAnsi="Arial" w:cs="Arial"/>
          <w:sz w:val="24"/>
          <w:szCs w:val="24"/>
        </w:rPr>
        <w:t>Delivery_Duration</w:t>
      </w:r>
      <w:proofErr w:type="spellEnd"/>
      <w:r w:rsidRPr="00AE7042">
        <w:rPr>
          <w:rFonts w:ascii="Arial" w:hAnsi="Arial" w:cs="Arial"/>
          <w:sz w:val="24"/>
          <w:szCs w:val="24"/>
        </w:rPr>
        <w:t>, as presented in Figure 17. A statistically significant but weak negative correlation was found between age and ratings (r = -0.056, p &lt; .001), suggesting that older delivery personnel tend to receive marginally lower customer ratings, though the relationship is negligible in practical terms. No significant correlation was identified between age and delivery duration (r = 0.007, p = .447), nor between ratings and delivery duration (r = -0.016, p = .085). These findings indicate that neither age nor delivery speed are meaningful predictor of customer satisfaction in this dataset (Pallant, 2020).</w:t>
      </w:r>
    </w:p>
    <w:p w14:paraId="111A1380" w14:textId="2C683F75" w:rsidR="00EB72A5" w:rsidRPr="00AE7042" w:rsidRDefault="00EB72A5" w:rsidP="00EB72A5">
      <w:pPr>
        <w:jc w:val="both"/>
        <w:rPr>
          <w:rFonts w:ascii="Arial" w:hAnsi="Arial" w:cs="Arial"/>
          <w:b/>
          <w:bCs/>
        </w:rPr>
      </w:pPr>
      <w:r w:rsidRPr="00AE7042">
        <w:rPr>
          <w:rFonts w:ascii="Arial" w:hAnsi="Arial" w:cs="Arial"/>
          <w:b/>
          <w:bCs/>
        </w:rPr>
        <w:t>Regression Analysis</w:t>
      </w:r>
    </w:p>
    <w:p w14:paraId="55361EC7" w14:textId="77777777" w:rsidR="00EB72A5" w:rsidRDefault="00EB72A5" w:rsidP="00F67660">
      <w:pPr>
        <w:keepNext/>
        <w:jc w:val="center"/>
      </w:pPr>
      <w:r w:rsidRPr="00EB72A5">
        <w:rPr>
          <w:noProof/>
        </w:rPr>
        <w:drawing>
          <wp:inline distT="0" distB="0" distL="0" distR="0" wp14:anchorId="31F2E5E4" wp14:editId="4E6A22A3">
            <wp:extent cx="3105150" cy="1714500"/>
            <wp:effectExtent l="0" t="0" r="0" b="0"/>
            <wp:docPr id="47129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95999" name=""/>
                    <pic:cNvPicPr/>
                  </pic:nvPicPr>
                  <pic:blipFill>
                    <a:blip r:embed="rId25"/>
                    <a:stretch>
                      <a:fillRect/>
                    </a:stretch>
                  </pic:blipFill>
                  <pic:spPr>
                    <a:xfrm>
                      <a:off x="0" y="0"/>
                      <a:ext cx="3105150" cy="1714500"/>
                    </a:xfrm>
                    <a:prstGeom prst="rect">
                      <a:avLst/>
                    </a:prstGeom>
                  </pic:spPr>
                </pic:pic>
              </a:graphicData>
            </a:graphic>
          </wp:inline>
        </w:drawing>
      </w:r>
    </w:p>
    <w:p w14:paraId="18479056" w14:textId="74924370" w:rsidR="00EB72A5" w:rsidRDefault="00EB72A5" w:rsidP="00F67660">
      <w:pPr>
        <w:pStyle w:val="Caption"/>
        <w:jc w:val="center"/>
      </w:pPr>
      <w:r>
        <w:t xml:space="preserve">Figure </w:t>
      </w:r>
      <w:r w:rsidR="00AB1B13">
        <w:t>18</w:t>
      </w:r>
    </w:p>
    <w:p w14:paraId="78F369EF" w14:textId="77777777" w:rsidR="00EB72A5" w:rsidRDefault="00EB72A5" w:rsidP="00F67660">
      <w:pPr>
        <w:keepNext/>
        <w:jc w:val="center"/>
      </w:pPr>
      <w:r w:rsidRPr="00EB72A5">
        <w:rPr>
          <w:noProof/>
        </w:rPr>
        <w:lastRenderedPageBreak/>
        <w:drawing>
          <wp:inline distT="0" distB="0" distL="0" distR="0" wp14:anchorId="0D65CC52" wp14:editId="155C306C">
            <wp:extent cx="3752850" cy="1219200"/>
            <wp:effectExtent l="0" t="0" r="0" b="0"/>
            <wp:docPr id="53532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22322" name=""/>
                    <pic:cNvPicPr/>
                  </pic:nvPicPr>
                  <pic:blipFill>
                    <a:blip r:embed="rId26"/>
                    <a:stretch>
                      <a:fillRect/>
                    </a:stretch>
                  </pic:blipFill>
                  <pic:spPr>
                    <a:xfrm>
                      <a:off x="0" y="0"/>
                      <a:ext cx="3752850" cy="1219200"/>
                    </a:xfrm>
                    <a:prstGeom prst="rect">
                      <a:avLst/>
                    </a:prstGeom>
                  </pic:spPr>
                </pic:pic>
              </a:graphicData>
            </a:graphic>
          </wp:inline>
        </w:drawing>
      </w:r>
    </w:p>
    <w:p w14:paraId="2D33E339" w14:textId="4622F010" w:rsidR="00EB72A5" w:rsidRDefault="00EB72A5" w:rsidP="00F67660">
      <w:pPr>
        <w:pStyle w:val="Caption"/>
        <w:jc w:val="center"/>
      </w:pPr>
      <w:r>
        <w:t xml:space="preserve">Figure </w:t>
      </w:r>
      <w:r w:rsidR="00AB1B13">
        <w:t>19</w:t>
      </w:r>
    </w:p>
    <w:p w14:paraId="5624B6B2" w14:textId="77777777" w:rsidR="00EB72A5" w:rsidRDefault="00EB72A5" w:rsidP="00F67660">
      <w:pPr>
        <w:keepNext/>
        <w:jc w:val="center"/>
      </w:pPr>
      <w:r w:rsidRPr="00EB72A5">
        <w:rPr>
          <w:noProof/>
        </w:rPr>
        <w:drawing>
          <wp:inline distT="0" distB="0" distL="0" distR="0" wp14:anchorId="4053B9A7" wp14:editId="67060C83">
            <wp:extent cx="5048250" cy="1666875"/>
            <wp:effectExtent l="0" t="0" r="0" b="9525"/>
            <wp:docPr id="1727985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85210" name=""/>
                    <pic:cNvPicPr/>
                  </pic:nvPicPr>
                  <pic:blipFill>
                    <a:blip r:embed="rId27"/>
                    <a:stretch>
                      <a:fillRect/>
                    </a:stretch>
                  </pic:blipFill>
                  <pic:spPr>
                    <a:xfrm>
                      <a:off x="0" y="0"/>
                      <a:ext cx="5048250" cy="1666875"/>
                    </a:xfrm>
                    <a:prstGeom prst="rect">
                      <a:avLst/>
                    </a:prstGeom>
                  </pic:spPr>
                </pic:pic>
              </a:graphicData>
            </a:graphic>
          </wp:inline>
        </w:drawing>
      </w:r>
    </w:p>
    <w:p w14:paraId="5981A999" w14:textId="09B9B787" w:rsidR="00EB72A5" w:rsidRDefault="00EB72A5" w:rsidP="00F67660">
      <w:pPr>
        <w:pStyle w:val="Caption"/>
        <w:jc w:val="center"/>
      </w:pPr>
      <w:r>
        <w:t xml:space="preserve">Figure </w:t>
      </w:r>
      <w:r w:rsidR="00AB1B13">
        <w:t>20</w:t>
      </w:r>
    </w:p>
    <w:p w14:paraId="34639A38" w14:textId="77777777" w:rsidR="00EB72A5" w:rsidRDefault="00EB72A5" w:rsidP="00F67660">
      <w:pPr>
        <w:keepNext/>
        <w:jc w:val="center"/>
      </w:pPr>
      <w:r w:rsidRPr="00EB72A5">
        <w:rPr>
          <w:noProof/>
        </w:rPr>
        <w:drawing>
          <wp:inline distT="0" distB="0" distL="0" distR="0" wp14:anchorId="44FEEC42" wp14:editId="02BA776C">
            <wp:extent cx="5686425" cy="1638300"/>
            <wp:effectExtent l="0" t="0" r="9525" b="0"/>
            <wp:docPr id="200111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12937" name=""/>
                    <pic:cNvPicPr/>
                  </pic:nvPicPr>
                  <pic:blipFill>
                    <a:blip r:embed="rId28"/>
                    <a:stretch>
                      <a:fillRect/>
                    </a:stretch>
                  </pic:blipFill>
                  <pic:spPr>
                    <a:xfrm>
                      <a:off x="0" y="0"/>
                      <a:ext cx="5686425" cy="1638300"/>
                    </a:xfrm>
                    <a:prstGeom prst="rect">
                      <a:avLst/>
                    </a:prstGeom>
                  </pic:spPr>
                </pic:pic>
              </a:graphicData>
            </a:graphic>
          </wp:inline>
        </w:drawing>
      </w:r>
    </w:p>
    <w:p w14:paraId="07D4E6F5" w14:textId="22E05349" w:rsidR="00060743" w:rsidRPr="00AE7042" w:rsidRDefault="00EB72A5" w:rsidP="00AB1B13">
      <w:pPr>
        <w:pStyle w:val="Caption"/>
        <w:jc w:val="center"/>
        <w:rPr>
          <w:rFonts w:ascii="Arial" w:hAnsi="Arial" w:cs="Arial"/>
          <w:sz w:val="24"/>
          <w:szCs w:val="24"/>
        </w:rPr>
      </w:pPr>
      <w:r>
        <w:t xml:space="preserve">Figure </w:t>
      </w:r>
      <w:r w:rsidR="00AB1B13">
        <w:t>21</w:t>
      </w:r>
    </w:p>
    <w:p w14:paraId="42158937" w14:textId="50ACD5B8" w:rsidR="00060743" w:rsidRPr="00AE7042" w:rsidRDefault="00EB72A5" w:rsidP="00AE7042">
      <w:pPr>
        <w:spacing w:line="276" w:lineRule="auto"/>
        <w:jc w:val="both"/>
        <w:rPr>
          <w:rFonts w:ascii="Arial" w:hAnsi="Arial" w:cs="Arial"/>
          <w:sz w:val="24"/>
          <w:szCs w:val="24"/>
        </w:rPr>
      </w:pPr>
      <w:r w:rsidRPr="00AE7042">
        <w:rPr>
          <w:rFonts w:ascii="Arial" w:hAnsi="Arial" w:cs="Arial"/>
          <w:sz w:val="24"/>
          <w:szCs w:val="24"/>
        </w:rPr>
        <w:t xml:space="preserve">A linear regression analysis was conducted to examine the extent to which </w:t>
      </w:r>
      <w:proofErr w:type="spellStart"/>
      <w:r w:rsidRPr="00AE7042">
        <w:rPr>
          <w:rFonts w:ascii="Arial" w:hAnsi="Arial" w:cs="Arial"/>
          <w:sz w:val="24"/>
          <w:szCs w:val="24"/>
        </w:rPr>
        <w:t>Delivery_person_Age</w:t>
      </w:r>
      <w:proofErr w:type="spellEnd"/>
      <w:r w:rsidRPr="00AE7042">
        <w:rPr>
          <w:rFonts w:ascii="Arial" w:hAnsi="Arial" w:cs="Arial"/>
          <w:sz w:val="24"/>
          <w:szCs w:val="24"/>
        </w:rPr>
        <w:t xml:space="preserve"> and </w:t>
      </w:r>
      <w:proofErr w:type="spellStart"/>
      <w:r w:rsidRPr="00AE7042">
        <w:rPr>
          <w:rFonts w:ascii="Arial" w:hAnsi="Arial" w:cs="Arial"/>
          <w:sz w:val="24"/>
          <w:szCs w:val="24"/>
        </w:rPr>
        <w:t>Delivery_Duration</w:t>
      </w:r>
      <w:proofErr w:type="spellEnd"/>
      <w:r w:rsidRPr="00AE7042">
        <w:rPr>
          <w:rFonts w:ascii="Arial" w:hAnsi="Arial" w:cs="Arial"/>
          <w:sz w:val="24"/>
          <w:szCs w:val="24"/>
        </w:rPr>
        <w:t xml:space="preserve"> predict </w:t>
      </w:r>
      <w:proofErr w:type="spellStart"/>
      <w:r w:rsidRPr="00AE7042">
        <w:rPr>
          <w:rFonts w:ascii="Arial" w:hAnsi="Arial" w:cs="Arial"/>
          <w:sz w:val="24"/>
          <w:szCs w:val="24"/>
        </w:rPr>
        <w:t>Delivery_person_Ratings</w:t>
      </w:r>
      <w:proofErr w:type="spellEnd"/>
      <w:r w:rsidRPr="00AE7042">
        <w:rPr>
          <w:rFonts w:ascii="Arial" w:hAnsi="Arial" w:cs="Arial"/>
          <w:sz w:val="24"/>
          <w:szCs w:val="24"/>
        </w:rPr>
        <w:t xml:space="preserve">, as presented in Figures 18 to 21. The Model Summary indicates that the two predictors collectively explain only 0.4% of the variance in ratings (R² = 0.004), suggesting the model has very limited predictive power. Nevertheless, the overall model was statistically significant, </w:t>
      </w:r>
      <w:proofErr w:type="gramStart"/>
      <w:r w:rsidRPr="00AE7042">
        <w:rPr>
          <w:rFonts w:ascii="Arial" w:hAnsi="Arial" w:cs="Arial"/>
          <w:sz w:val="24"/>
          <w:szCs w:val="24"/>
        </w:rPr>
        <w:t>F(</w:t>
      </w:r>
      <w:proofErr w:type="gramEnd"/>
      <w:r w:rsidRPr="00AE7042">
        <w:rPr>
          <w:rFonts w:ascii="Arial" w:hAnsi="Arial" w:cs="Arial"/>
          <w:sz w:val="24"/>
          <w:szCs w:val="24"/>
        </w:rPr>
        <w:t xml:space="preserve">2, 11239) = 24.868, p &lt; .001. Examining the individual predictors, </w:t>
      </w:r>
      <w:proofErr w:type="spellStart"/>
      <w:r w:rsidRPr="00AE7042">
        <w:rPr>
          <w:rFonts w:ascii="Arial" w:hAnsi="Arial" w:cs="Arial"/>
          <w:sz w:val="24"/>
          <w:szCs w:val="24"/>
        </w:rPr>
        <w:t>Delivery_person_Age</w:t>
      </w:r>
      <w:proofErr w:type="spellEnd"/>
      <w:r w:rsidRPr="00AE7042">
        <w:rPr>
          <w:rFonts w:ascii="Arial" w:hAnsi="Arial" w:cs="Arial"/>
          <w:sz w:val="24"/>
          <w:szCs w:val="24"/>
        </w:rPr>
        <w:t xml:space="preserve"> was found to be a statistically significant negative predictor of ratings (β = -0.064, p &lt; .001), indicating that older delivery personnel tend to receive marginally lower ratings. </w:t>
      </w:r>
      <w:proofErr w:type="spellStart"/>
      <w:r w:rsidRPr="00AE7042">
        <w:rPr>
          <w:rFonts w:ascii="Arial" w:hAnsi="Arial" w:cs="Arial"/>
          <w:sz w:val="24"/>
          <w:szCs w:val="24"/>
        </w:rPr>
        <w:t>Delivery_Duration</w:t>
      </w:r>
      <w:proofErr w:type="spellEnd"/>
      <w:r w:rsidRPr="00AE7042">
        <w:rPr>
          <w:rFonts w:ascii="Arial" w:hAnsi="Arial" w:cs="Arial"/>
          <w:sz w:val="24"/>
          <w:szCs w:val="24"/>
        </w:rPr>
        <w:t xml:space="preserve"> was not a significant predictor (β = -0.016, p = .093), suggesting that the time taken to complete a delivery does not meaningfully influence customer satisfaction scores. These findings are consistent with the correlation results presented above and reinforce the conclusion that delivery ratings are influenced by a complex range of factors not fully captured within this dataset (Pallant, 2020).</w:t>
      </w:r>
    </w:p>
    <w:p w14:paraId="14B03608" w14:textId="77777777" w:rsidR="00060743" w:rsidRDefault="00060743" w:rsidP="00060743">
      <w:pPr>
        <w:jc w:val="both"/>
        <w:rPr>
          <w:b/>
          <w:bCs/>
        </w:rPr>
      </w:pPr>
    </w:p>
    <w:p w14:paraId="44B24991" w14:textId="3BCE65EB" w:rsidR="00D73921" w:rsidRPr="000E7943" w:rsidRDefault="00D73921" w:rsidP="000E7943">
      <w:pPr>
        <w:pStyle w:val="Heading1"/>
        <w:rPr>
          <w:color w:val="auto"/>
        </w:rPr>
      </w:pPr>
      <w:bookmarkStart w:id="5" w:name="_Toc225283475"/>
      <w:r w:rsidRPr="000E7943">
        <w:rPr>
          <w:color w:val="auto"/>
        </w:rPr>
        <w:lastRenderedPageBreak/>
        <w:t>Insights and Recommendations</w:t>
      </w:r>
      <w:bookmarkEnd w:id="5"/>
    </w:p>
    <w:p w14:paraId="06BD21C3" w14:textId="77777777" w:rsidR="00D73921" w:rsidRPr="00AE7042" w:rsidRDefault="00D73921" w:rsidP="00AE7042">
      <w:pPr>
        <w:spacing w:line="276" w:lineRule="auto"/>
        <w:jc w:val="both"/>
        <w:rPr>
          <w:rFonts w:ascii="Arial" w:hAnsi="Arial" w:cs="Arial"/>
          <w:sz w:val="24"/>
          <w:szCs w:val="24"/>
        </w:rPr>
      </w:pPr>
      <w:r w:rsidRPr="00AE7042">
        <w:rPr>
          <w:rFonts w:ascii="Arial" w:hAnsi="Arial" w:cs="Arial"/>
          <w:sz w:val="24"/>
          <w:szCs w:val="24"/>
        </w:rPr>
        <w:t>The analysis of the food delivery dataset yielded several noteworthy findings. Delivery person ratings were consistently high across the dataset, with a mean of 4.63 out of 6, suggesting that overall customer satisfaction levels are relatively strong. However, the statistical analysis revealed that older delivery personnel tend to receive marginally lower ratings, which may indicate that targeted training and development programmes for more experienced staff could help maintain and improve service quality. It is recommended that delivery companies introduce regular performance reviews regardless of age or experience level, as customer expectations remain consistent across all demographics (Goods, Veen and Barratt, 2019).</w:t>
      </w:r>
    </w:p>
    <w:p w14:paraId="20C4E067" w14:textId="77777777" w:rsidR="00D73921" w:rsidRPr="00AE7042" w:rsidRDefault="00D73921" w:rsidP="00AE7042">
      <w:pPr>
        <w:spacing w:line="276" w:lineRule="auto"/>
        <w:jc w:val="both"/>
        <w:rPr>
          <w:rFonts w:ascii="Arial" w:hAnsi="Arial" w:cs="Arial"/>
          <w:sz w:val="24"/>
          <w:szCs w:val="24"/>
        </w:rPr>
      </w:pPr>
      <w:proofErr w:type="gramStart"/>
      <w:r w:rsidRPr="00AE7042">
        <w:rPr>
          <w:rFonts w:ascii="Arial" w:hAnsi="Arial" w:cs="Arial"/>
          <w:sz w:val="24"/>
          <w:szCs w:val="24"/>
        </w:rPr>
        <w:t>With regard to</w:t>
      </w:r>
      <w:proofErr w:type="gramEnd"/>
      <w:r w:rsidRPr="00AE7042">
        <w:rPr>
          <w:rFonts w:ascii="Arial" w:hAnsi="Arial" w:cs="Arial"/>
          <w:sz w:val="24"/>
          <w:szCs w:val="24"/>
        </w:rPr>
        <w:t xml:space="preserve"> delivery duration, the trend analysis produced counterintuitive findings, whereby sunny weather and low traffic conditions were associated with longer delivery times. This suggests that operational inefficiencies may be driven by factors such as delivery distance and order volume rather than environmental conditions alone. It is therefore recommended that route optimisation strategies are implemented, particularly during peak periods, to reduce unnecessary delays regardless of prevailing conditions (Figliozzi, 2010).</w:t>
      </w:r>
    </w:p>
    <w:p w14:paraId="3BE1897D" w14:textId="77777777" w:rsidR="00D73921" w:rsidRPr="00AE7042" w:rsidRDefault="00D73921" w:rsidP="00AE7042">
      <w:pPr>
        <w:spacing w:line="276" w:lineRule="auto"/>
        <w:jc w:val="both"/>
        <w:rPr>
          <w:rFonts w:ascii="Arial" w:hAnsi="Arial" w:cs="Arial"/>
          <w:sz w:val="24"/>
          <w:szCs w:val="24"/>
        </w:rPr>
      </w:pPr>
      <w:r w:rsidRPr="00AE7042">
        <w:rPr>
          <w:rFonts w:ascii="Arial" w:hAnsi="Arial" w:cs="Arial"/>
          <w:sz w:val="24"/>
          <w:szCs w:val="24"/>
        </w:rPr>
        <w:t>The dominance of motorcycles as the primary vehicle type (57.98%) appears justified given their comparatively efficient delivery durations. However, the negligible representation of bicycles and the implausible duration recorded for that vehicle type highlight the need for more rigorous data collection practices. Future investigations would benefit from a more complete and directly recorded delivery time variable, a longer timeframe beyond three months, and the inclusion of additional variables such as delivery distance and customer demographics, which may better explain the variance in ratings left unaccounted for in the regression model (R² = 0.004).</w:t>
      </w:r>
    </w:p>
    <w:p w14:paraId="1E7081B1" w14:textId="77777777" w:rsidR="00060743" w:rsidRDefault="00060743" w:rsidP="00060743">
      <w:pPr>
        <w:jc w:val="both"/>
        <w:rPr>
          <w:b/>
          <w:bCs/>
        </w:rPr>
      </w:pPr>
    </w:p>
    <w:p w14:paraId="012D4E0E" w14:textId="77777777" w:rsidR="00060743" w:rsidRDefault="00060743" w:rsidP="00060743">
      <w:pPr>
        <w:jc w:val="both"/>
        <w:rPr>
          <w:b/>
          <w:bCs/>
        </w:rPr>
      </w:pPr>
    </w:p>
    <w:p w14:paraId="105279B1" w14:textId="77777777" w:rsidR="00060743" w:rsidRDefault="00060743" w:rsidP="00060743">
      <w:pPr>
        <w:jc w:val="both"/>
        <w:rPr>
          <w:b/>
          <w:bCs/>
        </w:rPr>
      </w:pPr>
    </w:p>
    <w:p w14:paraId="07C64340" w14:textId="77777777" w:rsidR="00633278" w:rsidRDefault="00633278" w:rsidP="00060743">
      <w:pPr>
        <w:jc w:val="both"/>
        <w:rPr>
          <w:b/>
          <w:bCs/>
        </w:rPr>
      </w:pPr>
    </w:p>
    <w:p w14:paraId="3A1CBA33" w14:textId="77777777" w:rsidR="00633278" w:rsidRDefault="00633278" w:rsidP="00060743">
      <w:pPr>
        <w:jc w:val="both"/>
        <w:rPr>
          <w:b/>
          <w:bCs/>
        </w:rPr>
      </w:pPr>
    </w:p>
    <w:p w14:paraId="145243AA" w14:textId="77777777" w:rsidR="00633278" w:rsidRDefault="00633278" w:rsidP="00060743">
      <w:pPr>
        <w:jc w:val="both"/>
        <w:rPr>
          <w:b/>
          <w:bCs/>
        </w:rPr>
      </w:pPr>
    </w:p>
    <w:p w14:paraId="5205A891" w14:textId="77777777" w:rsidR="00633278" w:rsidRDefault="00633278" w:rsidP="00060743">
      <w:pPr>
        <w:jc w:val="both"/>
        <w:rPr>
          <w:b/>
          <w:bCs/>
        </w:rPr>
      </w:pPr>
    </w:p>
    <w:p w14:paraId="07D5DAF4" w14:textId="77777777" w:rsidR="00633278" w:rsidRDefault="00633278" w:rsidP="00060743">
      <w:pPr>
        <w:jc w:val="both"/>
        <w:rPr>
          <w:b/>
          <w:bCs/>
        </w:rPr>
      </w:pPr>
    </w:p>
    <w:p w14:paraId="56A70F2A" w14:textId="77777777" w:rsidR="00EB72A5" w:rsidRDefault="00EB72A5" w:rsidP="00060743">
      <w:pPr>
        <w:jc w:val="both"/>
        <w:rPr>
          <w:b/>
          <w:bCs/>
        </w:rPr>
      </w:pPr>
    </w:p>
    <w:p w14:paraId="32AEAE06" w14:textId="77777777" w:rsidR="00D73921" w:rsidRPr="00C918B8" w:rsidRDefault="00D73921" w:rsidP="00C918B8">
      <w:pPr>
        <w:pStyle w:val="Heading1"/>
        <w:rPr>
          <w:color w:val="auto"/>
        </w:rPr>
      </w:pPr>
      <w:r w:rsidRPr="00C918B8">
        <w:rPr>
          <w:color w:val="auto"/>
        </w:rPr>
        <w:lastRenderedPageBreak/>
        <w:t>References</w:t>
      </w:r>
    </w:p>
    <w:p w14:paraId="7256EF46"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Böhm, M. et al. (2021) 'Data-driven analysis of influencing factors on food delivery times', </w:t>
      </w:r>
      <w:r w:rsidRPr="00AE7042">
        <w:rPr>
          <w:rFonts w:ascii="Arial" w:hAnsi="Arial" w:cs="Arial"/>
          <w:i/>
          <w:iCs/>
          <w:sz w:val="24"/>
          <w:szCs w:val="24"/>
        </w:rPr>
        <w:t>Transportation Research Procedia</w:t>
      </w:r>
      <w:r w:rsidRPr="00AE7042">
        <w:rPr>
          <w:rFonts w:ascii="Arial" w:hAnsi="Arial" w:cs="Arial"/>
          <w:sz w:val="24"/>
          <w:szCs w:val="24"/>
        </w:rPr>
        <w:t>, 52, pp. 359–366.</w:t>
      </w:r>
    </w:p>
    <w:p w14:paraId="0C263B22"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Chaudhuri, S., Dayal, U. and </w:t>
      </w:r>
      <w:proofErr w:type="spellStart"/>
      <w:r w:rsidRPr="00AE7042">
        <w:rPr>
          <w:rFonts w:ascii="Arial" w:hAnsi="Arial" w:cs="Arial"/>
          <w:sz w:val="24"/>
          <w:szCs w:val="24"/>
        </w:rPr>
        <w:t>Narasayya</w:t>
      </w:r>
      <w:proofErr w:type="spellEnd"/>
      <w:r w:rsidRPr="00AE7042">
        <w:rPr>
          <w:rFonts w:ascii="Arial" w:hAnsi="Arial" w:cs="Arial"/>
          <w:sz w:val="24"/>
          <w:szCs w:val="24"/>
        </w:rPr>
        <w:t xml:space="preserve">, V. (2011) 'An overview of business intelligence technology', </w:t>
      </w:r>
      <w:r w:rsidRPr="00AE7042">
        <w:rPr>
          <w:rFonts w:ascii="Arial" w:hAnsi="Arial" w:cs="Arial"/>
          <w:i/>
          <w:iCs/>
          <w:sz w:val="24"/>
          <w:szCs w:val="24"/>
        </w:rPr>
        <w:t>Communications of the ACM</w:t>
      </w:r>
      <w:r w:rsidRPr="00AE7042">
        <w:rPr>
          <w:rFonts w:ascii="Arial" w:hAnsi="Arial" w:cs="Arial"/>
          <w:sz w:val="24"/>
          <w:szCs w:val="24"/>
        </w:rPr>
        <w:t>, 54(8), pp. 88–98.</w:t>
      </w:r>
    </w:p>
    <w:p w14:paraId="31B72DA4"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Few, S. (2009) </w:t>
      </w:r>
      <w:r w:rsidRPr="00AE7042">
        <w:rPr>
          <w:rFonts w:ascii="Arial" w:hAnsi="Arial" w:cs="Arial"/>
          <w:i/>
          <w:iCs/>
          <w:sz w:val="24"/>
          <w:szCs w:val="24"/>
        </w:rPr>
        <w:t>Now You See It: Simple Visualisation Techniques for Quantitative Analysis</w:t>
      </w:r>
      <w:r w:rsidRPr="00AE7042">
        <w:rPr>
          <w:rFonts w:ascii="Arial" w:hAnsi="Arial" w:cs="Arial"/>
          <w:sz w:val="24"/>
          <w:szCs w:val="24"/>
        </w:rPr>
        <w:t>. Oakland: Analytics Press.</w:t>
      </w:r>
    </w:p>
    <w:p w14:paraId="5B5EBF73"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Field, A. (2018) </w:t>
      </w:r>
      <w:r w:rsidRPr="00AE7042">
        <w:rPr>
          <w:rFonts w:ascii="Arial" w:hAnsi="Arial" w:cs="Arial"/>
          <w:i/>
          <w:iCs/>
          <w:sz w:val="24"/>
          <w:szCs w:val="24"/>
        </w:rPr>
        <w:t>Discovering Statistics Using IBM SPSS Statistics</w:t>
      </w:r>
      <w:r w:rsidRPr="00AE7042">
        <w:rPr>
          <w:rFonts w:ascii="Arial" w:hAnsi="Arial" w:cs="Arial"/>
          <w:sz w:val="24"/>
          <w:szCs w:val="24"/>
        </w:rPr>
        <w:t xml:space="preserve">. 5th </w:t>
      </w:r>
      <w:proofErr w:type="spellStart"/>
      <w:r w:rsidRPr="00AE7042">
        <w:rPr>
          <w:rFonts w:ascii="Arial" w:hAnsi="Arial" w:cs="Arial"/>
          <w:sz w:val="24"/>
          <w:szCs w:val="24"/>
        </w:rPr>
        <w:t>edn</w:t>
      </w:r>
      <w:proofErr w:type="spellEnd"/>
      <w:r w:rsidRPr="00AE7042">
        <w:rPr>
          <w:rFonts w:ascii="Arial" w:hAnsi="Arial" w:cs="Arial"/>
          <w:sz w:val="24"/>
          <w:szCs w:val="24"/>
        </w:rPr>
        <w:t>. London: SAGE.</w:t>
      </w:r>
    </w:p>
    <w:p w14:paraId="5CE37492"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Figliozzi, M.A. (2010) 'The impacts of congestion on commercial vehicle tour characteristics and costs', </w:t>
      </w:r>
      <w:r w:rsidRPr="00AE7042">
        <w:rPr>
          <w:rFonts w:ascii="Arial" w:hAnsi="Arial" w:cs="Arial"/>
          <w:i/>
          <w:iCs/>
          <w:sz w:val="24"/>
          <w:szCs w:val="24"/>
        </w:rPr>
        <w:t>Transportation Research Part E</w:t>
      </w:r>
      <w:r w:rsidRPr="00AE7042">
        <w:rPr>
          <w:rFonts w:ascii="Arial" w:hAnsi="Arial" w:cs="Arial"/>
          <w:sz w:val="24"/>
          <w:szCs w:val="24"/>
        </w:rPr>
        <w:t>, 46(4), pp. 496–506.</w:t>
      </w:r>
    </w:p>
    <w:p w14:paraId="1CFBDE0E"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Goods, C., Veen, A. and Barratt, T. (2019) '"Is your gig any good?" Analysing job quality in the Australian platform-based food-delivery sector', </w:t>
      </w:r>
      <w:r w:rsidRPr="00AE7042">
        <w:rPr>
          <w:rFonts w:ascii="Arial" w:hAnsi="Arial" w:cs="Arial"/>
          <w:i/>
          <w:iCs/>
          <w:sz w:val="24"/>
          <w:szCs w:val="24"/>
        </w:rPr>
        <w:t>Journal of Industrial Relations</w:t>
      </w:r>
      <w:r w:rsidRPr="00AE7042">
        <w:rPr>
          <w:rFonts w:ascii="Arial" w:hAnsi="Arial" w:cs="Arial"/>
          <w:sz w:val="24"/>
          <w:szCs w:val="24"/>
        </w:rPr>
        <w:t>, 61(4), pp. 502–527.</w:t>
      </w:r>
    </w:p>
    <w:p w14:paraId="058290D6"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Hair, J.F. et al. (2019) </w:t>
      </w:r>
      <w:r w:rsidRPr="00AE7042">
        <w:rPr>
          <w:rFonts w:ascii="Arial" w:hAnsi="Arial" w:cs="Arial"/>
          <w:i/>
          <w:iCs/>
          <w:sz w:val="24"/>
          <w:szCs w:val="24"/>
        </w:rPr>
        <w:t>Multivariate Data Analysis</w:t>
      </w:r>
      <w:r w:rsidRPr="00AE7042">
        <w:rPr>
          <w:rFonts w:ascii="Arial" w:hAnsi="Arial" w:cs="Arial"/>
          <w:sz w:val="24"/>
          <w:szCs w:val="24"/>
        </w:rPr>
        <w:t xml:space="preserve">. 8th </w:t>
      </w:r>
      <w:proofErr w:type="spellStart"/>
      <w:r w:rsidRPr="00AE7042">
        <w:rPr>
          <w:rFonts w:ascii="Arial" w:hAnsi="Arial" w:cs="Arial"/>
          <w:sz w:val="24"/>
          <w:szCs w:val="24"/>
        </w:rPr>
        <w:t>edn</w:t>
      </w:r>
      <w:proofErr w:type="spellEnd"/>
      <w:r w:rsidRPr="00AE7042">
        <w:rPr>
          <w:rFonts w:ascii="Arial" w:hAnsi="Arial" w:cs="Arial"/>
          <w:sz w:val="24"/>
          <w:szCs w:val="24"/>
        </w:rPr>
        <w:t>. Andover: Cengage.</w:t>
      </w:r>
    </w:p>
    <w:p w14:paraId="7CFB1BBC"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Han, J., Kamber, M. and Pei, J. (2012) </w:t>
      </w:r>
      <w:r w:rsidRPr="00AE7042">
        <w:rPr>
          <w:rFonts w:ascii="Arial" w:hAnsi="Arial" w:cs="Arial"/>
          <w:i/>
          <w:iCs/>
          <w:sz w:val="24"/>
          <w:szCs w:val="24"/>
        </w:rPr>
        <w:t>Data Mining: Concepts and Techniques</w:t>
      </w:r>
      <w:r w:rsidRPr="00AE7042">
        <w:rPr>
          <w:rFonts w:ascii="Arial" w:hAnsi="Arial" w:cs="Arial"/>
          <w:sz w:val="24"/>
          <w:szCs w:val="24"/>
        </w:rPr>
        <w:t xml:space="preserve">. 3rd </w:t>
      </w:r>
      <w:proofErr w:type="spellStart"/>
      <w:r w:rsidRPr="00AE7042">
        <w:rPr>
          <w:rFonts w:ascii="Arial" w:hAnsi="Arial" w:cs="Arial"/>
          <w:sz w:val="24"/>
          <w:szCs w:val="24"/>
        </w:rPr>
        <w:t>edn</w:t>
      </w:r>
      <w:proofErr w:type="spellEnd"/>
      <w:r w:rsidRPr="00AE7042">
        <w:rPr>
          <w:rFonts w:ascii="Arial" w:hAnsi="Arial" w:cs="Arial"/>
          <w:sz w:val="24"/>
          <w:szCs w:val="24"/>
        </w:rPr>
        <w:t>. Waltham: Morgan Kaufmann.</w:t>
      </w:r>
    </w:p>
    <w:p w14:paraId="4863EBC4"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Pallant, J. (2020) </w:t>
      </w:r>
      <w:r w:rsidRPr="00AE7042">
        <w:rPr>
          <w:rFonts w:ascii="Arial" w:hAnsi="Arial" w:cs="Arial"/>
          <w:i/>
          <w:iCs/>
          <w:sz w:val="24"/>
          <w:szCs w:val="24"/>
        </w:rPr>
        <w:t>SPSS Survival Manual</w:t>
      </w:r>
      <w:r w:rsidRPr="00AE7042">
        <w:rPr>
          <w:rFonts w:ascii="Arial" w:hAnsi="Arial" w:cs="Arial"/>
          <w:sz w:val="24"/>
          <w:szCs w:val="24"/>
        </w:rPr>
        <w:t xml:space="preserve">. 7th </w:t>
      </w:r>
      <w:proofErr w:type="spellStart"/>
      <w:r w:rsidRPr="00AE7042">
        <w:rPr>
          <w:rFonts w:ascii="Arial" w:hAnsi="Arial" w:cs="Arial"/>
          <w:sz w:val="24"/>
          <w:szCs w:val="24"/>
        </w:rPr>
        <w:t>edn</w:t>
      </w:r>
      <w:proofErr w:type="spellEnd"/>
      <w:r w:rsidRPr="00AE7042">
        <w:rPr>
          <w:rFonts w:ascii="Arial" w:hAnsi="Arial" w:cs="Arial"/>
          <w:sz w:val="24"/>
          <w:szCs w:val="24"/>
        </w:rPr>
        <w:t>. London: McGraw-Hill.</w:t>
      </w:r>
    </w:p>
    <w:p w14:paraId="3C588A68" w14:textId="77777777" w:rsidR="00D73921" w:rsidRPr="00AE7042" w:rsidRDefault="00D73921" w:rsidP="00D73921">
      <w:pPr>
        <w:pStyle w:val="ListParagraph"/>
        <w:numPr>
          <w:ilvl w:val="0"/>
          <w:numId w:val="2"/>
        </w:numPr>
        <w:jc w:val="both"/>
        <w:rPr>
          <w:rFonts w:ascii="Arial" w:hAnsi="Arial" w:cs="Arial"/>
          <w:sz w:val="24"/>
          <w:szCs w:val="24"/>
        </w:rPr>
      </w:pPr>
      <w:proofErr w:type="spellStart"/>
      <w:r w:rsidRPr="00AE7042">
        <w:rPr>
          <w:rFonts w:ascii="Arial" w:hAnsi="Arial" w:cs="Arial"/>
          <w:sz w:val="24"/>
          <w:szCs w:val="24"/>
        </w:rPr>
        <w:t>Patier</w:t>
      </w:r>
      <w:proofErr w:type="spellEnd"/>
      <w:r w:rsidRPr="00AE7042">
        <w:rPr>
          <w:rFonts w:ascii="Arial" w:hAnsi="Arial" w:cs="Arial"/>
          <w:sz w:val="24"/>
          <w:szCs w:val="24"/>
        </w:rPr>
        <w:t xml:space="preserve">, D. and Browne, M. (2010) 'A methodology for the evaluation of urban logistics innovations', </w:t>
      </w:r>
      <w:r w:rsidRPr="00AE7042">
        <w:rPr>
          <w:rFonts w:ascii="Arial" w:hAnsi="Arial" w:cs="Arial"/>
          <w:i/>
          <w:iCs/>
          <w:sz w:val="24"/>
          <w:szCs w:val="24"/>
        </w:rPr>
        <w:t xml:space="preserve">Procedia Social and </w:t>
      </w:r>
      <w:proofErr w:type="spellStart"/>
      <w:r w:rsidRPr="00AE7042">
        <w:rPr>
          <w:rFonts w:ascii="Arial" w:hAnsi="Arial" w:cs="Arial"/>
          <w:i/>
          <w:iCs/>
          <w:sz w:val="24"/>
          <w:szCs w:val="24"/>
        </w:rPr>
        <w:t>Behavioral</w:t>
      </w:r>
      <w:proofErr w:type="spellEnd"/>
      <w:r w:rsidRPr="00AE7042">
        <w:rPr>
          <w:rFonts w:ascii="Arial" w:hAnsi="Arial" w:cs="Arial"/>
          <w:i/>
          <w:iCs/>
          <w:sz w:val="24"/>
          <w:szCs w:val="24"/>
        </w:rPr>
        <w:t xml:space="preserve"> Sciences</w:t>
      </w:r>
      <w:r w:rsidRPr="00AE7042">
        <w:rPr>
          <w:rFonts w:ascii="Arial" w:hAnsi="Arial" w:cs="Arial"/>
          <w:sz w:val="24"/>
          <w:szCs w:val="24"/>
        </w:rPr>
        <w:t>, 2(3), pp. 6229–6241.</w:t>
      </w:r>
    </w:p>
    <w:p w14:paraId="2BC28735"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Rahm, E. and Do, H.H. (2000) 'Data cleaning: problems and current approaches', </w:t>
      </w:r>
      <w:r w:rsidRPr="00AE7042">
        <w:rPr>
          <w:rFonts w:ascii="Arial" w:hAnsi="Arial" w:cs="Arial"/>
          <w:i/>
          <w:iCs/>
          <w:sz w:val="24"/>
          <w:szCs w:val="24"/>
        </w:rPr>
        <w:t>IEEE Data Engineering Bulletin</w:t>
      </w:r>
      <w:r w:rsidRPr="00AE7042">
        <w:rPr>
          <w:rFonts w:ascii="Arial" w:hAnsi="Arial" w:cs="Arial"/>
          <w:sz w:val="24"/>
          <w:szCs w:val="24"/>
        </w:rPr>
        <w:t>, 23(4), pp. 3–13.</w:t>
      </w:r>
    </w:p>
    <w:p w14:paraId="60C9C468"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Saunders, M., Lewis, P. and Thornhill, A. (2019) </w:t>
      </w:r>
      <w:r w:rsidRPr="00AE7042">
        <w:rPr>
          <w:rFonts w:ascii="Arial" w:hAnsi="Arial" w:cs="Arial"/>
          <w:i/>
          <w:iCs/>
          <w:sz w:val="24"/>
          <w:szCs w:val="24"/>
        </w:rPr>
        <w:t>Research Methods for Business Students</w:t>
      </w:r>
      <w:r w:rsidRPr="00AE7042">
        <w:rPr>
          <w:rFonts w:ascii="Arial" w:hAnsi="Arial" w:cs="Arial"/>
          <w:sz w:val="24"/>
          <w:szCs w:val="24"/>
        </w:rPr>
        <w:t xml:space="preserve">. 8th </w:t>
      </w:r>
      <w:proofErr w:type="spellStart"/>
      <w:r w:rsidRPr="00AE7042">
        <w:rPr>
          <w:rFonts w:ascii="Arial" w:hAnsi="Arial" w:cs="Arial"/>
          <w:sz w:val="24"/>
          <w:szCs w:val="24"/>
        </w:rPr>
        <w:t>edn</w:t>
      </w:r>
      <w:proofErr w:type="spellEnd"/>
      <w:r w:rsidRPr="00AE7042">
        <w:rPr>
          <w:rFonts w:ascii="Arial" w:hAnsi="Arial" w:cs="Arial"/>
          <w:sz w:val="24"/>
          <w:szCs w:val="24"/>
        </w:rPr>
        <w:t>. Harlow: Pearson.</w:t>
      </w:r>
    </w:p>
    <w:p w14:paraId="3780C6EA"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Talavera, A.S. et al. (2018) 'Impact of weather on urban transit ridership', </w:t>
      </w:r>
      <w:r w:rsidRPr="00AE7042">
        <w:rPr>
          <w:rFonts w:ascii="Arial" w:hAnsi="Arial" w:cs="Arial"/>
          <w:i/>
          <w:iCs/>
          <w:sz w:val="24"/>
          <w:szCs w:val="24"/>
        </w:rPr>
        <w:t>Transportation Research Part A</w:t>
      </w:r>
      <w:r w:rsidRPr="00AE7042">
        <w:rPr>
          <w:rFonts w:ascii="Arial" w:hAnsi="Arial" w:cs="Arial"/>
          <w:sz w:val="24"/>
          <w:szCs w:val="24"/>
        </w:rPr>
        <w:t>, 116, pp. 332–343.</w:t>
      </w:r>
    </w:p>
    <w:p w14:paraId="625BBF85"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Turban, E., Sharda, R. and Delen, D. (2011) </w:t>
      </w:r>
      <w:r w:rsidRPr="00AE7042">
        <w:rPr>
          <w:rFonts w:ascii="Arial" w:hAnsi="Arial" w:cs="Arial"/>
          <w:i/>
          <w:iCs/>
          <w:sz w:val="24"/>
          <w:szCs w:val="24"/>
        </w:rPr>
        <w:t>Decision Support and Business Intelligence Systems</w:t>
      </w:r>
      <w:r w:rsidRPr="00AE7042">
        <w:rPr>
          <w:rFonts w:ascii="Arial" w:hAnsi="Arial" w:cs="Arial"/>
          <w:sz w:val="24"/>
          <w:szCs w:val="24"/>
        </w:rPr>
        <w:t xml:space="preserve">. 9th </w:t>
      </w:r>
      <w:proofErr w:type="spellStart"/>
      <w:r w:rsidRPr="00AE7042">
        <w:rPr>
          <w:rFonts w:ascii="Arial" w:hAnsi="Arial" w:cs="Arial"/>
          <w:sz w:val="24"/>
          <w:szCs w:val="24"/>
        </w:rPr>
        <w:t>edn</w:t>
      </w:r>
      <w:proofErr w:type="spellEnd"/>
      <w:r w:rsidRPr="00AE7042">
        <w:rPr>
          <w:rFonts w:ascii="Arial" w:hAnsi="Arial" w:cs="Arial"/>
          <w:sz w:val="24"/>
          <w:szCs w:val="24"/>
        </w:rPr>
        <w:t>. Upper Saddle River: Pearson.</w:t>
      </w:r>
    </w:p>
    <w:p w14:paraId="74CF3A37"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Wang, R.Y. and Strong, D.M. (1996) 'Beyond accuracy: what data quality means to data consumers', </w:t>
      </w:r>
      <w:r w:rsidRPr="00AE7042">
        <w:rPr>
          <w:rFonts w:ascii="Arial" w:hAnsi="Arial" w:cs="Arial"/>
          <w:i/>
          <w:iCs/>
          <w:sz w:val="24"/>
          <w:szCs w:val="24"/>
        </w:rPr>
        <w:t>Journal of Management Information Systems</w:t>
      </w:r>
      <w:r w:rsidRPr="00AE7042">
        <w:rPr>
          <w:rFonts w:ascii="Arial" w:hAnsi="Arial" w:cs="Arial"/>
          <w:sz w:val="24"/>
          <w:szCs w:val="24"/>
        </w:rPr>
        <w:t>, 12(4), pp. 5–33.</w:t>
      </w:r>
    </w:p>
    <w:p w14:paraId="6EA4C460" w14:textId="287885B8" w:rsidR="00D73921" w:rsidRPr="00AE7042" w:rsidRDefault="00D73921" w:rsidP="00D73921">
      <w:pPr>
        <w:jc w:val="both"/>
        <w:rPr>
          <w:rFonts w:ascii="Arial" w:hAnsi="Arial" w:cs="Arial"/>
          <w:sz w:val="24"/>
          <w:szCs w:val="24"/>
        </w:rPr>
      </w:pPr>
    </w:p>
    <w:sectPr w:rsidR="00D73921" w:rsidRPr="00AE7042" w:rsidSect="00DD1ACF">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8BA14" w14:textId="77777777" w:rsidR="00DE7EF4" w:rsidRDefault="00DE7EF4" w:rsidP="00C22C1E">
      <w:pPr>
        <w:spacing w:after="0" w:line="240" w:lineRule="auto"/>
      </w:pPr>
      <w:r>
        <w:separator/>
      </w:r>
    </w:p>
  </w:endnote>
  <w:endnote w:type="continuationSeparator" w:id="0">
    <w:p w14:paraId="0A95EB28" w14:textId="77777777" w:rsidR="00DE7EF4" w:rsidRDefault="00DE7EF4" w:rsidP="00C22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FB4BB" w14:textId="77777777" w:rsidR="00DE7EF4" w:rsidRDefault="00DE7EF4" w:rsidP="00C22C1E">
      <w:pPr>
        <w:spacing w:after="0" w:line="240" w:lineRule="auto"/>
      </w:pPr>
      <w:r>
        <w:separator/>
      </w:r>
    </w:p>
  </w:footnote>
  <w:footnote w:type="continuationSeparator" w:id="0">
    <w:p w14:paraId="22E0000F" w14:textId="77777777" w:rsidR="00DE7EF4" w:rsidRDefault="00DE7EF4" w:rsidP="00C22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801862"/>
      <w:docPartObj>
        <w:docPartGallery w:val="Page Numbers (Top of Page)"/>
        <w:docPartUnique/>
      </w:docPartObj>
    </w:sdtPr>
    <w:sdtEndPr>
      <w:rPr>
        <w:noProof/>
      </w:rPr>
    </w:sdtEndPr>
    <w:sdtContent>
      <w:p w14:paraId="63FD2520" w14:textId="3CBFD030" w:rsidR="00C22C1E" w:rsidRDefault="00C22C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A5CA4A" w14:textId="77777777" w:rsidR="00C22C1E" w:rsidRDefault="00C22C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C4682"/>
    <w:multiLevelType w:val="multilevel"/>
    <w:tmpl w:val="4A3C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66845"/>
    <w:multiLevelType w:val="hybridMultilevel"/>
    <w:tmpl w:val="CD2E0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36533"/>
    <w:multiLevelType w:val="hybridMultilevel"/>
    <w:tmpl w:val="0B7876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168117">
    <w:abstractNumId w:val="0"/>
  </w:num>
  <w:num w:numId="2" w16cid:durableId="382103357">
    <w:abstractNumId w:val="1"/>
  </w:num>
  <w:num w:numId="3" w16cid:durableId="968508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E02"/>
    <w:rsid w:val="00006A45"/>
    <w:rsid w:val="0002026A"/>
    <w:rsid w:val="0002069F"/>
    <w:rsid w:val="0002102B"/>
    <w:rsid w:val="000213B9"/>
    <w:rsid w:val="0002509C"/>
    <w:rsid w:val="00042C8C"/>
    <w:rsid w:val="00042FAC"/>
    <w:rsid w:val="00043591"/>
    <w:rsid w:val="00050CF5"/>
    <w:rsid w:val="00052148"/>
    <w:rsid w:val="00052463"/>
    <w:rsid w:val="00060743"/>
    <w:rsid w:val="00061ECD"/>
    <w:rsid w:val="00070786"/>
    <w:rsid w:val="00070D45"/>
    <w:rsid w:val="0007449F"/>
    <w:rsid w:val="000747FD"/>
    <w:rsid w:val="00081537"/>
    <w:rsid w:val="00084C12"/>
    <w:rsid w:val="00085FC3"/>
    <w:rsid w:val="000916B5"/>
    <w:rsid w:val="000917E3"/>
    <w:rsid w:val="00093115"/>
    <w:rsid w:val="00094833"/>
    <w:rsid w:val="000953A4"/>
    <w:rsid w:val="000A6CED"/>
    <w:rsid w:val="000B1DD7"/>
    <w:rsid w:val="000C1FE1"/>
    <w:rsid w:val="000C612C"/>
    <w:rsid w:val="000D0BF7"/>
    <w:rsid w:val="000D2E63"/>
    <w:rsid w:val="000D776F"/>
    <w:rsid w:val="000E5A62"/>
    <w:rsid w:val="000E5F9D"/>
    <w:rsid w:val="000E7943"/>
    <w:rsid w:val="001029A4"/>
    <w:rsid w:val="00103923"/>
    <w:rsid w:val="001243B5"/>
    <w:rsid w:val="00135F15"/>
    <w:rsid w:val="00137EFE"/>
    <w:rsid w:val="00140654"/>
    <w:rsid w:val="001471BE"/>
    <w:rsid w:val="00157F55"/>
    <w:rsid w:val="00165ECC"/>
    <w:rsid w:val="001820A0"/>
    <w:rsid w:val="00187C7D"/>
    <w:rsid w:val="001A27A3"/>
    <w:rsid w:val="001B0885"/>
    <w:rsid w:val="001B2B7F"/>
    <w:rsid w:val="001B5BE0"/>
    <w:rsid w:val="001C3464"/>
    <w:rsid w:val="001C34B6"/>
    <w:rsid w:val="001E6C97"/>
    <w:rsid w:val="001E6F7C"/>
    <w:rsid w:val="001E7CAB"/>
    <w:rsid w:val="001F0169"/>
    <w:rsid w:val="001F1EC8"/>
    <w:rsid w:val="002013D0"/>
    <w:rsid w:val="0020447A"/>
    <w:rsid w:val="002119FF"/>
    <w:rsid w:val="00212884"/>
    <w:rsid w:val="00216B54"/>
    <w:rsid w:val="00220D3F"/>
    <w:rsid w:val="00222913"/>
    <w:rsid w:val="002251EE"/>
    <w:rsid w:val="0023394F"/>
    <w:rsid w:val="002368BB"/>
    <w:rsid w:val="00264FE6"/>
    <w:rsid w:val="00273B50"/>
    <w:rsid w:val="002A6C09"/>
    <w:rsid w:val="002B0409"/>
    <w:rsid w:val="002B6D21"/>
    <w:rsid w:val="002C1CCF"/>
    <w:rsid w:val="002C29BC"/>
    <w:rsid w:val="002C6F27"/>
    <w:rsid w:val="002E0319"/>
    <w:rsid w:val="002E1B7F"/>
    <w:rsid w:val="002E632C"/>
    <w:rsid w:val="00303651"/>
    <w:rsid w:val="0030565E"/>
    <w:rsid w:val="00320900"/>
    <w:rsid w:val="003278DB"/>
    <w:rsid w:val="00335EB8"/>
    <w:rsid w:val="003366B6"/>
    <w:rsid w:val="00336B3D"/>
    <w:rsid w:val="003405C7"/>
    <w:rsid w:val="0035556A"/>
    <w:rsid w:val="0035631C"/>
    <w:rsid w:val="00361229"/>
    <w:rsid w:val="00365E32"/>
    <w:rsid w:val="00382501"/>
    <w:rsid w:val="00385E69"/>
    <w:rsid w:val="00387852"/>
    <w:rsid w:val="0039019F"/>
    <w:rsid w:val="00394689"/>
    <w:rsid w:val="003A24D1"/>
    <w:rsid w:val="003A6F63"/>
    <w:rsid w:val="003B1E68"/>
    <w:rsid w:val="003D2774"/>
    <w:rsid w:val="003D438F"/>
    <w:rsid w:val="003D5039"/>
    <w:rsid w:val="003E1174"/>
    <w:rsid w:val="003E160A"/>
    <w:rsid w:val="003E69A8"/>
    <w:rsid w:val="00402714"/>
    <w:rsid w:val="00412D05"/>
    <w:rsid w:val="00413E36"/>
    <w:rsid w:val="00432BE8"/>
    <w:rsid w:val="00435F34"/>
    <w:rsid w:val="0043624E"/>
    <w:rsid w:val="00437F7D"/>
    <w:rsid w:val="00445BD6"/>
    <w:rsid w:val="004505A0"/>
    <w:rsid w:val="00450EFE"/>
    <w:rsid w:val="004515C2"/>
    <w:rsid w:val="00451B0E"/>
    <w:rsid w:val="004556D2"/>
    <w:rsid w:val="00455D3C"/>
    <w:rsid w:val="00464072"/>
    <w:rsid w:val="0046698D"/>
    <w:rsid w:val="00470659"/>
    <w:rsid w:val="00480791"/>
    <w:rsid w:val="00480AB6"/>
    <w:rsid w:val="00486320"/>
    <w:rsid w:val="004908E2"/>
    <w:rsid w:val="00491703"/>
    <w:rsid w:val="004A50B1"/>
    <w:rsid w:val="004A5B7A"/>
    <w:rsid w:val="004A5C46"/>
    <w:rsid w:val="004B0576"/>
    <w:rsid w:val="004B2E6C"/>
    <w:rsid w:val="004B3B44"/>
    <w:rsid w:val="004B43D2"/>
    <w:rsid w:val="004B5621"/>
    <w:rsid w:val="004C0802"/>
    <w:rsid w:val="004C1F0D"/>
    <w:rsid w:val="004C372F"/>
    <w:rsid w:val="004C3CCE"/>
    <w:rsid w:val="004C6C62"/>
    <w:rsid w:val="004C7025"/>
    <w:rsid w:val="004C7297"/>
    <w:rsid w:val="004D4EB0"/>
    <w:rsid w:val="004D6225"/>
    <w:rsid w:val="004D62C4"/>
    <w:rsid w:val="004E677C"/>
    <w:rsid w:val="004F1B62"/>
    <w:rsid w:val="004F1DC2"/>
    <w:rsid w:val="004F4A86"/>
    <w:rsid w:val="004F55D2"/>
    <w:rsid w:val="00505B23"/>
    <w:rsid w:val="00512F25"/>
    <w:rsid w:val="00513903"/>
    <w:rsid w:val="00520035"/>
    <w:rsid w:val="005212D9"/>
    <w:rsid w:val="00521B47"/>
    <w:rsid w:val="005234F9"/>
    <w:rsid w:val="00524C91"/>
    <w:rsid w:val="00545022"/>
    <w:rsid w:val="00553B73"/>
    <w:rsid w:val="0055717A"/>
    <w:rsid w:val="0055786F"/>
    <w:rsid w:val="00563E9B"/>
    <w:rsid w:val="00566CD3"/>
    <w:rsid w:val="005861B7"/>
    <w:rsid w:val="00594523"/>
    <w:rsid w:val="00594693"/>
    <w:rsid w:val="005963EF"/>
    <w:rsid w:val="005A0D78"/>
    <w:rsid w:val="005A24AB"/>
    <w:rsid w:val="005A3365"/>
    <w:rsid w:val="005A657D"/>
    <w:rsid w:val="005B401D"/>
    <w:rsid w:val="005C21F7"/>
    <w:rsid w:val="005C35A2"/>
    <w:rsid w:val="005C3DB4"/>
    <w:rsid w:val="005D02EB"/>
    <w:rsid w:val="005D243A"/>
    <w:rsid w:val="005E5136"/>
    <w:rsid w:val="005E7025"/>
    <w:rsid w:val="005F1EE2"/>
    <w:rsid w:val="00604959"/>
    <w:rsid w:val="00606752"/>
    <w:rsid w:val="00611DC6"/>
    <w:rsid w:val="0061221E"/>
    <w:rsid w:val="00617342"/>
    <w:rsid w:val="00617775"/>
    <w:rsid w:val="00617982"/>
    <w:rsid w:val="00620883"/>
    <w:rsid w:val="00620B49"/>
    <w:rsid w:val="00622D9B"/>
    <w:rsid w:val="00623E7D"/>
    <w:rsid w:val="00625C69"/>
    <w:rsid w:val="0063213E"/>
    <w:rsid w:val="00633278"/>
    <w:rsid w:val="00647762"/>
    <w:rsid w:val="006541A7"/>
    <w:rsid w:val="006662E7"/>
    <w:rsid w:val="00670CC2"/>
    <w:rsid w:val="00671C20"/>
    <w:rsid w:val="006801FD"/>
    <w:rsid w:val="00683A21"/>
    <w:rsid w:val="00687096"/>
    <w:rsid w:val="00690015"/>
    <w:rsid w:val="006A64E2"/>
    <w:rsid w:val="006A701F"/>
    <w:rsid w:val="006B271E"/>
    <w:rsid w:val="006B3398"/>
    <w:rsid w:val="006D1275"/>
    <w:rsid w:val="006D1FB3"/>
    <w:rsid w:val="006D2FF0"/>
    <w:rsid w:val="006D75C2"/>
    <w:rsid w:val="006E2F83"/>
    <w:rsid w:val="006E78A6"/>
    <w:rsid w:val="0074408C"/>
    <w:rsid w:val="007565A2"/>
    <w:rsid w:val="00774548"/>
    <w:rsid w:val="00776653"/>
    <w:rsid w:val="007803FE"/>
    <w:rsid w:val="0078191E"/>
    <w:rsid w:val="00790C7C"/>
    <w:rsid w:val="007926AA"/>
    <w:rsid w:val="007A18B0"/>
    <w:rsid w:val="007A630F"/>
    <w:rsid w:val="007A77FA"/>
    <w:rsid w:val="007B1B23"/>
    <w:rsid w:val="007B2D11"/>
    <w:rsid w:val="007B68BE"/>
    <w:rsid w:val="007C0032"/>
    <w:rsid w:val="007C2975"/>
    <w:rsid w:val="007D05F7"/>
    <w:rsid w:val="007D4EC3"/>
    <w:rsid w:val="007E0054"/>
    <w:rsid w:val="007F0850"/>
    <w:rsid w:val="00812B13"/>
    <w:rsid w:val="00812DBE"/>
    <w:rsid w:val="00814C07"/>
    <w:rsid w:val="00820990"/>
    <w:rsid w:val="00833A57"/>
    <w:rsid w:val="00836F46"/>
    <w:rsid w:val="008463BF"/>
    <w:rsid w:val="00856A5A"/>
    <w:rsid w:val="00863981"/>
    <w:rsid w:val="008702AC"/>
    <w:rsid w:val="00870866"/>
    <w:rsid w:val="00882752"/>
    <w:rsid w:val="008851EE"/>
    <w:rsid w:val="00886A4F"/>
    <w:rsid w:val="00893D14"/>
    <w:rsid w:val="00894E82"/>
    <w:rsid w:val="0089698C"/>
    <w:rsid w:val="008C079A"/>
    <w:rsid w:val="008C22FD"/>
    <w:rsid w:val="008C7F33"/>
    <w:rsid w:val="008D0B77"/>
    <w:rsid w:val="008D2CBC"/>
    <w:rsid w:val="008E3B22"/>
    <w:rsid w:val="008F0B01"/>
    <w:rsid w:val="009013B6"/>
    <w:rsid w:val="009015A6"/>
    <w:rsid w:val="0090176B"/>
    <w:rsid w:val="00906FA7"/>
    <w:rsid w:val="0091533F"/>
    <w:rsid w:val="00923298"/>
    <w:rsid w:val="0092468A"/>
    <w:rsid w:val="00926295"/>
    <w:rsid w:val="009309B8"/>
    <w:rsid w:val="009324BD"/>
    <w:rsid w:val="0093763E"/>
    <w:rsid w:val="00937C5A"/>
    <w:rsid w:val="00937C6C"/>
    <w:rsid w:val="00943DED"/>
    <w:rsid w:val="009475F9"/>
    <w:rsid w:val="0095756E"/>
    <w:rsid w:val="00964A3C"/>
    <w:rsid w:val="00971D1D"/>
    <w:rsid w:val="00982D71"/>
    <w:rsid w:val="00995CF6"/>
    <w:rsid w:val="009B07DC"/>
    <w:rsid w:val="009B2988"/>
    <w:rsid w:val="009B3370"/>
    <w:rsid w:val="009B4F9A"/>
    <w:rsid w:val="009C0A67"/>
    <w:rsid w:val="009D5013"/>
    <w:rsid w:val="009D662F"/>
    <w:rsid w:val="009D6C67"/>
    <w:rsid w:val="009D7520"/>
    <w:rsid w:val="009E4492"/>
    <w:rsid w:val="009F05DD"/>
    <w:rsid w:val="009F4E85"/>
    <w:rsid w:val="00A12646"/>
    <w:rsid w:val="00A31334"/>
    <w:rsid w:val="00A3489E"/>
    <w:rsid w:val="00A36F16"/>
    <w:rsid w:val="00A50483"/>
    <w:rsid w:val="00A60F7B"/>
    <w:rsid w:val="00A64946"/>
    <w:rsid w:val="00A654C2"/>
    <w:rsid w:val="00A72998"/>
    <w:rsid w:val="00A74539"/>
    <w:rsid w:val="00A95E2B"/>
    <w:rsid w:val="00A96006"/>
    <w:rsid w:val="00A976E0"/>
    <w:rsid w:val="00AA19F7"/>
    <w:rsid w:val="00AB1B13"/>
    <w:rsid w:val="00AB6B53"/>
    <w:rsid w:val="00AC3C2F"/>
    <w:rsid w:val="00AC73D6"/>
    <w:rsid w:val="00AD3F7C"/>
    <w:rsid w:val="00AD3FA1"/>
    <w:rsid w:val="00AD7239"/>
    <w:rsid w:val="00AD7FBB"/>
    <w:rsid w:val="00AE1912"/>
    <w:rsid w:val="00AE3F35"/>
    <w:rsid w:val="00AE5F58"/>
    <w:rsid w:val="00AE7042"/>
    <w:rsid w:val="00AF4719"/>
    <w:rsid w:val="00B10E29"/>
    <w:rsid w:val="00B15B7B"/>
    <w:rsid w:val="00B24E0B"/>
    <w:rsid w:val="00B26CE9"/>
    <w:rsid w:val="00B315E5"/>
    <w:rsid w:val="00B320E9"/>
    <w:rsid w:val="00B37A80"/>
    <w:rsid w:val="00B456FA"/>
    <w:rsid w:val="00B457D8"/>
    <w:rsid w:val="00B465A3"/>
    <w:rsid w:val="00B47511"/>
    <w:rsid w:val="00B53F6F"/>
    <w:rsid w:val="00B60BCA"/>
    <w:rsid w:val="00B64318"/>
    <w:rsid w:val="00B64D82"/>
    <w:rsid w:val="00B71592"/>
    <w:rsid w:val="00B71AE7"/>
    <w:rsid w:val="00B7289F"/>
    <w:rsid w:val="00B737E5"/>
    <w:rsid w:val="00B85D19"/>
    <w:rsid w:val="00BA0336"/>
    <w:rsid w:val="00BA10AF"/>
    <w:rsid w:val="00BA6C2A"/>
    <w:rsid w:val="00BC49FF"/>
    <w:rsid w:val="00BC57C4"/>
    <w:rsid w:val="00BD044D"/>
    <w:rsid w:val="00BD1CD9"/>
    <w:rsid w:val="00BD6368"/>
    <w:rsid w:val="00BD6BBB"/>
    <w:rsid w:val="00BE089D"/>
    <w:rsid w:val="00BE0CBB"/>
    <w:rsid w:val="00BE2029"/>
    <w:rsid w:val="00BE2FBB"/>
    <w:rsid w:val="00BE3BD9"/>
    <w:rsid w:val="00BF0E2B"/>
    <w:rsid w:val="00BF7373"/>
    <w:rsid w:val="00BF79ED"/>
    <w:rsid w:val="00C03DCC"/>
    <w:rsid w:val="00C16ECC"/>
    <w:rsid w:val="00C22C1E"/>
    <w:rsid w:val="00C23541"/>
    <w:rsid w:val="00C4733C"/>
    <w:rsid w:val="00C55804"/>
    <w:rsid w:val="00C62202"/>
    <w:rsid w:val="00C671E1"/>
    <w:rsid w:val="00C77BEA"/>
    <w:rsid w:val="00C81C83"/>
    <w:rsid w:val="00C83FDD"/>
    <w:rsid w:val="00C918B8"/>
    <w:rsid w:val="00C976D2"/>
    <w:rsid w:val="00CA18E7"/>
    <w:rsid w:val="00CA52DF"/>
    <w:rsid w:val="00CA5DFD"/>
    <w:rsid w:val="00CB0BBE"/>
    <w:rsid w:val="00CB1883"/>
    <w:rsid w:val="00CC6BBD"/>
    <w:rsid w:val="00CD18A8"/>
    <w:rsid w:val="00CD7B9E"/>
    <w:rsid w:val="00D00FA2"/>
    <w:rsid w:val="00D15B01"/>
    <w:rsid w:val="00D1751A"/>
    <w:rsid w:val="00D21C5C"/>
    <w:rsid w:val="00D25364"/>
    <w:rsid w:val="00D311D2"/>
    <w:rsid w:val="00D3542A"/>
    <w:rsid w:val="00D46CB3"/>
    <w:rsid w:val="00D5273E"/>
    <w:rsid w:val="00D6177F"/>
    <w:rsid w:val="00D6236A"/>
    <w:rsid w:val="00D62E6D"/>
    <w:rsid w:val="00D63C4A"/>
    <w:rsid w:val="00D73921"/>
    <w:rsid w:val="00D80145"/>
    <w:rsid w:val="00D81974"/>
    <w:rsid w:val="00D93FC6"/>
    <w:rsid w:val="00D945AE"/>
    <w:rsid w:val="00D94BCD"/>
    <w:rsid w:val="00D95395"/>
    <w:rsid w:val="00DB04A4"/>
    <w:rsid w:val="00DB2517"/>
    <w:rsid w:val="00DB349C"/>
    <w:rsid w:val="00DB5E13"/>
    <w:rsid w:val="00DD1ACF"/>
    <w:rsid w:val="00DD2EA7"/>
    <w:rsid w:val="00DE7EF4"/>
    <w:rsid w:val="00E0519E"/>
    <w:rsid w:val="00E06D4D"/>
    <w:rsid w:val="00E072B0"/>
    <w:rsid w:val="00E10CF6"/>
    <w:rsid w:val="00E16103"/>
    <w:rsid w:val="00E36E2F"/>
    <w:rsid w:val="00E3774D"/>
    <w:rsid w:val="00E524C4"/>
    <w:rsid w:val="00E66011"/>
    <w:rsid w:val="00E8551C"/>
    <w:rsid w:val="00E85EF2"/>
    <w:rsid w:val="00E86790"/>
    <w:rsid w:val="00EA2632"/>
    <w:rsid w:val="00EA3052"/>
    <w:rsid w:val="00EB180E"/>
    <w:rsid w:val="00EB72A5"/>
    <w:rsid w:val="00EC6E70"/>
    <w:rsid w:val="00EE4246"/>
    <w:rsid w:val="00EF1C44"/>
    <w:rsid w:val="00EF7540"/>
    <w:rsid w:val="00F050E0"/>
    <w:rsid w:val="00F1056D"/>
    <w:rsid w:val="00F21FB3"/>
    <w:rsid w:val="00F37463"/>
    <w:rsid w:val="00F40E02"/>
    <w:rsid w:val="00F4168D"/>
    <w:rsid w:val="00F57416"/>
    <w:rsid w:val="00F66997"/>
    <w:rsid w:val="00F67660"/>
    <w:rsid w:val="00F71EC4"/>
    <w:rsid w:val="00F76848"/>
    <w:rsid w:val="00F847E9"/>
    <w:rsid w:val="00F92E24"/>
    <w:rsid w:val="00F94A39"/>
    <w:rsid w:val="00F9744D"/>
    <w:rsid w:val="00FA4B26"/>
    <w:rsid w:val="00FB0116"/>
    <w:rsid w:val="00FB0B8E"/>
    <w:rsid w:val="00FC5EB1"/>
    <w:rsid w:val="00FD5DFB"/>
    <w:rsid w:val="00FE0783"/>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9C562"/>
  <w15:chartTrackingRefBased/>
  <w15:docId w15:val="{EF9EBF90-9091-4C69-82E7-06352321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E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E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E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E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E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E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E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E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E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E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E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E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E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E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E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E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E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E02"/>
    <w:rPr>
      <w:rFonts w:eastAsiaTheme="majorEastAsia" w:cstheme="majorBidi"/>
      <w:color w:val="272727" w:themeColor="text1" w:themeTint="D8"/>
    </w:rPr>
  </w:style>
  <w:style w:type="paragraph" w:styleId="Title">
    <w:name w:val="Title"/>
    <w:basedOn w:val="Normal"/>
    <w:next w:val="Normal"/>
    <w:link w:val="TitleChar"/>
    <w:uiPriority w:val="10"/>
    <w:qFormat/>
    <w:rsid w:val="00F40E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E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E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E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E02"/>
    <w:pPr>
      <w:spacing w:before="160"/>
      <w:jc w:val="center"/>
    </w:pPr>
    <w:rPr>
      <w:i/>
      <w:iCs/>
      <w:color w:val="404040" w:themeColor="text1" w:themeTint="BF"/>
    </w:rPr>
  </w:style>
  <w:style w:type="character" w:customStyle="1" w:styleId="QuoteChar">
    <w:name w:val="Quote Char"/>
    <w:basedOn w:val="DefaultParagraphFont"/>
    <w:link w:val="Quote"/>
    <w:uiPriority w:val="29"/>
    <w:rsid w:val="00F40E02"/>
    <w:rPr>
      <w:i/>
      <w:iCs/>
      <w:color w:val="404040" w:themeColor="text1" w:themeTint="BF"/>
    </w:rPr>
  </w:style>
  <w:style w:type="paragraph" w:styleId="ListParagraph">
    <w:name w:val="List Paragraph"/>
    <w:basedOn w:val="Normal"/>
    <w:uiPriority w:val="34"/>
    <w:qFormat/>
    <w:rsid w:val="00F40E02"/>
    <w:pPr>
      <w:ind w:left="720"/>
      <w:contextualSpacing/>
    </w:pPr>
  </w:style>
  <w:style w:type="character" w:styleId="IntenseEmphasis">
    <w:name w:val="Intense Emphasis"/>
    <w:basedOn w:val="DefaultParagraphFont"/>
    <w:uiPriority w:val="21"/>
    <w:qFormat/>
    <w:rsid w:val="00F40E02"/>
    <w:rPr>
      <w:i/>
      <w:iCs/>
      <w:color w:val="0F4761" w:themeColor="accent1" w:themeShade="BF"/>
    </w:rPr>
  </w:style>
  <w:style w:type="paragraph" w:styleId="IntenseQuote">
    <w:name w:val="Intense Quote"/>
    <w:basedOn w:val="Normal"/>
    <w:next w:val="Normal"/>
    <w:link w:val="IntenseQuoteChar"/>
    <w:uiPriority w:val="30"/>
    <w:qFormat/>
    <w:rsid w:val="00F40E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E02"/>
    <w:rPr>
      <w:i/>
      <w:iCs/>
      <w:color w:val="0F4761" w:themeColor="accent1" w:themeShade="BF"/>
    </w:rPr>
  </w:style>
  <w:style w:type="character" w:styleId="IntenseReference">
    <w:name w:val="Intense Reference"/>
    <w:basedOn w:val="DefaultParagraphFont"/>
    <w:uiPriority w:val="32"/>
    <w:qFormat/>
    <w:rsid w:val="00F40E02"/>
    <w:rPr>
      <w:b/>
      <w:bCs/>
      <w:smallCaps/>
      <w:color w:val="0F4761" w:themeColor="accent1" w:themeShade="BF"/>
      <w:spacing w:val="5"/>
    </w:rPr>
  </w:style>
  <w:style w:type="character" w:styleId="Emphasis">
    <w:name w:val="Emphasis"/>
    <w:basedOn w:val="DefaultParagraphFont"/>
    <w:uiPriority w:val="20"/>
    <w:qFormat/>
    <w:rsid w:val="005C21F7"/>
    <w:rPr>
      <w:i/>
      <w:iCs/>
    </w:rPr>
  </w:style>
  <w:style w:type="paragraph" w:styleId="Caption">
    <w:name w:val="caption"/>
    <w:basedOn w:val="Normal"/>
    <w:next w:val="Normal"/>
    <w:uiPriority w:val="35"/>
    <w:unhideWhenUsed/>
    <w:qFormat/>
    <w:rsid w:val="005C21F7"/>
    <w:pPr>
      <w:spacing w:after="200" w:line="240" w:lineRule="auto"/>
    </w:pPr>
    <w:rPr>
      <w:i/>
      <w:iCs/>
      <w:color w:val="0E2841" w:themeColor="text2"/>
      <w:sz w:val="18"/>
      <w:szCs w:val="18"/>
    </w:rPr>
  </w:style>
  <w:style w:type="paragraph" w:styleId="NoSpacing">
    <w:name w:val="No Spacing"/>
    <w:basedOn w:val="Normal"/>
    <w:link w:val="NoSpacingChar"/>
    <w:uiPriority w:val="1"/>
    <w:qFormat/>
    <w:rsid w:val="00D81974"/>
    <w:pPr>
      <w:spacing w:after="0" w:line="240" w:lineRule="auto"/>
    </w:pPr>
    <w:rPr>
      <w:rFonts w:eastAsiaTheme="minorEastAsia" w:cs="Times New Roman"/>
      <w:kern w:val="0"/>
      <w:sz w:val="24"/>
      <w:szCs w:val="32"/>
      <w14:ligatures w14:val="none"/>
    </w:rPr>
  </w:style>
  <w:style w:type="character" w:customStyle="1" w:styleId="NoSpacingChar">
    <w:name w:val="No Spacing Char"/>
    <w:basedOn w:val="DefaultParagraphFont"/>
    <w:link w:val="NoSpacing"/>
    <w:uiPriority w:val="1"/>
    <w:rsid w:val="00D81974"/>
    <w:rPr>
      <w:rFonts w:eastAsiaTheme="minorEastAsia" w:cs="Times New Roman"/>
      <w:kern w:val="0"/>
      <w:sz w:val="24"/>
      <w:szCs w:val="32"/>
      <w14:ligatures w14:val="none"/>
    </w:rPr>
  </w:style>
  <w:style w:type="paragraph" w:styleId="Header">
    <w:name w:val="header"/>
    <w:basedOn w:val="Normal"/>
    <w:link w:val="HeaderChar"/>
    <w:uiPriority w:val="99"/>
    <w:unhideWhenUsed/>
    <w:rsid w:val="00C22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C1E"/>
  </w:style>
  <w:style w:type="paragraph" w:styleId="Footer">
    <w:name w:val="footer"/>
    <w:basedOn w:val="Normal"/>
    <w:link w:val="FooterChar"/>
    <w:uiPriority w:val="99"/>
    <w:unhideWhenUsed/>
    <w:rsid w:val="00C22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C1E"/>
  </w:style>
  <w:style w:type="paragraph" w:styleId="TOCHeading">
    <w:name w:val="TOC Heading"/>
    <w:basedOn w:val="Heading1"/>
    <w:next w:val="Normal"/>
    <w:uiPriority w:val="39"/>
    <w:unhideWhenUsed/>
    <w:qFormat/>
    <w:rsid w:val="000E794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E7943"/>
    <w:pPr>
      <w:spacing w:after="100"/>
    </w:pPr>
  </w:style>
  <w:style w:type="character" w:styleId="Hyperlink">
    <w:name w:val="Hyperlink"/>
    <w:basedOn w:val="DefaultParagraphFont"/>
    <w:uiPriority w:val="99"/>
    <w:unhideWhenUsed/>
    <w:rsid w:val="000E79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39E1F-B0B7-4E4B-B09D-95981EB68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7691</TotalTime>
  <Pages>17</Pages>
  <Words>2850</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
  <dc:creator>adrian neacsu</dc:creator>
  <cp:keywords/>
  <dc:description/>
  <cp:lastModifiedBy>Hajar Takidine</cp:lastModifiedBy>
  <cp:revision>25</cp:revision>
  <dcterms:created xsi:type="dcterms:W3CDTF">2026-03-19T14:21:00Z</dcterms:created>
  <dcterms:modified xsi:type="dcterms:W3CDTF">2026-03-24T22:41:00Z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2f4b5a7a-8381-439a-b6c4-ca9d6eb9af0e</vt:lpwstr>
  </property>
</Properties>
</file>