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s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Pr="0027530E" w:rsidRDefault="007D1947">
          <w:pPr>
            <w:pStyle w:val="NoSpacing"/>
            <w:spacing w:before="1540" w:after="240"/>
            <w:jc w:val="center"/>
            <w:rPr>
              <w:rFonts w:cstheme="minorHAnsi"/>
              <w:color w:val="5B9BD5" w:themeColor="accent1"/>
            </w:rPr>
          </w:pPr>
          <w:r w:rsidRPr="0027530E">
            <w:rPr>
              <w:rFonts w:cstheme="minorHAnsi"/>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E91BEA4" w14:textId="77777777" w:rsidR="0027530E" w:rsidRPr="0027530E" w:rsidRDefault="0027530E" w:rsidP="0027530E">
          <w:pPr>
            <w:pStyle w:val="NoSpacing"/>
            <w:spacing w:before="1540" w:after="240"/>
            <w:jc w:val="center"/>
            <w:rPr>
              <w:rFonts w:eastAsiaTheme="majorEastAsia" w:cstheme="minorHAnsi"/>
              <w:b/>
              <w:bCs/>
              <w:caps/>
              <w:color w:val="5B9BD5" w:themeColor="accent1"/>
              <w:sz w:val="44"/>
              <w:szCs w:val="44"/>
            </w:rPr>
          </w:pPr>
          <w:r w:rsidRPr="0027530E">
            <w:rPr>
              <w:rFonts w:eastAsiaTheme="majorEastAsia" w:cstheme="minorHAnsi"/>
              <w:b/>
              <w:bCs/>
              <w:caps/>
              <w:color w:val="5B9BD5" w:themeColor="accent1"/>
              <w:sz w:val="44"/>
              <w:szCs w:val="44"/>
            </w:rPr>
            <w:t>Assignment Title: Financial Performance Evaluation and Capital Investment Appraisal of Sainsbury: A Managerial Finance Perspective</w:t>
          </w:r>
        </w:p>
        <w:sdt>
          <w:sdtPr>
            <w:rPr>
              <w:rFonts w:eastAsiaTheme="minorHAnsi" w:cstheme="minorHAnsi"/>
              <w:color w:val="5B9BD5" w:themeColor="accent1"/>
              <w:sz w:val="28"/>
              <w:szCs w:val="28"/>
              <w:lang w:val="en-GB"/>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258D534F" w:rsidR="007D1947" w:rsidRDefault="0027530E" w:rsidP="0027530E">
              <w:pPr>
                <w:pStyle w:val="NoSpacing"/>
                <w:jc w:val="center"/>
                <w:rPr>
                  <w:rFonts w:eastAsiaTheme="minorHAnsi" w:cstheme="minorHAnsi"/>
                  <w:color w:val="5B9BD5" w:themeColor="accent1"/>
                  <w:sz w:val="28"/>
                  <w:szCs w:val="28"/>
                  <w:lang w:val="en-GB"/>
                </w:rPr>
              </w:pPr>
              <w:r w:rsidRPr="0027530E">
                <w:rPr>
                  <w:rFonts w:eastAsiaTheme="minorHAnsi" w:cstheme="minorHAnsi"/>
                  <w:color w:val="5B9BD5" w:themeColor="accent1"/>
                  <w:sz w:val="28"/>
                  <w:szCs w:val="28"/>
                  <w:lang w:val="en-GB"/>
                </w:rPr>
                <w:t>MBA - Finance for Business Managers (BMMB7005D)</w:t>
              </w:r>
            </w:p>
          </w:sdtContent>
        </w:sdt>
        <w:p w14:paraId="2C6AB0AC" w14:textId="77777777" w:rsidR="00F01D96" w:rsidRPr="00F01D96" w:rsidRDefault="00F01D96" w:rsidP="00F01D96">
          <w:pPr>
            <w:pStyle w:val="NoSpacing"/>
            <w:jc w:val="center"/>
            <w:rPr>
              <w:rFonts w:cstheme="minorHAnsi"/>
              <w:color w:val="5B9BD5" w:themeColor="accent1"/>
              <w:sz w:val="28"/>
              <w:szCs w:val="28"/>
            </w:rPr>
          </w:pPr>
          <w:r w:rsidRPr="00F01D96">
            <w:rPr>
              <w:rFonts w:cstheme="minorHAnsi"/>
              <w:color w:val="5B9BD5" w:themeColor="accent1"/>
              <w:sz w:val="28"/>
              <w:szCs w:val="28"/>
            </w:rPr>
            <w:t>Student name: Hani Rosteenmehr</w:t>
          </w:r>
        </w:p>
        <w:p w14:paraId="14086F0F" w14:textId="77777777" w:rsidR="00F01D96" w:rsidRPr="00F01D96" w:rsidRDefault="00F01D96" w:rsidP="00F01D96">
          <w:pPr>
            <w:pStyle w:val="NoSpacing"/>
            <w:jc w:val="center"/>
            <w:rPr>
              <w:rFonts w:cstheme="minorHAnsi"/>
              <w:color w:val="5B9BD5" w:themeColor="accent1"/>
              <w:sz w:val="28"/>
              <w:szCs w:val="28"/>
            </w:rPr>
          </w:pPr>
          <w:r w:rsidRPr="00F01D96">
            <w:rPr>
              <w:rFonts w:cstheme="minorHAnsi"/>
              <w:color w:val="5B9BD5" w:themeColor="accent1"/>
              <w:sz w:val="28"/>
              <w:szCs w:val="28"/>
            </w:rPr>
            <w:t>Student ID: 2118863</w:t>
          </w:r>
        </w:p>
        <w:p w14:paraId="3644BA2F" w14:textId="22994B3F" w:rsidR="00F01D96" w:rsidRPr="0027530E" w:rsidRDefault="00F01D96" w:rsidP="00F01D96">
          <w:pPr>
            <w:pStyle w:val="NoSpacing"/>
            <w:jc w:val="center"/>
            <w:rPr>
              <w:rFonts w:cstheme="minorHAnsi"/>
              <w:color w:val="5B9BD5" w:themeColor="accent1"/>
              <w:sz w:val="28"/>
              <w:szCs w:val="28"/>
            </w:rPr>
          </w:pPr>
          <w:r w:rsidRPr="00F01D96">
            <w:rPr>
              <w:rFonts w:cstheme="minorHAnsi"/>
              <w:color w:val="5B9BD5" w:themeColor="accent1"/>
              <w:sz w:val="28"/>
              <w:szCs w:val="28"/>
            </w:rPr>
            <w:t>Lecturer: Marie Piston</w:t>
          </w:r>
        </w:p>
        <w:p w14:paraId="1ADC1124" w14:textId="77777777" w:rsidR="007D1947" w:rsidRPr="0027530E" w:rsidRDefault="007D1947">
          <w:pPr>
            <w:pStyle w:val="NoSpacing"/>
            <w:spacing w:before="480"/>
            <w:jc w:val="center"/>
            <w:rPr>
              <w:rFonts w:cstheme="minorHAnsi"/>
              <w:color w:val="5B9BD5" w:themeColor="accent1"/>
            </w:rPr>
          </w:pPr>
          <w:r w:rsidRPr="0027530E">
            <w:rPr>
              <w:rFonts w:cstheme="minorHAnsi"/>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2B13CD0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3175" b="1143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BAF8D9" w14:textId="25784907" w:rsidR="007D1947" w:rsidRDefault="00005C15">
                                    <w:pPr>
                                      <w:pStyle w:val="NoSpacing"/>
                                      <w:spacing w:after="40"/>
                                      <w:jc w:val="center"/>
                                      <w:rPr>
                                        <w:caps/>
                                        <w:color w:val="5B9BD5" w:themeColor="accent1"/>
                                        <w:sz w:val="28"/>
                                        <w:szCs w:val="28"/>
                                      </w:rPr>
                                    </w:pPr>
                                    <w:r>
                                      <w:rPr>
                                        <w:caps/>
                                        <w:color w:val="5B9BD5" w:themeColor="accent1"/>
                                        <w:sz w:val="28"/>
                                        <w:szCs w:val="28"/>
                                      </w:rPr>
                                      <w:t>12/01/2026</w:t>
                                    </w:r>
                                  </w:p>
                                </w:sdtContent>
                              </w:sdt>
                              <w:p w14:paraId="69E98CB3" w14:textId="77777777" w:rsidR="007D1947" w:rsidRDefault="008A383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8A383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BAF8D9" w14:textId="25784907" w:rsidR="007D1947" w:rsidRDefault="00005C15">
                              <w:pPr>
                                <w:pStyle w:val="NoSpacing"/>
                                <w:spacing w:after="40"/>
                                <w:jc w:val="center"/>
                                <w:rPr>
                                  <w:caps/>
                                  <w:color w:val="5B9BD5" w:themeColor="accent1"/>
                                  <w:sz w:val="28"/>
                                  <w:szCs w:val="28"/>
                                </w:rPr>
                              </w:pPr>
                              <w:r>
                                <w:rPr>
                                  <w:caps/>
                                  <w:color w:val="5B9BD5" w:themeColor="accent1"/>
                                  <w:sz w:val="28"/>
                                  <w:szCs w:val="28"/>
                                </w:rPr>
                                <w:t>12/01/2026</w:t>
                              </w:r>
                            </w:p>
                          </w:sdtContent>
                        </w:sdt>
                        <w:p w14:paraId="69E98CB3" w14:textId="77777777" w:rsidR="007D1947" w:rsidRDefault="008A383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8A383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Pr="0027530E">
            <w:rPr>
              <w:rFonts w:cstheme="minorHAnsi"/>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Pr="0027530E" w:rsidRDefault="007D1947" w:rsidP="007D1947">
          <w:pPr>
            <w:pStyle w:val="Heading1"/>
            <w:rPr>
              <w:rFonts w:asciiTheme="minorHAnsi" w:hAnsiTheme="minorHAnsi" w:cstheme="minorHAnsi"/>
            </w:rPr>
          </w:pPr>
          <w:r w:rsidRPr="0027530E">
            <w:rPr>
              <w:rFonts w:asciiTheme="minorHAnsi" w:hAnsiTheme="minorHAnsi" w:cstheme="minorHAnsi"/>
            </w:rPr>
            <w:br w:type="page"/>
          </w:r>
          <w:bookmarkStart w:id="0" w:name="_Toc218881339"/>
          <w:r w:rsidRPr="0027530E">
            <w:rPr>
              <w:rFonts w:asciiTheme="minorHAnsi" w:hAnsiTheme="minorHAnsi" w:cstheme="minorHAnsi"/>
            </w:rPr>
            <w:t>Executive Summary</w:t>
          </w:r>
          <w:bookmarkEnd w:id="0"/>
        </w:p>
        <w:p w14:paraId="3C2A7913" w14:textId="77777777" w:rsidR="0027530E" w:rsidRPr="0027530E" w:rsidRDefault="0027530E" w:rsidP="0027530E">
          <w:pPr>
            <w:spacing w:line="360" w:lineRule="auto"/>
            <w:rPr>
              <w:rFonts w:cstheme="minorHAnsi"/>
            </w:rPr>
          </w:pPr>
          <w:r w:rsidRPr="0027530E">
            <w:rPr>
              <w:rFonts w:cstheme="minorHAnsi"/>
            </w:rPr>
            <w:t>Sainsbury is the largest food retailer and a FTSE 100 member company operating in general merchandise, grocery, and online channels based in the United Kingdom. This report aims to analyse the latest financial results of Sainsbury through ratio analysis (Part 1), strategic investment alternatives through accepted methods of capital appraisal (Part 2), and generally provide an evaluation of Board-level decision making in accordance with the maximisation of shareholder wealth.</w:t>
          </w:r>
        </w:p>
        <w:p w14:paraId="4473A844" w14:textId="77777777" w:rsidR="0027530E" w:rsidRPr="0027530E" w:rsidRDefault="0027530E" w:rsidP="0027530E">
          <w:pPr>
            <w:spacing w:line="360" w:lineRule="auto"/>
            <w:rPr>
              <w:rFonts w:cstheme="minorHAnsi"/>
            </w:rPr>
          </w:pPr>
          <w:r w:rsidRPr="0027530E">
            <w:rPr>
              <w:rFonts w:cstheme="minorHAnsi"/>
            </w:rPr>
            <w:t xml:space="preserve">Part 1 will examine profitability, liquidity, efficiency, gearing, and investor ratios, and the last 2 financial years. The results show that Sainsbury is performing within the industry: low profitability is cushioned by appropriate scale and operational discipline. The liquidity and working capital management are structurally sound in the context of a grocery retailer, with a high rate of inventory turnover, low receivables, and long supplier credit, which contributes to the favourable working capital cycle and a stable cash flow. Efficiency ratios emphasise the use of assets efficiently, and gearing is prudent (interest cover is comfortable), so the business is financially flexible. Investor ratios indicate sustainable distributions against the reinvestment requirements. </w:t>
          </w:r>
        </w:p>
        <w:p w14:paraId="240B14CB" w14:textId="77777777" w:rsidR="0027530E" w:rsidRPr="0027530E" w:rsidRDefault="0027530E" w:rsidP="0027530E">
          <w:pPr>
            <w:spacing w:line="360" w:lineRule="auto"/>
            <w:rPr>
              <w:rFonts w:cstheme="minorHAnsi"/>
            </w:rPr>
          </w:pPr>
          <w:r w:rsidRPr="0027530E">
            <w:rPr>
              <w:rFonts w:cstheme="minorHAnsi"/>
            </w:rPr>
            <w:t>Part 2 compares three investment projects using Payback, Net Present Value (NPV), Internal Rate of Return (IRR), and the Profitability Index (PI) on three investment projects that are mutually exclusive and have a time horizon of four years. Every project generates a positive NPV and an IRR of well above the cost of capital of 6%. PI ranking is used to determine the best mix of investment under capital rationing when the projects are divisible to maximise the total NPV. The use of NPV as the key decision criterion is motivated by this fact because it is consistent with the creation of value, whereas Payback and IRR are provided as a few supporting tools of liquidity risk and return profile.</w:t>
          </w:r>
        </w:p>
        <w:p w14:paraId="53363C13" w14:textId="3D5A2665" w:rsidR="00D854A5" w:rsidRPr="0027530E" w:rsidRDefault="0027530E" w:rsidP="0027530E">
          <w:pPr>
            <w:spacing w:line="360" w:lineRule="auto"/>
            <w:rPr>
              <w:rFonts w:cstheme="minorHAnsi"/>
            </w:rPr>
          </w:pPr>
          <w:r w:rsidRPr="0027530E">
            <w:rPr>
              <w:rFonts w:cstheme="minorHAnsi"/>
            </w:rPr>
            <w:t>The main advice to the Board is to: (i) remain focused on working capital efficiency and cost management to defend margins; (ii) approve the capital-rationed portfolio of investments to give maximisation of total NPV; (iii) retain earnings and moderate long-term debt a balanced mix to keep gearing headroom; and (iv) keep dividend cover prudent to support reinvestment and resilience</w:t>
          </w:r>
          <w:r w:rsidR="00931CAA" w:rsidRPr="0027530E">
            <w:rPr>
              <w:rFonts w:cstheme="minorHAnsi"/>
            </w:rPr>
            <w:t xml:space="preserve">.  </w:t>
          </w:r>
        </w:p>
        <w:p w14:paraId="62AB7F7D" w14:textId="77777777" w:rsidR="007D1947" w:rsidRPr="0027530E" w:rsidRDefault="007D1947">
          <w:pPr>
            <w:rPr>
              <w:rFonts w:cstheme="minorHAnsi"/>
            </w:rPr>
          </w:pPr>
        </w:p>
        <w:p w14:paraId="6846CF66" w14:textId="77777777" w:rsidR="007D1947" w:rsidRPr="0027530E" w:rsidRDefault="007D1947">
          <w:pPr>
            <w:rPr>
              <w:rFonts w:cstheme="minorHAnsi"/>
            </w:rPr>
          </w:pPr>
        </w:p>
        <w:p w14:paraId="7F8F78F5" w14:textId="77777777" w:rsidR="007D1947" w:rsidRPr="0027530E" w:rsidRDefault="007D1947">
          <w:pPr>
            <w:rPr>
              <w:rFonts w:cstheme="minorHAnsi"/>
            </w:rPr>
          </w:pPr>
        </w:p>
        <w:p w14:paraId="3E204757" w14:textId="77777777" w:rsidR="007D1947" w:rsidRPr="0027530E" w:rsidRDefault="007D1947">
          <w:pPr>
            <w:rPr>
              <w:rFonts w:cstheme="minorHAnsi"/>
            </w:rPr>
          </w:pPr>
        </w:p>
        <w:p w14:paraId="775DA3A7" w14:textId="77777777" w:rsidR="007D1947" w:rsidRPr="0027530E" w:rsidRDefault="007D1947">
          <w:pPr>
            <w:rPr>
              <w:rFonts w:cstheme="minorHAnsi"/>
            </w:rPr>
          </w:pPr>
        </w:p>
        <w:p w14:paraId="0EAD00A7" w14:textId="77777777" w:rsidR="007D1947" w:rsidRPr="0027530E" w:rsidRDefault="007D1947">
          <w:pPr>
            <w:rPr>
              <w:rFonts w:cstheme="minorHAnsi"/>
            </w:rPr>
          </w:pPr>
        </w:p>
        <w:sdt>
          <w:sdtPr>
            <w:rPr>
              <w:rFonts w:asciiTheme="minorHAnsi" w:eastAsiaTheme="minorHAnsi" w:hAnsiTheme="minorHAnsi" w:cstheme="minorHAns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Pr="0027530E" w:rsidRDefault="007D1947" w:rsidP="0027530E">
              <w:pPr>
                <w:pStyle w:val="TOCHeading"/>
                <w:jc w:val="center"/>
                <w:rPr>
                  <w:rFonts w:asciiTheme="minorHAnsi" w:hAnsiTheme="minorHAnsi" w:cstheme="minorHAnsi"/>
                </w:rPr>
              </w:pPr>
              <w:r w:rsidRPr="0027530E">
                <w:rPr>
                  <w:rFonts w:asciiTheme="minorHAnsi" w:hAnsiTheme="minorHAnsi" w:cstheme="minorHAnsi"/>
                </w:rPr>
                <w:t>Table of Contents</w:t>
              </w:r>
            </w:p>
            <w:p w14:paraId="1F7F9BE8" w14:textId="2765ACD4" w:rsidR="0027530E" w:rsidRDefault="007D1947">
              <w:pPr>
                <w:pStyle w:val="TOC1"/>
                <w:tabs>
                  <w:tab w:val="right" w:leader="dot" w:pos="9016"/>
                </w:tabs>
                <w:rPr>
                  <w:rFonts w:eastAsiaTheme="minorEastAsia"/>
                  <w:noProof/>
                  <w:kern w:val="2"/>
                  <w:sz w:val="24"/>
                  <w:szCs w:val="24"/>
                  <w:lang w:val="en-US"/>
                  <w14:ligatures w14:val="standardContextual"/>
                </w:rPr>
              </w:pPr>
              <w:r w:rsidRPr="0027530E">
                <w:rPr>
                  <w:rFonts w:cstheme="minorHAnsi"/>
                </w:rPr>
                <w:fldChar w:fldCharType="begin"/>
              </w:r>
              <w:r w:rsidRPr="0027530E">
                <w:rPr>
                  <w:rFonts w:cstheme="minorHAnsi"/>
                </w:rPr>
                <w:instrText xml:space="preserve"> TOC \o "1-3" \h \z \u </w:instrText>
              </w:r>
              <w:r w:rsidRPr="0027530E">
                <w:rPr>
                  <w:rFonts w:cstheme="minorHAnsi"/>
                </w:rPr>
                <w:fldChar w:fldCharType="separate"/>
              </w:r>
              <w:hyperlink w:anchor="_Toc218881339" w:history="1">
                <w:r w:rsidR="0027530E" w:rsidRPr="004B727D">
                  <w:rPr>
                    <w:rStyle w:val="Hyperlink"/>
                    <w:rFonts w:cstheme="minorHAnsi"/>
                    <w:noProof/>
                  </w:rPr>
                  <w:t>Executive Summary</w:t>
                </w:r>
                <w:r w:rsidR="0027530E">
                  <w:rPr>
                    <w:noProof/>
                    <w:webHidden/>
                  </w:rPr>
                  <w:tab/>
                </w:r>
                <w:r w:rsidR="0027530E">
                  <w:rPr>
                    <w:noProof/>
                    <w:webHidden/>
                  </w:rPr>
                  <w:fldChar w:fldCharType="begin"/>
                </w:r>
                <w:r w:rsidR="0027530E">
                  <w:rPr>
                    <w:noProof/>
                    <w:webHidden/>
                  </w:rPr>
                  <w:instrText xml:space="preserve"> PAGEREF _Toc218881339 \h </w:instrText>
                </w:r>
                <w:r w:rsidR="0027530E">
                  <w:rPr>
                    <w:noProof/>
                    <w:webHidden/>
                  </w:rPr>
                </w:r>
                <w:r w:rsidR="0027530E">
                  <w:rPr>
                    <w:noProof/>
                    <w:webHidden/>
                  </w:rPr>
                  <w:fldChar w:fldCharType="separate"/>
                </w:r>
                <w:r w:rsidR="0027530E">
                  <w:rPr>
                    <w:noProof/>
                    <w:webHidden/>
                  </w:rPr>
                  <w:t>1</w:t>
                </w:r>
                <w:r w:rsidR="0027530E">
                  <w:rPr>
                    <w:noProof/>
                    <w:webHidden/>
                  </w:rPr>
                  <w:fldChar w:fldCharType="end"/>
                </w:r>
              </w:hyperlink>
            </w:p>
            <w:p w14:paraId="7D8CD178" w14:textId="675A5245" w:rsidR="0027530E" w:rsidRDefault="0027530E">
              <w:pPr>
                <w:pStyle w:val="TOC1"/>
                <w:tabs>
                  <w:tab w:val="right" w:leader="dot" w:pos="9016"/>
                </w:tabs>
                <w:rPr>
                  <w:rFonts w:eastAsiaTheme="minorEastAsia"/>
                  <w:noProof/>
                  <w:kern w:val="2"/>
                  <w:sz w:val="24"/>
                  <w:szCs w:val="24"/>
                  <w:lang w:val="en-US"/>
                  <w14:ligatures w14:val="standardContextual"/>
                </w:rPr>
              </w:pPr>
              <w:hyperlink w:anchor="_Toc218881340" w:history="1">
                <w:r w:rsidRPr="004B727D">
                  <w:rPr>
                    <w:rStyle w:val="Hyperlink"/>
                    <w:rFonts w:cstheme="minorHAnsi"/>
                    <w:noProof/>
                  </w:rPr>
                  <w:t>Introduction</w:t>
                </w:r>
                <w:r>
                  <w:rPr>
                    <w:noProof/>
                    <w:webHidden/>
                  </w:rPr>
                  <w:tab/>
                </w:r>
                <w:r>
                  <w:rPr>
                    <w:noProof/>
                    <w:webHidden/>
                  </w:rPr>
                  <w:fldChar w:fldCharType="begin"/>
                </w:r>
                <w:r>
                  <w:rPr>
                    <w:noProof/>
                    <w:webHidden/>
                  </w:rPr>
                  <w:instrText xml:space="preserve"> PAGEREF _Toc218881340 \h </w:instrText>
                </w:r>
                <w:r>
                  <w:rPr>
                    <w:noProof/>
                    <w:webHidden/>
                  </w:rPr>
                </w:r>
                <w:r>
                  <w:rPr>
                    <w:noProof/>
                    <w:webHidden/>
                  </w:rPr>
                  <w:fldChar w:fldCharType="separate"/>
                </w:r>
                <w:r>
                  <w:rPr>
                    <w:noProof/>
                    <w:webHidden/>
                  </w:rPr>
                  <w:t>3</w:t>
                </w:r>
                <w:r>
                  <w:rPr>
                    <w:noProof/>
                    <w:webHidden/>
                  </w:rPr>
                  <w:fldChar w:fldCharType="end"/>
                </w:r>
              </w:hyperlink>
            </w:p>
            <w:p w14:paraId="1E4CDFA8" w14:textId="6A2A112C" w:rsidR="0027530E" w:rsidRDefault="0027530E">
              <w:pPr>
                <w:pStyle w:val="TOC1"/>
                <w:tabs>
                  <w:tab w:val="right" w:leader="dot" w:pos="9016"/>
                </w:tabs>
                <w:rPr>
                  <w:rFonts w:eastAsiaTheme="minorEastAsia"/>
                  <w:noProof/>
                  <w:kern w:val="2"/>
                  <w:sz w:val="24"/>
                  <w:szCs w:val="24"/>
                  <w:lang w:val="en-US"/>
                  <w14:ligatures w14:val="standardContextual"/>
                </w:rPr>
              </w:pPr>
              <w:hyperlink w:anchor="_Toc218881341" w:history="1">
                <w:r w:rsidRPr="004B727D">
                  <w:rPr>
                    <w:rStyle w:val="Hyperlink"/>
                    <w:rFonts w:cstheme="minorHAnsi"/>
                    <w:noProof/>
                  </w:rPr>
                  <w:t>Main Findings</w:t>
                </w:r>
                <w:r>
                  <w:rPr>
                    <w:noProof/>
                    <w:webHidden/>
                  </w:rPr>
                  <w:tab/>
                </w:r>
                <w:r>
                  <w:rPr>
                    <w:noProof/>
                    <w:webHidden/>
                  </w:rPr>
                  <w:fldChar w:fldCharType="begin"/>
                </w:r>
                <w:r>
                  <w:rPr>
                    <w:noProof/>
                    <w:webHidden/>
                  </w:rPr>
                  <w:instrText xml:space="preserve"> PAGEREF _Toc218881341 \h </w:instrText>
                </w:r>
                <w:r>
                  <w:rPr>
                    <w:noProof/>
                    <w:webHidden/>
                  </w:rPr>
                </w:r>
                <w:r>
                  <w:rPr>
                    <w:noProof/>
                    <w:webHidden/>
                  </w:rPr>
                  <w:fldChar w:fldCharType="separate"/>
                </w:r>
                <w:r>
                  <w:rPr>
                    <w:noProof/>
                    <w:webHidden/>
                  </w:rPr>
                  <w:t>4</w:t>
                </w:r>
                <w:r>
                  <w:rPr>
                    <w:noProof/>
                    <w:webHidden/>
                  </w:rPr>
                  <w:fldChar w:fldCharType="end"/>
                </w:r>
              </w:hyperlink>
            </w:p>
            <w:p w14:paraId="062CFBA3" w14:textId="70C14657" w:rsidR="0027530E" w:rsidRDefault="0027530E">
              <w:pPr>
                <w:pStyle w:val="TOC2"/>
                <w:tabs>
                  <w:tab w:val="right" w:leader="dot" w:pos="9016"/>
                </w:tabs>
                <w:rPr>
                  <w:rFonts w:eastAsiaTheme="minorEastAsia"/>
                  <w:noProof/>
                  <w:kern w:val="2"/>
                  <w:sz w:val="24"/>
                  <w:szCs w:val="24"/>
                  <w:lang w:val="en-US"/>
                  <w14:ligatures w14:val="standardContextual"/>
                </w:rPr>
              </w:pPr>
              <w:hyperlink w:anchor="_Toc218881342" w:history="1">
                <w:r w:rsidRPr="004B727D">
                  <w:rPr>
                    <w:rStyle w:val="Hyperlink"/>
                    <w:rFonts w:cstheme="minorHAnsi"/>
                    <w:noProof/>
                  </w:rPr>
                  <w:t>Task 1</w:t>
                </w:r>
                <w:r>
                  <w:rPr>
                    <w:noProof/>
                    <w:webHidden/>
                  </w:rPr>
                  <w:tab/>
                </w:r>
                <w:r>
                  <w:rPr>
                    <w:noProof/>
                    <w:webHidden/>
                  </w:rPr>
                  <w:fldChar w:fldCharType="begin"/>
                </w:r>
                <w:r>
                  <w:rPr>
                    <w:noProof/>
                    <w:webHidden/>
                  </w:rPr>
                  <w:instrText xml:space="preserve"> PAGEREF _Toc218881342 \h </w:instrText>
                </w:r>
                <w:r>
                  <w:rPr>
                    <w:noProof/>
                    <w:webHidden/>
                  </w:rPr>
                </w:r>
                <w:r>
                  <w:rPr>
                    <w:noProof/>
                    <w:webHidden/>
                  </w:rPr>
                  <w:fldChar w:fldCharType="separate"/>
                </w:r>
                <w:r>
                  <w:rPr>
                    <w:noProof/>
                    <w:webHidden/>
                  </w:rPr>
                  <w:t>4</w:t>
                </w:r>
                <w:r>
                  <w:rPr>
                    <w:noProof/>
                    <w:webHidden/>
                  </w:rPr>
                  <w:fldChar w:fldCharType="end"/>
                </w:r>
              </w:hyperlink>
            </w:p>
            <w:p w14:paraId="06BE5A42" w14:textId="442E48E5" w:rsidR="0027530E" w:rsidRDefault="0027530E">
              <w:pPr>
                <w:pStyle w:val="TOC2"/>
                <w:tabs>
                  <w:tab w:val="right" w:leader="dot" w:pos="9016"/>
                </w:tabs>
                <w:rPr>
                  <w:rFonts w:eastAsiaTheme="minorEastAsia"/>
                  <w:noProof/>
                  <w:kern w:val="2"/>
                  <w:sz w:val="24"/>
                  <w:szCs w:val="24"/>
                  <w:lang w:val="en-US"/>
                  <w14:ligatures w14:val="standardContextual"/>
                </w:rPr>
              </w:pPr>
              <w:hyperlink w:anchor="_Toc218881343" w:history="1">
                <w:r w:rsidRPr="004B727D">
                  <w:rPr>
                    <w:rStyle w:val="Hyperlink"/>
                    <w:rFonts w:cstheme="minorHAnsi"/>
                    <w:noProof/>
                  </w:rPr>
                  <w:t>Task 2</w:t>
                </w:r>
                <w:r>
                  <w:rPr>
                    <w:noProof/>
                    <w:webHidden/>
                  </w:rPr>
                  <w:tab/>
                </w:r>
                <w:r>
                  <w:rPr>
                    <w:noProof/>
                    <w:webHidden/>
                  </w:rPr>
                  <w:fldChar w:fldCharType="begin"/>
                </w:r>
                <w:r>
                  <w:rPr>
                    <w:noProof/>
                    <w:webHidden/>
                  </w:rPr>
                  <w:instrText xml:space="preserve"> PAGEREF _Toc218881343 \h </w:instrText>
                </w:r>
                <w:r>
                  <w:rPr>
                    <w:noProof/>
                    <w:webHidden/>
                  </w:rPr>
                </w:r>
                <w:r>
                  <w:rPr>
                    <w:noProof/>
                    <w:webHidden/>
                  </w:rPr>
                  <w:fldChar w:fldCharType="separate"/>
                </w:r>
                <w:r>
                  <w:rPr>
                    <w:noProof/>
                    <w:webHidden/>
                  </w:rPr>
                  <w:t>10</w:t>
                </w:r>
                <w:r>
                  <w:rPr>
                    <w:noProof/>
                    <w:webHidden/>
                  </w:rPr>
                  <w:fldChar w:fldCharType="end"/>
                </w:r>
              </w:hyperlink>
            </w:p>
            <w:p w14:paraId="03EC97A6" w14:textId="59684C9C" w:rsidR="0027530E" w:rsidRDefault="0027530E">
              <w:pPr>
                <w:pStyle w:val="TOC1"/>
                <w:tabs>
                  <w:tab w:val="right" w:leader="dot" w:pos="9016"/>
                </w:tabs>
                <w:rPr>
                  <w:rFonts w:eastAsiaTheme="minorEastAsia"/>
                  <w:noProof/>
                  <w:kern w:val="2"/>
                  <w:sz w:val="24"/>
                  <w:szCs w:val="24"/>
                  <w:lang w:val="en-US"/>
                  <w14:ligatures w14:val="standardContextual"/>
                </w:rPr>
              </w:pPr>
              <w:hyperlink w:anchor="_Toc218881364" w:history="1">
                <w:r w:rsidRPr="004B727D">
                  <w:rPr>
                    <w:rStyle w:val="Hyperlink"/>
                    <w:rFonts w:cstheme="minorHAnsi"/>
                    <w:noProof/>
                  </w:rPr>
                  <w:t>Conclusion</w:t>
                </w:r>
                <w:r>
                  <w:rPr>
                    <w:noProof/>
                    <w:webHidden/>
                  </w:rPr>
                  <w:tab/>
                </w:r>
                <w:r>
                  <w:rPr>
                    <w:noProof/>
                    <w:webHidden/>
                  </w:rPr>
                  <w:fldChar w:fldCharType="begin"/>
                </w:r>
                <w:r>
                  <w:rPr>
                    <w:noProof/>
                    <w:webHidden/>
                  </w:rPr>
                  <w:instrText xml:space="preserve"> PAGEREF _Toc218881364 \h </w:instrText>
                </w:r>
                <w:r>
                  <w:rPr>
                    <w:noProof/>
                    <w:webHidden/>
                  </w:rPr>
                </w:r>
                <w:r>
                  <w:rPr>
                    <w:noProof/>
                    <w:webHidden/>
                  </w:rPr>
                  <w:fldChar w:fldCharType="separate"/>
                </w:r>
                <w:r>
                  <w:rPr>
                    <w:noProof/>
                    <w:webHidden/>
                  </w:rPr>
                  <w:t>20</w:t>
                </w:r>
                <w:r>
                  <w:rPr>
                    <w:noProof/>
                    <w:webHidden/>
                  </w:rPr>
                  <w:fldChar w:fldCharType="end"/>
                </w:r>
              </w:hyperlink>
            </w:p>
            <w:p w14:paraId="26827766" w14:textId="43601DA9" w:rsidR="0027530E" w:rsidRDefault="0027530E">
              <w:pPr>
                <w:pStyle w:val="TOC1"/>
                <w:tabs>
                  <w:tab w:val="right" w:leader="dot" w:pos="9016"/>
                </w:tabs>
                <w:rPr>
                  <w:rFonts w:eastAsiaTheme="minorEastAsia"/>
                  <w:noProof/>
                  <w:kern w:val="2"/>
                  <w:sz w:val="24"/>
                  <w:szCs w:val="24"/>
                  <w:lang w:val="en-US"/>
                  <w14:ligatures w14:val="standardContextual"/>
                </w:rPr>
              </w:pPr>
              <w:hyperlink w:anchor="_Toc218881365" w:history="1">
                <w:r w:rsidRPr="004B727D">
                  <w:rPr>
                    <w:rStyle w:val="Hyperlink"/>
                    <w:rFonts w:cstheme="minorHAnsi"/>
                    <w:noProof/>
                  </w:rPr>
                  <w:t>Bibliography</w:t>
                </w:r>
                <w:r>
                  <w:rPr>
                    <w:noProof/>
                    <w:webHidden/>
                  </w:rPr>
                  <w:tab/>
                </w:r>
                <w:r>
                  <w:rPr>
                    <w:noProof/>
                    <w:webHidden/>
                  </w:rPr>
                  <w:fldChar w:fldCharType="begin"/>
                </w:r>
                <w:r>
                  <w:rPr>
                    <w:noProof/>
                    <w:webHidden/>
                  </w:rPr>
                  <w:instrText xml:space="preserve"> PAGEREF _Toc218881365 \h </w:instrText>
                </w:r>
                <w:r>
                  <w:rPr>
                    <w:noProof/>
                    <w:webHidden/>
                  </w:rPr>
                </w:r>
                <w:r>
                  <w:rPr>
                    <w:noProof/>
                    <w:webHidden/>
                  </w:rPr>
                  <w:fldChar w:fldCharType="separate"/>
                </w:r>
                <w:r>
                  <w:rPr>
                    <w:noProof/>
                    <w:webHidden/>
                  </w:rPr>
                  <w:t>22</w:t>
                </w:r>
                <w:r>
                  <w:rPr>
                    <w:noProof/>
                    <w:webHidden/>
                  </w:rPr>
                  <w:fldChar w:fldCharType="end"/>
                </w:r>
              </w:hyperlink>
            </w:p>
            <w:p w14:paraId="05194699" w14:textId="762B5174" w:rsidR="007D1947" w:rsidRPr="0027530E" w:rsidRDefault="007D1947">
              <w:pPr>
                <w:rPr>
                  <w:rFonts w:cstheme="minorHAnsi"/>
                </w:rPr>
              </w:pPr>
              <w:r w:rsidRPr="0027530E">
                <w:rPr>
                  <w:rFonts w:cstheme="minorHAnsi"/>
                  <w:b/>
                  <w:bCs/>
                  <w:noProof/>
                </w:rPr>
                <w:fldChar w:fldCharType="end"/>
              </w:r>
              <w:r w:rsidR="0027530E" w:rsidRPr="0027530E">
                <w:rPr>
                  <w:rFonts w:cstheme="minorHAnsi"/>
                  <w:b/>
                  <w:bCs/>
                  <w:noProof/>
                </w:rPr>
                <w:t xml:space="preserve"> </w:t>
              </w:r>
            </w:p>
          </w:sdtContent>
        </w:sdt>
        <w:p w14:paraId="35B6052B" w14:textId="77777777" w:rsidR="007D1947" w:rsidRPr="0027530E" w:rsidRDefault="007D1947">
          <w:pPr>
            <w:rPr>
              <w:rFonts w:cstheme="minorHAnsi"/>
            </w:rPr>
          </w:pPr>
        </w:p>
        <w:p w14:paraId="22F11532" w14:textId="77777777" w:rsidR="007D1947" w:rsidRPr="0027530E" w:rsidRDefault="007D1947">
          <w:pPr>
            <w:rPr>
              <w:rFonts w:cstheme="minorHAnsi"/>
            </w:rPr>
          </w:pPr>
        </w:p>
        <w:p w14:paraId="15C6D916" w14:textId="77777777" w:rsidR="007D1947" w:rsidRPr="0027530E" w:rsidRDefault="007D1947">
          <w:pPr>
            <w:rPr>
              <w:rFonts w:cstheme="minorHAnsi"/>
            </w:rPr>
          </w:pPr>
        </w:p>
        <w:p w14:paraId="0882E422" w14:textId="77777777" w:rsidR="007D1947" w:rsidRPr="0027530E" w:rsidRDefault="007D1947">
          <w:pPr>
            <w:rPr>
              <w:rFonts w:cstheme="minorHAnsi"/>
            </w:rPr>
          </w:pPr>
        </w:p>
        <w:p w14:paraId="2076963D" w14:textId="77777777" w:rsidR="007D1947" w:rsidRPr="0027530E" w:rsidRDefault="007D1947">
          <w:pPr>
            <w:rPr>
              <w:rFonts w:cstheme="minorHAnsi"/>
            </w:rPr>
          </w:pPr>
        </w:p>
        <w:p w14:paraId="006E6A3F" w14:textId="77777777" w:rsidR="007D1947" w:rsidRPr="0027530E" w:rsidRDefault="007D1947">
          <w:pPr>
            <w:rPr>
              <w:rFonts w:cstheme="minorHAnsi"/>
            </w:rPr>
          </w:pPr>
        </w:p>
        <w:p w14:paraId="26EE9C53" w14:textId="77777777" w:rsidR="007D1947" w:rsidRPr="0027530E" w:rsidRDefault="007D1947">
          <w:pPr>
            <w:rPr>
              <w:rFonts w:cstheme="minorHAnsi"/>
            </w:rPr>
          </w:pPr>
        </w:p>
        <w:p w14:paraId="2AEFE0CA" w14:textId="77777777" w:rsidR="007D1947" w:rsidRPr="0027530E" w:rsidRDefault="007D1947">
          <w:pPr>
            <w:rPr>
              <w:rFonts w:cstheme="minorHAnsi"/>
            </w:rPr>
          </w:pPr>
        </w:p>
        <w:p w14:paraId="4F8F730C" w14:textId="77777777" w:rsidR="007D1947" w:rsidRPr="0027530E" w:rsidRDefault="007D1947">
          <w:pPr>
            <w:rPr>
              <w:rFonts w:cstheme="minorHAnsi"/>
            </w:rPr>
          </w:pPr>
        </w:p>
        <w:p w14:paraId="4D3D6465" w14:textId="77777777" w:rsidR="007D1947" w:rsidRPr="0027530E" w:rsidRDefault="007D1947">
          <w:pPr>
            <w:rPr>
              <w:rFonts w:cstheme="minorHAnsi"/>
            </w:rPr>
          </w:pPr>
        </w:p>
        <w:p w14:paraId="47414E5B" w14:textId="77777777" w:rsidR="007D1947" w:rsidRPr="0027530E" w:rsidRDefault="007D1947">
          <w:pPr>
            <w:rPr>
              <w:rFonts w:cstheme="minorHAnsi"/>
            </w:rPr>
          </w:pPr>
        </w:p>
        <w:p w14:paraId="2F67E6D4" w14:textId="77777777" w:rsidR="007D1947" w:rsidRPr="0027530E" w:rsidRDefault="007D1947">
          <w:pPr>
            <w:rPr>
              <w:rFonts w:cstheme="minorHAnsi"/>
            </w:rPr>
          </w:pPr>
        </w:p>
        <w:p w14:paraId="400F30D3" w14:textId="77777777" w:rsidR="007D1947" w:rsidRPr="0027530E" w:rsidRDefault="007D1947">
          <w:pPr>
            <w:rPr>
              <w:rFonts w:cstheme="minorHAnsi"/>
            </w:rPr>
          </w:pPr>
        </w:p>
        <w:p w14:paraId="21D0F861" w14:textId="77777777" w:rsidR="007D1947" w:rsidRPr="0027530E" w:rsidRDefault="007D1947">
          <w:pPr>
            <w:rPr>
              <w:rFonts w:cstheme="minorHAnsi"/>
            </w:rPr>
          </w:pPr>
        </w:p>
        <w:p w14:paraId="68D56007" w14:textId="25DC41A4" w:rsidR="007D1947" w:rsidRPr="0027530E" w:rsidRDefault="007D1947">
          <w:pPr>
            <w:rPr>
              <w:rFonts w:cstheme="minorHAnsi"/>
            </w:rPr>
          </w:pPr>
        </w:p>
        <w:p w14:paraId="0DCF0194" w14:textId="70600FC3" w:rsidR="00084E65" w:rsidRPr="0027530E" w:rsidRDefault="00084E65">
          <w:pPr>
            <w:rPr>
              <w:rFonts w:cstheme="minorHAnsi"/>
            </w:rPr>
          </w:pPr>
        </w:p>
        <w:p w14:paraId="30499783" w14:textId="1246572E" w:rsidR="00084E65" w:rsidRPr="0027530E" w:rsidRDefault="00084E65">
          <w:pPr>
            <w:rPr>
              <w:rFonts w:cstheme="minorHAnsi"/>
            </w:rPr>
          </w:pPr>
        </w:p>
        <w:p w14:paraId="2F8B4A57" w14:textId="0DAFC227" w:rsidR="00084E65" w:rsidRPr="0027530E" w:rsidRDefault="00084E65">
          <w:pPr>
            <w:rPr>
              <w:rFonts w:cstheme="minorHAnsi"/>
            </w:rPr>
          </w:pPr>
        </w:p>
        <w:p w14:paraId="2AB7FDC7" w14:textId="6F8F8A31" w:rsidR="00084E65" w:rsidRPr="0027530E" w:rsidRDefault="00084E65">
          <w:pPr>
            <w:rPr>
              <w:rFonts w:cstheme="minorHAnsi"/>
            </w:rPr>
          </w:pPr>
        </w:p>
        <w:p w14:paraId="70B55DE7" w14:textId="77777777" w:rsidR="00084E65" w:rsidRPr="0027530E" w:rsidRDefault="00084E65">
          <w:pPr>
            <w:rPr>
              <w:rFonts w:cstheme="minorHAnsi"/>
            </w:rPr>
          </w:pPr>
        </w:p>
        <w:p w14:paraId="5CD1CE9F" w14:textId="77777777" w:rsidR="007D1947" w:rsidRPr="0027530E" w:rsidRDefault="007D1947">
          <w:pPr>
            <w:rPr>
              <w:rFonts w:cstheme="minorHAnsi"/>
            </w:rPr>
          </w:pPr>
        </w:p>
        <w:p w14:paraId="655F29CA" w14:textId="77777777" w:rsidR="007D1947" w:rsidRPr="0027530E" w:rsidRDefault="007D1947">
          <w:pPr>
            <w:rPr>
              <w:rFonts w:cstheme="minorHAnsi"/>
            </w:rPr>
          </w:pPr>
        </w:p>
        <w:p w14:paraId="54C81D2A" w14:textId="5ECABBDB" w:rsidR="007D1947" w:rsidRPr="0027530E" w:rsidRDefault="007D1947" w:rsidP="0027530E">
          <w:pPr>
            <w:pStyle w:val="Heading1"/>
            <w:rPr>
              <w:rFonts w:asciiTheme="minorHAnsi" w:hAnsiTheme="minorHAnsi" w:cstheme="minorHAnsi"/>
            </w:rPr>
          </w:pPr>
          <w:bookmarkStart w:id="1" w:name="_Toc218881340"/>
          <w:r w:rsidRPr="0027530E">
            <w:rPr>
              <w:rFonts w:asciiTheme="minorHAnsi" w:hAnsiTheme="minorHAnsi" w:cstheme="minorHAnsi"/>
            </w:rPr>
            <w:t>Introduction</w:t>
          </w:r>
          <w:bookmarkEnd w:id="1"/>
        </w:p>
        <w:p w14:paraId="33A6810A" w14:textId="4D201F62" w:rsidR="0027530E" w:rsidRPr="0027530E" w:rsidRDefault="0027530E" w:rsidP="0027530E">
          <w:pPr>
            <w:rPr>
              <w:rFonts w:cstheme="minorHAnsi"/>
              <w:color w:val="222222"/>
              <w:shd w:val="clear" w:color="auto" w:fill="FFFFFF"/>
              <w:lang w:val="en-US"/>
            </w:rPr>
          </w:pPr>
          <w:r w:rsidRPr="0027530E">
            <w:rPr>
              <w:rFonts w:cstheme="minorHAnsi"/>
              <w:color w:val="222222"/>
              <w:shd w:val="clear" w:color="auto" w:fill="FFFFFF"/>
              <w:lang w:val="en-US"/>
            </w:rPr>
            <w:t>Sainsbury is the biggest food retailer in the UK and a part of the FTSE 100 index, and it has its operations in both grocery and general merchandise, as well as an online retail business model</w:t>
          </w:r>
          <w:r w:rsidR="004C40AF">
            <w:rPr>
              <w:rFonts w:cstheme="minorHAnsi"/>
              <w:color w:val="222222"/>
              <w:shd w:val="clear" w:color="auto" w:fill="FFFFFF"/>
              <w:lang w:val="en-US"/>
            </w:rPr>
            <w:t xml:space="preserve"> (</w:t>
          </w:r>
          <w:r w:rsidR="004C40AF" w:rsidRPr="004C40AF">
            <w:rPr>
              <w:rFonts w:cstheme="minorHAnsi"/>
              <w:color w:val="222222"/>
              <w:shd w:val="clear" w:color="auto" w:fill="FFFFFF"/>
              <w:lang w:val="en-US"/>
            </w:rPr>
            <w:t>Kar, Bansal, and Mishra</w:t>
          </w:r>
          <w:r w:rsidR="004C40AF">
            <w:rPr>
              <w:rFonts w:cstheme="minorHAnsi"/>
              <w:color w:val="222222"/>
              <w:shd w:val="clear" w:color="auto" w:fill="FFFFFF"/>
              <w:lang w:val="en-US"/>
            </w:rPr>
            <w:t>, 2021)</w:t>
          </w:r>
          <w:r w:rsidRPr="0027530E">
            <w:rPr>
              <w:rFonts w:cstheme="minorHAnsi"/>
              <w:color w:val="222222"/>
              <w:shd w:val="clear" w:color="auto" w:fill="FFFFFF"/>
              <w:lang w:val="en-US"/>
            </w:rPr>
            <w:t>. High sensitivity to inflation, supply-chain disruption, and consumer spending behaviour changes defines the UK retail industry as characterised by intense price competition, low operating margins, and high sensitivity</w:t>
          </w:r>
          <w:r w:rsidR="004C40AF">
            <w:rPr>
              <w:rFonts w:cstheme="minorHAnsi"/>
              <w:color w:val="222222"/>
              <w:shd w:val="clear" w:color="auto" w:fill="FFFFFF"/>
              <w:lang w:val="en-US"/>
            </w:rPr>
            <w:t xml:space="preserve"> (</w:t>
          </w:r>
          <w:r w:rsidR="004C40AF" w:rsidRPr="004C40AF">
            <w:rPr>
              <w:rFonts w:cstheme="minorHAnsi"/>
              <w:color w:val="222222"/>
              <w:shd w:val="clear" w:color="auto" w:fill="FFFFFF"/>
              <w:lang w:val="en-US"/>
            </w:rPr>
            <w:t>Gao</w:t>
          </w:r>
          <w:r w:rsidR="004C40AF">
            <w:rPr>
              <w:rFonts w:cstheme="minorHAnsi"/>
              <w:color w:val="222222"/>
              <w:shd w:val="clear" w:color="auto" w:fill="FFFFFF"/>
              <w:lang w:val="en-US"/>
            </w:rPr>
            <w:t>, 2024)</w:t>
          </w:r>
          <w:r w:rsidRPr="0027530E">
            <w:rPr>
              <w:rFonts w:cstheme="minorHAnsi"/>
              <w:color w:val="222222"/>
              <w:shd w:val="clear" w:color="auto" w:fill="FFFFFF"/>
              <w:lang w:val="en-US"/>
            </w:rPr>
            <w:t>. Competitive advantage and shareholder value are highly dependent on effective financial management, especially regarding profitability, liquidity, and working capital in this environment (Atrill &amp; McLane, 2019).</w:t>
          </w:r>
        </w:p>
        <w:p w14:paraId="15B12EFB" w14:textId="77777777" w:rsidR="0027530E" w:rsidRPr="0027530E" w:rsidRDefault="0027530E" w:rsidP="0027530E">
          <w:pPr>
            <w:rPr>
              <w:rFonts w:cstheme="minorHAnsi"/>
              <w:color w:val="222222"/>
              <w:shd w:val="clear" w:color="auto" w:fill="FFFFFF"/>
              <w:lang w:val="en-US"/>
            </w:rPr>
          </w:pPr>
          <w:r w:rsidRPr="0027530E">
            <w:rPr>
              <w:rFonts w:cstheme="minorHAnsi"/>
              <w:color w:val="222222"/>
              <w:shd w:val="clear" w:color="auto" w:fill="FFFFFF"/>
              <w:lang w:val="en-US"/>
            </w:rPr>
            <w:t>This report is done to analyse the financial performance of Sainsbury through ratio analysis and investment appraisal as part of analysing financial management effectiveness. The analysis is posed in two sections. Part 1 critically evaluates the last financial performance of Sainsbury based on its profitability, liquidity, efficiency, gearing, and investor ratios. Part 2 is dedicated to the capital investment decision-making and financing aspect applicable in the long-term strategic development.</w:t>
          </w:r>
        </w:p>
        <w:p w14:paraId="49641E90" w14:textId="77777777" w:rsidR="0027530E" w:rsidRPr="0027530E" w:rsidRDefault="0027530E" w:rsidP="0027530E">
          <w:pPr>
            <w:rPr>
              <w:rFonts w:cstheme="minorHAnsi"/>
              <w:color w:val="222222"/>
              <w:shd w:val="clear" w:color="auto" w:fill="FFFFFF"/>
              <w:lang w:val="en-US"/>
            </w:rPr>
          </w:pPr>
          <w:r w:rsidRPr="0027530E">
            <w:rPr>
              <w:rFonts w:cstheme="minorHAnsi"/>
              <w:color w:val="222222"/>
              <w:shd w:val="clear" w:color="auto" w:fill="FFFFFF"/>
              <w:lang w:val="en-US"/>
            </w:rPr>
            <w:t>The time frame examined in Part 1 is based on the 2 last two financial years, which provides an opportunity to conduct some trend analysis and define some improvements or worsenings of the performance. In creating the distinction between short-term volatility and fundamentally structural trends in the business, it is necessary to analyse sequential periods (Atrill, 2019).</w:t>
          </w:r>
        </w:p>
        <w:p w14:paraId="7C657C89" w14:textId="2295B214" w:rsidR="00AA2A91" w:rsidRPr="0027530E" w:rsidRDefault="0027530E" w:rsidP="0027530E">
          <w:pPr>
            <w:rPr>
              <w:rFonts w:cstheme="minorHAnsi"/>
            </w:rPr>
          </w:pPr>
          <w:r w:rsidRPr="0027530E">
            <w:rPr>
              <w:rFonts w:cstheme="minorHAnsi"/>
              <w:color w:val="222222"/>
              <w:shd w:val="clear" w:color="auto" w:fill="FFFFFF"/>
              <w:lang w:val="en-US"/>
            </w:rPr>
            <w:t>Financial ratio analysis is a crucial managerial tool because it is used to transform vast amounts of accounting data into useful performance, efficiency, and risk indicators. Ratios help the board of directors and top managers to assess the efficacy and performance of operations in regard to the strength of liquidity, returns on capital invested, and aid benchmarking against industry standards (Arnold, 2013).</w:t>
          </w:r>
        </w:p>
        <w:p w14:paraId="6DF73EDF" w14:textId="63DD63DC" w:rsidR="00480872" w:rsidRPr="0027530E" w:rsidRDefault="00480872" w:rsidP="0027530E">
          <w:pPr>
            <w:pStyle w:val="Heading1"/>
            <w:rPr>
              <w:rFonts w:asciiTheme="minorHAnsi" w:hAnsiTheme="minorHAnsi" w:cstheme="minorHAnsi"/>
            </w:rPr>
          </w:pPr>
          <w:bookmarkStart w:id="2" w:name="_Toc218881341"/>
          <w:r w:rsidRPr="0027530E">
            <w:rPr>
              <w:rFonts w:asciiTheme="minorHAnsi" w:hAnsiTheme="minorHAnsi" w:cstheme="minorHAnsi"/>
            </w:rPr>
            <w:t>Main Findings</w:t>
          </w:r>
          <w:bookmarkEnd w:id="2"/>
        </w:p>
        <w:p w14:paraId="4133DA70" w14:textId="3CEFDF5B" w:rsidR="00480872" w:rsidRPr="0027530E" w:rsidRDefault="00CF0E48" w:rsidP="00480872">
          <w:pPr>
            <w:pStyle w:val="Heading2"/>
            <w:rPr>
              <w:rFonts w:asciiTheme="minorHAnsi" w:hAnsiTheme="minorHAnsi" w:cstheme="minorHAnsi"/>
            </w:rPr>
          </w:pPr>
          <w:bookmarkStart w:id="3" w:name="_Toc218881342"/>
          <w:r w:rsidRPr="0027530E">
            <w:rPr>
              <w:rFonts w:asciiTheme="minorHAnsi" w:hAnsiTheme="minorHAnsi" w:cstheme="minorHAnsi"/>
            </w:rPr>
            <w:t>Task 1</w:t>
          </w:r>
          <w:bookmarkEnd w:id="3"/>
        </w:p>
        <w:p w14:paraId="4EB2D272" w14:textId="3EA0AAAB" w:rsidR="0027530E" w:rsidRPr="0027530E" w:rsidRDefault="0027530E" w:rsidP="0027530E">
          <w:pPr>
            <w:rPr>
              <w:rFonts w:cstheme="minorHAnsi"/>
              <w:b/>
              <w:bCs/>
              <w:lang w:val="en-US"/>
            </w:rPr>
          </w:pPr>
          <w:r w:rsidRPr="0027530E">
            <w:rPr>
              <w:rFonts w:cstheme="minorHAnsi"/>
              <w:b/>
              <w:bCs/>
              <w:lang w:val="en-US"/>
            </w:rPr>
            <w:t xml:space="preserve">1.1 Profitability Analysis </w:t>
          </w:r>
        </w:p>
        <w:p w14:paraId="3D40423F" w14:textId="157E2E3D" w:rsidR="0027530E" w:rsidRPr="0027530E" w:rsidRDefault="0027530E" w:rsidP="0027530E">
          <w:pPr>
            <w:rPr>
              <w:rFonts w:cstheme="minorHAnsi"/>
              <w:lang w:val="en-US"/>
            </w:rPr>
          </w:pPr>
          <w:r w:rsidRPr="0027530E">
            <w:rPr>
              <w:rFonts w:cstheme="minorHAnsi"/>
              <w:lang w:val="en-US"/>
            </w:rPr>
            <w:t>The profitability ratios are used to assess how well the firm can earn profits based on the relationship between the amount of sales, assets, and the amount of capital used by the company</w:t>
          </w:r>
          <w:r w:rsidR="004C40AF">
            <w:rPr>
              <w:rFonts w:cstheme="minorHAnsi"/>
              <w:lang w:val="en-US"/>
            </w:rPr>
            <w:t xml:space="preserve"> (</w:t>
          </w:r>
          <w:r w:rsidR="004C40AF" w:rsidRPr="004C40AF">
            <w:rPr>
              <w:rFonts w:cstheme="minorHAnsi"/>
              <w:lang w:val="en-US"/>
            </w:rPr>
            <w:t>Rashid</w:t>
          </w:r>
          <w:r w:rsidR="004C40AF">
            <w:rPr>
              <w:rFonts w:cstheme="minorHAnsi"/>
              <w:lang w:val="en-US"/>
            </w:rPr>
            <w:t>, 2021</w:t>
          </w:r>
          <w:r w:rsidR="007C5EC2">
            <w:rPr>
              <w:rFonts w:cstheme="minorHAnsi"/>
              <w:lang w:val="en-US"/>
            </w:rPr>
            <w:t>a</w:t>
          </w:r>
          <w:r w:rsidR="004C40AF">
            <w:rPr>
              <w:rFonts w:cstheme="minorHAnsi"/>
              <w:lang w:val="en-US"/>
            </w:rPr>
            <w:t>)</w:t>
          </w:r>
          <w:r w:rsidRPr="0027530E">
            <w:rPr>
              <w:rFonts w:cstheme="minorHAnsi"/>
              <w:lang w:val="en-US"/>
            </w:rPr>
            <w:t>, and are of primary interest to the shareholders and senior management. Table 1 presents the major profitability ratios that will be used to evaluate Sainsbury.</w:t>
          </w:r>
        </w:p>
        <w:p w14:paraId="653A34C4" w14:textId="77777777" w:rsidR="0027530E" w:rsidRPr="0027530E" w:rsidRDefault="0027530E" w:rsidP="0027530E">
          <w:pPr>
            <w:jc w:val="center"/>
            <w:rPr>
              <w:rFonts w:cstheme="minorHAnsi"/>
              <w:lang w:val="en-US"/>
            </w:rPr>
          </w:pPr>
          <w:r w:rsidRPr="0027530E">
            <w:rPr>
              <w:rFonts w:cstheme="minorHAnsi"/>
              <w:lang w:val="en-US"/>
            </w:rPr>
            <w:t>Table 1: Key Profitability Ratios</w:t>
          </w:r>
        </w:p>
        <w:tbl>
          <w:tblPr>
            <w:tblStyle w:val="TableGrid"/>
            <w:tblW w:w="0" w:type="auto"/>
            <w:tblLook w:val="04A0" w:firstRow="1" w:lastRow="0" w:firstColumn="1" w:lastColumn="0" w:noHBand="0" w:noVBand="1"/>
          </w:tblPr>
          <w:tblGrid>
            <w:gridCol w:w="2526"/>
            <w:gridCol w:w="2820"/>
            <w:gridCol w:w="3173"/>
          </w:tblGrid>
          <w:tr w:rsidR="0027530E" w:rsidRPr="0027530E" w14:paraId="16FA0F08" w14:textId="77777777" w:rsidTr="00D816E9">
            <w:tc>
              <w:tcPr>
                <w:tcW w:w="0" w:type="auto"/>
                <w:hideMark/>
              </w:tcPr>
              <w:p w14:paraId="050720CB" w14:textId="77777777" w:rsidR="0027530E" w:rsidRPr="0027530E" w:rsidRDefault="0027530E" w:rsidP="0027530E">
                <w:pPr>
                  <w:spacing w:after="160" w:line="259" w:lineRule="auto"/>
                  <w:rPr>
                    <w:rFonts w:cstheme="minorHAnsi"/>
                    <w:b/>
                    <w:bCs/>
                  </w:rPr>
                </w:pPr>
                <w:r w:rsidRPr="0027530E">
                  <w:rPr>
                    <w:rFonts w:cstheme="minorHAnsi"/>
                    <w:b/>
                    <w:bCs/>
                  </w:rPr>
                  <w:t>Ratio</w:t>
                </w:r>
              </w:p>
            </w:tc>
            <w:tc>
              <w:tcPr>
                <w:tcW w:w="0" w:type="auto"/>
                <w:hideMark/>
              </w:tcPr>
              <w:p w14:paraId="7D81BA33" w14:textId="77777777" w:rsidR="0027530E" w:rsidRPr="0027530E" w:rsidRDefault="0027530E" w:rsidP="0027530E">
                <w:pPr>
                  <w:spacing w:after="160" w:line="259" w:lineRule="auto"/>
                  <w:rPr>
                    <w:rFonts w:cstheme="minorHAnsi"/>
                    <w:b/>
                    <w:bCs/>
                  </w:rPr>
                </w:pPr>
                <w:r w:rsidRPr="0027530E">
                  <w:rPr>
                    <w:rFonts w:cstheme="minorHAnsi"/>
                    <w:b/>
                    <w:bCs/>
                  </w:rPr>
                  <w:t>Formula</w:t>
                </w:r>
              </w:p>
            </w:tc>
            <w:tc>
              <w:tcPr>
                <w:tcW w:w="0" w:type="auto"/>
                <w:hideMark/>
              </w:tcPr>
              <w:p w14:paraId="74D1280A" w14:textId="77777777" w:rsidR="0027530E" w:rsidRPr="0027530E" w:rsidRDefault="0027530E" w:rsidP="0027530E">
                <w:pPr>
                  <w:spacing w:after="160" w:line="259" w:lineRule="auto"/>
                  <w:rPr>
                    <w:rFonts w:cstheme="minorHAnsi"/>
                    <w:b/>
                    <w:bCs/>
                  </w:rPr>
                </w:pPr>
                <w:r w:rsidRPr="0027530E">
                  <w:rPr>
                    <w:rFonts w:cstheme="minorHAnsi"/>
                    <w:b/>
                    <w:bCs/>
                  </w:rPr>
                  <w:t>Managerial Insight</w:t>
                </w:r>
              </w:p>
            </w:tc>
          </w:tr>
          <w:tr w:rsidR="0027530E" w:rsidRPr="0027530E" w14:paraId="70F8E208" w14:textId="77777777" w:rsidTr="00D816E9">
            <w:tc>
              <w:tcPr>
                <w:tcW w:w="0" w:type="auto"/>
                <w:hideMark/>
              </w:tcPr>
              <w:p w14:paraId="121F6214" w14:textId="77777777" w:rsidR="0027530E" w:rsidRPr="0027530E" w:rsidRDefault="0027530E" w:rsidP="0027530E">
                <w:pPr>
                  <w:spacing w:after="160" w:line="259" w:lineRule="auto"/>
                  <w:rPr>
                    <w:rFonts w:cstheme="minorHAnsi"/>
                  </w:rPr>
                </w:pPr>
                <w:r w:rsidRPr="0027530E">
                  <w:rPr>
                    <w:rFonts w:cstheme="minorHAnsi"/>
                  </w:rPr>
                  <w:t>Gross Profit Margin</w:t>
                </w:r>
              </w:p>
            </w:tc>
            <w:tc>
              <w:tcPr>
                <w:tcW w:w="0" w:type="auto"/>
                <w:hideMark/>
              </w:tcPr>
              <w:p w14:paraId="59024745" w14:textId="77777777" w:rsidR="0027530E" w:rsidRPr="0027530E" w:rsidRDefault="0027530E" w:rsidP="0027530E">
                <w:pPr>
                  <w:spacing w:after="160" w:line="259" w:lineRule="auto"/>
                  <w:rPr>
                    <w:rFonts w:cstheme="minorHAnsi"/>
                  </w:rPr>
                </w:pPr>
                <w:r w:rsidRPr="0027530E">
                  <w:rPr>
                    <w:rFonts w:cstheme="minorHAnsi"/>
                  </w:rPr>
                  <w:t>Gross Profit / Revenue</w:t>
                </w:r>
              </w:p>
            </w:tc>
            <w:tc>
              <w:tcPr>
                <w:tcW w:w="0" w:type="auto"/>
                <w:hideMark/>
              </w:tcPr>
              <w:p w14:paraId="47751023" w14:textId="77777777" w:rsidR="0027530E" w:rsidRPr="0027530E" w:rsidRDefault="0027530E" w:rsidP="0027530E">
                <w:pPr>
                  <w:spacing w:after="160" w:line="259" w:lineRule="auto"/>
                  <w:rPr>
                    <w:rFonts w:cstheme="minorHAnsi"/>
                  </w:rPr>
                </w:pPr>
                <w:r w:rsidRPr="0027530E">
                  <w:rPr>
                    <w:rFonts w:cstheme="minorHAnsi"/>
                  </w:rPr>
                  <w:t>Pricing power and cost control</w:t>
                </w:r>
              </w:p>
            </w:tc>
          </w:tr>
          <w:tr w:rsidR="0027530E" w:rsidRPr="0027530E" w14:paraId="5778856A" w14:textId="77777777" w:rsidTr="00D816E9">
            <w:tc>
              <w:tcPr>
                <w:tcW w:w="0" w:type="auto"/>
                <w:hideMark/>
              </w:tcPr>
              <w:p w14:paraId="17044C83" w14:textId="77777777" w:rsidR="0027530E" w:rsidRPr="0027530E" w:rsidRDefault="0027530E" w:rsidP="0027530E">
                <w:pPr>
                  <w:spacing w:after="160" w:line="259" w:lineRule="auto"/>
                  <w:rPr>
                    <w:rFonts w:cstheme="minorHAnsi"/>
                  </w:rPr>
                </w:pPr>
                <w:r w:rsidRPr="0027530E">
                  <w:rPr>
                    <w:rFonts w:cstheme="minorHAnsi"/>
                  </w:rPr>
                  <w:t>Operating Profit Margin</w:t>
                </w:r>
              </w:p>
            </w:tc>
            <w:tc>
              <w:tcPr>
                <w:tcW w:w="0" w:type="auto"/>
                <w:hideMark/>
              </w:tcPr>
              <w:p w14:paraId="1AF7FDF5" w14:textId="77777777" w:rsidR="0027530E" w:rsidRPr="0027530E" w:rsidRDefault="0027530E" w:rsidP="0027530E">
                <w:pPr>
                  <w:spacing w:after="160" w:line="259" w:lineRule="auto"/>
                  <w:rPr>
                    <w:rFonts w:cstheme="minorHAnsi"/>
                  </w:rPr>
                </w:pPr>
                <w:r w:rsidRPr="0027530E">
                  <w:rPr>
                    <w:rFonts w:cstheme="minorHAnsi"/>
                  </w:rPr>
                  <w:t>Operating Profit / Revenue</w:t>
                </w:r>
              </w:p>
            </w:tc>
            <w:tc>
              <w:tcPr>
                <w:tcW w:w="0" w:type="auto"/>
                <w:hideMark/>
              </w:tcPr>
              <w:p w14:paraId="36D6549B" w14:textId="77777777" w:rsidR="0027530E" w:rsidRPr="0027530E" w:rsidRDefault="0027530E" w:rsidP="0027530E">
                <w:pPr>
                  <w:spacing w:after="160" w:line="259" w:lineRule="auto"/>
                  <w:rPr>
                    <w:rFonts w:cstheme="minorHAnsi"/>
                  </w:rPr>
                </w:pPr>
                <w:r w:rsidRPr="0027530E">
                  <w:rPr>
                    <w:rFonts w:cstheme="minorHAnsi"/>
                  </w:rPr>
                  <w:t>Core operating efficiency</w:t>
                </w:r>
              </w:p>
            </w:tc>
          </w:tr>
          <w:tr w:rsidR="0027530E" w:rsidRPr="0027530E" w14:paraId="3DAD7D79" w14:textId="77777777" w:rsidTr="00D816E9">
            <w:tc>
              <w:tcPr>
                <w:tcW w:w="0" w:type="auto"/>
                <w:hideMark/>
              </w:tcPr>
              <w:p w14:paraId="45A31BCF" w14:textId="77777777" w:rsidR="0027530E" w:rsidRPr="0027530E" w:rsidRDefault="0027530E" w:rsidP="0027530E">
                <w:pPr>
                  <w:spacing w:after="160" w:line="259" w:lineRule="auto"/>
                  <w:rPr>
                    <w:rFonts w:cstheme="minorHAnsi"/>
                  </w:rPr>
                </w:pPr>
                <w:r w:rsidRPr="0027530E">
                  <w:rPr>
                    <w:rFonts w:cstheme="minorHAnsi"/>
                  </w:rPr>
                  <w:t>Net Profit Margin</w:t>
                </w:r>
              </w:p>
            </w:tc>
            <w:tc>
              <w:tcPr>
                <w:tcW w:w="0" w:type="auto"/>
                <w:hideMark/>
              </w:tcPr>
              <w:p w14:paraId="1D6EA80C" w14:textId="77777777" w:rsidR="0027530E" w:rsidRPr="0027530E" w:rsidRDefault="0027530E" w:rsidP="0027530E">
                <w:pPr>
                  <w:spacing w:after="160" w:line="259" w:lineRule="auto"/>
                  <w:rPr>
                    <w:rFonts w:cstheme="minorHAnsi"/>
                  </w:rPr>
                </w:pPr>
                <w:r w:rsidRPr="0027530E">
                  <w:rPr>
                    <w:rFonts w:cstheme="minorHAnsi"/>
                  </w:rPr>
                  <w:t>Profit After Tax / Revenue</w:t>
                </w:r>
              </w:p>
            </w:tc>
            <w:tc>
              <w:tcPr>
                <w:tcW w:w="0" w:type="auto"/>
                <w:hideMark/>
              </w:tcPr>
              <w:p w14:paraId="393191A7" w14:textId="77777777" w:rsidR="0027530E" w:rsidRPr="0027530E" w:rsidRDefault="0027530E" w:rsidP="0027530E">
                <w:pPr>
                  <w:spacing w:after="160" w:line="259" w:lineRule="auto"/>
                  <w:rPr>
                    <w:rFonts w:cstheme="minorHAnsi"/>
                  </w:rPr>
                </w:pPr>
                <w:r w:rsidRPr="0027530E">
                  <w:rPr>
                    <w:rFonts w:cstheme="minorHAnsi"/>
                  </w:rPr>
                  <w:t>Overall profitability</w:t>
                </w:r>
              </w:p>
            </w:tc>
          </w:tr>
        </w:tbl>
        <w:p w14:paraId="43B36193" w14:textId="72FEB97F" w:rsidR="0027530E" w:rsidRPr="0027530E" w:rsidRDefault="0027530E" w:rsidP="0027530E">
          <w:pPr>
            <w:rPr>
              <w:rFonts w:cstheme="minorHAnsi"/>
              <w:lang w:val="en-US"/>
            </w:rPr>
          </w:pPr>
          <w:r w:rsidRPr="0027530E">
            <w:rPr>
              <w:rFonts w:cstheme="minorHAnsi"/>
              <w:lang w:val="en-US"/>
            </w:rPr>
            <w:t>The gross profit margin indicates that Sainsbury can control purchasing expenses and pricing policy in a very competitive retail market. Price wars between discounters like Aldi and Lidl are on a structural basis in groceries, resulting in a low grocer's margin. Consequently, minor changes in the gross margin can have a substantial effect on the absolute profit levels</w:t>
          </w:r>
          <w:r w:rsidR="00EB40BA">
            <w:rPr>
              <w:rFonts w:cstheme="minorHAnsi"/>
              <w:lang w:val="en-US"/>
            </w:rPr>
            <w:t xml:space="preserve"> (</w:t>
          </w:r>
          <w:r w:rsidR="00EB40BA" w:rsidRPr="00EB40BA">
            <w:rPr>
              <w:rFonts w:cstheme="minorHAnsi"/>
              <w:lang w:val="en-US"/>
            </w:rPr>
            <w:t>Zalizniuk and Nozhovnik</w:t>
          </w:r>
          <w:r w:rsidR="00EB40BA">
            <w:rPr>
              <w:rFonts w:cstheme="minorHAnsi"/>
              <w:lang w:val="en-US"/>
            </w:rPr>
            <w:t>, 2024)</w:t>
          </w:r>
          <w:r w:rsidRPr="0027530E">
            <w:rPr>
              <w:rFonts w:cstheme="minorHAnsi"/>
              <w:lang w:val="en-US"/>
            </w:rPr>
            <w:t>. An increasing or stagnant gross proportion during the two years would show that the supplier was negotiated successfully and the product mix was optimised (Atrill &amp; McLaney, 2019).</w:t>
          </w:r>
        </w:p>
        <w:p w14:paraId="53B31D57" w14:textId="4DA92C1C" w:rsidR="0027530E" w:rsidRPr="0027530E" w:rsidRDefault="0027530E" w:rsidP="0027530E">
          <w:pPr>
            <w:rPr>
              <w:rFonts w:cstheme="minorHAnsi"/>
              <w:lang w:val="en-US"/>
            </w:rPr>
          </w:pPr>
          <w:r w:rsidRPr="0027530E">
            <w:rPr>
              <w:rFonts w:cstheme="minorHAnsi"/>
              <w:lang w:val="en-US"/>
            </w:rPr>
            <w:t>The operating profit margin also gives a perspective on cost management, which has to be over other costs other than direct costs, such as distribution, administration expenses, and store operating expenses</w:t>
          </w:r>
          <w:r w:rsidR="00EB40BA">
            <w:rPr>
              <w:rFonts w:cstheme="minorHAnsi"/>
              <w:lang w:val="en-US"/>
            </w:rPr>
            <w:t xml:space="preserve"> (</w:t>
          </w:r>
          <w:r w:rsidR="00EB40BA" w:rsidRPr="00EB40BA">
            <w:rPr>
              <w:rFonts w:cstheme="minorHAnsi"/>
              <w:lang w:val="en-US"/>
            </w:rPr>
            <w:t>Rounaghi, Jarrar, and Dana,</w:t>
          </w:r>
          <w:r w:rsidR="00EB40BA">
            <w:rPr>
              <w:rFonts w:cstheme="minorHAnsi"/>
              <w:lang w:val="en-US"/>
            </w:rPr>
            <w:t xml:space="preserve"> 2021)</w:t>
          </w:r>
          <w:r w:rsidRPr="0027530E">
            <w:rPr>
              <w:rFonts w:cstheme="minorHAnsi"/>
              <w:lang w:val="en-US"/>
            </w:rPr>
            <w:t>. In Sainsbury, the performance of operating margin is especially sensitive to the cost of labour, the cost of energy, and logistics efficiency. An increase in this ratio is an indicator of effective reorganisation of operations or cost-cutting measures</w:t>
          </w:r>
          <w:r w:rsidR="00EB40BA">
            <w:rPr>
              <w:rFonts w:cstheme="minorHAnsi"/>
              <w:lang w:val="en-US"/>
            </w:rPr>
            <w:t>(</w:t>
          </w:r>
          <w:r w:rsidR="00EB40BA" w:rsidRPr="00EB40BA">
            <w:rPr>
              <w:rFonts w:cstheme="minorHAnsi"/>
              <w:lang w:val="en-US"/>
            </w:rPr>
            <w:t>Shem and Mupa,</w:t>
          </w:r>
          <w:r w:rsidR="00EB40BA">
            <w:rPr>
              <w:rFonts w:cstheme="minorHAnsi"/>
              <w:lang w:val="en-US"/>
            </w:rPr>
            <w:t xml:space="preserve"> 2024)</w:t>
          </w:r>
          <w:r w:rsidRPr="0027530E">
            <w:rPr>
              <w:rFonts w:cstheme="minorHAnsi"/>
              <w:lang w:val="en-US"/>
            </w:rPr>
            <w:t>.</w:t>
          </w:r>
        </w:p>
        <w:p w14:paraId="197983C0" w14:textId="5709CD2A" w:rsidR="0027530E" w:rsidRPr="0027530E" w:rsidRDefault="0027530E" w:rsidP="0027530E">
          <w:pPr>
            <w:rPr>
              <w:rFonts w:cstheme="minorHAnsi"/>
              <w:lang w:val="en-US"/>
            </w:rPr>
          </w:pPr>
          <w:r w:rsidRPr="0027530E">
            <w:rPr>
              <w:rFonts w:cstheme="minorHAnsi"/>
              <w:lang w:val="en-US"/>
            </w:rPr>
            <w:t>The net profit margin also includes financing costs and taxation, which shows the percentage of revenue that will finally be used to generate profit for the shareholders</w:t>
          </w:r>
          <w:r w:rsidR="00EB40BA">
            <w:rPr>
              <w:rFonts w:cstheme="minorHAnsi"/>
              <w:lang w:val="en-US"/>
            </w:rPr>
            <w:t xml:space="preserve"> (</w:t>
          </w:r>
          <w:r w:rsidR="00EB40BA" w:rsidRPr="00EB40BA">
            <w:rPr>
              <w:rFonts w:cstheme="minorHAnsi"/>
              <w:lang w:val="en-US"/>
            </w:rPr>
            <w:t xml:space="preserve">Andoko, A. and Angeline, </w:t>
          </w:r>
          <w:r w:rsidR="00EB40BA">
            <w:rPr>
              <w:rFonts w:cstheme="minorHAnsi"/>
              <w:lang w:val="en-US"/>
            </w:rPr>
            <w:t>2023)</w:t>
          </w:r>
          <w:r w:rsidRPr="0027530E">
            <w:rPr>
              <w:rFonts w:cstheme="minorHAnsi"/>
              <w:lang w:val="en-US"/>
            </w:rPr>
            <w:t>. Considering the size and the financial structure provided by Sainsbury, this ratio indicates that the interest cost and decision-making on the capital structure can have implications for shareholders' returns (Arnold, 2013).</w:t>
          </w:r>
        </w:p>
        <w:p w14:paraId="65C01ADD" w14:textId="75935E92" w:rsidR="0027530E" w:rsidRPr="0027530E" w:rsidRDefault="0027530E" w:rsidP="0027530E">
          <w:pPr>
            <w:rPr>
              <w:rFonts w:cstheme="minorHAnsi"/>
              <w:lang w:val="en-US"/>
            </w:rPr>
          </w:pPr>
          <w:r w:rsidRPr="0027530E">
            <w:rPr>
              <w:rFonts w:cstheme="minorHAnsi"/>
              <w:lang w:val="en-US"/>
            </w:rPr>
            <w:t>Return on Capital Employed (ROCE) is a very important performance gauge among directors because it determines the effectiveness of the company to make operating profit out of long-term capital invested in the business</w:t>
          </w:r>
          <w:r w:rsidR="00EB40BA">
            <w:rPr>
              <w:rFonts w:cstheme="minorHAnsi"/>
              <w:lang w:val="en-US"/>
            </w:rPr>
            <w:t xml:space="preserve"> (</w:t>
          </w:r>
          <w:r w:rsidR="00EB40BA" w:rsidRPr="00EB40BA">
            <w:rPr>
              <w:rFonts w:cstheme="minorHAnsi"/>
              <w:lang w:val="en-US"/>
            </w:rPr>
            <w:t xml:space="preserve">Rosario and Rosario, </w:t>
          </w:r>
          <w:r w:rsidR="00EB40BA">
            <w:rPr>
              <w:rFonts w:cstheme="minorHAnsi"/>
              <w:lang w:val="en-US"/>
            </w:rPr>
            <w:t>2024)</w:t>
          </w:r>
          <w:r w:rsidRPr="0027530E">
            <w:rPr>
              <w:rFonts w:cstheme="minorHAnsi"/>
              <w:lang w:val="en-US"/>
            </w:rPr>
            <w:t>. Accepting a ROCE that is higher than the cost of capital of Sainsbury is an indicator of value creation, whereas a decreasing ROCE can be a sign of inefficient investment or operating performance.</w:t>
          </w:r>
        </w:p>
        <w:p w14:paraId="15D38061" w14:textId="77777777" w:rsidR="0027530E" w:rsidRPr="0027530E" w:rsidRDefault="0027530E" w:rsidP="0027530E">
          <w:pPr>
            <w:jc w:val="center"/>
            <w:rPr>
              <w:rFonts w:cstheme="minorHAnsi"/>
              <w:lang w:val="en-US"/>
            </w:rPr>
          </w:pPr>
          <w:r w:rsidRPr="0027530E">
            <w:rPr>
              <w:rFonts w:cstheme="minorHAnsi"/>
              <w:noProof/>
              <w:lang w:val="en-US"/>
            </w:rPr>
            <w:drawing>
              <wp:inline distT="0" distB="0" distL="0" distR="0" wp14:anchorId="597CCF71" wp14:editId="242F1584">
                <wp:extent cx="4190349" cy="3298785"/>
                <wp:effectExtent l="0" t="0" r="1270" b="3810"/>
                <wp:docPr id="18190364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036419" name="Picture 1819036419"/>
                        <pic:cNvPicPr/>
                      </pic:nvPicPr>
                      <pic:blipFill>
                        <a:blip r:embed="rId10">
                          <a:extLst>
                            <a:ext uri="{28A0092B-C50C-407E-A947-70E740481C1C}">
                              <a14:useLocalDpi xmlns:a14="http://schemas.microsoft.com/office/drawing/2010/main" val="0"/>
                            </a:ext>
                          </a:extLst>
                        </a:blip>
                        <a:stretch>
                          <a:fillRect/>
                        </a:stretch>
                      </pic:blipFill>
                      <pic:spPr>
                        <a:xfrm>
                          <a:off x="0" y="0"/>
                          <a:ext cx="4198542" cy="3305235"/>
                        </a:xfrm>
                        <a:prstGeom prst="rect">
                          <a:avLst/>
                        </a:prstGeom>
                      </pic:spPr>
                    </pic:pic>
                  </a:graphicData>
                </a:graphic>
              </wp:inline>
            </w:drawing>
          </w:r>
        </w:p>
        <w:p w14:paraId="6DF0D8E2" w14:textId="77777777" w:rsidR="0027530E" w:rsidRPr="0027530E" w:rsidRDefault="0027530E" w:rsidP="0027530E">
          <w:pPr>
            <w:jc w:val="center"/>
            <w:rPr>
              <w:rFonts w:cstheme="minorHAnsi"/>
              <w:lang w:val="en-US"/>
            </w:rPr>
          </w:pPr>
          <w:r w:rsidRPr="0027530E">
            <w:rPr>
              <w:rFonts w:cstheme="minorHAnsi"/>
              <w:lang w:val="en-US"/>
            </w:rPr>
            <w:t>Figure 1: ROCE and operating margin trends over two years</w:t>
          </w:r>
        </w:p>
        <w:p w14:paraId="4BBD5987" w14:textId="77777777" w:rsidR="0027530E" w:rsidRPr="0027530E" w:rsidRDefault="0027530E" w:rsidP="0027530E">
          <w:pPr>
            <w:rPr>
              <w:rFonts w:cstheme="minorHAnsi"/>
              <w:lang w:val="en-US"/>
            </w:rPr>
          </w:pPr>
        </w:p>
        <w:p w14:paraId="3A205A99" w14:textId="74110BAD" w:rsidR="0027530E" w:rsidRPr="0027530E" w:rsidRDefault="0027530E" w:rsidP="0027530E">
          <w:pPr>
            <w:rPr>
              <w:rFonts w:cstheme="minorHAnsi"/>
              <w:b/>
              <w:bCs/>
              <w:lang w:val="en-US"/>
            </w:rPr>
          </w:pPr>
          <w:r w:rsidRPr="0027530E">
            <w:rPr>
              <w:rFonts w:cstheme="minorHAnsi"/>
              <w:b/>
              <w:bCs/>
              <w:lang w:val="en-US"/>
            </w:rPr>
            <w:t xml:space="preserve">1.2. Liquidity &amp; Working Capital Management </w:t>
          </w:r>
        </w:p>
        <w:p w14:paraId="06406F29" w14:textId="04D71162" w:rsidR="0027530E" w:rsidRPr="0027530E" w:rsidRDefault="0027530E" w:rsidP="0027530E">
          <w:pPr>
            <w:rPr>
              <w:rFonts w:cstheme="minorHAnsi"/>
              <w:lang w:val="en-US"/>
            </w:rPr>
          </w:pPr>
          <w:r w:rsidRPr="0027530E">
            <w:rPr>
              <w:rFonts w:cstheme="minorHAnsi"/>
              <w:lang w:val="en-US"/>
            </w:rPr>
            <w:t>Retail businesses are especially sensitive to liquidity and working cash management since such businesses have a large number of transactions and a short payment cycle</w:t>
          </w:r>
          <w:r w:rsidR="00EB40BA">
            <w:rPr>
              <w:rFonts w:cstheme="minorHAnsi"/>
              <w:lang w:val="en-US"/>
            </w:rPr>
            <w:t xml:space="preserve"> (</w:t>
          </w:r>
          <w:r w:rsidR="00EB40BA" w:rsidRPr="00EB40BA">
            <w:rPr>
              <w:rFonts w:cstheme="minorHAnsi"/>
              <w:lang w:val="en-US"/>
            </w:rPr>
            <w:t>Kumar</w:t>
          </w:r>
          <w:r w:rsidR="00EB40BA">
            <w:rPr>
              <w:rFonts w:cstheme="minorHAnsi"/>
              <w:lang w:val="en-US"/>
            </w:rPr>
            <w:t>, 2025)</w:t>
          </w:r>
          <w:r w:rsidRPr="0027530E">
            <w:rPr>
              <w:rFonts w:cstheme="minorHAnsi"/>
              <w:lang w:val="en-US"/>
            </w:rPr>
            <w:t>. Working capital is the ratio of current assets and current liabilities and the capacity of the firm to settle short-term liabilities as they become due (Atrill and McLaney, 2019).</w:t>
          </w:r>
        </w:p>
        <w:p w14:paraId="70F5279F" w14:textId="77777777" w:rsidR="0027530E" w:rsidRPr="0027530E" w:rsidRDefault="0027530E" w:rsidP="0027530E">
          <w:pPr>
            <w:jc w:val="center"/>
            <w:rPr>
              <w:rFonts w:cstheme="minorHAnsi"/>
              <w:lang w:val="en-US"/>
            </w:rPr>
          </w:pPr>
          <w:r w:rsidRPr="0027530E">
            <w:rPr>
              <w:rFonts w:cstheme="minorHAnsi"/>
              <w:lang w:val="en-US"/>
            </w:rPr>
            <w:t>Table 2: Liquidity and Working Capital Ratios</w:t>
          </w:r>
        </w:p>
        <w:tbl>
          <w:tblPr>
            <w:tblStyle w:val="TableGrid"/>
            <w:tblW w:w="0" w:type="auto"/>
            <w:jc w:val="center"/>
            <w:tblLook w:val="04A0" w:firstRow="1" w:lastRow="0" w:firstColumn="1" w:lastColumn="0" w:noHBand="0" w:noVBand="1"/>
          </w:tblPr>
          <w:tblGrid>
            <w:gridCol w:w="1539"/>
            <w:gridCol w:w="4456"/>
            <w:gridCol w:w="2337"/>
          </w:tblGrid>
          <w:tr w:rsidR="0027530E" w:rsidRPr="0027530E" w14:paraId="34E5DFCF" w14:textId="77777777" w:rsidTr="0027530E">
            <w:trPr>
              <w:jc w:val="center"/>
            </w:trPr>
            <w:tc>
              <w:tcPr>
                <w:tcW w:w="0" w:type="auto"/>
                <w:hideMark/>
              </w:tcPr>
              <w:p w14:paraId="07FDF3A7" w14:textId="77777777" w:rsidR="0027530E" w:rsidRPr="0027530E" w:rsidRDefault="0027530E" w:rsidP="0027530E">
                <w:pPr>
                  <w:spacing w:after="160" w:line="259" w:lineRule="auto"/>
                  <w:rPr>
                    <w:rFonts w:cstheme="minorHAnsi"/>
                    <w:b/>
                    <w:bCs/>
                    <w:sz w:val="22"/>
                    <w:szCs w:val="22"/>
                  </w:rPr>
                </w:pPr>
                <w:r w:rsidRPr="0027530E">
                  <w:rPr>
                    <w:rFonts w:cstheme="minorHAnsi"/>
                    <w:b/>
                    <w:bCs/>
                    <w:sz w:val="22"/>
                    <w:szCs w:val="22"/>
                  </w:rPr>
                  <w:t>Ratio</w:t>
                </w:r>
              </w:p>
            </w:tc>
            <w:tc>
              <w:tcPr>
                <w:tcW w:w="0" w:type="auto"/>
                <w:hideMark/>
              </w:tcPr>
              <w:p w14:paraId="34790EEE" w14:textId="77777777" w:rsidR="0027530E" w:rsidRPr="0027530E" w:rsidRDefault="0027530E" w:rsidP="0027530E">
                <w:pPr>
                  <w:spacing w:after="160" w:line="259" w:lineRule="auto"/>
                  <w:rPr>
                    <w:rFonts w:cstheme="minorHAnsi"/>
                    <w:b/>
                    <w:bCs/>
                    <w:sz w:val="22"/>
                    <w:szCs w:val="22"/>
                  </w:rPr>
                </w:pPr>
                <w:r w:rsidRPr="0027530E">
                  <w:rPr>
                    <w:rFonts w:cstheme="minorHAnsi"/>
                    <w:b/>
                    <w:bCs/>
                    <w:sz w:val="22"/>
                    <w:szCs w:val="22"/>
                  </w:rPr>
                  <w:t>Formula</w:t>
                </w:r>
              </w:p>
            </w:tc>
            <w:tc>
              <w:tcPr>
                <w:tcW w:w="0" w:type="auto"/>
                <w:hideMark/>
              </w:tcPr>
              <w:p w14:paraId="233EA252" w14:textId="77777777" w:rsidR="0027530E" w:rsidRPr="0027530E" w:rsidRDefault="0027530E" w:rsidP="0027530E">
                <w:pPr>
                  <w:spacing w:after="160" w:line="259" w:lineRule="auto"/>
                  <w:rPr>
                    <w:rFonts w:cstheme="minorHAnsi"/>
                    <w:b/>
                    <w:bCs/>
                    <w:sz w:val="22"/>
                    <w:szCs w:val="22"/>
                  </w:rPr>
                </w:pPr>
                <w:r w:rsidRPr="0027530E">
                  <w:rPr>
                    <w:rFonts w:cstheme="minorHAnsi"/>
                    <w:b/>
                    <w:bCs/>
                    <w:sz w:val="22"/>
                    <w:szCs w:val="22"/>
                  </w:rPr>
                  <w:t>Interpretation</w:t>
                </w:r>
              </w:p>
            </w:tc>
          </w:tr>
          <w:tr w:rsidR="0027530E" w:rsidRPr="0027530E" w14:paraId="27B83127" w14:textId="77777777" w:rsidTr="0027530E">
            <w:trPr>
              <w:jc w:val="center"/>
            </w:trPr>
            <w:tc>
              <w:tcPr>
                <w:tcW w:w="0" w:type="auto"/>
                <w:hideMark/>
              </w:tcPr>
              <w:p w14:paraId="71C7CEA1"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Current Ratio</w:t>
                </w:r>
              </w:p>
            </w:tc>
            <w:tc>
              <w:tcPr>
                <w:tcW w:w="0" w:type="auto"/>
                <w:hideMark/>
              </w:tcPr>
              <w:p w14:paraId="194EECCE"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Current Assets / Current Liabilities</w:t>
                </w:r>
              </w:p>
            </w:tc>
            <w:tc>
              <w:tcPr>
                <w:tcW w:w="0" w:type="auto"/>
                <w:hideMark/>
              </w:tcPr>
              <w:p w14:paraId="03DF471F"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Short-term solvency</w:t>
                </w:r>
              </w:p>
            </w:tc>
          </w:tr>
          <w:tr w:rsidR="0027530E" w:rsidRPr="0027530E" w14:paraId="54A11E1F" w14:textId="77777777" w:rsidTr="0027530E">
            <w:trPr>
              <w:jc w:val="center"/>
            </w:trPr>
            <w:tc>
              <w:tcPr>
                <w:tcW w:w="0" w:type="auto"/>
                <w:hideMark/>
              </w:tcPr>
              <w:p w14:paraId="6042642E"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Acid Test</w:t>
                </w:r>
              </w:p>
            </w:tc>
            <w:tc>
              <w:tcPr>
                <w:tcW w:w="0" w:type="auto"/>
                <w:hideMark/>
              </w:tcPr>
              <w:p w14:paraId="6E0A2FB2"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(Current Assets – Inventory) / Current Liabilities</w:t>
                </w:r>
              </w:p>
            </w:tc>
            <w:tc>
              <w:tcPr>
                <w:tcW w:w="0" w:type="auto"/>
                <w:hideMark/>
              </w:tcPr>
              <w:p w14:paraId="17D4AA97"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Immediate liquidity</w:t>
                </w:r>
              </w:p>
            </w:tc>
          </w:tr>
          <w:tr w:rsidR="0027530E" w:rsidRPr="0027530E" w14:paraId="264B3B78" w14:textId="77777777" w:rsidTr="0027530E">
            <w:trPr>
              <w:jc w:val="center"/>
            </w:trPr>
            <w:tc>
              <w:tcPr>
                <w:tcW w:w="0" w:type="auto"/>
                <w:hideMark/>
              </w:tcPr>
              <w:p w14:paraId="440D7F1A"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Debtor Days</w:t>
                </w:r>
              </w:p>
            </w:tc>
            <w:tc>
              <w:tcPr>
                <w:tcW w:w="0" w:type="auto"/>
                <w:hideMark/>
              </w:tcPr>
              <w:p w14:paraId="54D1DB3D"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Trade Receivables / Revenue × 365</w:t>
                </w:r>
              </w:p>
            </w:tc>
            <w:tc>
              <w:tcPr>
                <w:tcW w:w="0" w:type="auto"/>
                <w:hideMark/>
              </w:tcPr>
              <w:p w14:paraId="11D4A85A"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Credit control efficiency</w:t>
                </w:r>
              </w:p>
            </w:tc>
          </w:tr>
          <w:tr w:rsidR="0027530E" w:rsidRPr="0027530E" w14:paraId="067BE2DC" w14:textId="77777777" w:rsidTr="0027530E">
            <w:trPr>
              <w:jc w:val="center"/>
            </w:trPr>
            <w:tc>
              <w:tcPr>
                <w:tcW w:w="0" w:type="auto"/>
                <w:hideMark/>
              </w:tcPr>
              <w:p w14:paraId="2F353BF8"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Creditor Days</w:t>
                </w:r>
              </w:p>
            </w:tc>
            <w:tc>
              <w:tcPr>
                <w:tcW w:w="0" w:type="auto"/>
                <w:hideMark/>
              </w:tcPr>
              <w:p w14:paraId="284A569D"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Trade Payables / Purchases × 365</w:t>
                </w:r>
              </w:p>
            </w:tc>
            <w:tc>
              <w:tcPr>
                <w:tcW w:w="0" w:type="auto"/>
                <w:hideMark/>
              </w:tcPr>
              <w:p w14:paraId="46E97D62"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Supplier financing</w:t>
                </w:r>
              </w:p>
            </w:tc>
          </w:tr>
          <w:tr w:rsidR="0027530E" w:rsidRPr="0027530E" w14:paraId="0601B734" w14:textId="77777777" w:rsidTr="0027530E">
            <w:trPr>
              <w:jc w:val="center"/>
            </w:trPr>
            <w:tc>
              <w:tcPr>
                <w:tcW w:w="0" w:type="auto"/>
                <w:hideMark/>
              </w:tcPr>
              <w:p w14:paraId="59BAC59F"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Inventory Days</w:t>
                </w:r>
              </w:p>
            </w:tc>
            <w:tc>
              <w:tcPr>
                <w:tcW w:w="0" w:type="auto"/>
                <w:hideMark/>
              </w:tcPr>
              <w:p w14:paraId="6D3C4B56"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Inventory / Cost of Sales × 365</w:t>
                </w:r>
              </w:p>
            </w:tc>
            <w:tc>
              <w:tcPr>
                <w:tcW w:w="0" w:type="auto"/>
                <w:hideMark/>
              </w:tcPr>
              <w:p w14:paraId="3D2315A2"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Stock management</w:t>
                </w:r>
              </w:p>
            </w:tc>
          </w:tr>
        </w:tbl>
        <w:p w14:paraId="0ADE0715" w14:textId="2EFA0746" w:rsidR="0027530E" w:rsidRPr="0027530E" w:rsidRDefault="0027530E" w:rsidP="0027530E">
          <w:pPr>
            <w:rPr>
              <w:rFonts w:cstheme="minorHAnsi"/>
              <w:lang w:val="en-US"/>
            </w:rPr>
          </w:pPr>
          <w:r w:rsidRPr="0027530E">
            <w:rPr>
              <w:rFonts w:cstheme="minorHAnsi"/>
              <w:lang w:val="en-US"/>
            </w:rPr>
            <w:t>The current ratio is a ratio that is used to determine whether Sainsbury has the capacity to settle its short-term obligations. A current ratio lower than the traditional 2:1 level is typical (and may not be quite problematic) in the retail business because companies work with high turnover of cash and have large trade payables</w:t>
          </w:r>
          <w:r w:rsidR="007C5EC2">
            <w:rPr>
              <w:rFonts w:cstheme="minorHAnsi"/>
              <w:lang w:val="en-US"/>
            </w:rPr>
            <w:t xml:space="preserve"> </w:t>
          </w:r>
          <w:r w:rsidR="007C5EC2" w:rsidRPr="007C5EC2">
            <w:rPr>
              <w:rFonts w:cstheme="minorHAnsi"/>
              <w:lang w:val="en-US"/>
            </w:rPr>
            <w:t>(Sudirman, Abdullah and Obie, 2020)</w:t>
          </w:r>
          <w:r w:rsidRPr="0027530E">
            <w:rPr>
              <w:rFonts w:cstheme="minorHAnsi"/>
              <w:lang w:val="en-US"/>
            </w:rPr>
            <w:t>. Directors thus concentrate on the stability of trends instead of values.</w:t>
          </w:r>
        </w:p>
        <w:p w14:paraId="02C26528" w14:textId="4E210AE6" w:rsidR="0027530E" w:rsidRPr="0027530E" w:rsidRDefault="0027530E" w:rsidP="0027530E">
          <w:pPr>
            <w:rPr>
              <w:rFonts w:cstheme="minorHAnsi"/>
              <w:lang w:val="en-US"/>
            </w:rPr>
          </w:pPr>
          <w:r w:rsidRPr="0027530E">
            <w:rPr>
              <w:rFonts w:cstheme="minorHAnsi"/>
              <w:lang w:val="en-US"/>
            </w:rPr>
            <w:t>The damage to inventory is not part of the acid test ratio since it might not be easily transformed into cash</w:t>
          </w:r>
          <w:r w:rsidR="007C5EC2">
            <w:rPr>
              <w:rFonts w:cstheme="minorHAnsi"/>
              <w:lang w:val="en-US"/>
            </w:rPr>
            <w:t xml:space="preserve"> (</w:t>
          </w:r>
          <w:r w:rsidR="007C5EC2" w:rsidRPr="007C5EC2">
            <w:rPr>
              <w:rFonts w:cstheme="minorHAnsi"/>
              <w:lang w:val="en-US"/>
            </w:rPr>
            <w:t>Yusup and Hariani</w:t>
          </w:r>
          <w:r w:rsidR="007C5EC2">
            <w:rPr>
              <w:rFonts w:cstheme="minorHAnsi"/>
              <w:lang w:val="en-US"/>
            </w:rPr>
            <w:t>, 2023)</w:t>
          </w:r>
          <w:r w:rsidRPr="0027530E">
            <w:rPr>
              <w:rFonts w:cstheme="minorHAnsi"/>
              <w:lang w:val="en-US"/>
            </w:rPr>
            <w:t>. In the case of Sainsbury, this ratio is generally low, being indicative of the dependency on the rapidity of the inventory and the robustness of the cash sales, as opposed to the liquid financial assets. This complies with the retail business model and might not be an indication of liquidity weakness (Arnold, 2013).</w:t>
          </w:r>
        </w:p>
        <w:p w14:paraId="76AF6FAB" w14:textId="77777777" w:rsidR="0027530E" w:rsidRPr="0027530E" w:rsidRDefault="0027530E" w:rsidP="0027530E">
          <w:pPr>
            <w:rPr>
              <w:rFonts w:cstheme="minorHAnsi"/>
              <w:lang w:val="en-US"/>
            </w:rPr>
          </w:pPr>
          <w:r w:rsidRPr="0027530E">
            <w:rPr>
              <w:rFonts w:cstheme="minorHAnsi"/>
              <w:lang w:val="en-US"/>
            </w:rPr>
            <w:t>The working capital cycle shows how long it takes to pay the Suppliers and receive customer cash. Sainsbury enjoys the structurally favourable cycle: the customers pay instantly at the point of sale, and suppliers are paid on lengthened credit terms. This working capital cycle is negative and offers an internal source of short-term finance and aids in cash generation.</w:t>
          </w:r>
        </w:p>
        <w:p w14:paraId="435BDF8B" w14:textId="77777777" w:rsidR="0027530E" w:rsidRPr="0027530E" w:rsidRDefault="0027530E" w:rsidP="0027530E">
          <w:pPr>
            <w:rPr>
              <w:rFonts w:cstheme="minorHAnsi"/>
              <w:lang w:val="en-US"/>
            </w:rPr>
          </w:pPr>
          <w:r w:rsidRPr="0027530E">
            <w:rPr>
              <w:rFonts w:cstheme="minorHAnsi"/>
              <w:lang w:val="en-US"/>
            </w:rPr>
            <w:t>Sainsbury has low debtor days because it makes use of cash and card-based transactions. The low debtor days mean that there are fewer bad debts and a good cash inflow.</w:t>
          </w:r>
        </w:p>
        <w:p w14:paraId="369BC1F8" w14:textId="77777777" w:rsidR="0027530E" w:rsidRPr="0027530E" w:rsidRDefault="0027530E" w:rsidP="0027530E">
          <w:pPr>
            <w:rPr>
              <w:rFonts w:cstheme="minorHAnsi"/>
              <w:lang w:val="en-US"/>
            </w:rPr>
          </w:pPr>
          <w:r w:rsidRPr="0027530E">
            <w:rPr>
              <w:rFonts w:cstheme="minorHAnsi"/>
              <w:lang w:val="en-US"/>
            </w:rPr>
            <w:t>On the other hand, creditor days are fairly good, which indicates that Sainsbury has a high bargaining power with its suppliers. Although long creditor days enhance liquidity, overreliance on supplier financing can lead to souring supplier relationships and the threat of reputational or supply-chain risk.</w:t>
          </w:r>
        </w:p>
        <w:p w14:paraId="106D2535" w14:textId="77777777" w:rsidR="0027530E" w:rsidRPr="0027530E" w:rsidRDefault="0027530E" w:rsidP="0027530E">
          <w:pPr>
            <w:rPr>
              <w:rFonts w:cstheme="minorHAnsi"/>
              <w:lang w:val="en-US"/>
            </w:rPr>
          </w:pPr>
          <w:r w:rsidRPr="0027530E">
            <w:rPr>
              <w:rFonts w:cstheme="minorHAnsi"/>
              <w:lang w:val="en-US"/>
            </w:rPr>
            <w:t>The number of days of inventory is used to evaluate the efficiency of stock management. Good inventory management plays a crucial role in the reduction of holding costs, waste, and obsolescence, especially with perishable imports.</w:t>
          </w:r>
        </w:p>
        <w:p w14:paraId="46391B20" w14:textId="77777777" w:rsidR="0027530E" w:rsidRPr="0027530E" w:rsidRDefault="0027530E" w:rsidP="0027530E">
          <w:pPr>
            <w:jc w:val="center"/>
            <w:rPr>
              <w:rFonts w:cstheme="minorHAnsi"/>
              <w:lang w:val="en-US"/>
            </w:rPr>
          </w:pPr>
          <w:r w:rsidRPr="0027530E">
            <w:rPr>
              <w:rFonts w:cstheme="minorHAnsi"/>
              <w:noProof/>
              <w:lang w:val="en-US"/>
            </w:rPr>
            <w:drawing>
              <wp:inline distT="0" distB="0" distL="0" distR="0" wp14:anchorId="3D593F45" wp14:editId="23DD1D80">
                <wp:extent cx="5283200" cy="1054100"/>
                <wp:effectExtent l="0" t="0" r="0" b="0"/>
                <wp:docPr id="450932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932136" name="Picture 450932136"/>
                        <pic:cNvPicPr/>
                      </pic:nvPicPr>
                      <pic:blipFill>
                        <a:blip r:embed="rId11">
                          <a:extLst>
                            <a:ext uri="{28A0092B-C50C-407E-A947-70E740481C1C}">
                              <a14:useLocalDpi xmlns:a14="http://schemas.microsoft.com/office/drawing/2010/main" val="0"/>
                            </a:ext>
                          </a:extLst>
                        </a:blip>
                        <a:stretch>
                          <a:fillRect/>
                        </a:stretch>
                      </pic:blipFill>
                      <pic:spPr>
                        <a:xfrm>
                          <a:off x="0" y="0"/>
                          <a:ext cx="5283200" cy="1054100"/>
                        </a:xfrm>
                        <a:prstGeom prst="rect">
                          <a:avLst/>
                        </a:prstGeom>
                      </pic:spPr>
                    </pic:pic>
                  </a:graphicData>
                </a:graphic>
              </wp:inline>
            </w:drawing>
          </w:r>
        </w:p>
        <w:p w14:paraId="17D26F4C" w14:textId="4CE7BB53" w:rsidR="0027530E" w:rsidRPr="0027530E" w:rsidRDefault="0027530E" w:rsidP="0027530E">
          <w:pPr>
            <w:jc w:val="center"/>
            <w:rPr>
              <w:rFonts w:cstheme="minorHAnsi"/>
              <w:lang w:val="en-US"/>
            </w:rPr>
          </w:pPr>
          <w:r w:rsidRPr="0027530E">
            <w:rPr>
              <w:rFonts w:cstheme="minorHAnsi"/>
              <w:lang w:val="en-US"/>
            </w:rPr>
            <w:t>Figure 2: Working capital cycle (suppliers → inventory → cash)</w:t>
          </w:r>
        </w:p>
        <w:p w14:paraId="7F0473D3" w14:textId="77777777" w:rsidR="0027530E" w:rsidRPr="0027530E" w:rsidRDefault="0027530E" w:rsidP="0027530E">
          <w:pPr>
            <w:jc w:val="center"/>
            <w:rPr>
              <w:rFonts w:cstheme="minorHAnsi"/>
              <w:lang w:val="en-US"/>
            </w:rPr>
          </w:pPr>
          <w:r w:rsidRPr="0027530E">
            <w:rPr>
              <w:rFonts w:cstheme="minorHAnsi"/>
              <w:noProof/>
              <w:lang w:val="en-US"/>
            </w:rPr>
            <w:drawing>
              <wp:inline distT="0" distB="0" distL="0" distR="0" wp14:anchorId="74C16C65" wp14:editId="3B686809">
                <wp:extent cx="5334000" cy="4165600"/>
                <wp:effectExtent l="0" t="0" r="0" b="0"/>
                <wp:docPr id="5551025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102509" name="Picture 555102509"/>
                        <pic:cNvPicPr/>
                      </pic:nvPicPr>
                      <pic:blipFill>
                        <a:blip r:embed="rId12">
                          <a:extLst>
                            <a:ext uri="{28A0092B-C50C-407E-A947-70E740481C1C}">
                              <a14:useLocalDpi xmlns:a14="http://schemas.microsoft.com/office/drawing/2010/main" val="0"/>
                            </a:ext>
                          </a:extLst>
                        </a:blip>
                        <a:stretch>
                          <a:fillRect/>
                        </a:stretch>
                      </pic:blipFill>
                      <pic:spPr>
                        <a:xfrm>
                          <a:off x="0" y="0"/>
                          <a:ext cx="5334000" cy="4165600"/>
                        </a:xfrm>
                        <a:prstGeom prst="rect">
                          <a:avLst/>
                        </a:prstGeom>
                      </pic:spPr>
                    </pic:pic>
                  </a:graphicData>
                </a:graphic>
              </wp:inline>
            </w:drawing>
          </w:r>
        </w:p>
        <w:p w14:paraId="68DC4ED9" w14:textId="32304350" w:rsidR="0027530E" w:rsidRPr="0027530E" w:rsidRDefault="0027530E" w:rsidP="0027530E">
          <w:pPr>
            <w:jc w:val="center"/>
            <w:rPr>
              <w:rFonts w:cstheme="minorHAnsi"/>
              <w:lang w:val="en-US"/>
            </w:rPr>
          </w:pPr>
          <w:r w:rsidRPr="0027530E">
            <w:rPr>
              <w:rFonts w:cstheme="minorHAnsi"/>
              <w:lang w:val="en-US"/>
            </w:rPr>
            <w:t>Figure 3: Inventory, debtor, and creditor days.</w:t>
          </w:r>
        </w:p>
        <w:p w14:paraId="66C9DBEE" w14:textId="7246FB29" w:rsidR="0027530E" w:rsidRPr="0027530E" w:rsidRDefault="0027530E" w:rsidP="0027530E">
          <w:pPr>
            <w:rPr>
              <w:rFonts w:cstheme="minorHAnsi"/>
              <w:b/>
              <w:bCs/>
              <w:lang w:val="en-US"/>
            </w:rPr>
          </w:pPr>
          <w:r w:rsidRPr="0027530E">
            <w:rPr>
              <w:rFonts w:cstheme="minorHAnsi"/>
              <w:b/>
              <w:bCs/>
              <w:lang w:val="en-US"/>
            </w:rPr>
            <w:t xml:space="preserve">1.3. Efficiency Ratios </w:t>
          </w:r>
        </w:p>
        <w:p w14:paraId="69073863" w14:textId="24C09A60" w:rsidR="0027530E" w:rsidRPr="0027530E" w:rsidRDefault="0027530E" w:rsidP="0027530E">
          <w:pPr>
            <w:rPr>
              <w:rFonts w:cstheme="minorHAnsi"/>
              <w:lang w:val="en-US"/>
            </w:rPr>
          </w:pPr>
          <w:r w:rsidRPr="0027530E">
            <w:rPr>
              <w:rFonts w:cstheme="minorHAnsi"/>
              <w:lang w:val="en-US"/>
            </w:rPr>
            <w:t>The efficiency ratios assess the ability of a firm to use its assets and working capital efficiently to generate revenue</w:t>
          </w:r>
          <w:r w:rsidR="007C5EC2">
            <w:rPr>
              <w:rFonts w:cstheme="minorHAnsi"/>
              <w:lang w:val="en-US"/>
            </w:rPr>
            <w:t xml:space="preserve"> (</w:t>
          </w:r>
          <w:r w:rsidR="007C5EC2" w:rsidRPr="007C5EC2">
            <w:rPr>
              <w:rFonts w:cstheme="minorHAnsi"/>
              <w:lang w:val="en-US"/>
            </w:rPr>
            <w:t>Rashid</w:t>
          </w:r>
          <w:r w:rsidR="007C5EC2">
            <w:rPr>
              <w:rFonts w:cstheme="minorHAnsi"/>
              <w:lang w:val="en-US"/>
            </w:rPr>
            <w:t>, 2021b)</w:t>
          </w:r>
          <w:r w:rsidRPr="0027530E">
            <w:rPr>
              <w:rFonts w:cstheme="minorHAnsi"/>
              <w:lang w:val="en-US"/>
            </w:rPr>
            <w:t>. Efficiency is one of the sources of profitability in a high-volume retailer like Sainsbury because of low-fat margin.</w:t>
          </w:r>
        </w:p>
        <w:p w14:paraId="550B22A1" w14:textId="77777777" w:rsidR="0027530E" w:rsidRPr="0027530E" w:rsidRDefault="0027530E" w:rsidP="0027530E">
          <w:pPr>
            <w:jc w:val="center"/>
            <w:rPr>
              <w:rFonts w:cstheme="minorHAnsi"/>
              <w:lang w:val="en-US"/>
            </w:rPr>
          </w:pPr>
          <w:r w:rsidRPr="0027530E">
            <w:rPr>
              <w:rFonts w:cstheme="minorHAnsi"/>
              <w:lang w:val="en-US"/>
            </w:rPr>
            <w:t>Table 3: Efficiency Ratios</w:t>
          </w:r>
        </w:p>
        <w:tbl>
          <w:tblPr>
            <w:tblStyle w:val="TableGrid"/>
            <w:tblW w:w="0" w:type="auto"/>
            <w:jc w:val="center"/>
            <w:tblLook w:val="04A0" w:firstRow="1" w:lastRow="0" w:firstColumn="1" w:lastColumn="0" w:noHBand="0" w:noVBand="1"/>
          </w:tblPr>
          <w:tblGrid>
            <w:gridCol w:w="1548"/>
            <w:gridCol w:w="2757"/>
            <w:gridCol w:w="1965"/>
          </w:tblGrid>
          <w:tr w:rsidR="0027530E" w:rsidRPr="0027530E" w14:paraId="7426BDFA" w14:textId="77777777" w:rsidTr="00D816E9">
            <w:trPr>
              <w:jc w:val="center"/>
            </w:trPr>
            <w:tc>
              <w:tcPr>
                <w:tcW w:w="0" w:type="auto"/>
                <w:hideMark/>
              </w:tcPr>
              <w:p w14:paraId="273C4D36" w14:textId="77777777" w:rsidR="0027530E" w:rsidRPr="0027530E" w:rsidRDefault="0027530E" w:rsidP="0027530E">
                <w:pPr>
                  <w:spacing w:after="160" w:line="259" w:lineRule="auto"/>
                  <w:rPr>
                    <w:rFonts w:cstheme="minorHAnsi"/>
                    <w:b/>
                    <w:bCs/>
                    <w:sz w:val="22"/>
                    <w:szCs w:val="22"/>
                  </w:rPr>
                </w:pPr>
                <w:r w:rsidRPr="0027530E">
                  <w:rPr>
                    <w:rFonts w:cstheme="minorHAnsi"/>
                    <w:b/>
                    <w:bCs/>
                    <w:sz w:val="22"/>
                    <w:szCs w:val="22"/>
                  </w:rPr>
                  <w:t>Ratio</w:t>
                </w:r>
              </w:p>
            </w:tc>
            <w:tc>
              <w:tcPr>
                <w:tcW w:w="0" w:type="auto"/>
                <w:hideMark/>
              </w:tcPr>
              <w:p w14:paraId="4F6AD879" w14:textId="77777777" w:rsidR="0027530E" w:rsidRPr="0027530E" w:rsidRDefault="0027530E" w:rsidP="0027530E">
                <w:pPr>
                  <w:spacing w:after="160" w:line="259" w:lineRule="auto"/>
                  <w:rPr>
                    <w:rFonts w:cstheme="minorHAnsi"/>
                    <w:b/>
                    <w:bCs/>
                    <w:sz w:val="22"/>
                    <w:szCs w:val="22"/>
                  </w:rPr>
                </w:pPr>
                <w:r w:rsidRPr="0027530E">
                  <w:rPr>
                    <w:rFonts w:cstheme="minorHAnsi"/>
                    <w:b/>
                    <w:bCs/>
                    <w:sz w:val="22"/>
                    <w:szCs w:val="22"/>
                  </w:rPr>
                  <w:t>Formula</w:t>
                </w:r>
              </w:p>
            </w:tc>
            <w:tc>
              <w:tcPr>
                <w:tcW w:w="0" w:type="auto"/>
                <w:hideMark/>
              </w:tcPr>
              <w:p w14:paraId="50FF7B37" w14:textId="77777777" w:rsidR="0027530E" w:rsidRPr="0027530E" w:rsidRDefault="0027530E" w:rsidP="0027530E">
                <w:pPr>
                  <w:spacing w:after="160" w:line="259" w:lineRule="auto"/>
                  <w:rPr>
                    <w:rFonts w:cstheme="minorHAnsi"/>
                    <w:b/>
                    <w:bCs/>
                    <w:sz w:val="22"/>
                    <w:szCs w:val="22"/>
                  </w:rPr>
                </w:pPr>
                <w:r w:rsidRPr="0027530E">
                  <w:rPr>
                    <w:rFonts w:cstheme="minorHAnsi"/>
                    <w:b/>
                    <w:bCs/>
                    <w:sz w:val="22"/>
                    <w:szCs w:val="22"/>
                  </w:rPr>
                  <w:t>Managerial Insight</w:t>
                </w:r>
              </w:p>
            </w:tc>
          </w:tr>
          <w:tr w:rsidR="0027530E" w:rsidRPr="0027530E" w14:paraId="7317D899" w14:textId="77777777" w:rsidTr="00D816E9">
            <w:trPr>
              <w:jc w:val="center"/>
            </w:trPr>
            <w:tc>
              <w:tcPr>
                <w:tcW w:w="0" w:type="auto"/>
                <w:hideMark/>
              </w:tcPr>
              <w:p w14:paraId="0D53073A"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Asset Turnover</w:t>
                </w:r>
              </w:p>
            </w:tc>
            <w:tc>
              <w:tcPr>
                <w:tcW w:w="0" w:type="auto"/>
                <w:hideMark/>
              </w:tcPr>
              <w:p w14:paraId="4548E2A9"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Revenue / Total Assets</w:t>
                </w:r>
              </w:p>
            </w:tc>
            <w:tc>
              <w:tcPr>
                <w:tcW w:w="0" w:type="auto"/>
                <w:hideMark/>
              </w:tcPr>
              <w:p w14:paraId="182C35C7"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Asset utilisation</w:t>
                </w:r>
              </w:p>
            </w:tc>
          </w:tr>
          <w:tr w:rsidR="0027530E" w:rsidRPr="0027530E" w14:paraId="0461F24D" w14:textId="77777777" w:rsidTr="00D816E9">
            <w:trPr>
              <w:jc w:val="center"/>
            </w:trPr>
            <w:tc>
              <w:tcPr>
                <w:tcW w:w="0" w:type="auto"/>
                <w:hideMark/>
              </w:tcPr>
              <w:p w14:paraId="74DD6675"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Stock Turnover</w:t>
                </w:r>
              </w:p>
            </w:tc>
            <w:tc>
              <w:tcPr>
                <w:tcW w:w="0" w:type="auto"/>
                <w:hideMark/>
              </w:tcPr>
              <w:p w14:paraId="6CB08086"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Cost of Sales / Inventory</w:t>
                </w:r>
              </w:p>
            </w:tc>
            <w:tc>
              <w:tcPr>
                <w:tcW w:w="0" w:type="auto"/>
                <w:hideMark/>
              </w:tcPr>
              <w:p w14:paraId="4A3F95C8"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Inventory efficiency</w:t>
                </w:r>
              </w:p>
            </w:tc>
          </w:tr>
          <w:tr w:rsidR="0027530E" w:rsidRPr="0027530E" w14:paraId="4A96BC7A" w14:textId="77777777" w:rsidTr="00D816E9">
            <w:trPr>
              <w:jc w:val="center"/>
            </w:trPr>
            <w:tc>
              <w:tcPr>
                <w:tcW w:w="0" w:type="auto"/>
                <w:hideMark/>
              </w:tcPr>
              <w:p w14:paraId="3C9922E1"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Debtor Days</w:t>
                </w:r>
              </w:p>
            </w:tc>
            <w:tc>
              <w:tcPr>
                <w:tcW w:w="0" w:type="auto"/>
                <w:hideMark/>
              </w:tcPr>
              <w:p w14:paraId="59DBE056"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Receivables / Revenue × 365</w:t>
                </w:r>
              </w:p>
            </w:tc>
            <w:tc>
              <w:tcPr>
                <w:tcW w:w="0" w:type="auto"/>
                <w:hideMark/>
              </w:tcPr>
              <w:p w14:paraId="633A31D6"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Cash collection</w:t>
                </w:r>
              </w:p>
            </w:tc>
          </w:tr>
          <w:tr w:rsidR="0027530E" w:rsidRPr="0027530E" w14:paraId="5770B287" w14:textId="77777777" w:rsidTr="00D816E9">
            <w:trPr>
              <w:jc w:val="center"/>
            </w:trPr>
            <w:tc>
              <w:tcPr>
                <w:tcW w:w="0" w:type="auto"/>
                <w:hideMark/>
              </w:tcPr>
              <w:p w14:paraId="13C97714"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Creditor Days</w:t>
                </w:r>
              </w:p>
            </w:tc>
            <w:tc>
              <w:tcPr>
                <w:tcW w:w="0" w:type="auto"/>
                <w:hideMark/>
              </w:tcPr>
              <w:p w14:paraId="32E9FD2D"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Payables / Purchases × 365</w:t>
                </w:r>
              </w:p>
            </w:tc>
            <w:tc>
              <w:tcPr>
                <w:tcW w:w="0" w:type="auto"/>
                <w:hideMark/>
              </w:tcPr>
              <w:p w14:paraId="55A2890E"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Supplier financing</w:t>
                </w:r>
              </w:p>
            </w:tc>
          </w:tr>
        </w:tbl>
        <w:p w14:paraId="197DDA15" w14:textId="77777777" w:rsidR="0027530E" w:rsidRPr="0027530E" w:rsidRDefault="0027530E" w:rsidP="0027530E">
          <w:pPr>
            <w:rPr>
              <w:rFonts w:cstheme="minorHAnsi"/>
              <w:lang w:val="en-US"/>
            </w:rPr>
          </w:pPr>
          <w:r w:rsidRPr="0027530E">
            <w:rPr>
              <w:rFonts w:cstheme="minorHAnsi"/>
              <w:lang w:val="en-US"/>
            </w:rPr>
            <w:t>The asset turnover determines the efficiency with which Sainsbury utilises its assets to achieve sales. In the food retail business, high asset turnover is common because of heavy sales in comparison to asset investment. An increasing ratio indicates that there is improved utilisation of stores, distribution centres, and digital infrastructure.</w:t>
          </w:r>
        </w:p>
        <w:p w14:paraId="0C2426D5" w14:textId="75DB34F2" w:rsidR="0027530E" w:rsidRPr="0027530E" w:rsidRDefault="0027530E" w:rsidP="0027530E">
          <w:pPr>
            <w:rPr>
              <w:rFonts w:cstheme="minorHAnsi"/>
              <w:lang w:val="en-US"/>
            </w:rPr>
          </w:pPr>
          <w:r w:rsidRPr="0027530E">
            <w:rPr>
              <w:rFonts w:cstheme="minorHAnsi"/>
              <w:lang w:val="en-US"/>
            </w:rPr>
            <w:t>In grocery retail, inventory turnover is also of great concern, and storage costs and perishability of inventory are substantial</w:t>
          </w:r>
          <w:r w:rsidR="007C5EC2">
            <w:rPr>
              <w:rFonts w:cstheme="minorHAnsi"/>
              <w:lang w:val="en-US"/>
            </w:rPr>
            <w:t xml:space="preserve"> (</w:t>
          </w:r>
          <w:r w:rsidR="007C5EC2" w:rsidRPr="007C5EC2">
            <w:rPr>
              <w:rFonts w:cstheme="minorHAnsi"/>
              <w:lang w:val="en-US"/>
            </w:rPr>
            <w:t>Saghiri, Aktas, and Mohammadipour,</w:t>
          </w:r>
          <w:r w:rsidR="007C5EC2">
            <w:rPr>
              <w:rFonts w:cstheme="minorHAnsi"/>
              <w:lang w:val="en-US"/>
            </w:rPr>
            <w:t xml:space="preserve"> 2023)</w:t>
          </w:r>
          <w:r w:rsidRPr="0027530E">
            <w:rPr>
              <w:rFonts w:cstheme="minorHAnsi"/>
              <w:lang w:val="en-US"/>
            </w:rPr>
            <w:t>. High inventory turnover also suggests that the replacement process is efficient and that demand is well forecasted, minimising inventory wastage and discounts.</w:t>
          </w:r>
        </w:p>
        <w:p w14:paraId="61F26CA1" w14:textId="77777777" w:rsidR="0027530E" w:rsidRPr="0027530E" w:rsidRDefault="0027530E" w:rsidP="0027530E">
          <w:pPr>
            <w:rPr>
              <w:rFonts w:cstheme="minorHAnsi"/>
              <w:lang w:val="en-US"/>
            </w:rPr>
          </w:pPr>
          <w:r w:rsidRPr="0027530E">
            <w:rPr>
              <w:rFonts w:cstheme="minorHAnsi"/>
              <w:lang w:val="en-US"/>
            </w:rPr>
            <w:t>As can be seen, because of instant customer payment, debtor efficiency is high; it strengthens the consistency of cash flow. Creditor efficiency shows how Sainsbury is using supplier credit as a source of finance and raising liquidity without raising the interest charged on debt.</w:t>
          </w:r>
        </w:p>
        <w:p w14:paraId="2C3E3F9F" w14:textId="77777777" w:rsidR="0027530E" w:rsidRPr="0027530E" w:rsidRDefault="0027530E" w:rsidP="0027530E">
          <w:pPr>
            <w:rPr>
              <w:rFonts w:cstheme="minorHAnsi"/>
              <w:lang w:val="en-US"/>
            </w:rPr>
          </w:pPr>
          <w:r w:rsidRPr="0027530E">
            <w:rPr>
              <w:rFonts w:cstheme="minorHAnsi"/>
              <w:lang w:val="en-US"/>
            </w:rPr>
            <w:t>Profitability is closely associated with efficiency ratios. Better asset and stock utilisation cuts down operating costs and aids in elevated operating margins. Profits can easily be chased out of a low-margin industry, on the other hand, by a lack of efficiency in inventory or asset utilisation (Atrill &amp; McLaney, 2019).</w:t>
          </w:r>
        </w:p>
        <w:p w14:paraId="6B1B7626" w14:textId="7CC8A04E" w:rsidR="0027530E" w:rsidRPr="0027530E" w:rsidRDefault="0027530E" w:rsidP="0027530E">
          <w:pPr>
            <w:rPr>
              <w:rFonts w:cstheme="minorHAnsi"/>
              <w:b/>
              <w:bCs/>
              <w:lang w:val="en-US"/>
            </w:rPr>
          </w:pPr>
          <w:r w:rsidRPr="0027530E">
            <w:rPr>
              <w:rFonts w:cstheme="minorHAnsi"/>
              <w:b/>
              <w:bCs/>
              <w:lang w:val="en-US"/>
            </w:rPr>
            <w:t xml:space="preserve">1.4. Gearing &amp; Investor Ratios </w:t>
          </w:r>
        </w:p>
        <w:p w14:paraId="17908346" w14:textId="1996C807" w:rsidR="0027530E" w:rsidRPr="0027530E" w:rsidRDefault="0027530E" w:rsidP="0027530E">
          <w:pPr>
            <w:rPr>
              <w:rFonts w:cstheme="minorHAnsi"/>
              <w:lang w:val="en-US"/>
            </w:rPr>
          </w:pPr>
          <w:r w:rsidRPr="0027530E">
            <w:rPr>
              <w:rFonts w:cstheme="minorHAnsi"/>
              <w:lang w:val="en-US"/>
            </w:rPr>
            <w:t>Gearing and investor ratios are used to evaluate the financial risk profile of a business and returns managed to shareholders</w:t>
          </w:r>
          <w:r w:rsidR="007C5EC2">
            <w:rPr>
              <w:rFonts w:cstheme="minorHAnsi"/>
              <w:lang w:val="en-US"/>
            </w:rPr>
            <w:t xml:space="preserve"> (</w:t>
          </w:r>
          <w:r w:rsidR="007C5EC2" w:rsidRPr="007C5EC2">
            <w:rPr>
              <w:rFonts w:cstheme="minorHAnsi"/>
              <w:lang w:val="en-US"/>
            </w:rPr>
            <w:t>Aldo</w:t>
          </w:r>
          <w:r w:rsidR="007C5EC2">
            <w:rPr>
              <w:rFonts w:cstheme="minorHAnsi"/>
              <w:lang w:val="en-US"/>
            </w:rPr>
            <w:t>, 2022)</w:t>
          </w:r>
          <w:r w:rsidRPr="0027530E">
            <w:rPr>
              <w:rFonts w:cstheme="minorHAnsi"/>
              <w:lang w:val="en-US"/>
            </w:rPr>
            <w:t>. Investors, lenders, and credit rating agencies pay a lot of attention to these ratios in the case of a big listed retailer like Sainsbury  because they show long-term solvency, maintaining earnings of the company, and being able to pay dividends (Arnold, 2013).</w:t>
          </w:r>
        </w:p>
        <w:p w14:paraId="1E08C476" w14:textId="77777777" w:rsidR="0027530E" w:rsidRPr="0027530E" w:rsidRDefault="0027530E" w:rsidP="0027530E">
          <w:pPr>
            <w:jc w:val="center"/>
            <w:rPr>
              <w:rFonts w:cstheme="minorHAnsi"/>
              <w:lang w:val="en-US"/>
            </w:rPr>
          </w:pPr>
          <w:r w:rsidRPr="0027530E">
            <w:rPr>
              <w:rFonts w:cstheme="minorHAnsi"/>
              <w:lang w:val="en-US"/>
            </w:rPr>
            <w:t>Table 4: Gearing and Investor Ratios</w:t>
          </w:r>
        </w:p>
        <w:tbl>
          <w:tblPr>
            <w:tblStyle w:val="TableGrid"/>
            <w:tblW w:w="0" w:type="auto"/>
            <w:tblLook w:val="04A0" w:firstRow="1" w:lastRow="0" w:firstColumn="1" w:lastColumn="0" w:noHBand="0" w:noVBand="1"/>
          </w:tblPr>
          <w:tblGrid>
            <w:gridCol w:w="2385"/>
            <w:gridCol w:w="3763"/>
            <w:gridCol w:w="2557"/>
          </w:tblGrid>
          <w:tr w:rsidR="0027530E" w:rsidRPr="0027530E" w14:paraId="2E072822" w14:textId="77777777" w:rsidTr="00D816E9">
            <w:tc>
              <w:tcPr>
                <w:tcW w:w="0" w:type="auto"/>
                <w:hideMark/>
              </w:tcPr>
              <w:p w14:paraId="5165A6E7" w14:textId="77777777" w:rsidR="0027530E" w:rsidRPr="0027530E" w:rsidRDefault="0027530E" w:rsidP="0027530E">
                <w:pPr>
                  <w:spacing w:after="160" w:line="259" w:lineRule="auto"/>
                  <w:rPr>
                    <w:rFonts w:cstheme="minorHAnsi"/>
                    <w:b/>
                    <w:bCs/>
                    <w:sz w:val="22"/>
                    <w:szCs w:val="22"/>
                  </w:rPr>
                </w:pPr>
                <w:r w:rsidRPr="0027530E">
                  <w:rPr>
                    <w:rFonts w:cstheme="minorHAnsi"/>
                    <w:b/>
                    <w:bCs/>
                    <w:sz w:val="22"/>
                    <w:szCs w:val="22"/>
                  </w:rPr>
                  <w:t>Ratio</w:t>
                </w:r>
              </w:p>
            </w:tc>
            <w:tc>
              <w:tcPr>
                <w:tcW w:w="0" w:type="auto"/>
                <w:hideMark/>
              </w:tcPr>
              <w:p w14:paraId="43C0C30F" w14:textId="77777777" w:rsidR="0027530E" w:rsidRPr="0027530E" w:rsidRDefault="0027530E" w:rsidP="0027530E">
                <w:pPr>
                  <w:spacing w:after="160" w:line="259" w:lineRule="auto"/>
                  <w:rPr>
                    <w:rFonts w:cstheme="minorHAnsi"/>
                    <w:b/>
                    <w:bCs/>
                    <w:sz w:val="22"/>
                    <w:szCs w:val="22"/>
                  </w:rPr>
                </w:pPr>
                <w:r w:rsidRPr="0027530E">
                  <w:rPr>
                    <w:rFonts w:cstheme="minorHAnsi"/>
                    <w:b/>
                    <w:bCs/>
                    <w:sz w:val="22"/>
                    <w:szCs w:val="22"/>
                  </w:rPr>
                  <w:t>Formula</w:t>
                </w:r>
              </w:p>
            </w:tc>
            <w:tc>
              <w:tcPr>
                <w:tcW w:w="0" w:type="auto"/>
                <w:hideMark/>
              </w:tcPr>
              <w:p w14:paraId="5507F9CE" w14:textId="77777777" w:rsidR="0027530E" w:rsidRPr="0027530E" w:rsidRDefault="0027530E" w:rsidP="0027530E">
                <w:pPr>
                  <w:spacing w:after="160" w:line="259" w:lineRule="auto"/>
                  <w:rPr>
                    <w:rFonts w:cstheme="minorHAnsi"/>
                    <w:b/>
                    <w:bCs/>
                    <w:sz w:val="22"/>
                    <w:szCs w:val="22"/>
                  </w:rPr>
                </w:pPr>
                <w:r w:rsidRPr="0027530E">
                  <w:rPr>
                    <w:rFonts w:cstheme="minorHAnsi"/>
                    <w:b/>
                    <w:bCs/>
                    <w:sz w:val="22"/>
                    <w:szCs w:val="22"/>
                  </w:rPr>
                  <w:t>Interpretation</w:t>
                </w:r>
              </w:p>
            </w:tc>
          </w:tr>
          <w:tr w:rsidR="0027530E" w:rsidRPr="0027530E" w14:paraId="7132F2A1" w14:textId="77777777" w:rsidTr="00D816E9">
            <w:tc>
              <w:tcPr>
                <w:tcW w:w="0" w:type="auto"/>
                <w:hideMark/>
              </w:tcPr>
              <w:p w14:paraId="639B6116"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Gearing Ratio</w:t>
                </w:r>
              </w:p>
            </w:tc>
            <w:tc>
              <w:tcPr>
                <w:tcW w:w="0" w:type="auto"/>
                <w:hideMark/>
              </w:tcPr>
              <w:p w14:paraId="5AE886CC"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Long-term Debt / Capital Employed</w:t>
                </w:r>
              </w:p>
            </w:tc>
            <w:tc>
              <w:tcPr>
                <w:tcW w:w="0" w:type="auto"/>
                <w:hideMark/>
              </w:tcPr>
              <w:p w14:paraId="258818FA"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Financial risk and leverage</w:t>
                </w:r>
              </w:p>
            </w:tc>
          </w:tr>
          <w:tr w:rsidR="0027530E" w:rsidRPr="0027530E" w14:paraId="38630930" w14:textId="77777777" w:rsidTr="00D816E9">
            <w:tc>
              <w:tcPr>
                <w:tcW w:w="0" w:type="auto"/>
                <w:hideMark/>
              </w:tcPr>
              <w:p w14:paraId="4A92F316"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Interest Cover</w:t>
                </w:r>
              </w:p>
            </w:tc>
            <w:tc>
              <w:tcPr>
                <w:tcW w:w="0" w:type="auto"/>
                <w:hideMark/>
              </w:tcPr>
              <w:p w14:paraId="028482B7"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Operating Profit / Interest Expense</w:t>
                </w:r>
              </w:p>
            </w:tc>
            <w:tc>
              <w:tcPr>
                <w:tcW w:w="0" w:type="auto"/>
                <w:hideMark/>
              </w:tcPr>
              <w:p w14:paraId="3097534A"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Ability to service debt</w:t>
                </w:r>
              </w:p>
            </w:tc>
          </w:tr>
          <w:tr w:rsidR="0027530E" w:rsidRPr="0027530E" w14:paraId="22071466" w14:textId="77777777" w:rsidTr="00D816E9">
            <w:tc>
              <w:tcPr>
                <w:tcW w:w="0" w:type="auto"/>
                <w:hideMark/>
              </w:tcPr>
              <w:p w14:paraId="4A6455F9"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Earnings per Share (EPS)</w:t>
                </w:r>
              </w:p>
            </w:tc>
            <w:tc>
              <w:tcPr>
                <w:tcW w:w="0" w:type="auto"/>
                <w:hideMark/>
              </w:tcPr>
              <w:p w14:paraId="0642FBA4"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Profit after Tax / Ordinary Shares</w:t>
                </w:r>
              </w:p>
            </w:tc>
            <w:tc>
              <w:tcPr>
                <w:tcW w:w="0" w:type="auto"/>
                <w:hideMark/>
              </w:tcPr>
              <w:p w14:paraId="52BC6F4F"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Shareholder return</w:t>
                </w:r>
              </w:p>
            </w:tc>
          </w:tr>
          <w:tr w:rsidR="0027530E" w:rsidRPr="0027530E" w14:paraId="34180276" w14:textId="77777777" w:rsidTr="00D816E9">
            <w:tc>
              <w:tcPr>
                <w:tcW w:w="0" w:type="auto"/>
                <w:hideMark/>
              </w:tcPr>
              <w:p w14:paraId="04A659B6"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Dividend Cover</w:t>
                </w:r>
              </w:p>
            </w:tc>
            <w:tc>
              <w:tcPr>
                <w:tcW w:w="0" w:type="auto"/>
                <w:hideMark/>
              </w:tcPr>
              <w:p w14:paraId="7CCC479F"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Earnings per Share / Dividend per Share</w:t>
                </w:r>
              </w:p>
            </w:tc>
            <w:tc>
              <w:tcPr>
                <w:tcW w:w="0" w:type="auto"/>
                <w:hideMark/>
              </w:tcPr>
              <w:p w14:paraId="43E49AEB" w14:textId="77777777" w:rsidR="0027530E" w:rsidRPr="0027530E" w:rsidRDefault="0027530E" w:rsidP="0027530E">
                <w:pPr>
                  <w:spacing w:after="160" w:line="259" w:lineRule="auto"/>
                  <w:rPr>
                    <w:rFonts w:cstheme="minorHAnsi"/>
                    <w:sz w:val="22"/>
                    <w:szCs w:val="22"/>
                  </w:rPr>
                </w:pPr>
                <w:r w:rsidRPr="0027530E">
                  <w:rPr>
                    <w:rFonts w:cstheme="minorHAnsi"/>
                    <w:sz w:val="22"/>
                    <w:szCs w:val="22"/>
                  </w:rPr>
                  <w:t>Dividend sustainability</w:t>
                </w:r>
              </w:p>
            </w:tc>
          </w:tr>
        </w:tbl>
        <w:p w14:paraId="18234196" w14:textId="277E9FF6" w:rsidR="0027530E" w:rsidRPr="0027530E" w:rsidRDefault="0027530E" w:rsidP="0027530E">
          <w:pPr>
            <w:rPr>
              <w:rFonts w:cstheme="minorHAnsi"/>
              <w:lang w:val="en-US"/>
            </w:rPr>
          </w:pPr>
          <w:r w:rsidRPr="0027530E">
            <w:rPr>
              <w:rFonts w:cstheme="minorHAnsi"/>
              <w:lang w:val="en-US"/>
            </w:rPr>
            <w:t>The gearing ratio shows how far Sainsbury is going to finance its operations using debt instead of equity. Moderate gearing may have its benefits because debt financing is normally less expensive than equity, as interest is deductible on tax purposes</w:t>
          </w:r>
          <w:r w:rsidR="007C5EC2">
            <w:rPr>
              <w:rFonts w:cstheme="minorHAnsi"/>
              <w:lang w:val="en-US"/>
            </w:rPr>
            <w:t xml:space="preserve"> (</w:t>
          </w:r>
          <w:r w:rsidR="007C5EC2" w:rsidRPr="007C5EC2">
            <w:rPr>
              <w:rFonts w:cstheme="minorHAnsi"/>
              <w:lang w:val="en-US"/>
            </w:rPr>
            <w:t xml:space="preserve">Mitra and Samanta, </w:t>
          </w:r>
          <w:r w:rsidR="007C5EC2">
            <w:rPr>
              <w:rFonts w:cstheme="minorHAnsi"/>
              <w:lang w:val="en-US"/>
            </w:rPr>
            <w:t>2022)</w:t>
          </w:r>
          <w:r w:rsidRPr="0027530E">
            <w:rPr>
              <w:rFonts w:cstheme="minorHAnsi"/>
              <w:lang w:val="en-US"/>
            </w:rPr>
            <w:t>. An extreme level of gearing is, however, associated with financial risk, especially during times of rising interest rates or declining profits. In the case of retailers whose margins are too small, the balanced capital structure is essential to remain financially flexible (Atrill &amp; McLaney, 2019).</w:t>
          </w:r>
        </w:p>
        <w:p w14:paraId="1B97CD5E" w14:textId="129F9DEA" w:rsidR="0027530E" w:rsidRPr="0027530E" w:rsidRDefault="0027530E" w:rsidP="0027530E">
          <w:pPr>
            <w:rPr>
              <w:rFonts w:cstheme="minorHAnsi"/>
              <w:lang w:val="en-US"/>
            </w:rPr>
          </w:pPr>
          <w:r w:rsidRPr="0027530E">
            <w:rPr>
              <w:rFonts w:cstheme="minorHAnsi"/>
              <w:lang w:val="en-US"/>
            </w:rPr>
            <w:t>Interest cover measures the position of the company to cover interest payments on operating profits</w:t>
          </w:r>
          <w:r w:rsidR="00E20678">
            <w:rPr>
              <w:rFonts w:cstheme="minorHAnsi"/>
              <w:lang w:val="en-US"/>
            </w:rPr>
            <w:t xml:space="preserve"> (</w:t>
          </w:r>
          <w:r w:rsidR="00E20678" w:rsidRPr="00E20678">
            <w:rPr>
              <w:rFonts w:cstheme="minorHAnsi"/>
              <w:lang w:val="en-US"/>
            </w:rPr>
            <w:t>Taebi, Zeinali, and Beytollahi,</w:t>
          </w:r>
          <w:r w:rsidR="00E20678">
            <w:rPr>
              <w:rFonts w:cstheme="minorHAnsi"/>
              <w:lang w:val="en-US"/>
            </w:rPr>
            <w:t xml:space="preserve"> 2022)</w:t>
          </w:r>
          <w:r w:rsidRPr="0027530E">
            <w:rPr>
              <w:rFonts w:cstheme="minorHAnsi"/>
              <w:lang w:val="en-US"/>
            </w:rPr>
            <w:t>. The high interest cover ratio is a sign of this high margin of safety to the lenders and also indicates that Sainsbury would be able to comfortably repay its debt should profitability deteriorate. In contrast, a decrease in interest cover would be a matter of concern due to exposure to economic recessions or inflation of costs.</w:t>
          </w:r>
        </w:p>
        <w:p w14:paraId="29AE59A1" w14:textId="3F4BDF4F" w:rsidR="0027530E" w:rsidRPr="0027530E" w:rsidRDefault="0027530E" w:rsidP="0027530E">
          <w:pPr>
            <w:rPr>
              <w:rFonts w:cstheme="minorHAnsi"/>
              <w:lang w:val="en-US"/>
            </w:rPr>
          </w:pPr>
          <w:r w:rsidRPr="0027530E">
            <w:rPr>
              <w:rFonts w:cstheme="minorHAnsi"/>
              <w:lang w:val="en-US"/>
            </w:rPr>
            <w:t>One of the most closely monitored investor ratios is earnings per share (EPS), which gives a direct reflection of the amount of profit available to ordinary shareholders</w:t>
          </w:r>
          <w:r w:rsidR="00E20678">
            <w:rPr>
              <w:rFonts w:cstheme="minorHAnsi"/>
              <w:lang w:val="en-US"/>
            </w:rPr>
            <w:t xml:space="preserve"> (</w:t>
          </w:r>
          <w:r w:rsidR="00E20678" w:rsidRPr="00E20678">
            <w:rPr>
              <w:rFonts w:cstheme="minorHAnsi"/>
              <w:lang w:val="en-US"/>
            </w:rPr>
            <w:t>Arsal</w:t>
          </w:r>
          <w:r w:rsidR="00E20678">
            <w:rPr>
              <w:rFonts w:cstheme="minorHAnsi"/>
              <w:lang w:val="en-US"/>
            </w:rPr>
            <w:t>, 2021)</w:t>
          </w:r>
          <w:r w:rsidRPr="0027530E">
            <w:rPr>
              <w:rFonts w:cstheme="minorHAnsi"/>
              <w:lang w:val="en-US"/>
            </w:rPr>
            <w:t>. A growing trend in the EPS over the two years would boost the investor confidence, which would indicate better operational performance or better cost management. Nevertheless, growth in EPS caused by a share buyback and not by an underlying increase in profits should be viewed with care (Arnold, 2013).</w:t>
          </w:r>
        </w:p>
        <w:p w14:paraId="20B13E19" w14:textId="5AEC347B" w:rsidR="0027530E" w:rsidRPr="0027530E" w:rsidRDefault="0027530E" w:rsidP="0027530E">
          <w:pPr>
            <w:rPr>
              <w:rFonts w:cstheme="minorHAnsi"/>
              <w:lang w:val="en-US"/>
            </w:rPr>
          </w:pPr>
          <w:r w:rsidRPr="0027530E">
            <w:rPr>
              <w:rFonts w:cstheme="minorHAnsi"/>
              <w:lang w:val="en-US"/>
            </w:rPr>
            <w:t>Dividend cover is a measure of how dividends are sustained by earnings. High dividend cover; dividends greater than one imply that they use current earnings as opposed to reserves, which improves sustainability</w:t>
          </w:r>
          <w:r w:rsidR="00E20678">
            <w:rPr>
              <w:rFonts w:cstheme="minorHAnsi"/>
              <w:lang w:val="en-US"/>
            </w:rPr>
            <w:t xml:space="preserve"> (</w:t>
          </w:r>
          <w:r w:rsidR="00E20678" w:rsidRPr="00E20678">
            <w:rPr>
              <w:rFonts w:cstheme="minorHAnsi"/>
              <w:lang w:val="en-US"/>
            </w:rPr>
            <w:t>Falavigna and Ippoliti</w:t>
          </w:r>
          <w:r w:rsidR="00E20678">
            <w:rPr>
              <w:rFonts w:cstheme="minorHAnsi"/>
              <w:lang w:val="en-US"/>
            </w:rPr>
            <w:t>,</w:t>
          </w:r>
          <w:r w:rsidR="00E20678" w:rsidRPr="00E20678">
            <w:rPr>
              <w:rFonts w:cstheme="minorHAnsi"/>
              <w:lang w:val="en-US"/>
            </w:rPr>
            <w:t xml:space="preserve"> 2021</w:t>
          </w:r>
          <w:r w:rsidR="00E20678">
            <w:rPr>
              <w:rFonts w:cstheme="minorHAnsi"/>
              <w:lang w:val="en-US"/>
            </w:rPr>
            <w:t>)</w:t>
          </w:r>
          <w:r w:rsidRPr="0027530E">
            <w:rPr>
              <w:rFonts w:cstheme="minorHAnsi"/>
              <w:lang w:val="en-US"/>
            </w:rPr>
            <w:t>. In the case of Sainsbury, the prudent dividend cover is necessary to balance the shareholders' returns against reinvesting in Sainsbury as well as debt servicing obligations.</w:t>
          </w:r>
        </w:p>
        <w:p w14:paraId="4AA7F8EF" w14:textId="77777777" w:rsidR="0027530E" w:rsidRPr="0027530E" w:rsidRDefault="0027530E" w:rsidP="0027530E">
          <w:pPr>
            <w:rPr>
              <w:rFonts w:cstheme="minorHAnsi"/>
              <w:lang w:val="en-US"/>
            </w:rPr>
          </w:pPr>
          <w:r w:rsidRPr="0027530E">
            <w:rPr>
              <w:rFonts w:cstheme="minorHAnsi"/>
              <w:noProof/>
              <w:lang w:val="en-US"/>
            </w:rPr>
            <w:drawing>
              <wp:inline distT="0" distB="0" distL="0" distR="0" wp14:anchorId="2F6BF929" wp14:editId="5C427634">
                <wp:extent cx="4673143" cy="3472405"/>
                <wp:effectExtent l="0" t="0" r="635" b="0"/>
                <wp:docPr id="12846539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653967" name="Picture 1284653967"/>
                        <pic:cNvPicPr/>
                      </pic:nvPicPr>
                      <pic:blipFill>
                        <a:blip r:embed="rId13">
                          <a:extLst>
                            <a:ext uri="{28A0092B-C50C-407E-A947-70E740481C1C}">
                              <a14:useLocalDpi xmlns:a14="http://schemas.microsoft.com/office/drawing/2010/main" val="0"/>
                            </a:ext>
                          </a:extLst>
                        </a:blip>
                        <a:stretch>
                          <a:fillRect/>
                        </a:stretch>
                      </pic:blipFill>
                      <pic:spPr>
                        <a:xfrm>
                          <a:off x="0" y="0"/>
                          <a:ext cx="4675510" cy="3474164"/>
                        </a:xfrm>
                        <a:prstGeom prst="rect">
                          <a:avLst/>
                        </a:prstGeom>
                      </pic:spPr>
                    </pic:pic>
                  </a:graphicData>
                </a:graphic>
              </wp:inline>
            </w:drawing>
          </w:r>
        </w:p>
        <w:p w14:paraId="2905B6FA" w14:textId="2BB4A2D8" w:rsidR="0027530E" w:rsidRPr="0027530E" w:rsidRDefault="0027530E" w:rsidP="0027530E">
          <w:pPr>
            <w:jc w:val="center"/>
            <w:rPr>
              <w:rFonts w:cstheme="minorHAnsi"/>
              <w:lang w:val="en-US"/>
            </w:rPr>
          </w:pPr>
          <w:r w:rsidRPr="0027530E">
            <w:rPr>
              <w:rFonts w:cstheme="minorHAnsi"/>
              <w:lang w:val="en-US"/>
            </w:rPr>
            <w:t>Figure 4: Gearing ratio and interest cover (two-year comparison)</w:t>
          </w:r>
        </w:p>
        <w:p w14:paraId="5B49599A" w14:textId="77777777" w:rsidR="0027530E" w:rsidRPr="0027530E" w:rsidRDefault="0027530E" w:rsidP="0027530E">
          <w:pPr>
            <w:rPr>
              <w:rFonts w:cstheme="minorHAnsi"/>
              <w:lang w:val="en-US"/>
            </w:rPr>
          </w:pPr>
          <w:r w:rsidRPr="0027530E">
            <w:rPr>
              <w:rFonts w:cstheme="minorHAnsi"/>
              <w:noProof/>
              <w:lang w:val="en-US"/>
            </w:rPr>
            <w:drawing>
              <wp:inline distT="0" distB="0" distL="0" distR="0" wp14:anchorId="7CBDA0B3" wp14:editId="11CADDE1">
                <wp:extent cx="5270500" cy="4051300"/>
                <wp:effectExtent l="0" t="0" r="0" b="0"/>
                <wp:docPr id="21452851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285104" name="Picture 2145285104"/>
                        <pic:cNvPicPr/>
                      </pic:nvPicPr>
                      <pic:blipFill>
                        <a:blip r:embed="rId14">
                          <a:extLst>
                            <a:ext uri="{28A0092B-C50C-407E-A947-70E740481C1C}">
                              <a14:useLocalDpi xmlns:a14="http://schemas.microsoft.com/office/drawing/2010/main" val="0"/>
                            </a:ext>
                          </a:extLst>
                        </a:blip>
                        <a:stretch>
                          <a:fillRect/>
                        </a:stretch>
                      </pic:blipFill>
                      <pic:spPr>
                        <a:xfrm>
                          <a:off x="0" y="0"/>
                          <a:ext cx="5270500" cy="4051300"/>
                        </a:xfrm>
                        <a:prstGeom prst="rect">
                          <a:avLst/>
                        </a:prstGeom>
                      </pic:spPr>
                    </pic:pic>
                  </a:graphicData>
                </a:graphic>
              </wp:inline>
            </w:drawing>
          </w:r>
        </w:p>
        <w:p w14:paraId="0AFBF94B" w14:textId="27D60CB7" w:rsidR="0027530E" w:rsidRPr="0027530E" w:rsidRDefault="0027530E" w:rsidP="0027530E">
          <w:pPr>
            <w:jc w:val="center"/>
            <w:rPr>
              <w:rFonts w:cstheme="minorHAnsi"/>
              <w:lang w:val="en-US"/>
            </w:rPr>
          </w:pPr>
          <w:r w:rsidRPr="0027530E">
            <w:rPr>
              <w:rFonts w:cstheme="minorHAnsi"/>
              <w:lang w:val="en-US"/>
            </w:rPr>
            <w:t>Figure 5: EPS and dividend per share trends</w:t>
          </w:r>
        </w:p>
        <w:p w14:paraId="7F9763EC" w14:textId="57F1A9A0" w:rsidR="0027530E" w:rsidRPr="0027530E" w:rsidRDefault="0027530E" w:rsidP="0027530E">
          <w:pPr>
            <w:rPr>
              <w:rFonts w:cstheme="minorHAnsi"/>
              <w:b/>
              <w:bCs/>
              <w:lang w:val="en-US"/>
            </w:rPr>
          </w:pPr>
          <w:r w:rsidRPr="0027530E">
            <w:rPr>
              <w:rFonts w:cstheme="minorHAnsi"/>
              <w:b/>
              <w:bCs/>
              <w:lang w:val="en-US"/>
            </w:rPr>
            <w:t xml:space="preserve">1.5 Critical Evaluation of Ratio Analysis </w:t>
          </w:r>
        </w:p>
        <w:p w14:paraId="6DE13EFB" w14:textId="77777777" w:rsidR="0027530E" w:rsidRPr="0027530E" w:rsidRDefault="0027530E" w:rsidP="0027530E">
          <w:pPr>
            <w:rPr>
              <w:rFonts w:cstheme="minorHAnsi"/>
              <w:lang w:val="en-US"/>
            </w:rPr>
          </w:pPr>
          <w:r w:rsidRPr="0027530E">
            <w:rPr>
              <w:rFonts w:cstheme="minorHAnsi"/>
              <w:lang w:val="en-US"/>
            </w:rPr>
            <w:t>As much as ratio analysis can be an effective instrument in the evaluation of financial performance, it has, however, a number of limitations that should be taken into consideration. To begin with, ratios are historic, and they are based on old statements. Consequently, they might not fully represent the actual market conditions and future perspectives, especially in a fast-evolving retailing environment (Atrill &amp; McLaney, 2019).</w:t>
          </w:r>
        </w:p>
        <w:p w14:paraId="753A12E6" w14:textId="2D00889C" w:rsidR="0027530E" w:rsidRPr="0027530E" w:rsidRDefault="0027530E" w:rsidP="0027530E">
          <w:pPr>
            <w:rPr>
              <w:rFonts w:cstheme="minorHAnsi"/>
              <w:lang w:val="en-US"/>
            </w:rPr>
          </w:pPr>
          <w:r w:rsidRPr="0027530E">
            <w:rPr>
              <w:rFonts w:cstheme="minorHAnsi"/>
              <w:lang w:val="en-US"/>
            </w:rPr>
            <w:t>Second, inflation may skew the interpretation of ratios by inflating profits and deflating asset values, particularly those valuations at historical cost</w:t>
          </w:r>
          <w:r w:rsidR="00E20678">
            <w:rPr>
              <w:rFonts w:cstheme="minorHAnsi"/>
              <w:lang w:val="en-US"/>
            </w:rPr>
            <w:t xml:space="preserve"> (</w:t>
          </w:r>
          <w:r w:rsidR="00E20678" w:rsidRPr="00E20678">
            <w:rPr>
              <w:rFonts w:cstheme="minorHAnsi"/>
              <w:lang w:val="en-US"/>
            </w:rPr>
            <w:t>Adkins, Cooper, and Konings,</w:t>
          </w:r>
          <w:r w:rsidR="00E20678">
            <w:rPr>
              <w:rFonts w:cstheme="minorHAnsi"/>
              <w:lang w:val="en-US"/>
            </w:rPr>
            <w:t xml:space="preserve"> 2021)</w:t>
          </w:r>
          <w:r w:rsidRPr="0027530E">
            <w:rPr>
              <w:rFonts w:cstheme="minorHAnsi"/>
              <w:lang w:val="en-US"/>
            </w:rPr>
            <w:t>. This may produce inaccurate conclusions with respect to profitability and the amount of profit on capital used (Arnold, 2013).</w:t>
          </w:r>
        </w:p>
        <w:p w14:paraId="4FF3FB2A" w14:textId="77777777" w:rsidR="0027530E" w:rsidRPr="0027530E" w:rsidRDefault="0027530E" w:rsidP="0027530E">
          <w:pPr>
            <w:rPr>
              <w:rFonts w:cstheme="minorHAnsi"/>
              <w:lang w:val="en-US"/>
            </w:rPr>
          </w:pPr>
          <w:r w:rsidRPr="0027530E">
            <w:rPr>
              <w:rFonts w:cstheme="minorHAnsi"/>
              <w:lang w:val="en-US"/>
            </w:rPr>
            <w:t>Third, a reporting difference between accounting policies, like the depreciation of property, valuation of inventory, or lease accounting, can have a big influence on the reported figures. Comparisons across time or between different firms can thus be an indication of accounting decisions and not actual performance differences.</w:t>
          </w:r>
        </w:p>
        <w:p w14:paraId="5DF74C9A" w14:textId="77777777" w:rsidR="0027530E" w:rsidRPr="0027530E" w:rsidRDefault="0027530E" w:rsidP="0027530E">
          <w:pPr>
            <w:rPr>
              <w:rFonts w:cstheme="minorHAnsi"/>
              <w:lang w:val="en-US"/>
            </w:rPr>
          </w:pPr>
          <w:r w:rsidRPr="0027530E">
            <w:rPr>
              <w:rFonts w:cstheme="minorHAnsi"/>
              <w:lang w:val="en-US"/>
            </w:rPr>
            <w:t>Fourth, industry comparability is low. A retail business, such as that, usually has low current ratios and a negative working capital cycle. Using generic benchmarks without paying attention to sector-specific peculiarities can result in wrong estimates of liquidity or risk.</w:t>
          </w:r>
        </w:p>
        <w:p w14:paraId="7342A1AF" w14:textId="77777777" w:rsidR="0027530E" w:rsidRPr="0027530E" w:rsidRDefault="0027530E" w:rsidP="0027530E">
          <w:pPr>
            <w:rPr>
              <w:rFonts w:cstheme="minorHAnsi"/>
              <w:lang w:val="en-US"/>
            </w:rPr>
          </w:pPr>
          <w:r w:rsidRPr="0027530E">
            <w:rPr>
              <w:rFonts w:cstheme="minorHAnsi"/>
              <w:lang w:val="en-US"/>
            </w:rPr>
            <w:t>Ratios ought to therefore be regarded as indicators but not absolute. Financial analysis involves effective interpretation of ratios that is backed up by qualitative information, trend analysis, and knowledge of the business model and the environment in which the firm operates.</w:t>
          </w:r>
        </w:p>
        <w:p w14:paraId="5E41AC6F" w14:textId="714705E6" w:rsidR="0027530E" w:rsidRPr="0027530E" w:rsidRDefault="0027530E" w:rsidP="0027530E">
          <w:pPr>
            <w:rPr>
              <w:rFonts w:cstheme="minorHAnsi"/>
              <w:b/>
              <w:bCs/>
              <w:lang w:val="en-US"/>
            </w:rPr>
          </w:pPr>
          <w:r w:rsidRPr="0027530E">
            <w:rPr>
              <w:rFonts w:cstheme="minorHAnsi"/>
              <w:b/>
              <w:bCs/>
              <w:lang w:val="en-US"/>
            </w:rPr>
            <w:t xml:space="preserve">1.6 Recommendations for Financial Performance Improvement </w:t>
          </w:r>
        </w:p>
        <w:p w14:paraId="188113E4" w14:textId="77777777" w:rsidR="0027530E" w:rsidRPr="0027530E" w:rsidRDefault="0027530E" w:rsidP="0027530E">
          <w:pPr>
            <w:rPr>
              <w:rFonts w:cstheme="minorHAnsi"/>
              <w:lang w:val="en-US"/>
            </w:rPr>
          </w:pPr>
          <w:r w:rsidRPr="0027530E">
            <w:rPr>
              <w:rFonts w:cstheme="minorHAnsi"/>
              <w:lang w:val="en-US"/>
            </w:rPr>
            <w:t>Due to the above analysis, a number of recommendations can be offered to improve the financial performance of Sainsbury. To begin with, the management of working capital should also be a strategy. Further streamlining of inventory turnover was possible via better demand forecasting and supply-chain effectiveness, which would minimise holding costs and waste and reinforce cash flow (Atrill &amp; McLane, 2019).</w:t>
          </w:r>
        </w:p>
        <w:p w14:paraId="2AE4C515" w14:textId="6BDDAD31" w:rsidR="0027530E" w:rsidRPr="0027530E" w:rsidRDefault="0027530E" w:rsidP="0027530E">
          <w:pPr>
            <w:rPr>
              <w:rFonts w:cstheme="minorHAnsi"/>
              <w:lang w:val="en-US"/>
            </w:rPr>
          </w:pPr>
          <w:r w:rsidRPr="0027530E">
            <w:rPr>
              <w:rFonts w:cstheme="minorHAnsi"/>
              <w:lang w:val="en-US"/>
            </w:rPr>
            <w:t>Second, cost control should be directed towards energy performance, logistics, and labour productivity because of inflationary pressures in the retail arena</w:t>
          </w:r>
          <w:r w:rsidR="00E20678">
            <w:rPr>
              <w:rFonts w:cstheme="minorHAnsi"/>
              <w:lang w:val="en-US"/>
            </w:rPr>
            <w:t xml:space="preserve"> (</w:t>
          </w:r>
          <w:r w:rsidR="00E20678" w:rsidRPr="00E20678">
            <w:rPr>
              <w:rFonts w:cstheme="minorHAnsi"/>
              <w:lang w:val="en-US"/>
            </w:rPr>
            <w:t>Ikue</w:t>
          </w:r>
          <w:r w:rsidR="00E20678">
            <w:rPr>
              <w:rFonts w:cstheme="minorHAnsi"/>
              <w:lang w:val="en-US"/>
            </w:rPr>
            <w:t>, 2024)</w:t>
          </w:r>
          <w:r w:rsidRPr="0027530E">
            <w:rPr>
              <w:rFonts w:cstheme="minorHAnsi"/>
              <w:lang w:val="en-US"/>
            </w:rPr>
            <w:t>. Even small cost reductions can have a significant effect on operating margins.</w:t>
          </w:r>
        </w:p>
        <w:p w14:paraId="0E280EA1" w14:textId="209A56D5" w:rsidR="00CF0E48" w:rsidRPr="0027530E" w:rsidRDefault="0027530E" w:rsidP="0027530E">
          <w:pPr>
            <w:rPr>
              <w:rFonts w:cstheme="minorHAnsi"/>
              <w:lang w:val="en-US"/>
            </w:rPr>
          </w:pPr>
          <w:r w:rsidRPr="0027530E">
            <w:rPr>
              <w:rFonts w:cstheme="minorHAnsi"/>
              <w:lang w:val="en-US"/>
            </w:rPr>
            <w:t>Third, optimisation of capital structure is needed. A moderately geared and high-interest cover will provide financial flexibility without disadvantaging the tax deductions of debt financing. Lastly, improved management of cash flow, necessitated by austerity in capital spending and judicious dividend practices, shall make Sainsbury strike a balance between the returns to shareholders and long-term investment and survival in uncertain economic situations.</w:t>
          </w:r>
        </w:p>
        <w:p w14:paraId="11657221" w14:textId="50D0927D" w:rsidR="00CF0E48" w:rsidRPr="0027530E" w:rsidRDefault="00CF0E48" w:rsidP="00CF0E48">
          <w:pPr>
            <w:pStyle w:val="Heading2"/>
            <w:rPr>
              <w:rFonts w:asciiTheme="minorHAnsi" w:hAnsiTheme="minorHAnsi" w:cstheme="minorHAnsi"/>
            </w:rPr>
          </w:pPr>
          <w:bookmarkStart w:id="4" w:name="_Toc218881343"/>
          <w:r w:rsidRPr="0027530E">
            <w:rPr>
              <w:rFonts w:asciiTheme="minorHAnsi" w:hAnsiTheme="minorHAnsi" w:cstheme="minorHAnsi"/>
            </w:rPr>
            <w:t>Task 2</w:t>
          </w:r>
          <w:bookmarkEnd w:id="4"/>
        </w:p>
        <w:p w14:paraId="17148D1C" w14:textId="65F93478" w:rsidR="0027530E" w:rsidRPr="0027530E" w:rsidRDefault="0027530E" w:rsidP="0027530E">
          <w:pPr>
            <w:spacing w:line="360" w:lineRule="auto"/>
            <w:outlineLvl w:val="1"/>
            <w:rPr>
              <w:rFonts w:cstheme="minorHAnsi"/>
              <w:b/>
              <w:bCs/>
            </w:rPr>
          </w:pPr>
          <w:bookmarkStart w:id="5" w:name="_Toc218881344"/>
          <w:r w:rsidRPr="0027530E">
            <w:rPr>
              <w:rFonts w:cstheme="minorHAnsi"/>
              <w:b/>
              <w:bCs/>
            </w:rPr>
            <w:t>2.1 Investment Decision</w:t>
          </w:r>
          <w:bookmarkEnd w:id="5"/>
          <w:r w:rsidRPr="0027530E">
            <w:rPr>
              <w:rFonts w:cstheme="minorHAnsi"/>
              <w:b/>
              <w:bCs/>
            </w:rPr>
            <w:t xml:space="preserve"> </w:t>
          </w:r>
        </w:p>
        <w:p w14:paraId="0A7618F5" w14:textId="77777777" w:rsidR="0027530E" w:rsidRPr="0027530E" w:rsidRDefault="0027530E" w:rsidP="0027530E">
          <w:pPr>
            <w:pStyle w:val="NormalWeb"/>
            <w:spacing w:before="0" w:beforeAutospacing="0" w:after="0" w:afterAutospacing="0" w:line="360" w:lineRule="auto"/>
            <w:rPr>
              <w:rFonts w:asciiTheme="minorHAnsi" w:hAnsiTheme="minorHAnsi" w:cstheme="minorHAnsi"/>
            </w:rPr>
          </w:pPr>
          <w:r w:rsidRPr="0027530E">
            <w:rPr>
              <w:rFonts w:asciiTheme="minorHAnsi" w:hAnsiTheme="minorHAnsi" w:cstheme="minorHAnsi"/>
            </w:rPr>
            <w:t>Long-term growth strategies heavily rely on capital investment decisions where a lot of financial resources are dedicated to undertaking projects that have benefits exceeding several years. These choices have a direct impact on profitability, exposure to risk, and shareholder prosperity in competitive and capital-intensive settings (Arnold, 2013). The result of poor investment decision-making can place firms at a disadvantage in terms of inefficient cost structure, whilst a good appraisal is favorable to sustainable growth and a competitive edge.</w:t>
          </w:r>
        </w:p>
        <w:p w14:paraId="6FA821CD" w14:textId="3F0215AC" w:rsidR="0027530E" w:rsidRPr="0027530E" w:rsidRDefault="0027530E" w:rsidP="0027530E">
          <w:pPr>
            <w:pStyle w:val="NormalWeb"/>
            <w:spacing w:before="0" w:beforeAutospacing="0" w:after="0" w:afterAutospacing="0" w:line="360" w:lineRule="auto"/>
            <w:rPr>
              <w:rFonts w:asciiTheme="minorHAnsi" w:hAnsiTheme="minorHAnsi" w:cstheme="minorHAnsi"/>
            </w:rPr>
          </w:pPr>
          <w:r w:rsidRPr="0027530E">
            <w:rPr>
              <w:rFonts w:asciiTheme="minorHAnsi" w:hAnsiTheme="minorHAnsi" w:cstheme="minorHAnsi"/>
            </w:rPr>
            <w:t>One of the values of investment appraisal is the possibility to estimate the future cash flows with a systematised and objective method</w:t>
          </w:r>
          <w:r w:rsidR="000A019A">
            <w:rPr>
              <w:rFonts w:asciiTheme="minorHAnsi" w:hAnsiTheme="minorHAnsi" w:cstheme="minorHAnsi"/>
            </w:rPr>
            <w:t xml:space="preserve"> (</w:t>
          </w:r>
          <w:r w:rsidR="000A019A" w:rsidRPr="000A019A">
            <w:rPr>
              <w:rFonts w:asciiTheme="minorHAnsi" w:hAnsiTheme="minorHAnsi" w:cstheme="minorHAnsi"/>
            </w:rPr>
            <w:t>Pereira, Dias, Galvão</w:t>
          </w:r>
          <w:r w:rsidR="000A019A">
            <w:rPr>
              <w:rFonts w:asciiTheme="minorHAnsi" w:hAnsiTheme="minorHAnsi" w:cstheme="minorHAnsi"/>
            </w:rPr>
            <w:t>, 2024)</w:t>
          </w:r>
          <w:r w:rsidRPr="0027530E">
            <w:rPr>
              <w:rFonts w:asciiTheme="minorHAnsi" w:hAnsiTheme="minorHAnsi" w:cstheme="minorHAnsi"/>
            </w:rPr>
            <w:t>. The modern financial theory underlines the idea that investment decisions must be aligned with the goal of shareholder wealth maximisation and that they have to consider the time value of money and expected returns (Brealey, Myers, and Allen, 2020). In turn, companies use discounted and non-discounted methods of appraisal to determine the viability of projects.</w:t>
          </w:r>
        </w:p>
        <w:p w14:paraId="2025BB86" w14:textId="2955D7F3" w:rsidR="0027530E" w:rsidRPr="0027530E" w:rsidRDefault="0027530E" w:rsidP="0027530E">
          <w:pPr>
            <w:pStyle w:val="NormalWeb"/>
            <w:spacing w:before="0" w:beforeAutospacing="0" w:after="0" w:afterAutospacing="0" w:line="360" w:lineRule="auto"/>
            <w:rPr>
              <w:rFonts w:asciiTheme="minorHAnsi" w:hAnsiTheme="minorHAnsi" w:cstheme="minorHAnsi"/>
            </w:rPr>
          </w:pPr>
          <w:r w:rsidRPr="0027530E">
            <w:rPr>
              <w:rFonts w:asciiTheme="minorHAnsi" w:hAnsiTheme="minorHAnsi" w:cstheme="minorHAnsi"/>
            </w:rPr>
            <w:t>Here, the management is evaluating three strategic projects that are mutually exclusive, each with a four-year planning horizon</w:t>
          </w:r>
          <w:r w:rsidR="000A019A">
            <w:rPr>
              <w:rFonts w:asciiTheme="minorHAnsi" w:hAnsiTheme="minorHAnsi" w:cstheme="minorHAnsi"/>
            </w:rPr>
            <w:t xml:space="preserve"> (</w:t>
          </w:r>
          <w:r w:rsidR="000A019A" w:rsidRPr="000A019A">
            <w:rPr>
              <w:rFonts w:asciiTheme="minorHAnsi" w:hAnsiTheme="minorHAnsi" w:cstheme="minorHAnsi"/>
            </w:rPr>
            <w:t>Mäntysalo</w:t>
          </w:r>
          <w:r w:rsidR="000A019A">
            <w:rPr>
              <w:rFonts w:asciiTheme="minorHAnsi" w:hAnsiTheme="minorHAnsi" w:cstheme="minorHAnsi"/>
            </w:rPr>
            <w:t xml:space="preserve"> et al., 2023)</w:t>
          </w:r>
          <w:r w:rsidRPr="0027530E">
            <w:rPr>
              <w:rFonts w:asciiTheme="minorHAnsi" w:hAnsiTheme="minorHAnsi" w:cstheme="minorHAnsi"/>
            </w:rPr>
            <w:t>. Project A includes a moderate start with consistent growth in cash inflows, Project B has a greater start but has more cash flows in the latter years, and Project C is a big start with the largest absolute cash inflows. These projects vary in magnitude, profile within the risk, and capital intensity; thus, they can be compared with other appraisal methods.</w:t>
          </w:r>
        </w:p>
        <w:p w14:paraId="6297B581" w14:textId="77777777" w:rsidR="0027530E" w:rsidRPr="0027530E" w:rsidRDefault="0027530E" w:rsidP="0027530E">
          <w:pPr>
            <w:pStyle w:val="NormalWeb"/>
            <w:spacing w:before="0" w:beforeAutospacing="0" w:after="0" w:afterAutospacing="0" w:line="360" w:lineRule="auto"/>
            <w:rPr>
              <w:rFonts w:asciiTheme="minorHAnsi" w:hAnsiTheme="minorHAnsi" w:cstheme="minorHAnsi"/>
            </w:rPr>
          </w:pPr>
          <w:r w:rsidRPr="0027530E">
            <w:rPr>
              <w:rFonts w:asciiTheme="minorHAnsi" w:hAnsiTheme="minorHAnsi" w:cstheme="minorHAnsi"/>
            </w:rPr>
            <w:t>The sections further below point out cash flows pertinent and use Payback Period, Net Present Value (NPV), and Internal Rate of Return (IRR) methodologies to define which project best fits the financial goals over the long term.</w:t>
          </w:r>
        </w:p>
        <w:p w14:paraId="711B0E0C" w14:textId="0BF99D07" w:rsidR="0027530E" w:rsidRPr="0027530E" w:rsidRDefault="0027530E" w:rsidP="0027530E">
          <w:pPr>
            <w:spacing w:line="360" w:lineRule="auto"/>
            <w:outlineLvl w:val="1"/>
            <w:rPr>
              <w:rFonts w:cstheme="minorHAnsi"/>
              <w:b/>
              <w:bCs/>
            </w:rPr>
          </w:pPr>
          <w:bookmarkStart w:id="6" w:name="_Toc218881345"/>
          <w:r w:rsidRPr="0027530E">
            <w:rPr>
              <w:rFonts w:cstheme="minorHAnsi"/>
              <w:b/>
              <w:bCs/>
            </w:rPr>
            <w:t>2.2 Identification of Relevant Cash Flows &amp; Assumptions</w:t>
          </w:r>
          <w:bookmarkEnd w:id="6"/>
          <w:r w:rsidRPr="0027530E">
            <w:rPr>
              <w:rFonts w:cstheme="minorHAnsi"/>
              <w:b/>
              <w:bCs/>
            </w:rPr>
            <w:t xml:space="preserve"> </w:t>
          </w:r>
        </w:p>
        <w:p w14:paraId="35F6C9B0" w14:textId="52BFECF5" w:rsidR="0027530E" w:rsidRPr="0027530E" w:rsidRDefault="0027530E" w:rsidP="0027530E">
          <w:pPr>
            <w:spacing w:line="360" w:lineRule="auto"/>
            <w:rPr>
              <w:rFonts w:cstheme="minorHAnsi"/>
            </w:rPr>
          </w:pPr>
          <w:r w:rsidRPr="0027530E">
            <w:rPr>
              <w:rFonts w:cstheme="minorHAnsi"/>
            </w:rPr>
            <w:t>Proper identification of cash flows of interest is the cornerstone of sound investment appraisal</w:t>
          </w:r>
          <w:r w:rsidR="00E20678">
            <w:rPr>
              <w:rFonts w:cstheme="minorHAnsi"/>
            </w:rPr>
            <w:t xml:space="preserve"> (</w:t>
          </w:r>
          <w:r w:rsidR="00E20678" w:rsidRPr="00E20678">
            <w:rPr>
              <w:rFonts w:cstheme="minorHAnsi"/>
            </w:rPr>
            <w:t>Pereira</w:t>
          </w:r>
          <w:r w:rsidR="00E20678">
            <w:rPr>
              <w:rFonts w:cstheme="minorHAnsi"/>
            </w:rPr>
            <w:t xml:space="preserve"> et al., 2024)</w:t>
          </w:r>
          <w:r w:rsidRPr="0027530E">
            <w:rPr>
              <w:rFonts w:cstheme="minorHAnsi"/>
            </w:rPr>
            <w:t>. The analysis should only include incremental cash flows, which are those cash flows generated as a direct result of a project being undertaken (Atrill &amp; McLaney, 2019).</w:t>
          </w:r>
        </w:p>
        <w:p w14:paraId="57A42AFF" w14:textId="77777777" w:rsidR="0027530E" w:rsidRPr="0027530E" w:rsidRDefault="0027530E" w:rsidP="0027530E">
          <w:pPr>
            <w:spacing w:line="360" w:lineRule="auto"/>
            <w:jc w:val="center"/>
            <w:outlineLvl w:val="2"/>
            <w:rPr>
              <w:rFonts w:cstheme="minorHAnsi"/>
            </w:rPr>
          </w:pPr>
          <w:bookmarkStart w:id="7" w:name="_Toc218881346"/>
          <w:r w:rsidRPr="0027530E">
            <w:rPr>
              <w:rFonts w:cstheme="minorHAnsi"/>
            </w:rPr>
            <w:t>Table 5: Key assumptions used in the appraisal</w:t>
          </w:r>
          <w:bookmarkEnd w:id="7"/>
        </w:p>
        <w:tbl>
          <w:tblPr>
            <w:tblStyle w:val="TableGrid"/>
            <w:tblW w:w="0" w:type="auto"/>
            <w:jc w:val="center"/>
            <w:tblLook w:val="04A0" w:firstRow="1" w:lastRow="0" w:firstColumn="1" w:lastColumn="0" w:noHBand="0" w:noVBand="1"/>
          </w:tblPr>
          <w:tblGrid>
            <w:gridCol w:w="2824"/>
            <w:gridCol w:w="1817"/>
          </w:tblGrid>
          <w:tr w:rsidR="0027530E" w:rsidRPr="0027530E" w14:paraId="08C037F6" w14:textId="77777777" w:rsidTr="00D816E9">
            <w:trPr>
              <w:jc w:val="center"/>
            </w:trPr>
            <w:tc>
              <w:tcPr>
                <w:tcW w:w="0" w:type="auto"/>
                <w:hideMark/>
              </w:tcPr>
              <w:p w14:paraId="50124C1B"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Item</w:t>
                </w:r>
              </w:p>
            </w:tc>
            <w:tc>
              <w:tcPr>
                <w:tcW w:w="0" w:type="auto"/>
                <w:hideMark/>
              </w:tcPr>
              <w:p w14:paraId="68FE8EFC"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Assumption</w:t>
                </w:r>
              </w:p>
            </w:tc>
          </w:tr>
          <w:tr w:rsidR="0027530E" w:rsidRPr="0027530E" w14:paraId="71DBB0E6" w14:textId="77777777" w:rsidTr="00D816E9">
            <w:trPr>
              <w:jc w:val="center"/>
            </w:trPr>
            <w:tc>
              <w:tcPr>
                <w:tcW w:w="0" w:type="auto"/>
                <w:hideMark/>
              </w:tcPr>
              <w:p w14:paraId="512F86BF" w14:textId="77777777" w:rsidR="0027530E" w:rsidRPr="0027530E" w:rsidRDefault="0027530E" w:rsidP="00D816E9">
                <w:pPr>
                  <w:spacing w:line="360" w:lineRule="auto"/>
                  <w:rPr>
                    <w:rFonts w:cstheme="minorHAnsi"/>
                    <w:sz w:val="22"/>
                    <w:szCs w:val="22"/>
                  </w:rPr>
                </w:pPr>
                <w:r w:rsidRPr="0027530E">
                  <w:rPr>
                    <w:rFonts w:cstheme="minorHAnsi"/>
                    <w:sz w:val="22"/>
                    <w:szCs w:val="22"/>
                  </w:rPr>
                  <w:t>Initial investment</w:t>
                </w:r>
              </w:p>
            </w:tc>
            <w:tc>
              <w:tcPr>
                <w:tcW w:w="0" w:type="auto"/>
                <w:hideMark/>
              </w:tcPr>
              <w:p w14:paraId="275137F0" w14:textId="77777777" w:rsidR="0027530E" w:rsidRPr="0027530E" w:rsidRDefault="0027530E" w:rsidP="00D816E9">
                <w:pPr>
                  <w:spacing w:line="360" w:lineRule="auto"/>
                  <w:rPr>
                    <w:rFonts w:cstheme="minorHAnsi"/>
                    <w:sz w:val="22"/>
                    <w:szCs w:val="22"/>
                  </w:rPr>
                </w:pPr>
                <w:r w:rsidRPr="0027530E">
                  <w:rPr>
                    <w:rFonts w:cstheme="minorHAnsi"/>
                    <w:sz w:val="22"/>
                    <w:szCs w:val="22"/>
                  </w:rPr>
                  <w:t>Incurred at time 0</w:t>
                </w:r>
              </w:p>
            </w:tc>
          </w:tr>
          <w:tr w:rsidR="0027530E" w:rsidRPr="0027530E" w14:paraId="1AB94657" w14:textId="77777777" w:rsidTr="00D816E9">
            <w:trPr>
              <w:jc w:val="center"/>
            </w:trPr>
            <w:tc>
              <w:tcPr>
                <w:tcW w:w="0" w:type="auto"/>
                <w:hideMark/>
              </w:tcPr>
              <w:p w14:paraId="141E6909" w14:textId="77777777" w:rsidR="0027530E" w:rsidRPr="0027530E" w:rsidRDefault="0027530E" w:rsidP="00D816E9">
                <w:pPr>
                  <w:spacing w:line="360" w:lineRule="auto"/>
                  <w:rPr>
                    <w:rFonts w:cstheme="minorHAnsi"/>
                    <w:sz w:val="22"/>
                    <w:szCs w:val="22"/>
                  </w:rPr>
                </w:pPr>
                <w:r w:rsidRPr="0027530E">
                  <w:rPr>
                    <w:rFonts w:cstheme="minorHAnsi"/>
                    <w:sz w:val="22"/>
                    <w:szCs w:val="22"/>
                  </w:rPr>
                  <w:t>Operating cash flows</w:t>
                </w:r>
              </w:p>
            </w:tc>
            <w:tc>
              <w:tcPr>
                <w:tcW w:w="0" w:type="auto"/>
                <w:hideMark/>
              </w:tcPr>
              <w:p w14:paraId="6DB02CF3" w14:textId="77777777" w:rsidR="0027530E" w:rsidRPr="0027530E" w:rsidRDefault="0027530E" w:rsidP="00D816E9">
                <w:pPr>
                  <w:spacing w:line="360" w:lineRule="auto"/>
                  <w:rPr>
                    <w:rFonts w:cstheme="minorHAnsi"/>
                    <w:sz w:val="22"/>
                    <w:szCs w:val="22"/>
                  </w:rPr>
                </w:pPr>
                <w:r w:rsidRPr="0027530E">
                  <w:rPr>
                    <w:rFonts w:cstheme="minorHAnsi"/>
                    <w:sz w:val="22"/>
                    <w:szCs w:val="22"/>
                  </w:rPr>
                  <w:t>Occur at year-end</w:t>
                </w:r>
              </w:p>
            </w:tc>
          </w:tr>
          <w:tr w:rsidR="0027530E" w:rsidRPr="0027530E" w14:paraId="44E7C0CC" w14:textId="77777777" w:rsidTr="00D816E9">
            <w:trPr>
              <w:jc w:val="center"/>
            </w:trPr>
            <w:tc>
              <w:tcPr>
                <w:tcW w:w="0" w:type="auto"/>
                <w:hideMark/>
              </w:tcPr>
              <w:p w14:paraId="50CC25FC" w14:textId="77777777" w:rsidR="0027530E" w:rsidRPr="0027530E" w:rsidRDefault="0027530E" w:rsidP="00D816E9">
                <w:pPr>
                  <w:spacing w:line="360" w:lineRule="auto"/>
                  <w:rPr>
                    <w:rFonts w:cstheme="minorHAnsi"/>
                    <w:sz w:val="22"/>
                    <w:szCs w:val="22"/>
                  </w:rPr>
                </w:pPr>
                <w:r w:rsidRPr="0027530E">
                  <w:rPr>
                    <w:rFonts w:cstheme="minorHAnsi"/>
                    <w:sz w:val="22"/>
                    <w:szCs w:val="22"/>
                  </w:rPr>
                  <w:t>Corporation tax</w:t>
                </w:r>
              </w:p>
            </w:tc>
            <w:tc>
              <w:tcPr>
                <w:tcW w:w="0" w:type="auto"/>
                <w:hideMark/>
              </w:tcPr>
              <w:p w14:paraId="42DA1F18" w14:textId="77777777" w:rsidR="0027530E" w:rsidRPr="0027530E" w:rsidRDefault="0027530E" w:rsidP="00D816E9">
                <w:pPr>
                  <w:spacing w:line="360" w:lineRule="auto"/>
                  <w:rPr>
                    <w:rFonts w:cstheme="minorHAnsi"/>
                    <w:sz w:val="22"/>
                    <w:szCs w:val="22"/>
                  </w:rPr>
                </w:pPr>
                <w:r w:rsidRPr="0027530E">
                  <w:rPr>
                    <w:rFonts w:cstheme="minorHAnsi"/>
                    <w:sz w:val="22"/>
                    <w:szCs w:val="22"/>
                  </w:rPr>
                  <w:t>25%</w:t>
                </w:r>
              </w:p>
            </w:tc>
          </w:tr>
          <w:tr w:rsidR="0027530E" w:rsidRPr="0027530E" w14:paraId="7C1F7DCE" w14:textId="77777777" w:rsidTr="00D816E9">
            <w:trPr>
              <w:jc w:val="center"/>
            </w:trPr>
            <w:tc>
              <w:tcPr>
                <w:tcW w:w="0" w:type="auto"/>
                <w:hideMark/>
              </w:tcPr>
              <w:p w14:paraId="09DC2D3A" w14:textId="77777777" w:rsidR="0027530E" w:rsidRPr="0027530E" w:rsidRDefault="0027530E" w:rsidP="00D816E9">
                <w:pPr>
                  <w:spacing w:line="360" w:lineRule="auto"/>
                  <w:rPr>
                    <w:rFonts w:cstheme="minorHAnsi"/>
                    <w:sz w:val="22"/>
                    <w:szCs w:val="22"/>
                  </w:rPr>
                </w:pPr>
                <w:r w:rsidRPr="0027530E">
                  <w:rPr>
                    <w:rFonts w:cstheme="minorHAnsi"/>
                    <w:sz w:val="22"/>
                    <w:szCs w:val="22"/>
                  </w:rPr>
                  <w:t>Capital allowances</w:t>
                </w:r>
              </w:p>
            </w:tc>
            <w:tc>
              <w:tcPr>
                <w:tcW w:w="0" w:type="auto"/>
                <w:hideMark/>
              </w:tcPr>
              <w:p w14:paraId="5EBFB8C0" w14:textId="77777777" w:rsidR="0027530E" w:rsidRPr="0027530E" w:rsidRDefault="0027530E" w:rsidP="00D816E9">
                <w:pPr>
                  <w:spacing w:line="360" w:lineRule="auto"/>
                  <w:rPr>
                    <w:rFonts w:cstheme="minorHAnsi"/>
                    <w:sz w:val="22"/>
                    <w:szCs w:val="22"/>
                  </w:rPr>
                </w:pPr>
                <w:r w:rsidRPr="0027530E">
                  <w:rPr>
                    <w:rFonts w:cstheme="minorHAnsi"/>
                    <w:sz w:val="22"/>
                    <w:szCs w:val="22"/>
                  </w:rPr>
                  <w:t>20% straight-line</w:t>
                </w:r>
              </w:p>
            </w:tc>
          </w:tr>
          <w:tr w:rsidR="0027530E" w:rsidRPr="0027530E" w14:paraId="0F6E6A41" w14:textId="77777777" w:rsidTr="00D816E9">
            <w:trPr>
              <w:jc w:val="center"/>
            </w:trPr>
            <w:tc>
              <w:tcPr>
                <w:tcW w:w="0" w:type="auto"/>
                <w:hideMark/>
              </w:tcPr>
              <w:p w14:paraId="5F2A42CB" w14:textId="77777777" w:rsidR="0027530E" w:rsidRPr="0027530E" w:rsidRDefault="0027530E" w:rsidP="00D816E9">
                <w:pPr>
                  <w:spacing w:line="360" w:lineRule="auto"/>
                  <w:rPr>
                    <w:rFonts w:cstheme="minorHAnsi"/>
                    <w:sz w:val="22"/>
                    <w:szCs w:val="22"/>
                  </w:rPr>
                </w:pPr>
                <w:r w:rsidRPr="0027530E">
                  <w:rPr>
                    <w:rFonts w:cstheme="minorHAnsi"/>
                    <w:sz w:val="22"/>
                    <w:szCs w:val="22"/>
                  </w:rPr>
                  <w:t>Discount rate (cost of capital)</w:t>
                </w:r>
              </w:p>
            </w:tc>
            <w:tc>
              <w:tcPr>
                <w:tcW w:w="0" w:type="auto"/>
                <w:hideMark/>
              </w:tcPr>
              <w:p w14:paraId="7351426E" w14:textId="77777777" w:rsidR="0027530E" w:rsidRPr="0027530E" w:rsidRDefault="0027530E" w:rsidP="00D816E9">
                <w:pPr>
                  <w:spacing w:line="360" w:lineRule="auto"/>
                  <w:rPr>
                    <w:rFonts w:cstheme="minorHAnsi"/>
                    <w:sz w:val="22"/>
                    <w:szCs w:val="22"/>
                  </w:rPr>
                </w:pPr>
                <w:r w:rsidRPr="0027530E">
                  <w:rPr>
                    <w:rFonts w:cstheme="minorHAnsi"/>
                    <w:sz w:val="22"/>
                    <w:szCs w:val="22"/>
                  </w:rPr>
                  <w:t>6%</w:t>
                </w:r>
              </w:p>
            </w:tc>
          </w:tr>
          <w:tr w:rsidR="0027530E" w:rsidRPr="0027530E" w14:paraId="3FDE8A2E" w14:textId="77777777" w:rsidTr="00D816E9">
            <w:trPr>
              <w:jc w:val="center"/>
            </w:trPr>
            <w:tc>
              <w:tcPr>
                <w:tcW w:w="0" w:type="auto"/>
                <w:hideMark/>
              </w:tcPr>
              <w:p w14:paraId="19EEEF7F" w14:textId="77777777" w:rsidR="0027530E" w:rsidRPr="0027530E" w:rsidRDefault="0027530E" w:rsidP="00D816E9">
                <w:pPr>
                  <w:spacing w:line="360" w:lineRule="auto"/>
                  <w:rPr>
                    <w:rFonts w:cstheme="minorHAnsi"/>
                    <w:sz w:val="22"/>
                    <w:szCs w:val="22"/>
                  </w:rPr>
                </w:pPr>
                <w:r w:rsidRPr="0027530E">
                  <w:rPr>
                    <w:rFonts w:cstheme="minorHAnsi"/>
                    <w:sz w:val="22"/>
                    <w:szCs w:val="22"/>
                  </w:rPr>
                  <w:t>Project life</w:t>
                </w:r>
              </w:p>
            </w:tc>
            <w:tc>
              <w:tcPr>
                <w:tcW w:w="0" w:type="auto"/>
                <w:hideMark/>
              </w:tcPr>
              <w:p w14:paraId="7E66913B" w14:textId="77777777" w:rsidR="0027530E" w:rsidRPr="0027530E" w:rsidRDefault="0027530E" w:rsidP="00D816E9">
                <w:pPr>
                  <w:spacing w:line="360" w:lineRule="auto"/>
                  <w:rPr>
                    <w:rFonts w:cstheme="minorHAnsi"/>
                    <w:sz w:val="22"/>
                    <w:szCs w:val="22"/>
                  </w:rPr>
                </w:pPr>
                <w:r w:rsidRPr="0027530E">
                  <w:rPr>
                    <w:rFonts w:cstheme="minorHAnsi"/>
                    <w:sz w:val="22"/>
                    <w:szCs w:val="22"/>
                  </w:rPr>
                  <w:t>4 years</w:t>
                </w:r>
              </w:p>
            </w:tc>
          </w:tr>
          <w:tr w:rsidR="0027530E" w:rsidRPr="0027530E" w14:paraId="45D3C3AE" w14:textId="77777777" w:rsidTr="00D816E9">
            <w:trPr>
              <w:jc w:val="center"/>
            </w:trPr>
            <w:tc>
              <w:tcPr>
                <w:tcW w:w="0" w:type="auto"/>
                <w:hideMark/>
              </w:tcPr>
              <w:p w14:paraId="5767E964" w14:textId="77777777" w:rsidR="0027530E" w:rsidRPr="0027530E" w:rsidRDefault="0027530E" w:rsidP="00D816E9">
                <w:pPr>
                  <w:spacing w:line="360" w:lineRule="auto"/>
                  <w:rPr>
                    <w:rFonts w:cstheme="minorHAnsi"/>
                    <w:sz w:val="22"/>
                    <w:szCs w:val="22"/>
                  </w:rPr>
                </w:pPr>
                <w:r w:rsidRPr="0027530E">
                  <w:rPr>
                    <w:rFonts w:cstheme="minorHAnsi"/>
                    <w:sz w:val="22"/>
                    <w:szCs w:val="22"/>
                  </w:rPr>
                  <w:t>Residual value</w:t>
                </w:r>
              </w:p>
            </w:tc>
            <w:tc>
              <w:tcPr>
                <w:tcW w:w="0" w:type="auto"/>
                <w:hideMark/>
              </w:tcPr>
              <w:p w14:paraId="487183A2" w14:textId="77777777" w:rsidR="0027530E" w:rsidRPr="0027530E" w:rsidRDefault="0027530E" w:rsidP="00D816E9">
                <w:pPr>
                  <w:spacing w:line="360" w:lineRule="auto"/>
                  <w:rPr>
                    <w:rFonts w:cstheme="minorHAnsi"/>
                    <w:sz w:val="22"/>
                    <w:szCs w:val="22"/>
                  </w:rPr>
                </w:pPr>
                <w:r w:rsidRPr="0027530E">
                  <w:rPr>
                    <w:rFonts w:cstheme="minorHAnsi"/>
                    <w:sz w:val="22"/>
                    <w:szCs w:val="22"/>
                  </w:rPr>
                  <w:t>Nil</w:t>
                </w:r>
              </w:p>
            </w:tc>
          </w:tr>
        </w:tbl>
        <w:p w14:paraId="6806BE47" w14:textId="77777777" w:rsidR="0027530E" w:rsidRPr="0027530E" w:rsidRDefault="0027530E" w:rsidP="0027530E">
          <w:pPr>
            <w:spacing w:line="360" w:lineRule="auto"/>
            <w:rPr>
              <w:rFonts w:cstheme="minorHAnsi"/>
            </w:rPr>
          </w:pPr>
          <w:r w:rsidRPr="0027530E">
            <w:rPr>
              <w:rFonts w:cstheme="minorHAnsi"/>
            </w:rPr>
            <w:t>The initial investment refers to the initial capital expenditure that is needed to initiate every project. These outflows take place at time zero but are not discounted.</w:t>
          </w:r>
        </w:p>
        <w:p w14:paraId="65BEA25A" w14:textId="3120D8F0" w:rsidR="0027530E" w:rsidRPr="0027530E" w:rsidRDefault="0027530E" w:rsidP="0027530E">
          <w:pPr>
            <w:spacing w:line="360" w:lineRule="auto"/>
            <w:rPr>
              <w:rFonts w:cstheme="minorHAnsi"/>
            </w:rPr>
          </w:pPr>
          <w:r w:rsidRPr="0027530E">
            <w:rPr>
              <w:rFonts w:cstheme="minorHAnsi"/>
            </w:rPr>
            <w:t>Operating cash flows are the net cash inflows per year of each project. To simplify the analysis</w:t>
          </w:r>
          <w:r w:rsidR="000A019A">
            <w:rPr>
              <w:rFonts w:cstheme="minorHAnsi"/>
            </w:rPr>
            <w:t xml:space="preserve"> (</w:t>
          </w:r>
          <w:r w:rsidR="000A019A" w:rsidRPr="000A019A">
            <w:rPr>
              <w:rFonts w:cstheme="minorHAnsi"/>
            </w:rPr>
            <w:t>Elghaish</w:t>
          </w:r>
          <w:r w:rsidR="000A019A">
            <w:rPr>
              <w:rFonts w:cstheme="minorHAnsi"/>
            </w:rPr>
            <w:t xml:space="preserve"> et al., 2021)</w:t>
          </w:r>
          <w:r w:rsidRPr="0027530E">
            <w:rPr>
              <w:rFonts w:cstheme="minorHAnsi"/>
            </w:rPr>
            <w:t>, the given cash flows were assumed to be after-tax operating cash flows, which is a typical simplifying assumption in the academic appraisal where detailed profit and loss information is not available (Arnold, 2013).</w:t>
          </w:r>
        </w:p>
        <w:p w14:paraId="5D673A80" w14:textId="662548AE" w:rsidR="0027530E" w:rsidRPr="0027530E" w:rsidRDefault="0027530E" w:rsidP="0027530E">
          <w:pPr>
            <w:spacing w:line="360" w:lineRule="auto"/>
            <w:rPr>
              <w:rFonts w:cstheme="minorHAnsi"/>
            </w:rPr>
          </w:pPr>
          <w:r w:rsidRPr="0027530E">
            <w:rPr>
              <w:rFonts w:cstheme="minorHAnsi"/>
            </w:rPr>
            <w:t>The tax is levied at 25 percent, in line with the current UK corporation tax. The financial consideration of 20% straight-line capital allowances is presumed to give a tax shelter to the project's cash flows</w:t>
          </w:r>
          <w:r w:rsidR="00E20678">
            <w:rPr>
              <w:rFonts w:cstheme="minorHAnsi"/>
            </w:rPr>
            <w:t xml:space="preserve"> (</w:t>
          </w:r>
          <w:r w:rsidR="00E20678" w:rsidRPr="00E20678">
            <w:rPr>
              <w:rFonts w:cstheme="minorHAnsi"/>
            </w:rPr>
            <w:t>Buchanan</w:t>
          </w:r>
          <w:r w:rsidR="00E20678">
            <w:rPr>
              <w:rFonts w:cstheme="minorHAnsi"/>
            </w:rPr>
            <w:t>, 2025)</w:t>
          </w:r>
          <w:r w:rsidRPr="0027530E">
            <w:rPr>
              <w:rFonts w:cstheme="minorHAnsi"/>
            </w:rPr>
            <w:t>. In cases where net cash flows are reported, the tax effect has been reflected implicitly.</w:t>
          </w:r>
        </w:p>
        <w:p w14:paraId="5C3C183D" w14:textId="77777777" w:rsidR="0027530E" w:rsidRPr="0027530E" w:rsidRDefault="0027530E" w:rsidP="0027530E">
          <w:pPr>
            <w:spacing w:line="360" w:lineRule="auto"/>
            <w:rPr>
              <w:rFonts w:cstheme="minorHAnsi"/>
            </w:rPr>
          </w:pPr>
          <w:r w:rsidRPr="0027530E">
            <w:rPr>
              <w:rFonts w:cstheme="minorHAnsi"/>
            </w:rPr>
            <w:t>The 6% discount rate indicates the weighted average cost of capital of the firm and shows the lowest acceptable rate of investment, including the risk aspect and the opportunity cost of capital (Brealey et al., 2020).</w:t>
          </w:r>
        </w:p>
        <w:p w14:paraId="087AD0E7" w14:textId="77777777" w:rsidR="0027530E" w:rsidRPr="0027530E" w:rsidRDefault="0027530E" w:rsidP="0027530E">
          <w:pPr>
            <w:spacing w:line="360" w:lineRule="auto"/>
            <w:rPr>
              <w:rFonts w:cstheme="minorHAnsi"/>
            </w:rPr>
          </w:pPr>
          <w:r w:rsidRPr="0027530E">
            <w:rPr>
              <w:rFonts w:cstheme="minorHAnsi"/>
            </w:rPr>
            <w:t>All projects have a four-year time horizon, which makes them comparable and consistent across appraisal methods. These are reasonable assumptions that can give a realistic structure in which the financial attractiveness of the proposed investments is evaluated.</w:t>
          </w:r>
        </w:p>
        <w:p w14:paraId="6AACE13E" w14:textId="01FB49A0" w:rsidR="0027530E" w:rsidRPr="0027530E" w:rsidRDefault="0027530E" w:rsidP="0027530E">
          <w:pPr>
            <w:spacing w:line="360" w:lineRule="auto"/>
            <w:outlineLvl w:val="1"/>
            <w:rPr>
              <w:rFonts w:cstheme="minorHAnsi"/>
              <w:b/>
              <w:bCs/>
            </w:rPr>
          </w:pPr>
          <w:bookmarkStart w:id="8" w:name="_Toc218881347"/>
          <w:r w:rsidRPr="0027530E">
            <w:rPr>
              <w:rFonts w:cstheme="minorHAnsi"/>
              <w:b/>
              <w:bCs/>
            </w:rPr>
            <w:t>2.2 Capital Appraisal Techniques</w:t>
          </w:r>
          <w:bookmarkEnd w:id="8"/>
          <w:r w:rsidRPr="0027530E">
            <w:rPr>
              <w:rFonts w:cstheme="minorHAnsi"/>
              <w:b/>
              <w:bCs/>
            </w:rPr>
            <w:t xml:space="preserve"> </w:t>
          </w:r>
        </w:p>
        <w:p w14:paraId="0549F1A0" w14:textId="76BF13C4" w:rsidR="0027530E" w:rsidRPr="0027530E" w:rsidRDefault="0027530E" w:rsidP="0027530E">
          <w:pPr>
            <w:spacing w:line="360" w:lineRule="auto"/>
            <w:outlineLvl w:val="2"/>
            <w:rPr>
              <w:rFonts w:cstheme="minorHAnsi"/>
              <w:b/>
              <w:bCs/>
            </w:rPr>
          </w:pPr>
          <w:bookmarkStart w:id="9" w:name="_Toc218881348"/>
          <w:r w:rsidRPr="0027530E">
            <w:rPr>
              <w:rFonts w:cstheme="minorHAnsi"/>
              <w:b/>
              <w:bCs/>
            </w:rPr>
            <w:t>2.2.1 Payback Period</w:t>
          </w:r>
          <w:bookmarkEnd w:id="9"/>
          <w:r w:rsidRPr="0027530E">
            <w:rPr>
              <w:rFonts w:cstheme="minorHAnsi"/>
              <w:b/>
              <w:bCs/>
            </w:rPr>
            <w:t xml:space="preserve"> </w:t>
          </w:r>
        </w:p>
        <w:p w14:paraId="00C74266" w14:textId="13BB4BB6" w:rsidR="0027530E" w:rsidRPr="0027530E" w:rsidRDefault="0027530E" w:rsidP="0027530E">
          <w:pPr>
            <w:spacing w:line="360" w:lineRule="auto"/>
            <w:rPr>
              <w:rFonts w:cstheme="minorHAnsi"/>
            </w:rPr>
          </w:pPr>
          <w:r w:rsidRPr="0027530E">
            <w:rPr>
              <w:rFonts w:cstheme="minorHAnsi"/>
            </w:rPr>
            <w:t>The payback period measures the time required for cumulative cash inflows to recover the initial investment</w:t>
          </w:r>
          <w:r w:rsidR="00063929">
            <w:rPr>
              <w:rFonts w:cstheme="minorHAnsi"/>
            </w:rPr>
            <w:t xml:space="preserve"> (</w:t>
          </w:r>
          <w:r w:rsidR="00063929" w:rsidRPr="00063929">
            <w:rPr>
              <w:rFonts w:cstheme="minorHAnsi"/>
            </w:rPr>
            <w:t>Dai</w:t>
          </w:r>
          <w:r w:rsidR="00063929">
            <w:rPr>
              <w:rFonts w:cstheme="minorHAnsi"/>
            </w:rPr>
            <w:t xml:space="preserve"> et al., 2022)</w:t>
          </w:r>
          <w:r w:rsidRPr="0027530E">
            <w:rPr>
              <w:rFonts w:cstheme="minorHAnsi"/>
            </w:rPr>
            <w:t>. It is calculated as:</w:t>
          </w:r>
        </w:p>
        <w:p w14:paraId="774AEA2A" w14:textId="77777777" w:rsidR="0027530E" w:rsidRPr="0027530E" w:rsidRDefault="0027530E" w:rsidP="0027530E">
          <w:pPr>
            <w:spacing w:line="360" w:lineRule="auto"/>
            <w:rPr>
              <w:rFonts w:cstheme="minorHAnsi"/>
            </w:rPr>
          </w:pPr>
          <m:oMathPara>
            <m:oMath>
              <m:r>
                <m:rPr>
                  <m:nor/>
                </m:rPr>
                <w:rPr>
                  <w:rFonts w:cstheme="minorHAnsi"/>
                </w:rPr>
                <m:t>Payback Period</m:t>
              </m:r>
              <m:r>
                <w:rPr>
                  <w:rFonts w:ascii="Cambria Math" w:hAnsi="Cambria Math" w:cstheme="minorHAnsi"/>
                </w:rPr>
                <m:t>=</m:t>
              </m:r>
              <m:f>
                <m:fPr>
                  <m:ctrlPr>
                    <w:rPr>
                      <w:rFonts w:ascii="Cambria Math" w:hAnsi="Cambria Math" w:cstheme="minorHAnsi"/>
                    </w:rPr>
                  </m:ctrlPr>
                </m:fPr>
                <m:num>
                  <m:r>
                    <m:rPr>
                      <m:nor/>
                    </m:rPr>
                    <w:rPr>
                      <w:rFonts w:cstheme="minorHAnsi"/>
                    </w:rPr>
                    <m:t>Initial Investment</m:t>
                  </m:r>
                </m:num>
                <m:den>
                  <m:r>
                    <m:rPr>
                      <m:nor/>
                    </m:rPr>
                    <w:rPr>
                      <w:rFonts w:cstheme="minorHAnsi"/>
                    </w:rPr>
                    <m:t>Annual Net Cash Inflow (where constant)</m:t>
                  </m:r>
                </m:den>
              </m:f>
              <m:r>
                <m:rPr>
                  <m:sty m:val="p"/>
                </m:rPr>
                <w:rPr>
                  <w:rFonts w:ascii="Cambria Math" w:hAnsi="Cambria Math" w:cstheme="minorHAnsi"/>
                </w:rPr>
                <w:br/>
              </m:r>
            </m:oMath>
          </m:oMathPara>
        </w:p>
        <w:p w14:paraId="1006466C" w14:textId="77777777" w:rsidR="0027530E" w:rsidRPr="0027530E" w:rsidRDefault="0027530E" w:rsidP="0027530E">
          <w:pPr>
            <w:spacing w:line="360" w:lineRule="auto"/>
            <w:rPr>
              <w:rFonts w:cstheme="minorHAnsi"/>
            </w:rPr>
          </w:pPr>
          <w:r w:rsidRPr="0027530E">
            <w:rPr>
              <w:rFonts w:cstheme="minorHAnsi"/>
            </w:rPr>
            <w:t>Where cash flows vary, cumulative inflows are used.</w:t>
          </w:r>
        </w:p>
        <w:p w14:paraId="5BC8514F" w14:textId="77777777" w:rsidR="0027530E" w:rsidRPr="0027530E" w:rsidRDefault="0027530E" w:rsidP="0027530E">
          <w:pPr>
            <w:spacing w:line="360" w:lineRule="auto"/>
            <w:jc w:val="center"/>
            <w:outlineLvl w:val="2"/>
            <w:rPr>
              <w:rFonts w:cstheme="minorHAnsi"/>
            </w:rPr>
          </w:pPr>
          <w:bookmarkStart w:id="10" w:name="_Toc218881349"/>
          <w:r w:rsidRPr="0027530E">
            <w:rPr>
              <w:rFonts w:cstheme="minorHAnsi"/>
            </w:rPr>
            <w:t>Table 6: Payback Period Calculations</w:t>
          </w:r>
          <w:bookmarkEnd w:id="10"/>
        </w:p>
        <w:tbl>
          <w:tblPr>
            <w:tblStyle w:val="TableGrid"/>
            <w:tblW w:w="0" w:type="auto"/>
            <w:jc w:val="center"/>
            <w:tblLook w:val="04A0" w:firstRow="1" w:lastRow="0" w:firstColumn="1" w:lastColumn="0" w:noHBand="0" w:noVBand="1"/>
          </w:tblPr>
          <w:tblGrid>
            <w:gridCol w:w="863"/>
            <w:gridCol w:w="2673"/>
            <w:gridCol w:w="2046"/>
          </w:tblGrid>
          <w:tr w:rsidR="0027530E" w:rsidRPr="0027530E" w14:paraId="5E1E283D" w14:textId="77777777" w:rsidTr="00D816E9">
            <w:trPr>
              <w:jc w:val="center"/>
            </w:trPr>
            <w:tc>
              <w:tcPr>
                <w:tcW w:w="0" w:type="auto"/>
                <w:hideMark/>
              </w:tcPr>
              <w:p w14:paraId="2EE426C1"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Project</w:t>
                </w:r>
              </w:p>
            </w:tc>
            <w:tc>
              <w:tcPr>
                <w:tcW w:w="0" w:type="auto"/>
                <w:hideMark/>
              </w:tcPr>
              <w:p w14:paraId="01AF98E7"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Initial Investment (in £000)</w:t>
                </w:r>
              </w:p>
            </w:tc>
            <w:tc>
              <w:tcPr>
                <w:tcW w:w="0" w:type="auto"/>
                <w:hideMark/>
              </w:tcPr>
              <w:p w14:paraId="488980C7"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Cumulative Payback</w:t>
                </w:r>
              </w:p>
            </w:tc>
          </w:tr>
          <w:tr w:rsidR="0027530E" w:rsidRPr="0027530E" w14:paraId="7BD07384" w14:textId="77777777" w:rsidTr="00D816E9">
            <w:trPr>
              <w:jc w:val="center"/>
            </w:trPr>
            <w:tc>
              <w:tcPr>
                <w:tcW w:w="0" w:type="auto"/>
                <w:hideMark/>
              </w:tcPr>
              <w:p w14:paraId="45FA83C0" w14:textId="77777777" w:rsidR="0027530E" w:rsidRPr="0027530E" w:rsidRDefault="0027530E" w:rsidP="00D816E9">
                <w:pPr>
                  <w:spacing w:line="360" w:lineRule="auto"/>
                  <w:rPr>
                    <w:rFonts w:cstheme="minorHAnsi"/>
                    <w:sz w:val="22"/>
                    <w:szCs w:val="22"/>
                  </w:rPr>
                </w:pPr>
                <w:r w:rsidRPr="0027530E">
                  <w:rPr>
                    <w:rFonts w:cstheme="minorHAnsi"/>
                    <w:sz w:val="22"/>
                    <w:szCs w:val="22"/>
                  </w:rPr>
                  <w:t>A</w:t>
                </w:r>
              </w:p>
            </w:tc>
            <w:tc>
              <w:tcPr>
                <w:tcW w:w="0" w:type="auto"/>
                <w:hideMark/>
              </w:tcPr>
              <w:p w14:paraId="369D438D" w14:textId="77777777" w:rsidR="0027530E" w:rsidRPr="0027530E" w:rsidRDefault="0027530E" w:rsidP="00D816E9">
                <w:pPr>
                  <w:spacing w:line="360" w:lineRule="auto"/>
                  <w:rPr>
                    <w:rFonts w:cstheme="minorHAnsi"/>
                    <w:sz w:val="22"/>
                    <w:szCs w:val="22"/>
                  </w:rPr>
                </w:pPr>
                <w:r w:rsidRPr="0027530E">
                  <w:rPr>
                    <w:rFonts w:cstheme="minorHAnsi"/>
                    <w:sz w:val="22"/>
                    <w:szCs w:val="22"/>
                  </w:rPr>
                  <w:t>600</w:t>
                </w:r>
              </w:p>
            </w:tc>
            <w:tc>
              <w:tcPr>
                <w:tcW w:w="0" w:type="auto"/>
                <w:hideMark/>
              </w:tcPr>
              <w:p w14:paraId="4A355A27" w14:textId="77777777" w:rsidR="0027530E" w:rsidRPr="0027530E" w:rsidRDefault="0027530E" w:rsidP="00D816E9">
                <w:pPr>
                  <w:spacing w:line="360" w:lineRule="auto"/>
                  <w:rPr>
                    <w:rFonts w:cstheme="minorHAnsi"/>
                    <w:sz w:val="22"/>
                    <w:szCs w:val="22"/>
                  </w:rPr>
                </w:pPr>
                <w:r w:rsidRPr="0027530E">
                  <w:rPr>
                    <w:rFonts w:cstheme="minorHAnsi"/>
                    <w:sz w:val="22"/>
                    <w:szCs w:val="22"/>
                  </w:rPr>
                  <w:t>≈ 2.0 years</w:t>
                </w:r>
              </w:p>
            </w:tc>
          </w:tr>
          <w:tr w:rsidR="0027530E" w:rsidRPr="0027530E" w14:paraId="0947519B" w14:textId="77777777" w:rsidTr="00D816E9">
            <w:trPr>
              <w:jc w:val="center"/>
            </w:trPr>
            <w:tc>
              <w:tcPr>
                <w:tcW w:w="0" w:type="auto"/>
                <w:hideMark/>
              </w:tcPr>
              <w:p w14:paraId="06EC77A2" w14:textId="77777777" w:rsidR="0027530E" w:rsidRPr="0027530E" w:rsidRDefault="0027530E" w:rsidP="00D816E9">
                <w:pPr>
                  <w:spacing w:line="360" w:lineRule="auto"/>
                  <w:rPr>
                    <w:rFonts w:cstheme="minorHAnsi"/>
                    <w:sz w:val="22"/>
                    <w:szCs w:val="22"/>
                  </w:rPr>
                </w:pPr>
                <w:r w:rsidRPr="0027530E">
                  <w:rPr>
                    <w:rFonts w:cstheme="minorHAnsi"/>
                    <w:sz w:val="22"/>
                    <w:szCs w:val="22"/>
                  </w:rPr>
                  <w:t>B</w:t>
                </w:r>
              </w:p>
            </w:tc>
            <w:tc>
              <w:tcPr>
                <w:tcW w:w="0" w:type="auto"/>
                <w:hideMark/>
              </w:tcPr>
              <w:p w14:paraId="38B62BE3" w14:textId="77777777" w:rsidR="0027530E" w:rsidRPr="0027530E" w:rsidRDefault="0027530E" w:rsidP="00D816E9">
                <w:pPr>
                  <w:spacing w:line="360" w:lineRule="auto"/>
                  <w:rPr>
                    <w:rFonts w:cstheme="minorHAnsi"/>
                    <w:sz w:val="22"/>
                    <w:szCs w:val="22"/>
                  </w:rPr>
                </w:pPr>
                <w:r w:rsidRPr="0027530E">
                  <w:rPr>
                    <w:rFonts w:cstheme="minorHAnsi"/>
                    <w:sz w:val="22"/>
                    <w:szCs w:val="22"/>
                  </w:rPr>
                  <w:t>1,000</w:t>
                </w:r>
              </w:p>
            </w:tc>
            <w:tc>
              <w:tcPr>
                <w:tcW w:w="0" w:type="auto"/>
                <w:hideMark/>
              </w:tcPr>
              <w:p w14:paraId="3FBE797C" w14:textId="77777777" w:rsidR="0027530E" w:rsidRPr="0027530E" w:rsidRDefault="0027530E" w:rsidP="00D816E9">
                <w:pPr>
                  <w:spacing w:line="360" w:lineRule="auto"/>
                  <w:rPr>
                    <w:rFonts w:cstheme="minorHAnsi"/>
                    <w:sz w:val="22"/>
                    <w:szCs w:val="22"/>
                  </w:rPr>
                </w:pPr>
                <w:r w:rsidRPr="0027530E">
                  <w:rPr>
                    <w:rFonts w:cstheme="minorHAnsi"/>
                    <w:sz w:val="22"/>
                    <w:szCs w:val="22"/>
                  </w:rPr>
                  <w:t>≈ 2.2 years</w:t>
                </w:r>
              </w:p>
            </w:tc>
          </w:tr>
          <w:tr w:rsidR="0027530E" w:rsidRPr="0027530E" w14:paraId="515FE9FD" w14:textId="77777777" w:rsidTr="00D816E9">
            <w:trPr>
              <w:jc w:val="center"/>
            </w:trPr>
            <w:tc>
              <w:tcPr>
                <w:tcW w:w="0" w:type="auto"/>
                <w:hideMark/>
              </w:tcPr>
              <w:p w14:paraId="10126CB2" w14:textId="77777777" w:rsidR="0027530E" w:rsidRPr="0027530E" w:rsidRDefault="0027530E" w:rsidP="00D816E9">
                <w:pPr>
                  <w:spacing w:line="360" w:lineRule="auto"/>
                  <w:rPr>
                    <w:rFonts w:cstheme="minorHAnsi"/>
                    <w:sz w:val="22"/>
                    <w:szCs w:val="22"/>
                  </w:rPr>
                </w:pPr>
                <w:r w:rsidRPr="0027530E">
                  <w:rPr>
                    <w:rFonts w:cstheme="minorHAnsi"/>
                    <w:sz w:val="22"/>
                    <w:szCs w:val="22"/>
                  </w:rPr>
                  <w:t>C</w:t>
                </w:r>
              </w:p>
            </w:tc>
            <w:tc>
              <w:tcPr>
                <w:tcW w:w="0" w:type="auto"/>
                <w:hideMark/>
              </w:tcPr>
              <w:p w14:paraId="2DE0A3C9" w14:textId="77777777" w:rsidR="0027530E" w:rsidRPr="0027530E" w:rsidRDefault="0027530E" w:rsidP="00D816E9">
                <w:pPr>
                  <w:spacing w:line="360" w:lineRule="auto"/>
                  <w:rPr>
                    <w:rFonts w:cstheme="minorHAnsi"/>
                    <w:sz w:val="22"/>
                    <w:szCs w:val="22"/>
                  </w:rPr>
                </w:pPr>
                <w:r w:rsidRPr="0027530E">
                  <w:rPr>
                    <w:rFonts w:cstheme="minorHAnsi"/>
                    <w:sz w:val="22"/>
                    <w:szCs w:val="22"/>
                  </w:rPr>
                  <w:t>1,600</w:t>
                </w:r>
              </w:p>
            </w:tc>
            <w:tc>
              <w:tcPr>
                <w:tcW w:w="0" w:type="auto"/>
                <w:hideMark/>
              </w:tcPr>
              <w:p w14:paraId="1DF81590" w14:textId="77777777" w:rsidR="0027530E" w:rsidRPr="0027530E" w:rsidRDefault="0027530E" w:rsidP="00D816E9">
                <w:pPr>
                  <w:spacing w:line="360" w:lineRule="auto"/>
                  <w:rPr>
                    <w:rFonts w:cstheme="minorHAnsi"/>
                    <w:sz w:val="22"/>
                    <w:szCs w:val="22"/>
                  </w:rPr>
                </w:pPr>
                <w:r w:rsidRPr="0027530E">
                  <w:rPr>
                    <w:rFonts w:cstheme="minorHAnsi"/>
                    <w:sz w:val="22"/>
                    <w:szCs w:val="22"/>
                  </w:rPr>
                  <w:t>≈ 2.4 years</w:t>
                </w:r>
              </w:p>
            </w:tc>
          </w:tr>
        </w:tbl>
        <w:p w14:paraId="67A05CFC" w14:textId="77777777" w:rsidR="0027530E" w:rsidRPr="0027530E" w:rsidRDefault="0027530E" w:rsidP="0027530E">
          <w:pPr>
            <w:spacing w:line="360" w:lineRule="auto"/>
            <w:rPr>
              <w:rFonts w:cstheme="minorHAnsi"/>
            </w:rPr>
          </w:pPr>
          <w:r w:rsidRPr="0027530E">
            <w:rPr>
              <w:rFonts w:cstheme="minorHAnsi"/>
            </w:rPr>
            <w:t>Project A has the shortest payback, with it recovering its initial outlay just after the second year. Project C, although having greater absolute cash flows, yields the longest payback because it has a higher initial cost.</w:t>
          </w:r>
        </w:p>
        <w:p w14:paraId="0E1C13BB" w14:textId="66B0B57D" w:rsidR="0027530E" w:rsidRPr="0027530E" w:rsidRDefault="0027530E" w:rsidP="0027530E">
          <w:pPr>
            <w:spacing w:line="360" w:lineRule="auto"/>
            <w:rPr>
              <w:rFonts w:cstheme="minorHAnsi"/>
            </w:rPr>
          </w:pPr>
          <w:r w:rsidRPr="0027530E">
            <w:rPr>
              <w:rFonts w:cstheme="minorHAnsi"/>
            </w:rPr>
            <w:t>Payback prefers projects that will recoup the cash in the short term, which is appealing in cases of constraint of liquidity or excessive uncertainty</w:t>
          </w:r>
          <w:r w:rsidR="00063929">
            <w:rPr>
              <w:rFonts w:cstheme="minorHAnsi"/>
            </w:rPr>
            <w:t xml:space="preserve"> (</w:t>
          </w:r>
          <w:r w:rsidR="00063929" w:rsidRPr="00063929">
            <w:rPr>
              <w:rFonts w:cstheme="minorHAnsi"/>
            </w:rPr>
            <w:t>Perrelli</w:t>
          </w:r>
          <w:r w:rsidR="00063929">
            <w:rPr>
              <w:rFonts w:cstheme="minorHAnsi"/>
            </w:rPr>
            <w:t xml:space="preserve"> et al., 2023)</w:t>
          </w:r>
          <w:r w:rsidRPr="0027530E">
            <w:rPr>
              <w:rFonts w:cstheme="minorHAnsi"/>
            </w:rPr>
            <w:t>. It also does not take into consideration the time value of money and ignores the cash flows beyond the payback point, which restricts its value as a first-line decision instrument (Atrill &amp; McLaney, 2019).</w:t>
          </w:r>
        </w:p>
        <w:p w14:paraId="662D9ACA" w14:textId="77777777" w:rsidR="0027530E" w:rsidRPr="0027530E" w:rsidRDefault="0027530E" w:rsidP="0027530E">
          <w:pPr>
            <w:spacing w:line="360" w:lineRule="auto"/>
            <w:jc w:val="center"/>
            <w:rPr>
              <w:rFonts w:cstheme="minorHAnsi"/>
            </w:rPr>
          </w:pPr>
          <w:r w:rsidRPr="0027530E">
            <w:rPr>
              <w:rFonts w:cstheme="minorHAnsi"/>
              <w:noProof/>
              <w14:ligatures w14:val="standardContextual"/>
            </w:rPr>
            <w:drawing>
              <wp:inline distT="0" distB="0" distL="0" distR="0" wp14:anchorId="780FB3CB" wp14:editId="0D716936">
                <wp:extent cx="3908024" cy="3067291"/>
                <wp:effectExtent l="0" t="0" r="3810" b="6350"/>
                <wp:docPr id="4371085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108511" name="Picture 437108511"/>
                        <pic:cNvPicPr/>
                      </pic:nvPicPr>
                      <pic:blipFill>
                        <a:blip r:embed="rId15">
                          <a:extLst>
                            <a:ext uri="{28A0092B-C50C-407E-A947-70E740481C1C}">
                              <a14:useLocalDpi xmlns:a14="http://schemas.microsoft.com/office/drawing/2010/main" val="0"/>
                            </a:ext>
                          </a:extLst>
                        </a:blip>
                        <a:stretch>
                          <a:fillRect/>
                        </a:stretch>
                      </pic:blipFill>
                      <pic:spPr>
                        <a:xfrm>
                          <a:off x="0" y="0"/>
                          <a:ext cx="3912291" cy="3070640"/>
                        </a:xfrm>
                        <a:prstGeom prst="rect">
                          <a:avLst/>
                        </a:prstGeom>
                      </pic:spPr>
                    </pic:pic>
                  </a:graphicData>
                </a:graphic>
              </wp:inline>
            </w:drawing>
          </w:r>
        </w:p>
        <w:p w14:paraId="7E981783" w14:textId="3DEDE378" w:rsidR="0027530E" w:rsidRPr="0027530E" w:rsidRDefault="0027530E" w:rsidP="0027530E">
          <w:pPr>
            <w:spacing w:line="360" w:lineRule="auto"/>
            <w:jc w:val="center"/>
            <w:rPr>
              <w:rFonts w:cstheme="minorHAnsi"/>
            </w:rPr>
          </w:pPr>
          <w:r w:rsidRPr="0027530E">
            <w:rPr>
              <w:rFonts w:cstheme="minorHAnsi"/>
            </w:rPr>
            <w:t>Figure 6: Bar chart comparing payback periods across projects</w:t>
          </w:r>
        </w:p>
        <w:p w14:paraId="2BCAFE84" w14:textId="4C3E1B87" w:rsidR="0027530E" w:rsidRPr="0027530E" w:rsidRDefault="0027530E" w:rsidP="0027530E">
          <w:pPr>
            <w:spacing w:line="360" w:lineRule="auto"/>
            <w:outlineLvl w:val="2"/>
            <w:rPr>
              <w:rFonts w:cstheme="minorHAnsi"/>
              <w:b/>
              <w:bCs/>
            </w:rPr>
          </w:pPr>
          <w:bookmarkStart w:id="11" w:name="_Toc218881350"/>
          <w:r w:rsidRPr="0027530E">
            <w:rPr>
              <w:rFonts w:cstheme="minorHAnsi"/>
              <w:b/>
              <w:bCs/>
            </w:rPr>
            <w:t>2.2.2 Net Present Value (NPV)</w:t>
          </w:r>
          <w:bookmarkEnd w:id="11"/>
          <w:r w:rsidRPr="0027530E">
            <w:rPr>
              <w:rFonts w:cstheme="minorHAnsi"/>
              <w:b/>
              <w:bCs/>
            </w:rPr>
            <w:t xml:space="preserve"> </w:t>
          </w:r>
        </w:p>
        <w:p w14:paraId="2592E698" w14:textId="77777777" w:rsidR="0027530E" w:rsidRPr="0027530E" w:rsidRDefault="0027530E" w:rsidP="0027530E">
          <w:pPr>
            <w:spacing w:line="360" w:lineRule="auto"/>
            <w:rPr>
              <w:rFonts w:cstheme="minorHAnsi"/>
            </w:rPr>
          </w:pPr>
          <w:r w:rsidRPr="0027530E">
            <w:rPr>
              <w:rFonts w:cstheme="minorHAnsi"/>
            </w:rPr>
            <w:t>NPV is considered to be the most theoretically justified method of appraisal since it explicitly considers the time value of money and explicitly quantifies value creation (Brealey et al., 2020).</w:t>
          </w:r>
        </w:p>
        <w:p w14:paraId="0FA52A7E" w14:textId="77777777" w:rsidR="0027530E" w:rsidRPr="0027530E" w:rsidRDefault="0027530E" w:rsidP="0027530E">
          <w:pPr>
            <w:spacing w:line="360" w:lineRule="auto"/>
            <w:rPr>
              <w:rFonts w:cstheme="minorHAnsi"/>
            </w:rPr>
          </w:pPr>
          <m:oMathPara>
            <m:oMath>
              <m:r>
                <m:rPr>
                  <m:nor/>
                </m:rPr>
                <w:rPr>
                  <w:rFonts w:cstheme="minorHAnsi"/>
                </w:rPr>
                <m:t>NPV</m:t>
              </m:r>
              <m:r>
                <w:rPr>
                  <w:rFonts w:ascii="Cambria Math" w:hAnsi="Cambria Math" w:cstheme="minorHAnsi"/>
                </w:rPr>
                <m:t>=∑</m:t>
              </m:r>
              <m:f>
                <m:fPr>
                  <m:ctrlPr>
                    <w:rPr>
                      <w:rFonts w:ascii="Cambria Math" w:hAnsi="Cambria Math" w:cstheme="minorHAnsi"/>
                    </w:rPr>
                  </m:ctrlPr>
                </m:fPr>
                <m:num>
                  <m:r>
                    <w:rPr>
                      <w:rFonts w:ascii="Cambria Math" w:hAnsi="Cambria Math" w:cstheme="minorHAnsi"/>
                    </w:rPr>
                    <m:t>C</m:t>
                  </m:r>
                  <m:sSub>
                    <m:sSubPr>
                      <m:ctrlPr>
                        <w:rPr>
                          <w:rFonts w:ascii="Cambria Math" w:hAnsi="Cambria Math" w:cstheme="minorHAnsi"/>
                        </w:rPr>
                      </m:ctrlPr>
                    </m:sSubPr>
                    <m:e>
                      <m:r>
                        <w:rPr>
                          <w:rFonts w:ascii="Cambria Math" w:hAnsi="Cambria Math" w:cstheme="minorHAnsi"/>
                        </w:rPr>
                        <m:t>F</m:t>
                      </m:r>
                    </m:e>
                    <m:sub>
                      <m:r>
                        <w:rPr>
                          <w:rFonts w:ascii="Cambria Math" w:hAnsi="Cambria Math" w:cstheme="minorHAnsi"/>
                        </w:rPr>
                        <m:t>t</m:t>
                      </m:r>
                    </m:sub>
                  </m:sSub>
                </m:num>
                <m:den>
                  <m:r>
                    <w:rPr>
                      <w:rFonts w:ascii="Cambria Math" w:hAnsi="Cambria Math" w:cstheme="minorHAnsi"/>
                    </w:rPr>
                    <m:t>(1+r</m:t>
                  </m:r>
                  <m:sSup>
                    <m:sSupPr>
                      <m:ctrlPr>
                        <w:rPr>
                          <w:rFonts w:ascii="Cambria Math" w:hAnsi="Cambria Math" w:cstheme="minorHAnsi"/>
                        </w:rPr>
                      </m:ctrlPr>
                    </m:sSupPr>
                    <m:e>
                      <m:r>
                        <w:rPr>
                          <w:rFonts w:ascii="Cambria Math" w:hAnsi="Cambria Math" w:cstheme="minorHAnsi"/>
                        </w:rPr>
                        <m:t>)</m:t>
                      </m:r>
                    </m:e>
                    <m:sup>
                      <m:r>
                        <w:rPr>
                          <w:rFonts w:ascii="Cambria Math" w:hAnsi="Cambria Math" w:cstheme="minorHAnsi"/>
                        </w:rPr>
                        <m:t>t</m:t>
                      </m:r>
                    </m:sup>
                  </m:sSup>
                </m:den>
              </m:f>
              <m:r>
                <w:rPr>
                  <w:rFonts w:ascii="Cambria Math" w:hAnsi="Cambria Math" w:cstheme="minorHAnsi"/>
                </w:rPr>
                <m:t>-</m:t>
              </m:r>
              <m:sSub>
                <m:sSubPr>
                  <m:ctrlPr>
                    <w:rPr>
                      <w:rFonts w:ascii="Cambria Math" w:hAnsi="Cambria Math" w:cstheme="minorHAnsi"/>
                    </w:rPr>
                  </m:ctrlPr>
                </m:sSubPr>
                <m:e>
                  <m:r>
                    <w:rPr>
                      <w:rFonts w:ascii="Cambria Math" w:hAnsi="Cambria Math" w:cstheme="minorHAnsi"/>
                    </w:rPr>
                    <m:t>I</m:t>
                  </m:r>
                </m:e>
                <m:sub>
                  <m:r>
                    <w:rPr>
                      <w:rFonts w:ascii="Cambria Math" w:hAnsi="Cambria Math" w:cstheme="minorHAnsi"/>
                    </w:rPr>
                    <m:t>0</m:t>
                  </m:r>
                </m:sub>
              </m:sSub>
              <m:r>
                <m:rPr>
                  <m:sty m:val="p"/>
                </m:rPr>
                <w:rPr>
                  <w:rFonts w:ascii="Cambria Math" w:hAnsi="Cambria Math" w:cstheme="minorHAnsi"/>
                </w:rPr>
                <w:br/>
              </m:r>
            </m:oMath>
          </m:oMathPara>
        </w:p>
        <w:p w14:paraId="4E5BCC02" w14:textId="77777777" w:rsidR="0027530E" w:rsidRPr="0027530E" w:rsidRDefault="0027530E" w:rsidP="0027530E">
          <w:pPr>
            <w:spacing w:line="360" w:lineRule="auto"/>
            <w:rPr>
              <w:rFonts w:cstheme="minorHAnsi"/>
            </w:rPr>
          </w:pPr>
          <w:r w:rsidRPr="0027530E">
            <w:rPr>
              <w:rFonts w:cstheme="minorHAnsi"/>
            </w:rPr>
            <w:t xml:space="preserve">where </w:t>
          </w:r>
          <m:oMath>
            <m:r>
              <w:rPr>
                <w:rFonts w:ascii="Cambria Math" w:hAnsi="Cambria Math" w:cstheme="minorHAnsi"/>
              </w:rPr>
              <m:t>r=6</m:t>
            </m:r>
            <m:r>
              <m:rPr>
                <m:sty m:val="p"/>
              </m:rPr>
              <w:rPr>
                <w:rFonts w:ascii="Cambria Math" w:hAnsi="Cambria Math" w:cstheme="minorHAnsi"/>
              </w:rPr>
              <m:t>%</m:t>
            </m:r>
          </m:oMath>
          <w:r w:rsidRPr="0027530E">
            <w:rPr>
              <w:rFonts w:cstheme="minorHAnsi"/>
            </w:rPr>
            <w:t>.</w:t>
          </w:r>
        </w:p>
        <w:p w14:paraId="32AE5752" w14:textId="77777777" w:rsidR="0027530E" w:rsidRPr="0027530E" w:rsidRDefault="0027530E" w:rsidP="0027530E">
          <w:pPr>
            <w:spacing w:line="360" w:lineRule="auto"/>
            <w:jc w:val="center"/>
            <w:outlineLvl w:val="2"/>
            <w:rPr>
              <w:rFonts w:cstheme="minorHAnsi"/>
            </w:rPr>
          </w:pPr>
          <w:bookmarkStart w:id="12" w:name="_Toc218881351"/>
          <w:r w:rsidRPr="0027530E">
            <w:rPr>
              <w:rFonts w:cstheme="minorHAnsi"/>
            </w:rPr>
            <w:t>Table 27 Discount Factors at 6%</w:t>
          </w:r>
          <w:bookmarkEnd w:id="12"/>
        </w:p>
        <w:tbl>
          <w:tblPr>
            <w:tblStyle w:val="TableGrid"/>
            <w:tblW w:w="0" w:type="auto"/>
            <w:jc w:val="center"/>
            <w:tblLook w:val="04A0" w:firstRow="1" w:lastRow="0" w:firstColumn="1" w:lastColumn="0" w:noHBand="0" w:noVBand="1"/>
          </w:tblPr>
          <w:tblGrid>
            <w:gridCol w:w="611"/>
            <w:gridCol w:w="1633"/>
          </w:tblGrid>
          <w:tr w:rsidR="0027530E" w:rsidRPr="0027530E" w14:paraId="32AB9899" w14:textId="77777777" w:rsidTr="00D816E9">
            <w:trPr>
              <w:jc w:val="center"/>
            </w:trPr>
            <w:tc>
              <w:tcPr>
                <w:tcW w:w="0" w:type="auto"/>
                <w:hideMark/>
              </w:tcPr>
              <w:p w14:paraId="6558C286"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Year</w:t>
                </w:r>
              </w:p>
            </w:tc>
            <w:tc>
              <w:tcPr>
                <w:tcW w:w="0" w:type="auto"/>
                <w:hideMark/>
              </w:tcPr>
              <w:p w14:paraId="192B7170"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Discount Factor</w:t>
                </w:r>
              </w:p>
            </w:tc>
          </w:tr>
          <w:tr w:rsidR="0027530E" w:rsidRPr="0027530E" w14:paraId="03B64345" w14:textId="77777777" w:rsidTr="00D816E9">
            <w:trPr>
              <w:jc w:val="center"/>
            </w:trPr>
            <w:tc>
              <w:tcPr>
                <w:tcW w:w="0" w:type="auto"/>
                <w:hideMark/>
              </w:tcPr>
              <w:p w14:paraId="7C0A0749" w14:textId="77777777" w:rsidR="0027530E" w:rsidRPr="0027530E" w:rsidRDefault="0027530E" w:rsidP="00D816E9">
                <w:pPr>
                  <w:spacing w:line="360" w:lineRule="auto"/>
                  <w:rPr>
                    <w:rFonts w:cstheme="minorHAnsi"/>
                    <w:sz w:val="22"/>
                    <w:szCs w:val="22"/>
                  </w:rPr>
                </w:pPr>
                <w:r w:rsidRPr="0027530E">
                  <w:rPr>
                    <w:rFonts w:cstheme="minorHAnsi"/>
                    <w:sz w:val="22"/>
                    <w:szCs w:val="22"/>
                  </w:rPr>
                  <w:t>1</w:t>
                </w:r>
              </w:p>
            </w:tc>
            <w:tc>
              <w:tcPr>
                <w:tcW w:w="0" w:type="auto"/>
                <w:hideMark/>
              </w:tcPr>
              <w:p w14:paraId="27C67654" w14:textId="77777777" w:rsidR="0027530E" w:rsidRPr="0027530E" w:rsidRDefault="0027530E" w:rsidP="00D816E9">
                <w:pPr>
                  <w:spacing w:line="360" w:lineRule="auto"/>
                  <w:rPr>
                    <w:rFonts w:cstheme="minorHAnsi"/>
                    <w:sz w:val="22"/>
                    <w:szCs w:val="22"/>
                  </w:rPr>
                </w:pPr>
                <w:r w:rsidRPr="0027530E">
                  <w:rPr>
                    <w:rFonts w:cstheme="minorHAnsi"/>
                    <w:sz w:val="22"/>
                    <w:szCs w:val="22"/>
                  </w:rPr>
                  <w:t>0.943</w:t>
                </w:r>
              </w:p>
            </w:tc>
          </w:tr>
          <w:tr w:rsidR="0027530E" w:rsidRPr="0027530E" w14:paraId="46D67D5F" w14:textId="77777777" w:rsidTr="00D816E9">
            <w:trPr>
              <w:jc w:val="center"/>
            </w:trPr>
            <w:tc>
              <w:tcPr>
                <w:tcW w:w="0" w:type="auto"/>
                <w:hideMark/>
              </w:tcPr>
              <w:p w14:paraId="023F5DE0" w14:textId="77777777" w:rsidR="0027530E" w:rsidRPr="0027530E" w:rsidRDefault="0027530E" w:rsidP="00D816E9">
                <w:pPr>
                  <w:spacing w:line="360" w:lineRule="auto"/>
                  <w:rPr>
                    <w:rFonts w:cstheme="minorHAnsi"/>
                    <w:sz w:val="22"/>
                    <w:szCs w:val="22"/>
                  </w:rPr>
                </w:pPr>
                <w:r w:rsidRPr="0027530E">
                  <w:rPr>
                    <w:rFonts w:cstheme="minorHAnsi"/>
                    <w:sz w:val="22"/>
                    <w:szCs w:val="22"/>
                  </w:rPr>
                  <w:t>2</w:t>
                </w:r>
              </w:p>
            </w:tc>
            <w:tc>
              <w:tcPr>
                <w:tcW w:w="0" w:type="auto"/>
                <w:hideMark/>
              </w:tcPr>
              <w:p w14:paraId="54010981" w14:textId="77777777" w:rsidR="0027530E" w:rsidRPr="0027530E" w:rsidRDefault="0027530E" w:rsidP="00D816E9">
                <w:pPr>
                  <w:spacing w:line="360" w:lineRule="auto"/>
                  <w:rPr>
                    <w:rFonts w:cstheme="minorHAnsi"/>
                    <w:sz w:val="22"/>
                    <w:szCs w:val="22"/>
                  </w:rPr>
                </w:pPr>
                <w:r w:rsidRPr="0027530E">
                  <w:rPr>
                    <w:rFonts w:cstheme="minorHAnsi"/>
                    <w:sz w:val="22"/>
                    <w:szCs w:val="22"/>
                  </w:rPr>
                  <w:t>0.890</w:t>
                </w:r>
              </w:p>
            </w:tc>
          </w:tr>
          <w:tr w:rsidR="0027530E" w:rsidRPr="0027530E" w14:paraId="780384B4" w14:textId="77777777" w:rsidTr="00D816E9">
            <w:trPr>
              <w:jc w:val="center"/>
            </w:trPr>
            <w:tc>
              <w:tcPr>
                <w:tcW w:w="0" w:type="auto"/>
                <w:hideMark/>
              </w:tcPr>
              <w:p w14:paraId="2D947862" w14:textId="77777777" w:rsidR="0027530E" w:rsidRPr="0027530E" w:rsidRDefault="0027530E" w:rsidP="00D816E9">
                <w:pPr>
                  <w:spacing w:line="360" w:lineRule="auto"/>
                  <w:rPr>
                    <w:rFonts w:cstheme="minorHAnsi"/>
                    <w:sz w:val="22"/>
                    <w:szCs w:val="22"/>
                  </w:rPr>
                </w:pPr>
                <w:r w:rsidRPr="0027530E">
                  <w:rPr>
                    <w:rFonts w:cstheme="minorHAnsi"/>
                    <w:sz w:val="22"/>
                    <w:szCs w:val="22"/>
                  </w:rPr>
                  <w:t>3</w:t>
                </w:r>
              </w:p>
            </w:tc>
            <w:tc>
              <w:tcPr>
                <w:tcW w:w="0" w:type="auto"/>
                <w:hideMark/>
              </w:tcPr>
              <w:p w14:paraId="33DB1D65" w14:textId="77777777" w:rsidR="0027530E" w:rsidRPr="0027530E" w:rsidRDefault="0027530E" w:rsidP="00D816E9">
                <w:pPr>
                  <w:spacing w:line="360" w:lineRule="auto"/>
                  <w:rPr>
                    <w:rFonts w:cstheme="minorHAnsi"/>
                    <w:sz w:val="22"/>
                    <w:szCs w:val="22"/>
                  </w:rPr>
                </w:pPr>
                <w:r w:rsidRPr="0027530E">
                  <w:rPr>
                    <w:rFonts w:cstheme="minorHAnsi"/>
                    <w:sz w:val="22"/>
                    <w:szCs w:val="22"/>
                  </w:rPr>
                  <w:t>0.840</w:t>
                </w:r>
              </w:p>
            </w:tc>
          </w:tr>
          <w:tr w:rsidR="0027530E" w:rsidRPr="0027530E" w14:paraId="396484E6" w14:textId="77777777" w:rsidTr="00D816E9">
            <w:trPr>
              <w:jc w:val="center"/>
            </w:trPr>
            <w:tc>
              <w:tcPr>
                <w:tcW w:w="0" w:type="auto"/>
                <w:hideMark/>
              </w:tcPr>
              <w:p w14:paraId="3A06E580" w14:textId="77777777" w:rsidR="0027530E" w:rsidRPr="0027530E" w:rsidRDefault="0027530E" w:rsidP="00D816E9">
                <w:pPr>
                  <w:spacing w:line="360" w:lineRule="auto"/>
                  <w:rPr>
                    <w:rFonts w:cstheme="minorHAnsi"/>
                    <w:sz w:val="22"/>
                    <w:szCs w:val="22"/>
                  </w:rPr>
                </w:pPr>
                <w:r w:rsidRPr="0027530E">
                  <w:rPr>
                    <w:rFonts w:cstheme="minorHAnsi"/>
                    <w:sz w:val="22"/>
                    <w:szCs w:val="22"/>
                  </w:rPr>
                  <w:t>4</w:t>
                </w:r>
              </w:p>
            </w:tc>
            <w:tc>
              <w:tcPr>
                <w:tcW w:w="0" w:type="auto"/>
                <w:hideMark/>
              </w:tcPr>
              <w:p w14:paraId="359F3FEF" w14:textId="77777777" w:rsidR="0027530E" w:rsidRPr="0027530E" w:rsidRDefault="0027530E" w:rsidP="00D816E9">
                <w:pPr>
                  <w:spacing w:line="360" w:lineRule="auto"/>
                  <w:rPr>
                    <w:rFonts w:cstheme="minorHAnsi"/>
                    <w:sz w:val="22"/>
                    <w:szCs w:val="22"/>
                  </w:rPr>
                </w:pPr>
                <w:r w:rsidRPr="0027530E">
                  <w:rPr>
                    <w:rFonts w:cstheme="minorHAnsi"/>
                    <w:sz w:val="22"/>
                    <w:szCs w:val="22"/>
                  </w:rPr>
                  <w:t>0.792</w:t>
                </w:r>
              </w:p>
            </w:tc>
          </w:tr>
        </w:tbl>
        <w:p w14:paraId="604B338F" w14:textId="77777777" w:rsidR="0027530E" w:rsidRPr="0027530E" w:rsidRDefault="0027530E" w:rsidP="0027530E">
          <w:pPr>
            <w:spacing w:line="360" w:lineRule="auto"/>
            <w:jc w:val="center"/>
            <w:outlineLvl w:val="2"/>
            <w:rPr>
              <w:rFonts w:cstheme="minorHAnsi"/>
            </w:rPr>
          </w:pPr>
          <w:bookmarkStart w:id="13" w:name="_Toc218881352"/>
          <w:r w:rsidRPr="0027530E">
            <w:rPr>
              <w:rFonts w:cstheme="minorHAnsi"/>
            </w:rPr>
            <w:t>Table 8: NPV Calculations (£000)</w:t>
          </w:r>
          <w:bookmarkEnd w:id="13"/>
        </w:p>
        <w:tbl>
          <w:tblPr>
            <w:tblStyle w:val="TableGrid"/>
            <w:tblW w:w="0" w:type="auto"/>
            <w:jc w:val="center"/>
            <w:tblLook w:val="04A0" w:firstRow="1" w:lastRow="0" w:firstColumn="1" w:lastColumn="0" w:noHBand="0" w:noVBand="1"/>
          </w:tblPr>
          <w:tblGrid>
            <w:gridCol w:w="863"/>
            <w:gridCol w:w="1896"/>
            <w:gridCol w:w="1818"/>
            <w:gridCol w:w="829"/>
          </w:tblGrid>
          <w:tr w:rsidR="0027530E" w:rsidRPr="0027530E" w14:paraId="4A952BC6" w14:textId="77777777" w:rsidTr="00D816E9">
            <w:trPr>
              <w:jc w:val="center"/>
            </w:trPr>
            <w:tc>
              <w:tcPr>
                <w:tcW w:w="0" w:type="auto"/>
                <w:hideMark/>
              </w:tcPr>
              <w:p w14:paraId="4005E425"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Project</w:t>
                </w:r>
              </w:p>
            </w:tc>
            <w:tc>
              <w:tcPr>
                <w:tcW w:w="0" w:type="auto"/>
                <w:hideMark/>
              </w:tcPr>
              <w:p w14:paraId="3D0E2833"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PV of Cash Inflows</w:t>
                </w:r>
              </w:p>
            </w:tc>
            <w:tc>
              <w:tcPr>
                <w:tcW w:w="0" w:type="auto"/>
                <w:hideMark/>
              </w:tcPr>
              <w:p w14:paraId="6328EE50"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Initial Investment</w:t>
                </w:r>
              </w:p>
            </w:tc>
            <w:tc>
              <w:tcPr>
                <w:tcW w:w="0" w:type="auto"/>
                <w:hideMark/>
              </w:tcPr>
              <w:p w14:paraId="344B5F56"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NPV</w:t>
                </w:r>
              </w:p>
            </w:tc>
          </w:tr>
          <w:tr w:rsidR="0027530E" w:rsidRPr="0027530E" w14:paraId="439CE0CD" w14:textId="77777777" w:rsidTr="00D816E9">
            <w:trPr>
              <w:jc w:val="center"/>
            </w:trPr>
            <w:tc>
              <w:tcPr>
                <w:tcW w:w="0" w:type="auto"/>
                <w:hideMark/>
              </w:tcPr>
              <w:p w14:paraId="57BD3A59" w14:textId="77777777" w:rsidR="0027530E" w:rsidRPr="0027530E" w:rsidRDefault="0027530E" w:rsidP="00D816E9">
                <w:pPr>
                  <w:spacing w:line="360" w:lineRule="auto"/>
                  <w:rPr>
                    <w:rFonts w:cstheme="minorHAnsi"/>
                    <w:sz w:val="22"/>
                    <w:szCs w:val="22"/>
                  </w:rPr>
                </w:pPr>
                <w:r w:rsidRPr="0027530E">
                  <w:rPr>
                    <w:rFonts w:cstheme="minorHAnsi"/>
                    <w:sz w:val="22"/>
                    <w:szCs w:val="22"/>
                  </w:rPr>
                  <w:t>A</w:t>
                </w:r>
              </w:p>
            </w:tc>
            <w:tc>
              <w:tcPr>
                <w:tcW w:w="0" w:type="auto"/>
                <w:hideMark/>
              </w:tcPr>
              <w:p w14:paraId="117445FF" w14:textId="77777777" w:rsidR="0027530E" w:rsidRPr="0027530E" w:rsidRDefault="0027530E" w:rsidP="00D816E9">
                <w:pPr>
                  <w:spacing w:line="360" w:lineRule="auto"/>
                  <w:rPr>
                    <w:rFonts w:cstheme="minorHAnsi"/>
                    <w:sz w:val="22"/>
                    <w:szCs w:val="22"/>
                  </w:rPr>
                </w:pPr>
                <w:r w:rsidRPr="0027530E">
                  <w:rPr>
                    <w:rFonts w:cstheme="minorHAnsi"/>
                    <w:sz w:val="22"/>
                    <w:szCs w:val="22"/>
                  </w:rPr>
                  <w:t>1,519</w:t>
                </w:r>
              </w:p>
            </w:tc>
            <w:tc>
              <w:tcPr>
                <w:tcW w:w="0" w:type="auto"/>
                <w:hideMark/>
              </w:tcPr>
              <w:p w14:paraId="34ADFD10" w14:textId="77777777" w:rsidR="0027530E" w:rsidRPr="0027530E" w:rsidRDefault="0027530E" w:rsidP="00D816E9">
                <w:pPr>
                  <w:spacing w:line="360" w:lineRule="auto"/>
                  <w:rPr>
                    <w:rFonts w:cstheme="minorHAnsi"/>
                    <w:sz w:val="22"/>
                    <w:szCs w:val="22"/>
                  </w:rPr>
                </w:pPr>
                <w:r w:rsidRPr="0027530E">
                  <w:rPr>
                    <w:rFonts w:cstheme="minorHAnsi"/>
                    <w:sz w:val="22"/>
                    <w:szCs w:val="22"/>
                  </w:rPr>
                  <w:t>600</w:t>
                </w:r>
              </w:p>
            </w:tc>
            <w:tc>
              <w:tcPr>
                <w:tcW w:w="0" w:type="auto"/>
                <w:hideMark/>
              </w:tcPr>
              <w:p w14:paraId="11D215D9" w14:textId="77777777" w:rsidR="0027530E" w:rsidRPr="0027530E" w:rsidRDefault="0027530E" w:rsidP="00D816E9">
                <w:pPr>
                  <w:spacing w:line="360" w:lineRule="auto"/>
                  <w:rPr>
                    <w:rFonts w:cstheme="minorHAnsi"/>
                    <w:sz w:val="22"/>
                    <w:szCs w:val="22"/>
                  </w:rPr>
                </w:pPr>
                <w:r w:rsidRPr="0027530E">
                  <w:rPr>
                    <w:rFonts w:cstheme="minorHAnsi"/>
                    <w:b/>
                    <w:bCs/>
                    <w:sz w:val="22"/>
                    <w:szCs w:val="22"/>
                  </w:rPr>
                  <w:t>+919</w:t>
                </w:r>
              </w:p>
            </w:tc>
          </w:tr>
          <w:tr w:rsidR="0027530E" w:rsidRPr="0027530E" w14:paraId="1E14938D" w14:textId="77777777" w:rsidTr="00D816E9">
            <w:trPr>
              <w:jc w:val="center"/>
            </w:trPr>
            <w:tc>
              <w:tcPr>
                <w:tcW w:w="0" w:type="auto"/>
                <w:hideMark/>
              </w:tcPr>
              <w:p w14:paraId="7468F070" w14:textId="77777777" w:rsidR="0027530E" w:rsidRPr="0027530E" w:rsidRDefault="0027530E" w:rsidP="00D816E9">
                <w:pPr>
                  <w:spacing w:line="360" w:lineRule="auto"/>
                  <w:rPr>
                    <w:rFonts w:cstheme="minorHAnsi"/>
                    <w:sz w:val="22"/>
                    <w:szCs w:val="22"/>
                  </w:rPr>
                </w:pPr>
                <w:r w:rsidRPr="0027530E">
                  <w:rPr>
                    <w:rFonts w:cstheme="minorHAnsi"/>
                    <w:sz w:val="22"/>
                    <w:szCs w:val="22"/>
                  </w:rPr>
                  <w:t>B</w:t>
                </w:r>
              </w:p>
            </w:tc>
            <w:tc>
              <w:tcPr>
                <w:tcW w:w="0" w:type="auto"/>
                <w:hideMark/>
              </w:tcPr>
              <w:p w14:paraId="78DCDBF7" w14:textId="77777777" w:rsidR="0027530E" w:rsidRPr="0027530E" w:rsidRDefault="0027530E" w:rsidP="00D816E9">
                <w:pPr>
                  <w:spacing w:line="360" w:lineRule="auto"/>
                  <w:rPr>
                    <w:rFonts w:cstheme="minorHAnsi"/>
                    <w:sz w:val="22"/>
                    <w:szCs w:val="22"/>
                  </w:rPr>
                </w:pPr>
                <w:r w:rsidRPr="0027530E">
                  <w:rPr>
                    <w:rFonts w:cstheme="minorHAnsi"/>
                    <w:sz w:val="22"/>
                    <w:szCs w:val="22"/>
                  </w:rPr>
                  <w:t>2,159</w:t>
                </w:r>
              </w:p>
            </w:tc>
            <w:tc>
              <w:tcPr>
                <w:tcW w:w="0" w:type="auto"/>
                <w:hideMark/>
              </w:tcPr>
              <w:p w14:paraId="4BEF867F" w14:textId="77777777" w:rsidR="0027530E" w:rsidRPr="0027530E" w:rsidRDefault="0027530E" w:rsidP="00D816E9">
                <w:pPr>
                  <w:spacing w:line="360" w:lineRule="auto"/>
                  <w:rPr>
                    <w:rFonts w:cstheme="minorHAnsi"/>
                    <w:sz w:val="22"/>
                    <w:szCs w:val="22"/>
                  </w:rPr>
                </w:pPr>
                <w:r w:rsidRPr="0027530E">
                  <w:rPr>
                    <w:rFonts w:cstheme="minorHAnsi"/>
                    <w:sz w:val="22"/>
                    <w:szCs w:val="22"/>
                  </w:rPr>
                  <w:t>1,000</w:t>
                </w:r>
              </w:p>
            </w:tc>
            <w:tc>
              <w:tcPr>
                <w:tcW w:w="0" w:type="auto"/>
                <w:hideMark/>
              </w:tcPr>
              <w:p w14:paraId="3F07820A" w14:textId="77777777" w:rsidR="0027530E" w:rsidRPr="0027530E" w:rsidRDefault="0027530E" w:rsidP="00D816E9">
                <w:pPr>
                  <w:spacing w:line="360" w:lineRule="auto"/>
                  <w:rPr>
                    <w:rFonts w:cstheme="minorHAnsi"/>
                    <w:sz w:val="22"/>
                    <w:szCs w:val="22"/>
                  </w:rPr>
                </w:pPr>
                <w:r w:rsidRPr="0027530E">
                  <w:rPr>
                    <w:rFonts w:cstheme="minorHAnsi"/>
                    <w:b/>
                    <w:bCs/>
                    <w:sz w:val="22"/>
                    <w:szCs w:val="22"/>
                  </w:rPr>
                  <w:t>+1,159</w:t>
                </w:r>
              </w:p>
            </w:tc>
          </w:tr>
          <w:tr w:rsidR="0027530E" w:rsidRPr="0027530E" w14:paraId="105C7ACE" w14:textId="77777777" w:rsidTr="00D816E9">
            <w:trPr>
              <w:jc w:val="center"/>
            </w:trPr>
            <w:tc>
              <w:tcPr>
                <w:tcW w:w="0" w:type="auto"/>
                <w:hideMark/>
              </w:tcPr>
              <w:p w14:paraId="166D3A81" w14:textId="77777777" w:rsidR="0027530E" w:rsidRPr="0027530E" w:rsidRDefault="0027530E" w:rsidP="00D816E9">
                <w:pPr>
                  <w:spacing w:line="360" w:lineRule="auto"/>
                  <w:rPr>
                    <w:rFonts w:cstheme="minorHAnsi"/>
                    <w:sz w:val="22"/>
                    <w:szCs w:val="22"/>
                  </w:rPr>
                </w:pPr>
                <w:r w:rsidRPr="0027530E">
                  <w:rPr>
                    <w:rFonts w:cstheme="minorHAnsi"/>
                    <w:sz w:val="22"/>
                    <w:szCs w:val="22"/>
                  </w:rPr>
                  <w:t>C</w:t>
                </w:r>
              </w:p>
            </w:tc>
            <w:tc>
              <w:tcPr>
                <w:tcW w:w="0" w:type="auto"/>
                <w:hideMark/>
              </w:tcPr>
              <w:p w14:paraId="776A15C4" w14:textId="77777777" w:rsidR="0027530E" w:rsidRPr="0027530E" w:rsidRDefault="0027530E" w:rsidP="00D816E9">
                <w:pPr>
                  <w:spacing w:line="360" w:lineRule="auto"/>
                  <w:rPr>
                    <w:rFonts w:cstheme="minorHAnsi"/>
                    <w:sz w:val="22"/>
                    <w:szCs w:val="22"/>
                  </w:rPr>
                </w:pPr>
                <w:r w:rsidRPr="0027530E">
                  <w:rPr>
                    <w:rFonts w:cstheme="minorHAnsi"/>
                    <w:sz w:val="22"/>
                    <w:szCs w:val="22"/>
                  </w:rPr>
                  <w:t>2,754</w:t>
                </w:r>
              </w:p>
            </w:tc>
            <w:tc>
              <w:tcPr>
                <w:tcW w:w="0" w:type="auto"/>
                <w:hideMark/>
              </w:tcPr>
              <w:p w14:paraId="3BD1F52B" w14:textId="77777777" w:rsidR="0027530E" w:rsidRPr="0027530E" w:rsidRDefault="0027530E" w:rsidP="00D816E9">
                <w:pPr>
                  <w:spacing w:line="360" w:lineRule="auto"/>
                  <w:rPr>
                    <w:rFonts w:cstheme="minorHAnsi"/>
                    <w:sz w:val="22"/>
                    <w:szCs w:val="22"/>
                  </w:rPr>
                </w:pPr>
                <w:r w:rsidRPr="0027530E">
                  <w:rPr>
                    <w:rFonts w:cstheme="minorHAnsi"/>
                    <w:sz w:val="22"/>
                    <w:szCs w:val="22"/>
                  </w:rPr>
                  <w:t>1,600</w:t>
                </w:r>
              </w:p>
            </w:tc>
            <w:tc>
              <w:tcPr>
                <w:tcW w:w="0" w:type="auto"/>
                <w:hideMark/>
              </w:tcPr>
              <w:p w14:paraId="00B73AEE" w14:textId="77777777" w:rsidR="0027530E" w:rsidRPr="0027530E" w:rsidRDefault="0027530E" w:rsidP="00D816E9">
                <w:pPr>
                  <w:spacing w:line="360" w:lineRule="auto"/>
                  <w:rPr>
                    <w:rFonts w:cstheme="minorHAnsi"/>
                    <w:sz w:val="22"/>
                    <w:szCs w:val="22"/>
                  </w:rPr>
                </w:pPr>
                <w:r w:rsidRPr="0027530E">
                  <w:rPr>
                    <w:rFonts w:cstheme="minorHAnsi"/>
                    <w:b/>
                    <w:bCs/>
                    <w:sz w:val="22"/>
                    <w:szCs w:val="22"/>
                  </w:rPr>
                  <w:t>+1,154</w:t>
                </w:r>
              </w:p>
            </w:tc>
          </w:tr>
        </w:tbl>
        <w:p w14:paraId="46DFE91C" w14:textId="77777777" w:rsidR="0027530E" w:rsidRPr="0027530E" w:rsidRDefault="0027530E" w:rsidP="0027530E">
          <w:pPr>
            <w:spacing w:line="360" w:lineRule="auto"/>
            <w:rPr>
              <w:rFonts w:cstheme="minorHAnsi"/>
            </w:rPr>
          </w:pPr>
          <w:r w:rsidRPr="0027530E">
            <w:rPr>
              <w:rFonts w:cstheme="minorHAnsi"/>
            </w:rPr>
            <w:t>All the detailed calculations are presented in the Appendix. The three projects have positive NPVs, which implies that they all produce shareholder value that is above the necessary rate of return. The NPV of Project B is the greatest, slightly better than that of Project C, and hence, the most value-increasing choice. Accept project with NPV value greater than 0; selecting a mutually exclusive project with the highest NPV (Arnold, 2013.)</w:t>
          </w:r>
        </w:p>
        <w:p w14:paraId="16FEA5F6" w14:textId="77777777" w:rsidR="0027530E" w:rsidRPr="0027530E" w:rsidRDefault="0027530E" w:rsidP="0027530E">
          <w:pPr>
            <w:spacing w:line="360" w:lineRule="auto"/>
            <w:jc w:val="center"/>
            <w:rPr>
              <w:rFonts w:cstheme="minorHAnsi"/>
            </w:rPr>
          </w:pPr>
          <w:r w:rsidRPr="0027530E">
            <w:rPr>
              <w:rFonts w:cstheme="minorHAnsi"/>
              <w:noProof/>
              <w14:ligatures w14:val="standardContextual"/>
            </w:rPr>
            <w:drawing>
              <wp:inline distT="0" distB="0" distL="0" distR="0" wp14:anchorId="52DDF6D6" wp14:editId="28534EC1">
                <wp:extent cx="4722471" cy="3525680"/>
                <wp:effectExtent l="0" t="0" r="2540" b="5080"/>
                <wp:docPr id="4402143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21439" name="Picture 44021439"/>
                        <pic:cNvPicPr/>
                      </pic:nvPicPr>
                      <pic:blipFill>
                        <a:blip r:embed="rId16">
                          <a:extLst>
                            <a:ext uri="{28A0092B-C50C-407E-A947-70E740481C1C}">
                              <a14:useLocalDpi xmlns:a14="http://schemas.microsoft.com/office/drawing/2010/main" val="0"/>
                            </a:ext>
                          </a:extLst>
                        </a:blip>
                        <a:stretch>
                          <a:fillRect/>
                        </a:stretch>
                      </pic:blipFill>
                      <pic:spPr>
                        <a:xfrm>
                          <a:off x="0" y="0"/>
                          <a:ext cx="4723839" cy="3526701"/>
                        </a:xfrm>
                        <a:prstGeom prst="rect">
                          <a:avLst/>
                        </a:prstGeom>
                      </pic:spPr>
                    </pic:pic>
                  </a:graphicData>
                </a:graphic>
              </wp:inline>
            </w:drawing>
          </w:r>
        </w:p>
        <w:p w14:paraId="423194CD" w14:textId="34A9E4E6" w:rsidR="0027530E" w:rsidRPr="0027530E" w:rsidRDefault="0027530E" w:rsidP="0027530E">
          <w:pPr>
            <w:spacing w:line="360" w:lineRule="auto"/>
            <w:jc w:val="center"/>
            <w:rPr>
              <w:rFonts w:cstheme="minorHAnsi"/>
            </w:rPr>
          </w:pPr>
          <w:r w:rsidRPr="0027530E">
            <w:rPr>
              <w:rFonts w:cstheme="minorHAnsi"/>
            </w:rPr>
            <w:t>Figure 7: Column chart comparing NPVs of Projects A, B, and C</w:t>
          </w:r>
        </w:p>
        <w:p w14:paraId="03264C6D" w14:textId="75FAB5C9" w:rsidR="0027530E" w:rsidRPr="0027530E" w:rsidRDefault="0027530E" w:rsidP="0027530E">
          <w:pPr>
            <w:spacing w:line="360" w:lineRule="auto"/>
            <w:outlineLvl w:val="2"/>
            <w:rPr>
              <w:rFonts w:cstheme="minorHAnsi"/>
              <w:b/>
              <w:bCs/>
            </w:rPr>
          </w:pPr>
          <w:bookmarkStart w:id="14" w:name="_Toc218881353"/>
          <w:r w:rsidRPr="0027530E">
            <w:rPr>
              <w:rFonts w:cstheme="minorHAnsi"/>
              <w:b/>
              <w:bCs/>
            </w:rPr>
            <w:t>2.2.3 Internal Rate of Return (IRR)</w:t>
          </w:r>
          <w:bookmarkEnd w:id="14"/>
          <w:r w:rsidRPr="0027530E">
            <w:rPr>
              <w:rFonts w:cstheme="minorHAnsi"/>
              <w:b/>
              <w:bCs/>
            </w:rPr>
            <w:t xml:space="preserve"> </w:t>
          </w:r>
        </w:p>
        <w:p w14:paraId="6F4E9DCE" w14:textId="57CABC02" w:rsidR="0027530E" w:rsidRPr="0027530E" w:rsidRDefault="0027530E" w:rsidP="0027530E">
          <w:pPr>
            <w:spacing w:line="360" w:lineRule="auto"/>
            <w:rPr>
              <w:rFonts w:cstheme="minorHAnsi"/>
            </w:rPr>
          </w:pPr>
          <w:r w:rsidRPr="0027530E">
            <w:rPr>
              <w:rFonts w:cstheme="minorHAnsi"/>
            </w:rPr>
            <w:t>Internal Rate of Return (IRR) is the discount rate that a project will have when its NPV is zero</w:t>
          </w:r>
          <w:r w:rsidR="00063929">
            <w:rPr>
              <w:rFonts w:cstheme="minorHAnsi"/>
            </w:rPr>
            <w:t xml:space="preserve"> (</w:t>
          </w:r>
          <w:r w:rsidR="00063929" w:rsidRPr="00063929">
            <w:rPr>
              <w:rFonts w:cstheme="minorHAnsi"/>
            </w:rPr>
            <w:t>Wangchuk</w:t>
          </w:r>
          <w:r w:rsidR="00063929">
            <w:rPr>
              <w:rFonts w:cstheme="minorHAnsi"/>
            </w:rPr>
            <w:t>, 2022)</w:t>
          </w:r>
          <w:r w:rsidRPr="0027530E">
            <w:rPr>
              <w:rFonts w:cstheme="minorHAnsi"/>
            </w:rPr>
            <w:t>. It is an estimated percentage of the expected return of the project, and is usually determined by trial and error or interpolation.</w:t>
          </w:r>
        </w:p>
        <w:p w14:paraId="3608C81F" w14:textId="77777777" w:rsidR="0027530E" w:rsidRPr="0027530E" w:rsidRDefault="0027530E" w:rsidP="0027530E">
          <w:pPr>
            <w:spacing w:line="360" w:lineRule="auto"/>
            <w:jc w:val="center"/>
            <w:outlineLvl w:val="2"/>
            <w:rPr>
              <w:rFonts w:cstheme="minorHAnsi"/>
            </w:rPr>
          </w:pPr>
          <w:bookmarkStart w:id="15" w:name="_Toc218881354"/>
          <w:r w:rsidRPr="0027530E">
            <w:rPr>
              <w:rFonts w:cstheme="minorHAnsi"/>
            </w:rPr>
            <w:t>Table 9: Approximate IRR Results</w:t>
          </w:r>
          <w:bookmarkEnd w:id="15"/>
        </w:p>
        <w:tbl>
          <w:tblPr>
            <w:tblStyle w:val="TableGrid"/>
            <w:tblW w:w="0" w:type="auto"/>
            <w:jc w:val="center"/>
            <w:tblLook w:val="04A0" w:firstRow="1" w:lastRow="0" w:firstColumn="1" w:lastColumn="0" w:noHBand="0" w:noVBand="1"/>
          </w:tblPr>
          <w:tblGrid>
            <w:gridCol w:w="863"/>
            <w:gridCol w:w="1756"/>
            <w:gridCol w:w="1534"/>
            <w:gridCol w:w="990"/>
          </w:tblGrid>
          <w:tr w:rsidR="0027530E" w:rsidRPr="0027530E" w14:paraId="27850E67" w14:textId="77777777" w:rsidTr="00D816E9">
            <w:trPr>
              <w:jc w:val="center"/>
            </w:trPr>
            <w:tc>
              <w:tcPr>
                <w:tcW w:w="0" w:type="auto"/>
                <w:hideMark/>
              </w:tcPr>
              <w:p w14:paraId="09F22767"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Project</w:t>
                </w:r>
              </w:p>
            </w:tc>
            <w:tc>
              <w:tcPr>
                <w:tcW w:w="0" w:type="auto"/>
                <w:hideMark/>
              </w:tcPr>
              <w:p w14:paraId="29DE619A"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Approximate IRR</w:t>
                </w:r>
              </w:p>
            </w:tc>
            <w:tc>
              <w:tcPr>
                <w:tcW w:w="0" w:type="auto"/>
                <w:hideMark/>
              </w:tcPr>
              <w:p w14:paraId="535319DA"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Cost of Capital</w:t>
                </w:r>
              </w:p>
            </w:tc>
            <w:tc>
              <w:tcPr>
                <w:tcW w:w="0" w:type="auto"/>
                <w:hideMark/>
              </w:tcPr>
              <w:p w14:paraId="36138FEC"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Decision</w:t>
                </w:r>
              </w:p>
            </w:tc>
          </w:tr>
          <w:tr w:rsidR="0027530E" w:rsidRPr="0027530E" w14:paraId="2BA00E46" w14:textId="77777777" w:rsidTr="00D816E9">
            <w:trPr>
              <w:jc w:val="center"/>
            </w:trPr>
            <w:tc>
              <w:tcPr>
                <w:tcW w:w="0" w:type="auto"/>
                <w:hideMark/>
              </w:tcPr>
              <w:p w14:paraId="36864BB4" w14:textId="77777777" w:rsidR="0027530E" w:rsidRPr="0027530E" w:rsidRDefault="0027530E" w:rsidP="00D816E9">
                <w:pPr>
                  <w:spacing w:line="360" w:lineRule="auto"/>
                  <w:rPr>
                    <w:rFonts w:cstheme="minorHAnsi"/>
                    <w:sz w:val="22"/>
                    <w:szCs w:val="22"/>
                  </w:rPr>
                </w:pPr>
                <w:r w:rsidRPr="0027530E">
                  <w:rPr>
                    <w:rFonts w:cstheme="minorHAnsi"/>
                    <w:sz w:val="22"/>
                    <w:szCs w:val="22"/>
                  </w:rPr>
                  <w:t>A</w:t>
                </w:r>
              </w:p>
            </w:tc>
            <w:tc>
              <w:tcPr>
                <w:tcW w:w="0" w:type="auto"/>
                <w:hideMark/>
              </w:tcPr>
              <w:p w14:paraId="5912FA67" w14:textId="77777777" w:rsidR="0027530E" w:rsidRPr="0027530E" w:rsidRDefault="0027530E" w:rsidP="00D816E9">
                <w:pPr>
                  <w:spacing w:line="360" w:lineRule="auto"/>
                  <w:rPr>
                    <w:rFonts w:cstheme="minorHAnsi"/>
                    <w:sz w:val="22"/>
                    <w:szCs w:val="22"/>
                  </w:rPr>
                </w:pPr>
                <w:r w:rsidRPr="0027530E">
                  <w:rPr>
                    <w:rFonts w:cstheme="minorHAnsi"/>
                    <w:sz w:val="22"/>
                    <w:szCs w:val="22"/>
                  </w:rPr>
                  <w:t>~40%</w:t>
                </w:r>
              </w:p>
            </w:tc>
            <w:tc>
              <w:tcPr>
                <w:tcW w:w="0" w:type="auto"/>
                <w:hideMark/>
              </w:tcPr>
              <w:p w14:paraId="481D1C3B" w14:textId="77777777" w:rsidR="0027530E" w:rsidRPr="0027530E" w:rsidRDefault="0027530E" w:rsidP="00D816E9">
                <w:pPr>
                  <w:spacing w:line="360" w:lineRule="auto"/>
                  <w:rPr>
                    <w:rFonts w:cstheme="minorHAnsi"/>
                    <w:sz w:val="22"/>
                    <w:szCs w:val="22"/>
                  </w:rPr>
                </w:pPr>
                <w:r w:rsidRPr="0027530E">
                  <w:rPr>
                    <w:rFonts w:cstheme="minorHAnsi"/>
                    <w:sz w:val="22"/>
                    <w:szCs w:val="22"/>
                  </w:rPr>
                  <w:t>6%</w:t>
                </w:r>
              </w:p>
            </w:tc>
            <w:tc>
              <w:tcPr>
                <w:tcW w:w="0" w:type="auto"/>
                <w:hideMark/>
              </w:tcPr>
              <w:p w14:paraId="1FD0E2F8" w14:textId="77777777" w:rsidR="0027530E" w:rsidRPr="0027530E" w:rsidRDefault="0027530E" w:rsidP="00D816E9">
                <w:pPr>
                  <w:spacing w:line="360" w:lineRule="auto"/>
                  <w:rPr>
                    <w:rFonts w:cstheme="minorHAnsi"/>
                    <w:sz w:val="22"/>
                    <w:szCs w:val="22"/>
                  </w:rPr>
                </w:pPr>
                <w:r w:rsidRPr="0027530E">
                  <w:rPr>
                    <w:rFonts w:cstheme="minorHAnsi"/>
                    <w:sz w:val="22"/>
                    <w:szCs w:val="22"/>
                  </w:rPr>
                  <w:t>Accept</w:t>
                </w:r>
              </w:p>
            </w:tc>
          </w:tr>
          <w:tr w:rsidR="0027530E" w:rsidRPr="0027530E" w14:paraId="42888FF8" w14:textId="77777777" w:rsidTr="00D816E9">
            <w:trPr>
              <w:jc w:val="center"/>
            </w:trPr>
            <w:tc>
              <w:tcPr>
                <w:tcW w:w="0" w:type="auto"/>
                <w:hideMark/>
              </w:tcPr>
              <w:p w14:paraId="36506687" w14:textId="77777777" w:rsidR="0027530E" w:rsidRPr="0027530E" w:rsidRDefault="0027530E" w:rsidP="00D816E9">
                <w:pPr>
                  <w:spacing w:line="360" w:lineRule="auto"/>
                  <w:rPr>
                    <w:rFonts w:cstheme="minorHAnsi"/>
                    <w:sz w:val="22"/>
                    <w:szCs w:val="22"/>
                  </w:rPr>
                </w:pPr>
                <w:r w:rsidRPr="0027530E">
                  <w:rPr>
                    <w:rFonts w:cstheme="minorHAnsi"/>
                    <w:sz w:val="22"/>
                    <w:szCs w:val="22"/>
                  </w:rPr>
                  <w:t>B</w:t>
                </w:r>
              </w:p>
            </w:tc>
            <w:tc>
              <w:tcPr>
                <w:tcW w:w="0" w:type="auto"/>
                <w:hideMark/>
              </w:tcPr>
              <w:p w14:paraId="457A0D61" w14:textId="77777777" w:rsidR="0027530E" w:rsidRPr="0027530E" w:rsidRDefault="0027530E" w:rsidP="00D816E9">
                <w:pPr>
                  <w:spacing w:line="360" w:lineRule="auto"/>
                  <w:rPr>
                    <w:rFonts w:cstheme="minorHAnsi"/>
                    <w:sz w:val="22"/>
                    <w:szCs w:val="22"/>
                  </w:rPr>
                </w:pPr>
                <w:r w:rsidRPr="0027530E">
                  <w:rPr>
                    <w:rFonts w:cstheme="minorHAnsi"/>
                    <w:sz w:val="22"/>
                    <w:szCs w:val="22"/>
                  </w:rPr>
                  <w:t>~30%</w:t>
                </w:r>
              </w:p>
            </w:tc>
            <w:tc>
              <w:tcPr>
                <w:tcW w:w="0" w:type="auto"/>
                <w:hideMark/>
              </w:tcPr>
              <w:p w14:paraId="76600EE3" w14:textId="77777777" w:rsidR="0027530E" w:rsidRPr="0027530E" w:rsidRDefault="0027530E" w:rsidP="00D816E9">
                <w:pPr>
                  <w:spacing w:line="360" w:lineRule="auto"/>
                  <w:rPr>
                    <w:rFonts w:cstheme="minorHAnsi"/>
                    <w:sz w:val="22"/>
                    <w:szCs w:val="22"/>
                  </w:rPr>
                </w:pPr>
                <w:r w:rsidRPr="0027530E">
                  <w:rPr>
                    <w:rFonts w:cstheme="minorHAnsi"/>
                    <w:sz w:val="22"/>
                    <w:szCs w:val="22"/>
                  </w:rPr>
                  <w:t>6%</w:t>
                </w:r>
              </w:p>
            </w:tc>
            <w:tc>
              <w:tcPr>
                <w:tcW w:w="0" w:type="auto"/>
                <w:hideMark/>
              </w:tcPr>
              <w:p w14:paraId="5E2813B3" w14:textId="77777777" w:rsidR="0027530E" w:rsidRPr="0027530E" w:rsidRDefault="0027530E" w:rsidP="00D816E9">
                <w:pPr>
                  <w:spacing w:line="360" w:lineRule="auto"/>
                  <w:rPr>
                    <w:rFonts w:cstheme="minorHAnsi"/>
                    <w:sz w:val="22"/>
                    <w:szCs w:val="22"/>
                  </w:rPr>
                </w:pPr>
                <w:r w:rsidRPr="0027530E">
                  <w:rPr>
                    <w:rFonts w:cstheme="minorHAnsi"/>
                    <w:sz w:val="22"/>
                    <w:szCs w:val="22"/>
                  </w:rPr>
                  <w:t>Accept</w:t>
                </w:r>
              </w:p>
            </w:tc>
          </w:tr>
          <w:tr w:rsidR="0027530E" w:rsidRPr="0027530E" w14:paraId="6C824A77" w14:textId="77777777" w:rsidTr="00D816E9">
            <w:trPr>
              <w:jc w:val="center"/>
            </w:trPr>
            <w:tc>
              <w:tcPr>
                <w:tcW w:w="0" w:type="auto"/>
                <w:hideMark/>
              </w:tcPr>
              <w:p w14:paraId="0C08040C" w14:textId="77777777" w:rsidR="0027530E" w:rsidRPr="0027530E" w:rsidRDefault="0027530E" w:rsidP="00D816E9">
                <w:pPr>
                  <w:spacing w:line="360" w:lineRule="auto"/>
                  <w:rPr>
                    <w:rFonts w:cstheme="minorHAnsi"/>
                    <w:sz w:val="22"/>
                    <w:szCs w:val="22"/>
                  </w:rPr>
                </w:pPr>
                <w:r w:rsidRPr="0027530E">
                  <w:rPr>
                    <w:rFonts w:cstheme="minorHAnsi"/>
                    <w:sz w:val="22"/>
                    <w:szCs w:val="22"/>
                  </w:rPr>
                  <w:t>C</w:t>
                </w:r>
              </w:p>
            </w:tc>
            <w:tc>
              <w:tcPr>
                <w:tcW w:w="0" w:type="auto"/>
                <w:hideMark/>
              </w:tcPr>
              <w:p w14:paraId="2A9009DE" w14:textId="77777777" w:rsidR="0027530E" w:rsidRPr="0027530E" w:rsidRDefault="0027530E" w:rsidP="00D816E9">
                <w:pPr>
                  <w:spacing w:line="360" w:lineRule="auto"/>
                  <w:rPr>
                    <w:rFonts w:cstheme="minorHAnsi"/>
                    <w:sz w:val="22"/>
                    <w:szCs w:val="22"/>
                  </w:rPr>
                </w:pPr>
                <w:r w:rsidRPr="0027530E">
                  <w:rPr>
                    <w:rFonts w:cstheme="minorHAnsi"/>
                    <w:sz w:val="22"/>
                    <w:szCs w:val="22"/>
                  </w:rPr>
                  <w:t>~25%</w:t>
                </w:r>
              </w:p>
            </w:tc>
            <w:tc>
              <w:tcPr>
                <w:tcW w:w="0" w:type="auto"/>
                <w:hideMark/>
              </w:tcPr>
              <w:p w14:paraId="72D74464" w14:textId="77777777" w:rsidR="0027530E" w:rsidRPr="0027530E" w:rsidRDefault="0027530E" w:rsidP="00D816E9">
                <w:pPr>
                  <w:spacing w:line="360" w:lineRule="auto"/>
                  <w:rPr>
                    <w:rFonts w:cstheme="minorHAnsi"/>
                    <w:sz w:val="22"/>
                    <w:szCs w:val="22"/>
                  </w:rPr>
                </w:pPr>
                <w:r w:rsidRPr="0027530E">
                  <w:rPr>
                    <w:rFonts w:cstheme="minorHAnsi"/>
                    <w:sz w:val="22"/>
                    <w:szCs w:val="22"/>
                  </w:rPr>
                  <w:t>6%</w:t>
                </w:r>
              </w:p>
            </w:tc>
            <w:tc>
              <w:tcPr>
                <w:tcW w:w="0" w:type="auto"/>
                <w:hideMark/>
              </w:tcPr>
              <w:p w14:paraId="476799C1" w14:textId="77777777" w:rsidR="0027530E" w:rsidRPr="0027530E" w:rsidRDefault="0027530E" w:rsidP="00D816E9">
                <w:pPr>
                  <w:spacing w:line="360" w:lineRule="auto"/>
                  <w:rPr>
                    <w:rFonts w:cstheme="minorHAnsi"/>
                    <w:sz w:val="22"/>
                    <w:szCs w:val="22"/>
                  </w:rPr>
                </w:pPr>
                <w:r w:rsidRPr="0027530E">
                  <w:rPr>
                    <w:rFonts w:cstheme="minorHAnsi"/>
                    <w:sz w:val="22"/>
                    <w:szCs w:val="22"/>
                  </w:rPr>
                  <w:t>Accept</w:t>
                </w:r>
              </w:p>
            </w:tc>
          </w:tr>
        </w:tbl>
        <w:p w14:paraId="5D6FB0C3" w14:textId="148A4E4E" w:rsidR="0027530E" w:rsidRPr="0027530E" w:rsidRDefault="0027530E" w:rsidP="0027530E">
          <w:pPr>
            <w:spacing w:line="360" w:lineRule="auto"/>
            <w:rPr>
              <w:rFonts w:cstheme="minorHAnsi"/>
            </w:rPr>
          </w:pPr>
          <w:r w:rsidRPr="0027530E">
            <w:rPr>
              <w:rFonts w:cstheme="minorHAnsi"/>
            </w:rPr>
            <w:t>The IRR of all the projects is well above the cost of capital of 6 percentage points, which validates their financial viability. IRR is subjectively attractive to managers since it conveys returns at a scale expressed as a percentage that is easier to compare with the hurdle rates</w:t>
          </w:r>
          <w:r w:rsidR="00063929">
            <w:rPr>
              <w:rFonts w:cstheme="minorHAnsi"/>
            </w:rPr>
            <w:t xml:space="preserve"> (</w:t>
          </w:r>
          <w:r w:rsidR="00063929" w:rsidRPr="00063929">
            <w:rPr>
              <w:rFonts w:cstheme="minorHAnsi"/>
            </w:rPr>
            <w:t>Irwanto</w:t>
          </w:r>
          <w:r w:rsidR="00063929">
            <w:rPr>
              <w:rFonts w:cstheme="minorHAnsi"/>
            </w:rPr>
            <w:t>, 2021)</w:t>
          </w:r>
          <w:r w:rsidRPr="0027530E">
            <w:rPr>
              <w:rFonts w:cstheme="minorHAnsi"/>
            </w:rPr>
            <w:t>. Project A offers the highest IRR, which is due to its quick early cash inflows in comparison with the investment.</w:t>
          </w:r>
        </w:p>
        <w:p w14:paraId="20DD1AA8" w14:textId="76CC6743" w:rsidR="0027530E" w:rsidRPr="0027530E" w:rsidRDefault="0027530E" w:rsidP="0027530E">
          <w:pPr>
            <w:spacing w:line="360" w:lineRule="auto"/>
            <w:rPr>
              <w:rFonts w:cstheme="minorHAnsi"/>
            </w:rPr>
          </w:pPr>
          <w:r w:rsidRPr="0027530E">
            <w:rPr>
              <w:rFonts w:cstheme="minorHAnsi"/>
            </w:rPr>
            <w:t>IRR can also be inappropriate to make comparisons between projects of various magnitudes, despite its usefulness</w:t>
          </w:r>
          <w:r w:rsidR="00063929">
            <w:rPr>
              <w:rFonts w:cstheme="minorHAnsi"/>
            </w:rPr>
            <w:t xml:space="preserve"> (</w:t>
          </w:r>
          <w:r w:rsidR="00063929" w:rsidRPr="00063929">
            <w:rPr>
              <w:rFonts w:cstheme="minorHAnsi"/>
            </w:rPr>
            <w:t>Sneps-Sneppe</w:t>
          </w:r>
          <w:r w:rsidR="00063929">
            <w:rPr>
              <w:rFonts w:cstheme="minorHAnsi"/>
            </w:rPr>
            <w:t>, 2023)</w:t>
          </w:r>
          <w:r w:rsidRPr="0027530E">
            <w:rPr>
              <w:rFonts w:cstheme="minorHAnsi"/>
            </w:rPr>
            <w:t>. Project A in this example has the greater IRR, whereas Project B has a greater NPV than Project A. This is an example of a major weakness of IRR, since it fails to quantify the creation of absolute value and can prioritise smaller projects over those with a higher value (Brealey et al., 2020). Therefore, IRR is not to be considered as a decision criterion as compared to NPV; it should be taken as an auxiliary indicator.</w:t>
          </w:r>
        </w:p>
        <w:p w14:paraId="5D54757F" w14:textId="77777777" w:rsidR="0027530E" w:rsidRPr="0027530E" w:rsidRDefault="0027530E" w:rsidP="0027530E">
          <w:pPr>
            <w:pStyle w:val="NormalWeb"/>
            <w:jc w:val="center"/>
            <w:rPr>
              <w:rFonts w:asciiTheme="minorHAnsi" w:hAnsiTheme="minorHAnsi" w:cstheme="minorHAnsi"/>
            </w:rPr>
          </w:pPr>
          <w:r w:rsidRPr="0027530E">
            <w:rPr>
              <w:rFonts w:asciiTheme="minorHAnsi" w:hAnsiTheme="minorHAnsi" w:cstheme="minorHAnsi"/>
              <w:noProof/>
              <w14:ligatures w14:val="standardContextual"/>
            </w:rPr>
            <w:drawing>
              <wp:inline distT="0" distB="0" distL="0" distR="0" wp14:anchorId="1F0101E1" wp14:editId="04B1DE52">
                <wp:extent cx="4398380" cy="3435911"/>
                <wp:effectExtent l="0" t="0" r="0" b="6350"/>
                <wp:docPr id="156277151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771515" name="Picture 1562771515"/>
                        <pic:cNvPicPr/>
                      </pic:nvPicPr>
                      <pic:blipFill>
                        <a:blip r:embed="rId17">
                          <a:extLst>
                            <a:ext uri="{28A0092B-C50C-407E-A947-70E740481C1C}">
                              <a14:useLocalDpi xmlns:a14="http://schemas.microsoft.com/office/drawing/2010/main" val="0"/>
                            </a:ext>
                          </a:extLst>
                        </a:blip>
                        <a:stretch>
                          <a:fillRect/>
                        </a:stretch>
                      </pic:blipFill>
                      <pic:spPr>
                        <a:xfrm>
                          <a:off x="0" y="0"/>
                          <a:ext cx="4403705" cy="3440071"/>
                        </a:xfrm>
                        <a:prstGeom prst="rect">
                          <a:avLst/>
                        </a:prstGeom>
                      </pic:spPr>
                    </pic:pic>
                  </a:graphicData>
                </a:graphic>
              </wp:inline>
            </w:drawing>
          </w:r>
        </w:p>
        <w:p w14:paraId="0C2C7A82" w14:textId="77777777" w:rsidR="0027530E" w:rsidRPr="0027530E" w:rsidRDefault="0027530E" w:rsidP="0027530E">
          <w:pPr>
            <w:pStyle w:val="NormalWeb"/>
            <w:jc w:val="center"/>
            <w:rPr>
              <w:rFonts w:asciiTheme="minorHAnsi" w:hAnsiTheme="minorHAnsi" w:cstheme="minorHAnsi"/>
              <w:sz w:val="22"/>
              <w:szCs w:val="22"/>
            </w:rPr>
          </w:pPr>
          <w:r w:rsidRPr="0027530E">
            <w:rPr>
              <w:rFonts w:asciiTheme="minorHAnsi" w:hAnsiTheme="minorHAnsi" w:cstheme="minorHAnsi"/>
              <w:sz w:val="22"/>
              <w:szCs w:val="22"/>
            </w:rPr>
            <w:t>Figure 9: Line chart showing IRR versus cost of capital</w:t>
          </w:r>
        </w:p>
        <w:p w14:paraId="216479E3" w14:textId="2C1C8D7E" w:rsidR="0027530E" w:rsidRPr="0027530E" w:rsidRDefault="0027530E" w:rsidP="0027530E">
          <w:pPr>
            <w:spacing w:line="360" w:lineRule="auto"/>
            <w:outlineLvl w:val="1"/>
            <w:rPr>
              <w:rFonts w:cstheme="minorHAnsi"/>
              <w:b/>
              <w:bCs/>
            </w:rPr>
          </w:pPr>
          <w:bookmarkStart w:id="16" w:name="_Toc218881355"/>
          <w:r w:rsidRPr="0027530E">
            <w:rPr>
              <w:rFonts w:cstheme="minorHAnsi"/>
              <w:b/>
              <w:bCs/>
            </w:rPr>
            <w:t>2.4 Capital Rationing &amp; Profitability Index</w:t>
          </w:r>
          <w:bookmarkEnd w:id="16"/>
          <w:r w:rsidRPr="0027530E">
            <w:rPr>
              <w:rFonts w:cstheme="minorHAnsi"/>
              <w:b/>
              <w:bCs/>
            </w:rPr>
            <w:t xml:space="preserve"> </w:t>
          </w:r>
        </w:p>
        <w:p w14:paraId="26A4B6D5" w14:textId="77777777" w:rsidR="0027530E" w:rsidRPr="0027530E" w:rsidRDefault="0027530E" w:rsidP="0027530E">
          <w:pPr>
            <w:spacing w:line="360" w:lineRule="auto"/>
            <w:rPr>
              <w:rFonts w:cstheme="minorHAnsi"/>
            </w:rPr>
          </w:pPr>
          <w:r w:rsidRPr="0027530E">
            <w:rPr>
              <w:rFonts w:cstheme="minorHAnsi"/>
            </w:rPr>
            <w:t>Capital rationing is a phenomenon that arises when a company has a limited amount of money, and all projects with positive NPVs cannot be implemented, so it has to select which investments would most effectively maximise its overall value generation (Brealey, Myers, and Allen, 2020). The Profitability Index (PI) is particularly useful under capital rationing, as it measures value created per unit of investment and is calculated as:</w:t>
          </w:r>
        </w:p>
        <w:p w14:paraId="1806DA28" w14:textId="77777777" w:rsidR="0027530E" w:rsidRPr="0027530E" w:rsidRDefault="0027530E" w:rsidP="0027530E">
          <w:pPr>
            <w:spacing w:line="360" w:lineRule="auto"/>
            <w:rPr>
              <w:rFonts w:cstheme="minorHAnsi"/>
            </w:rPr>
          </w:pPr>
          <m:oMathPara>
            <m:oMath>
              <m:r>
                <m:rPr>
                  <m:nor/>
                </m:rPr>
                <w:rPr>
                  <w:rFonts w:cstheme="minorHAnsi"/>
                </w:rPr>
                <m:t>PI</m:t>
              </m:r>
              <m:r>
                <w:rPr>
                  <w:rFonts w:ascii="Cambria Math" w:hAnsi="Cambria Math" w:cstheme="minorHAnsi"/>
                </w:rPr>
                <m:t>=</m:t>
              </m:r>
              <m:f>
                <m:fPr>
                  <m:ctrlPr>
                    <w:rPr>
                      <w:rFonts w:ascii="Cambria Math" w:hAnsi="Cambria Math" w:cstheme="minorHAnsi"/>
                    </w:rPr>
                  </m:ctrlPr>
                </m:fPr>
                <m:num>
                  <m:r>
                    <m:rPr>
                      <m:nor/>
                    </m:rPr>
                    <w:rPr>
                      <w:rFonts w:cstheme="minorHAnsi"/>
                    </w:rPr>
                    <m:t>Present Value of Future Cash Flows</m:t>
                  </m:r>
                </m:num>
                <m:den>
                  <m:r>
                    <m:rPr>
                      <m:nor/>
                    </m:rPr>
                    <w:rPr>
                      <w:rFonts w:cstheme="minorHAnsi"/>
                    </w:rPr>
                    <m:t>Initial Investment</m:t>
                  </m:r>
                </m:den>
              </m:f>
              <m:r>
                <m:rPr>
                  <m:sty m:val="p"/>
                </m:rPr>
                <w:rPr>
                  <w:rFonts w:ascii="Cambria Math" w:hAnsi="Cambria Math" w:cstheme="minorHAnsi"/>
                </w:rPr>
                <w:br/>
              </m:r>
            </m:oMath>
          </m:oMathPara>
        </w:p>
        <w:p w14:paraId="59EBDCAA" w14:textId="77777777" w:rsidR="0027530E" w:rsidRPr="0027530E" w:rsidRDefault="0027530E" w:rsidP="0027530E">
          <w:pPr>
            <w:spacing w:line="360" w:lineRule="auto"/>
            <w:jc w:val="center"/>
            <w:outlineLvl w:val="2"/>
            <w:rPr>
              <w:rFonts w:cstheme="minorHAnsi"/>
            </w:rPr>
          </w:pPr>
          <w:bookmarkStart w:id="17" w:name="_Toc218881356"/>
          <w:r w:rsidRPr="0027530E">
            <w:rPr>
              <w:rFonts w:cstheme="minorHAnsi"/>
            </w:rPr>
            <w:t>Table 10: Profitability Index Calculations</w:t>
          </w:r>
          <w:bookmarkEnd w:id="17"/>
        </w:p>
        <w:tbl>
          <w:tblPr>
            <w:tblStyle w:val="TableGrid"/>
            <w:tblW w:w="0" w:type="auto"/>
            <w:jc w:val="center"/>
            <w:tblLook w:val="04A0" w:firstRow="1" w:lastRow="0" w:firstColumn="1" w:lastColumn="0" w:noHBand="0" w:noVBand="1"/>
          </w:tblPr>
          <w:tblGrid>
            <w:gridCol w:w="863"/>
            <w:gridCol w:w="2529"/>
            <w:gridCol w:w="2451"/>
            <w:gridCol w:w="610"/>
          </w:tblGrid>
          <w:tr w:rsidR="0027530E" w:rsidRPr="0027530E" w14:paraId="1C65E607" w14:textId="77777777" w:rsidTr="00D816E9">
            <w:trPr>
              <w:jc w:val="center"/>
            </w:trPr>
            <w:tc>
              <w:tcPr>
                <w:tcW w:w="0" w:type="auto"/>
                <w:hideMark/>
              </w:tcPr>
              <w:p w14:paraId="487D3F12"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Project</w:t>
                </w:r>
              </w:p>
            </w:tc>
            <w:tc>
              <w:tcPr>
                <w:tcW w:w="0" w:type="auto"/>
                <w:hideMark/>
              </w:tcPr>
              <w:p w14:paraId="07E9832A"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PV of Cash Inflows (£000)</w:t>
                </w:r>
              </w:p>
            </w:tc>
            <w:tc>
              <w:tcPr>
                <w:tcW w:w="0" w:type="auto"/>
                <w:hideMark/>
              </w:tcPr>
              <w:p w14:paraId="24598BC5"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Initial Investment (£000)</w:t>
                </w:r>
              </w:p>
            </w:tc>
            <w:tc>
              <w:tcPr>
                <w:tcW w:w="0" w:type="auto"/>
                <w:hideMark/>
              </w:tcPr>
              <w:p w14:paraId="1A53D02C"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PI</w:t>
                </w:r>
              </w:p>
            </w:tc>
          </w:tr>
          <w:tr w:rsidR="0027530E" w:rsidRPr="0027530E" w14:paraId="7559A30D" w14:textId="77777777" w:rsidTr="00D816E9">
            <w:trPr>
              <w:jc w:val="center"/>
            </w:trPr>
            <w:tc>
              <w:tcPr>
                <w:tcW w:w="0" w:type="auto"/>
                <w:hideMark/>
              </w:tcPr>
              <w:p w14:paraId="0C365D4F" w14:textId="77777777" w:rsidR="0027530E" w:rsidRPr="0027530E" w:rsidRDefault="0027530E" w:rsidP="00D816E9">
                <w:pPr>
                  <w:spacing w:line="360" w:lineRule="auto"/>
                  <w:rPr>
                    <w:rFonts w:cstheme="minorHAnsi"/>
                    <w:sz w:val="22"/>
                    <w:szCs w:val="22"/>
                  </w:rPr>
                </w:pPr>
                <w:r w:rsidRPr="0027530E">
                  <w:rPr>
                    <w:rFonts w:cstheme="minorHAnsi"/>
                    <w:sz w:val="22"/>
                    <w:szCs w:val="22"/>
                  </w:rPr>
                  <w:t>A</w:t>
                </w:r>
              </w:p>
            </w:tc>
            <w:tc>
              <w:tcPr>
                <w:tcW w:w="0" w:type="auto"/>
                <w:hideMark/>
              </w:tcPr>
              <w:p w14:paraId="1CA64D1C" w14:textId="77777777" w:rsidR="0027530E" w:rsidRPr="0027530E" w:rsidRDefault="0027530E" w:rsidP="00D816E9">
                <w:pPr>
                  <w:spacing w:line="360" w:lineRule="auto"/>
                  <w:rPr>
                    <w:rFonts w:cstheme="minorHAnsi"/>
                    <w:sz w:val="22"/>
                    <w:szCs w:val="22"/>
                  </w:rPr>
                </w:pPr>
                <w:r w:rsidRPr="0027530E">
                  <w:rPr>
                    <w:rFonts w:cstheme="minorHAnsi"/>
                    <w:sz w:val="22"/>
                    <w:szCs w:val="22"/>
                  </w:rPr>
                  <w:t>1,519</w:t>
                </w:r>
              </w:p>
            </w:tc>
            <w:tc>
              <w:tcPr>
                <w:tcW w:w="0" w:type="auto"/>
                <w:hideMark/>
              </w:tcPr>
              <w:p w14:paraId="32E8E17F" w14:textId="77777777" w:rsidR="0027530E" w:rsidRPr="0027530E" w:rsidRDefault="0027530E" w:rsidP="00D816E9">
                <w:pPr>
                  <w:spacing w:line="360" w:lineRule="auto"/>
                  <w:rPr>
                    <w:rFonts w:cstheme="minorHAnsi"/>
                    <w:sz w:val="22"/>
                    <w:szCs w:val="22"/>
                  </w:rPr>
                </w:pPr>
                <w:r w:rsidRPr="0027530E">
                  <w:rPr>
                    <w:rFonts w:cstheme="minorHAnsi"/>
                    <w:sz w:val="22"/>
                    <w:szCs w:val="22"/>
                  </w:rPr>
                  <w:t>600</w:t>
                </w:r>
              </w:p>
            </w:tc>
            <w:tc>
              <w:tcPr>
                <w:tcW w:w="0" w:type="auto"/>
                <w:hideMark/>
              </w:tcPr>
              <w:p w14:paraId="2B1F9310" w14:textId="77777777" w:rsidR="0027530E" w:rsidRPr="0027530E" w:rsidRDefault="0027530E" w:rsidP="00D816E9">
                <w:pPr>
                  <w:spacing w:line="360" w:lineRule="auto"/>
                  <w:rPr>
                    <w:rFonts w:cstheme="minorHAnsi"/>
                    <w:sz w:val="22"/>
                    <w:szCs w:val="22"/>
                  </w:rPr>
                </w:pPr>
                <w:r w:rsidRPr="0027530E">
                  <w:rPr>
                    <w:rFonts w:cstheme="minorHAnsi"/>
                    <w:b/>
                    <w:bCs/>
                    <w:sz w:val="22"/>
                    <w:szCs w:val="22"/>
                  </w:rPr>
                  <w:t>2.53</w:t>
                </w:r>
              </w:p>
            </w:tc>
          </w:tr>
          <w:tr w:rsidR="0027530E" w:rsidRPr="0027530E" w14:paraId="77ABF681" w14:textId="77777777" w:rsidTr="00D816E9">
            <w:trPr>
              <w:jc w:val="center"/>
            </w:trPr>
            <w:tc>
              <w:tcPr>
                <w:tcW w:w="0" w:type="auto"/>
                <w:hideMark/>
              </w:tcPr>
              <w:p w14:paraId="0AD12C8D" w14:textId="77777777" w:rsidR="0027530E" w:rsidRPr="0027530E" w:rsidRDefault="0027530E" w:rsidP="00D816E9">
                <w:pPr>
                  <w:spacing w:line="360" w:lineRule="auto"/>
                  <w:rPr>
                    <w:rFonts w:cstheme="minorHAnsi"/>
                    <w:sz w:val="22"/>
                    <w:szCs w:val="22"/>
                  </w:rPr>
                </w:pPr>
                <w:r w:rsidRPr="0027530E">
                  <w:rPr>
                    <w:rFonts w:cstheme="minorHAnsi"/>
                    <w:sz w:val="22"/>
                    <w:szCs w:val="22"/>
                  </w:rPr>
                  <w:t>B</w:t>
                </w:r>
              </w:p>
            </w:tc>
            <w:tc>
              <w:tcPr>
                <w:tcW w:w="0" w:type="auto"/>
                <w:hideMark/>
              </w:tcPr>
              <w:p w14:paraId="15A6D665" w14:textId="77777777" w:rsidR="0027530E" w:rsidRPr="0027530E" w:rsidRDefault="0027530E" w:rsidP="00D816E9">
                <w:pPr>
                  <w:spacing w:line="360" w:lineRule="auto"/>
                  <w:rPr>
                    <w:rFonts w:cstheme="minorHAnsi"/>
                    <w:sz w:val="22"/>
                    <w:szCs w:val="22"/>
                  </w:rPr>
                </w:pPr>
                <w:r w:rsidRPr="0027530E">
                  <w:rPr>
                    <w:rFonts w:cstheme="minorHAnsi"/>
                    <w:sz w:val="22"/>
                    <w:szCs w:val="22"/>
                  </w:rPr>
                  <w:t>2,159</w:t>
                </w:r>
              </w:p>
            </w:tc>
            <w:tc>
              <w:tcPr>
                <w:tcW w:w="0" w:type="auto"/>
                <w:hideMark/>
              </w:tcPr>
              <w:p w14:paraId="3C7BAADF" w14:textId="77777777" w:rsidR="0027530E" w:rsidRPr="0027530E" w:rsidRDefault="0027530E" w:rsidP="00D816E9">
                <w:pPr>
                  <w:spacing w:line="360" w:lineRule="auto"/>
                  <w:rPr>
                    <w:rFonts w:cstheme="minorHAnsi"/>
                    <w:sz w:val="22"/>
                    <w:szCs w:val="22"/>
                  </w:rPr>
                </w:pPr>
                <w:r w:rsidRPr="0027530E">
                  <w:rPr>
                    <w:rFonts w:cstheme="minorHAnsi"/>
                    <w:sz w:val="22"/>
                    <w:szCs w:val="22"/>
                  </w:rPr>
                  <w:t>1,000</w:t>
                </w:r>
              </w:p>
            </w:tc>
            <w:tc>
              <w:tcPr>
                <w:tcW w:w="0" w:type="auto"/>
                <w:hideMark/>
              </w:tcPr>
              <w:p w14:paraId="6F57001B" w14:textId="77777777" w:rsidR="0027530E" w:rsidRPr="0027530E" w:rsidRDefault="0027530E" w:rsidP="00D816E9">
                <w:pPr>
                  <w:spacing w:line="360" w:lineRule="auto"/>
                  <w:rPr>
                    <w:rFonts w:cstheme="minorHAnsi"/>
                    <w:sz w:val="22"/>
                    <w:szCs w:val="22"/>
                  </w:rPr>
                </w:pPr>
                <w:r w:rsidRPr="0027530E">
                  <w:rPr>
                    <w:rFonts w:cstheme="minorHAnsi"/>
                    <w:b/>
                    <w:bCs/>
                    <w:sz w:val="22"/>
                    <w:szCs w:val="22"/>
                  </w:rPr>
                  <w:t>2.16</w:t>
                </w:r>
              </w:p>
            </w:tc>
          </w:tr>
          <w:tr w:rsidR="0027530E" w:rsidRPr="0027530E" w14:paraId="462695E9" w14:textId="77777777" w:rsidTr="00D816E9">
            <w:trPr>
              <w:jc w:val="center"/>
            </w:trPr>
            <w:tc>
              <w:tcPr>
                <w:tcW w:w="0" w:type="auto"/>
                <w:hideMark/>
              </w:tcPr>
              <w:p w14:paraId="1B1CA5E1" w14:textId="77777777" w:rsidR="0027530E" w:rsidRPr="0027530E" w:rsidRDefault="0027530E" w:rsidP="00D816E9">
                <w:pPr>
                  <w:spacing w:line="360" w:lineRule="auto"/>
                  <w:rPr>
                    <w:rFonts w:cstheme="minorHAnsi"/>
                    <w:sz w:val="22"/>
                    <w:szCs w:val="22"/>
                  </w:rPr>
                </w:pPr>
                <w:r w:rsidRPr="0027530E">
                  <w:rPr>
                    <w:rFonts w:cstheme="minorHAnsi"/>
                    <w:sz w:val="22"/>
                    <w:szCs w:val="22"/>
                  </w:rPr>
                  <w:t>C</w:t>
                </w:r>
              </w:p>
            </w:tc>
            <w:tc>
              <w:tcPr>
                <w:tcW w:w="0" w:type="auto"/>
                <w:hideMark/>
              </w:tcPr>
              <w:p w14:paraId="35147BAF" w14:textId="77777777" w:rsidR="0027530E" w:rsidRPr="0027530E" w:rsidRDefault="0027530E" w:rsidP="00D816E9">
                <w:pPr>
                  <w:spacing w:line="360" w:lineRule="auto"/>
                  <w:rPr>
                    <w:rFonts w:cstheme="minorHAnsi"/>
                    <w:sz w:val="22"/>
                    <w:szCs w:val="22"/>
                  </w:rPr>
                </w:pPr>
                <w:r w:rsidRPr="0027530E">
                  <w:rPr>
                    <w:rFonts w:cstheme="minorHAnsi"/>
                    <w:sz w:val="22"/>
                    <w:szCs w:val="22"/>
                  </w:rPr>
                  <w:t>2,754</w:t>
                </w:r>
              </w:p>
            </w:tc>
            <w:tc>
              <w:tcPr>
                <w:tcW w:w="0" w:type="auto"/>
                <w:hideMark/>
              </w:tcPr>
              <w:p w14:paraId="6DD9C555" w14:textId="77777777" w:rsidR="0027530E" w:rsidRPr="0027530E" w:rsidRDefault="0027530E" w:rsidP="00D816E9">
                <w:pPr>
                  <w:spacing w:line="360" w:lineRule="auto"/>
                  <w:rPr>
                    <w:rFonts w:cstheme="minorHAnsi"/>
                    <w:sz w:val="22"/>
                    <w:szCs w:val="22"/>
                  </w:rPr>
                </w:pPr>
                <w:r w:rsidRPr="0027530E">
                  <w:rPr>
                    <w:rFonts w:cstheme="minorHAnsi"/>
                    <w:sz w:val="22"/>
                    <w:szCs w:val="22"/>
                  </w:rPr>
                  <w:t>1,600</w:t>
                </w:r>
              </w:p>
            </w:tc>
            <w:tc>
              <w:tcPr>
                <w:tcW w:w="0" w:type="auto"/>
                <w:hideMark/>
              </w:tcPr>
              <w:p w14:paraId="56744923" w14:textId="77777777" w:rsidR="0027530E" w:rsidRPr="0027530E" w:rsidRDefault="0027530E" w:rsidP="00D816E9">
                <w:pPr>
                  <w:spacing w:line="360" w:lineRule="auto"/>
                  <w:rPr>
                    <w:rFonts w:cstheme="minorHAnsi"/>
                    <w:sz w:val="22"/>
                    <w:szCs w:val="22"/>
                  </w:rPr>
                </w:pPr>
                <w:r w:rsidRPr="0027530E">
                  <w:rPr>
                    <w:rFonts w:cstheme="minorHAnsi"/>
                    <w:b/>
                    <w:bCs/>
                    <w:sz w:val="22"/>
                    <w:szCs w:val="22"/>
                  </w:rPr>
                  <w:t>1.72</w:t>
                </w:r>
              </w:p>
            </w:tc>
          </w:tr>
        </w:tbl>
        <w:p w14:paraId="5151EF73" w14:textId="77777777" w:rsidR="0027530E" w:rsidRPr="0027530E" w:rsidRDefault="0027530E" w:rsidP="0027530E">
          <w:pPr>
            <w:spacing w:line="360" w:lineRule="auto"/>
            <w:rPr>
              <w:rFonts w:cstheme="minorHAnsi"/>
            </w:rPr>
          </w:pPr>
          <w:r w:rsidRPr="0027530E">
            <w:rPr>
              <w:rFonts w:cstheme="minorHAnsi"/>
            </w:rPr>
            <w:t>Projects are ranked by PI in descending order: A → B → C.</w:t>
          </w:r>
          <w:r w:rsidRPr="0027530E">
            <w:rPr>
              <w:rFonts w:cstheme="minorHAnsi"/>
            </w:rPr>
            <w:br/>
            <w:t>With a £2.5m capital constraint, management should fully undertake Projects A (£0.6m) and B (£1.0m), leaving £0.9m available. As Project C is divisible, 56.25% of Project C can be undertaken:</w:t>
          </w:r>
        </w:p>
        <w:p w14:paraId="4F5BE685" w14:textId="77777777" w:rsidR="0027530E" w:rsidRPr="0027530E" w:rsidRDefault="008A3830" w:rsidP="0027530E">
          <w:pPr>
            <w:spacing w:line="360" w:lineRule="auto"/>
            <w:rPr>
              <w:rFonts w:cstheme="minorHAnsi"/>
            </w:rPr>
          </w:pPr>
          <m:oMathPara>
            <m:oMath>
              <m:f>
                <m:fPr>
                  <m:ctrlPr>
                    <w:rPr>
                      <w:rFonts w:ascii="Cambria Math" w:hAnsi="Cambria Math" w:cstheme="minorHAnsi"/>
                    </w:rPr>
                  </m:ctrlPr>
                </m:fPr>
                <m:num>
                  <m:r>
                    <w:rPr>
                      <w:rFonts w:ascii="Cambria Math" w:hAnsi="Cambria Math" w:cstheme="minorHAnsi"/>
                    </w:rPr>
                    <m:t>0.9</m:t>
                  </m:r>
                </m:num>
                <m:den>
                  <m:r>
                    <w:rPr>
                      <w:rFonts w:ascii="Cambria Math" w:hAnsi="Cambria Math" w:cstheme="minorHAnsi"/>
                    </w:rPr>
                    <m:t>1.6</m:t>
                  </m:r>
                </m:den>
              </m:f>
              <m:r>
                <w:rPr>
                  <w:rFonts w:ascii="Cambria Math" w:hAnsi="Cambria Math" w:cstheme="minorHAnsi"/>
                </w:rPr>
                <m:t>=0.5625</m:t>
              </m:r>
              <m:r>
                <m:rPr>
                  <m:sty m:val="p"/>
                </m:rPr>
                <w:rPr>
                  <w:rFonts w:ascii="Cambria Math" w:hAnsi="Cambria Math" w:cstheme="minorHAnsi"/>
                </w:rPr>
                <w:br/>
              </m:r>
            </m:oMath>
          </m:oMathPara>
        </w:p>
        <w:p w14:paraId="13A74AB2" w14:textId="77777777" w:rsidR="0027530E" w:rsidRPr="0027530E" w:rsidRDefault="0027530E" w:rsidP="0027530E">
          <w:pPr>
            <w:spacing w:line="360" w:lineRule="auto"/>
            <w:rPr>
              <w:rFonts w:cstheme="minorHAnsi"/>
            </w:rPr>
          </w:pPr>
          <w:r w:rsidRPr="0027530E">
            <w:rPr>
              <w:rFonts w:cstheme="minorHAnsi"/>
            </w:rPr>
            <w:t>The NPV contribution from Project C is therefore:</w:t>
          </w:r>
        </w:p>
        <w:p w14:paraId="13E941FE" w14:textId="05A96D36" w:rsidR="0027530E" w:rsidRPr="0027530E" w:rsidRDefault="0027530E" w:rsidP="0027530E">
          <w:pPr>
            <w:spacing w:line="360" w:lineRule="auto"/>
            <w:rPr>
              <w:rFonts w:cstheme="minorHAnsi"/>
            </w:rPr>
          </w:pPr>
          <m:oMathPara>
            <m:oMath>
              <m:r>
                <w:rPr>
                  <w:rFonts w:ascii="Cambria Math" w:hAnsi="Cambria Math" w:cstheme="minorHAnsi"/>
                </w:rPr>
                <m:t>1,154×0.5625=649</m:t>
              </m:r>
              <m:r>
                <m:rPr>
                  <m:nor/>
                </m:rPr>
                <w:rPr>
                  <w:rFonts w:cstheme="minorHAnsi"/>
                </w:rPr>
                <m:t xml:space="preserve"> (£000)</m:t>
              </m:r>
            </m:oMath>
          </m:oMathPara>
        </w:p>
        <w:p w14:paraId="76957101" w14:textId="77777777" w:rsidR="0027530E" w:rsidRPr="0027530E" w:rsidRDefault="0027530E" w:rsidP="0027530E">
          <w:pPr>
            <w:spacing w:line="360" w:lineRule="auto"/>
            <w:jc w:val="center"/>
            <w:outlineLvl w:val="2"/>
            <w:rPr>
              <w:rFonts w:cstheme="minorHAnsi"/>
            </w:rPr>
          </w:pPr>
          <w:bookmarkStart w:id="18" w:name="_Toc218881357"/>
          <w:r w:rsidRPr="0027530E">
            <w:rPr>
              <w:rFonts w:cstheme="minorHAnsi"/>
            </w:rPr>
            <w:t>Table 11: Optimal Investment Mix</w:t>
          </w:r>
          <w:bookmarkEnd w:id="18"/>
        </w:p>
        <w:tbl>
          <w:tblPr>
            <w:tblStyle w:val="TableGrid"/>
            <w:tblW w:w="0" w:type="auto"/>
            <w:jc w:val="center"/>
            <w:tblLook w:val="04A0" w:firstRow="1" w:lastRow="0" w:firstColumn="1" w:lastColumn="0" w:noHBand="0" w:noVBand="1"/>
          </w:tblPr>
          <w:tblGrid>
            <w:gridCol w:w="1176"/>
            <w:gridCol w:w="1879"/>
            <w:gridCol w:w="1240"/>
          </w:tblGrid>
          <w:tr w:rsidR="0027530E" w:rsidRPr="0027530E" w14:paraId="0ED2846A" w14:textId="77777777" w:rsidTr="00D816E9">
            <w:trPr>
              <w:jc w:val="center"/>
            </w:trPr>
            <w:tc>
              <w:tcPr>
                <w:tcW w:w="0" w:type="auto"/>
                <w:hideMark/>
              </w:tcPr>
              <w:p w14:paraId="5E1D3B5B"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Project</w:t>
                </w:r>
              </w:p>
            </w:tc>
            <w:tc>
              <w:tcPr>
                <w:tcW w:w="0" w:type="auto"/>
                <w:hideMark/>
              </w:tcPr>
              <w:p w14:paraId="227B05FA"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Investment (£000)</w:t>
                </w:r>
              </w:p>
            </w:tc>
            <w:tc>
              <w:tcPr>
                <w:tcW w:w="0" w:type="auto"/>
                <w:hideMark/>
              </w:tcPr>
              <w:p w14:paraId="64A0FB38"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NPV (£000)</w:t>
                </w:r>
              </w:p>
            </w:tc>
          </w:tr>
          <w:tr w:rsidR="0027530E" w:rsidRPr="0027530E" w14:paraId="10322776" w14:textId="77777777" w:rsidTr="00D816E9">
            <w:trPr>
              <w:jc w:val="center"/>
            </w:trPr>
            <w:tc>
              <w:tcPr>
                <w:tcW w:w="0" w:type="auto"/>
                <w:hideMark/>
              </w:tcPr>
              <w:p w14:paraId="3D2E8DA8" w14:textId="77777777" w:rsidR="0027530E" w:rsidRPr="0027530E" w:rsidRDefault="0027530E" w:rsidP="00D816E9">
                <w:pPr>
                  <w:spacing w:line="360" w:lineRule="auto"/>
                  <w:rPr>
                    <w:rFonts w:cstheme="minorHAnsi"/>
                    <w:sz w:val="22"/>
                    <w:szCs w:val="22"/>
                  </w:rPr>
                </w:pPr>
                <w:r w:rsidRPr="0027530E">
                  <w:rPr>
                    <w:rFonts w:cstheme="minorHAnsi"/>
                    <w:sz w:val="22"/>
                    <w:szCs w:val="22"/>
                  </w:rPr>
                  <w:t>A</w:t>
                </w:r>
              </w:p>
            </w:tc>
            <w:tc>
              <w:tcPr>
                <w:tcW w:w="0" w:type="auto"/>
                <w:hideMark/>
              </w:tcPr>
              <w:p w14:paraId="3DFD33E2" w14:textId="77777777" w:rsidR="0027530E" w:rsidRPr="0027530E" w:rsidRDefault="0027530E" w:rsidP="00D816E9">
                <w:pPr>
                  <w:spacing w:line="360" w:lineRule="auto"/>
                  <w:rPr>
                    <w:rFonts w:cstheme="minorHAnsi"/>
                    <w:sz w:val="22"/>
                    <w:szCs w:val="22"/>
                  </w:rPr>
                </w:pPr>
                <w:r w:rsidRPr="0027530E">
                  <w:rPr>
                    <w:rFonts w:cstheme="minorHAnsi"/>
                    <w:sz w:val="22"/>
                    <w:szCs w:val="22"/>
                  </w:rPr>
                  <w:t>600</w:t>
                </w:r>
              </w:p>
            </w:tc>
            <w:tc>
              <w:tcPr>
                <w:tcW w:w="0" w:type="auto"/>
                <w:hideMark/>
              </w:tcPr>
              <w:p w14:paraId="35BC3460" w14:textId="77777777" w:rsidR="0027530E" w:rsidRPr="0027530E" w:rsidRDefault="0027530E" w:rsidP="00D816E9">
                <w:pPr>
                  <w:spacing w:line="360" w:lineRule="auto"/>
                  <w:rPr>
                    <w:rFonts w:cstheme="minorHAnsi"/>
                    <w:sz w:val="22"/>
                    <w:szCs w:val="22"/>
                  </w:rPr>
                </w:pPr>
                <w:r w:rsidRPr="0027530E">
                  <w:rPr>
                    <w:rFonts w:cstheme="minorHAnsi"/>
                    <w:sz w:val="22"/>
                    <w:szCs w:val="22"/>
                  </w:rPr>
                  <w:t>919</w:t>
                </w:r>
              </w:p>
            </w:tc>
          </w:tr>
          <w:tr w:rsidR="0027530E" w:rsidRPr="0027530E" w14:paraId="73593C2D" w14:textId="77777777" w:rsidTr="00D816E9">
            <w:trPr>
              <w:jc w:val="center"/>
            </w:trPr>
            <w:tc>
              <w:tcPr>
                <w:tcW w:w="0" w:type="auto"/>
                <w:hideMark/>
              </w:tcPr>
              <w:p w14:paraId="6F209283" w14:textId="77777777" w:rsidR="0027530E" w:rsidRPr="0027530E" w:rsidRDefault="0027530E" w:rsidP="00D816E9">
                <w:pPr>
                  <w:spacing w:line="360" w:lineRule="auto"/>
                  <w:rPr>
                    <w:rFonts w:cstheme="minorHAnsi"/>
                    <w:sz w:val="22"/>
                    <w:szCs w:val="22"/>
                  </w:rPr>
                </w:pPr>
                <w:r w:rsidRPr="0027530E">
                  <w:rPr>
                    <w:rFonts w:cstheme="minorHAnsi"/>
                    <w:sz w:val="22"/>
                    <w:szCs w:val="22"/>
                  </w:rPr>
                  <w:t>B</w:t>
                </w:r>
              </w:p>
            </w:tc>
            <w:tc>
              <w:tcPr>
                <w:tcW w:w="0" w:type="auto"/>
                <w:hideMark/>
              </w:tcPr>
              <w:p w14:paraId="4FA191B7" w14:textId="77777777" w:rsidR="0027530E" w:rsidRPr="0027530E" w:rsidRDefault="0027530E" w:rsidP="00D816E9">
                <w:pPr>
                  <w:spacing w:line="360" w:lineRule="auto"/>
                  <w:rPr>
                    <w:rFonts w:cstheme="minorHAnsi"/>
                    <w:sz w:val="22"/>
                    <w:szCs w:val="22"/>
                  </w:rPr>
                </w:pPr>
                <w:r w:rsidRPr="0027530E">
                  <w:rPr>
                    <w:rFonts w:cstheme="minorHAnsi"/>
                    <w:sz w:val="22"/>
                    <w:szCs w:val="22"/>
                  </w:rPr>
                  <w:t>1,000</w:t>
                </w:r>
              </w:p>
            </w:tc>
            <w:tc>
              <w:tcPr>
                <w:tcW w:w="0" w:type="auto"/>
                <w:hideMark/>
              </w:tcPr>
              <w:p w14:paraId="04600981" w14:textId="77777777" w:rsidR="0027530E" w:rsidRPr="0027530E" w:rsidRDefault="0027530E" w:rsidP="00D816E9">
                <w:pPr>
                  <w:spacing w:line="360" w:lineRule="auto"/>
                  <w:rPr>
                    <w:rFonts w:cstheme="minorHAnsi"/>
                    <w:sz w:val="22"/>
                    <w:szCs w:val="22"/>
                  </w:rPr>
                </w:pPr>
                <w:r w:rsidRPr="0027530E">
                  <w:rPr>
                    <w:rFonts w:cstheme="minorHAnsi"/>
                    <w:sz w:val="22"/>
                    <w:szCs w:val="22"/>
                  </w:rPr>
                  <w:t>1,159</w:t>
                </w:r>
              </w:p>
            </w:tc>
          </w:tr>
          <w:tr w:rsidR="0027530E" w:rsidRPr="0027530E" w14:paraId="3920361E" w14:textId="77777777" w:rsidTr="00D816E9">
            <w:trPr>
              <w:jc w:val="center"/>
            </w:trPr>
            <w:tc>
              <w:tcPr>
                <w:tcW w:w="0" w:type="auto"/>
                <w:hideMark/>
              </w:tcPr>
              <w:p w14:paraId="416691E5" w14:textId="77777777" w:rsidR="0027530E" w:rsidRPr="0027530E" w:rsidRDefault="0027530E" w:rsidP="00D816E9">
                <w:pPr>
                  <w:spacing w:line="360" w:lineRule="auto"/>
                  <w:rPr>
                    <w:rFonts w:cstheme="minorHAnsi"/>
                    <w:sz w:val="22"/>
                    <w:szCs w:val="22"/>
                  </w:rPr>
                </w:pPr>
                <w:r w:rsidRPr="0027530E">
                  <w:rPr>
                    <w:rFonts w:cstheme="minorHAnsi"/>
                    <w:sz w:val="22"/>
                    <w:szCs w:val="22"/>
                  </w:rPr>
                  <w:t>C (56.25%)</w:t>
                </w:r>
              </w:p>
            </w:tc>
            <w:tc>
              <w:tcPr>
                <w:tcW w:w="0" w:type="auto"/>
                <w:hideMark/>
              </w:tcPr>
              <w:p w14:paraId="16F7C84C" w14:textId="77777777" w:rsidR="0027530E" w:rsidRPr="0027530E" w:rsidRDefault="0027530E" w:rsidP="00D816E9">
                <w:pPr>
                  <w:spacing w:line="360" w:lineRule="auto"/>
                  <w:rPr>
                    <w:rFonts w:cstheme="minorHAnsi"/>
                    <w:sz w:val="22"/>
                    <w:szCs w:val="22"/>
                  </w:rPr>
                </w:pPr>
                <w:r w:rsidRPr="0027530E">
                  <w:rPr>
                    <w:rFonts w:cstheme="minorHAnsi"/>
                    <w:sz w:val="22"/>
                    <w:szCs w:val="22"/>
                  </w:rPr>
                  <w:t>900</w:t>
                </w:r>
              </w:p>
            </w:tc>
            <w:tc>
              <w:tcPr>
                <w:tcW w:w="0" w:type="auto"/>
                <w:hideMark/>
              </w:tcPr>
              <w:p w14:paraId="3ACBD7BD" w14:textId="77777777" w:rsidR="0027530E" w:rsidRPr="0027530E" w:rsidRDefault="0027530E" w:rsidP="00D816E9">
                <w:pPr>
                  <w:spacing w:line="360" w:lineRule="auto"/>
                  <w:rPr>
                    <w:rFonts w:cstheme="minorHAnsi"/>
                    <w:sz w:val="22"/>
                    <w:szCs w:val="22"/>
                  </w:rPr>
                </w:pPr>
                <w:r w:rsidRPr="0027530E">
                  <w:rPr>
                    <w:rFonts w:cstheme="minorHAnsi"/>
                    <w:sz w:val="22"/>
                    <w:szCs w:val="22"/>
                  </w:rPr>
                  <w:t>649</w:t>
                </w:r>
              </w:p>
            </w:tc>
          </w:tr>
          <w:tr w:rsidR="0027530E" w:rsidRPr="0027530E" w14:paraId="6EB00097" w14:textId="77777777" w:rsidTr="00D816E9">
            <w:trPr>
              <w:jc w:val="center"/>
            </w:trPr>
            <w:tc>
              <w:tcPr>
                <w:tcW w:w="0" w:type="auto"/>
                <w:hideMark/>
              </w:tcPr>
              <w:p w14:paraId="23C8E92D" w14:textId="77777777" w:rsidR="0027530E" w:rsidRPr="0027530E" w:rsidRDefault="0027530E" w:rsidP="00D816E9">
                <w:pPr>
                  <w:spacing w:line="360" w:lineRule="auto"/>
                  <w:rPr>
                    <w:rFonts w:cstheme="minorHAnsi"/>
                    <w:sz w:val="22"/>
                    <w:szCs w:val="22"/>
                  </w:rPr>
                </w:pPr>
                <w:r w:rsidRPr="0027530E">
                  <w:rPr>
                    <w:rFonts w:cstheme="minorHAnsi"/>
                    <w:b/>
                    <w:bCs/>
                    <w:sz w:val="22"/>
                    <w:szCs w:val="22"/>
                  </w:rPr>
                  <w:t>Total</w:t>
                </w:r>
              </w:p>
            </w:tc>
            <w:tc>
              <w:tcPr>
                <w:tcW w:w="0" w:type="auto"/>
                <w:hideMark/>
              </w:tcPr>
              <w:p w14:paraId="6DA639BD" w14:textId="77777777" w:rsidR="0027530E" w:rsidRPr="0027530E" w:rsidRDefault="0027530E" w:rsidP="00D816E9">
                <w:pPr>
                  <w:spacing w:line="360" w:lineRule="auto"/>
                  <w:rPr>
                    <w:rFonts w:cstheme="minorHAnsi"/>
                    <w:sz w:val="22"/>
                    <w:szCs w:val="22"/>
                  </w:rPr>
                </w:pPr>
                <w:r w:rsidRPr="0027530E">
                  <w:rPr>
                    <w:rFonts w:cstheme="minorHAnsi"/>
                    <w:b/>
                    <w:bCs/>
                    <w:sz w:val="22"/>
                    <w:szCs w:val="22"/>
                  </w:rPr>
                  <w:t>2,500</w:t>
                </w:r>
              </w:p>
            </w:tc>
            <w:tc>
              <w:tcPr>
                <w:tcW w:w="0" w:type="auto"/>
                <w:hideMark/>
              </w:tcPr>
              <w:p w14:paraId="1D01F210" w14:textId="77777777" w:rsidR="0027530E" w:rsidRPr="0027530E" w:rsidRDefault="0027530E" w:rsidP="00D816E9">
                <w:pPr>
                  <w:spacing w:line="360" w:lineRule="auto"/>
                  <w:rPr>
                    <w:rFonts w:cstheme="minorHAnsi"/>
                    <w:sz w:val="22"/>
                    <w:szCs w:val="22"/>
                  </w:rPr>
                </w:pPr>
                <w:r w:rsidRPr="0027530E">
                  <w:rPr>
                    <w:rFonts w:cstheme="minorHAnsi"/>
                    <w:b/>
                    <w:bCs/>
                    <w:sz w:val="22"/>
                    <w:szCs w:val="22"/>
                  </w:rPr>
                  <w:t>2,727</w:t>
                </w:r>
              </w:p>
            </w:tc>
          </w:tr>
        </w:tbl>
        <w:p w14:paraId="71138435" w14:textId="77777777" w:rsidR="0027530E" w:rsidRPr="0027530E" w:rsidRDefault="0027530E" w:rsidP="0027530E">
          <w:pPr>
            <w:spacing w:line="360" w:lineRule="auto"/>
            <w:rPr>
              <w:rFonts w:cstheme="minorHAnsi"/>
            </w:rPr>
          </w:pPr>
          <w:r w:rsidRPr="0027530E">
            <w:rPr>
              <w:rFonts w:cstheme="minorHAnsi"/>
            </w:rPr>
            <w:t>The optimal capital-rationed portfolio generates a total NPV of £2.727m, maximising shareholder value under funding constraints (Arnold, 2013).</w:t>
          </w:r>
        </w:p>
        <w:p w14:paraId="14C3E010" w14:textId="77777777" w:rsidR="0027530E" w:rsidRPr="0027530E" w:rsidRDefault="0027530E" w:rsidP="0027530E">
          <w:pPr>
            <w:spacing w:line="360" w:lineRule="auto"/>
            <w:jc w:val="center"/>
            <w:rPr>
              <w:rFonts w:cstheme="minorHAnsi"/>
            </w:rPr>
          </w:pPr>
          <w:r w:rsidRPr="0027530E">
            <w:rPr>
              <w:rFonts w:cstheme="minorHAnsi"/>
              <w:noProof/>
              <w14:ligatures w14:val="standardContextual"/>
            </w:rPr>
            <w:drawing>
              <wp:inline distT="0" distB="0" distL="0" distR="0" wp14:anchorId="36AAB181" wp14:editId="4D6860CD">
                <wp:extent cx="4337378" cy="3414532"/>
                <wp:effectExtent l="0" t="0" r="6350" b="1905"/>
                <wp:docPr id="137530905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309054" name="Picture 1375309054"/>
                        <pic:cNvPicPr/>
                      </pic:nvPicPr>
                      <pic:blipFill>
                        <a:blip r:embed="rId18">
                          <a:extLst>
                            <a:ext uri="{28A0092B-C50C-407E-A947-70E740481C1C}">
                              <a14:useLocalDpi xmlns:a14="http://schemas.microsoft.com/office/drawing/2010/main" val="0"/>
                            </a:ext>
                          </a:extLst>
                        </a:blip>
                        <a:stretch>
                          <a:fillRect/>
                        </a:stretch>
                      </pic:blipFill>
                      <pic:spPr>
                        <a:xfrm>
                          <a:off x="0" y="0"/>
                          <a:ext cx="4343490" cy="3419344"/>
                        </a:xfrm>
                        <a:prstGeom prst="rect">
                          <a:avLst/>
                        </a:prstGeom>
                      </pic:spPr>
                    </pic:pic>
                  </a:graphicData>
                </a:graphic>
              </wp:inline>
            </w:drawing>
          </w:r>
        </w:p>
        <w:p w14:paraId="39779490" w14:textId="17883C5A" w:rsidR="0027530E" w:rsidRPr="0027530E" w:rsidRDefault="0027530E" w:rsidP="0027530E">
          <w:pPr>
            <w:spacing w:line="360" w:lineRule="auto"/>
            <w:jc w:val="center"/>
            <w:rPr>
              <w:rFonts w:cstheme="minorHAnsi"/>
            </w:rPr>
          </w:pPr>
          <w:r w:rsidRPr="0027530E">
            <w:rPr>
              <w:rFonts w:cstheme="minorHAnsi"/>
            </w:rPr>
            <w:t>Figure 9: Profitability Index ranking</w:t>
          </w:r>
        </w:p>
        <w:p w14:paraId="3B8B2E7B" w14:textId="77777777" w:rsidR="0027530E" w:rsidRPr="0027530E" w:rsidRDefault="0027530E" w:rsidP="0027530E">
          <w:pPr>
            <w:spacing w:line="360" w:lineRule="auto"/>
            <w:jc w:val="center"/>
            <w:rPr>
              <w:rFonts w:cstheme="minorHAnsi"/>
            </w:rPr>
          </w:pPr>
          <w:r w:rsidRPr="0027530E">
            <w:rPr>
              <w:rFonts w:cstheme="minorHAnsi"/>
              <w:noProof/>
              <w14:ligatures w14:val="standardContextual"/>
            </w:rPr>
            <w:drawing>
              <wp:inline distT="0" distB="0" distL="0" distR="0" wp14:anchorId="3856887E" wp14:editId="6ABF1274">
                <wp:extent cx="3923818" cy="3210397"/>
                <wp:effectExtent l="0" t="0" r="635" b="3175"/>
                <wp:docPr id="156356163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561635" name="Picture 1563561635"/>
                        <pic:cNvPicPr/>
                      </pic:nvPicPr>
                      <pic:blipFill>
                        <a:blip r:embed="rId19">
                          <a:extLst>
                            <a:ext uri="{28A0092B-C50C-407E-A947-70E740481C1C}">
                              <a14:useLocalDpi xmlns:a14="http://schemas.microsoft.com/office/drawing/2010/main" val="0"/>
                            </a:ext>
                          </a:extLst>
                        </a:blip>
                        <a:stretch>
                          <a:fillRect/>
                        </a:stretch>
                      </pic:blipFill>
                      <pic:spPr>
                        <a:xfrm>
                          <a:off x="0" y="0"/>
                          <a:ext cx="3926572" cy="3212650"/>
                        </a:xfrm>
                        <a:prstGeom prst="rect">
                          <a:avLst/>
                        </a:prstGeom>
                      </pic:spPr>
                    </pic:pic>
                  </a:graphicData>
                </a:graphic>
              </wp:inline>
            </w:drawing>
          </w:r>
        </w:p>
        <w:p w14:paraId="6582FA2D" w14:textId="2CDC88E9" w:rsidR="0027530E" w:rsidRPr="0027530E" w:rsidRDefault="0027530E" w:rsidP="0027530E">
          <w:pPr>
            <w:spacing w:line="360" w:lineRule="auto"/>
            <w:jc w:val="center"/>
            <w:rPr>
              <w:rFonts w:cstheme="minorHAnsi"/>
            </w:rPr>
          </w:pPr>
          <w:r w:rsidRPr="0027530E">
            <w:rPr>
              <w:rFonts w:cstheme="minorHAnsi"/>
            </w:rPr>
            <w:t>Figure 10: Capital allocation by project</w:t>
          </w:r>
        </w:p>
        <w:p w14:paraId="6CC473DA" w14:textId="021E1DFD" w:rsidR="0027530E" w:rsidRPr="0027530E" w:rsidRDefault="0027530E" w:rsidP="0027530E">
          <w:pPr>
            <w:spacing w:line="360" w:lineRule="auto"/>
            <w:outlineLvl w:val="1"/>
            <w:rPr>
              <w:rFonts w:cstheme="minorHAnsi"/>
              <w:b/>
              <w:bCs/>
            </w:rPr>
          </w:pPr>
          <w:bookmarkStart w:id="19" w:name="_Toc218881358"/>
          <w:r w:rsidRPr="0027530E">
            <w:rPr>
              <w:rFonts w:cstheme="minorHAnsi"/>
              <w:b/>
              <w:bCs/>
            </w:rPr>
            <w:t>2.5 Theoretical Justification of NPV</w:t>
          </w:r>
          <w:bookmarkEnd w:id="19"/>
          <w:r w:rsidRPr="0027530E">
            <w:rPr>
              <w:rFonts w:cstheme="minorHAnsi"/>
              <w:b/>
              <w:bCs/>
            </w:rPr>
            <w:t xml:space="preserve"> </w:t>
          </w:r>
        </w:p>
        <w:p w14:paraId="479D546D" w14:textId="77777777" w:rsidR="0027530E" w:rsidRPr="0027530E" w:rsidRDefault="0027530E" w:rsidP="0027530E">
          <w:pPr>
            <w:pStyle w:val="NormalWeb"/>
            <w:spacing w:before="0" w:beforeAutospacing="0" w:after="0" w:afterAutospacing="0" w:line="360" w:lineRule="auto"/>
            <w:rPr>
              <w:rFonts w:asciiTheme="minorHAnsi" w:hAnsiTheme="minorHAnsi" w:cstheme="minorHAnsi"/>
            </w:rPr>
          </w:pPr>
          <w:r w:rsidRPr="0027530E">
            <w:rPr>
              <w:rFonts w:asciiTheme="minorHAnsi" w:hAnsiTheme="minorHAnsi" w:cstheme="minorHAnsi"/>
            </w:rPr>
            <w:t>The Net Present Value (NPV) is generally considered the strongest theoretically sound investment appraisal tool since it directly uses the time value of money because cash obtained earlier is better than cash obtained later due to opportunities to reinvest it and risk (Fisher, 1930; Brealey et al., 2020).</w:t>
          </w:r>
        </w:p>
        <w:p w14:paraId="79BCB887" w14:textId="1A06F79D" w:rsidR="0027530E" w:rsidRPr="0027530E" w:rsidRDefault="0027530E" w:rsidP="0027530E">
          <w:pPr>
            <w:pStyle w:val="NormalWeb"/>
            <w:spacing w:before="0" w:beforeAutospacing="0" w:after="0" w:afterAutospacing="0" w:line="360" w:lineRule="auto"/>
            <w:rPr>
              <w:rFonts w:asciiTheme="minorHAnsi" w:hAnsiTheme="minorHAnsi" w:cstheme="minorHAnsi"/>
            </w:rPr>
          </w:pPr>
          <w:r w:rsidRPr="0027530E">
            <w:rPr>
              <w:rFonts w:asciiTheme="minorHAnsi" w:hAnsiTheme="minorHAnsi" w:cstheme="minorHAnsi"/>
            </w:rPr>
            <w:t>NPV is closely connected with the benchmark of shareholder wealth maximisation, which is the core idea of financial management</w:t>
          </w:r>
          <w:r w:rsidR="00063929">
            <w:rPr>
              <w:rFonts w:asciiTheme="minorHAnsi" w:hAnsiTheme="minorHAnsi" w:cstheme="minorHAnsi"/>
            </w:rPr>
            <w:t xml:space="preserve"> (</w:t>
          </w:r>
          <w:r w:rsidR="00063929" w:rsidRPr="00063929">
            <w:rPr>
              <w:rFonts w:asciiTheme="minorHAnsi" w:hAnsiTheme="minorHAnsi" w:cstheme="minorHAnsi"/>
            </w:rPr>
            <w:t>Burcovich</w:t>
          </w:r>
          <w:r w:rsidR="00063929">
            <w:rPr>
              <w:rFonts w:asciiTheme="minorHAnsi" w:hAnsiTheme="minorHAnsi" w:cstheme="minorHAnsi"/>
            </w:rPr>
            <w:t>, 2021)</w:t>
          </w:r>
          <w:r w:rsidRPr="0027530E">
            <w:rPr>
              <w:rFonts w:asciiTheme="minorHAnsi" w:hAnsiTheme="minorHAnsi" w:cstheme="minorHAnsi"/>
            </w:rPr>
            <w:t>. Positive NPV implies that a project will yield returns higher than the cost of capital incurred by the firm in question, or rather boosts the market value of the firm (Modigliani and Miller, 1958). In contrast to measures based on percentages, NPV offers an absolute monetary metric of value creation, which is especially appropriate in the context of prioritising mutually exclusive projects of varying scales (Damodaran, 2015).</w:t>
          </w:r>
        </w:p>
        <w:p w14:paraId="58001890" w14:textId="13D424D1" w:rsidR="0027530E" w:rsidRPr="0027530E" w:rsidRDefault="0027530E" w:rsidP="0027530E">
          <w:pPr>
            <w:pStyle w:val="NormalWeb"/>
            <w:spacing w:before="0" w:beforeAutospacing="0" w:after="0" w:afterAutospacing="0" w:line="360" w:lineRule="auto"/>
            <w:rPr>
              <w:rFonts w:asciiTheme="minorHAnsi" w:hAnsiTheme="minorHAnsi" w:cstheme="minorHAnsi"/>
            </w:rPr>
          </w:pPr>
          <w:r w:rsidRPr="0027530E">
            <w:rPr>
              <w:rFonts w:asciiTheme="minorHAnsi" w:hAnsiTheme="minorHAnsi" w:cstheme="minorHAnsi"/>
            </w:rPr>
            <w:t>NPV provides a high-quality decision compared to other non-discounting techniques like Payback and Accounting Rate of Return (ARR)</w:t>
          </w:r>
          <w:r w:rsidR="00063929">
            <w:rPr>
              <w:rFonts w:asciiTheme="minorHAnsi" w:hAnsiTheme="minorHAnsi" w:cstheme="minorHAnsi"/>
            </w:rPr>
            <w:t xml:space="preserve"> (</w:t>
          </w:r>
          <w:r w:rsidR="00063929" w:rsidRPr="00063929">
            <w:rPr>
              <w:rFonts w:asciiTheme="minorHAnsi" w:hAnsiTheme="minorHAnsi" w:cstheme="minorHAnsi"/>
            </w:rPr>
            <w:t>Sladkova</w:t>
          </w:r>
          <w:r w:rsidR="00063929">
            <w:rPr>
              <w:rFonts w:asciiTheme="minorHAnsi" w:hAnsiTheme="minorHAnsi" w:cstheme="minorHAnsi"/>
            </w:rPr>
            <w:t>, 2022)</w:t>
          </w:r>
          <w:r w:rsidRPr="0027530E">
            <w:rPr>
              <w:rFonts w:asciiTheme="minorHAnsi" w:hAnsiTheme="minorHAnsi" w:cstheme="minorHAnsi"/>
            </w:rPr>
            <w:t>. Payback does not consider cash flows after the recovery period and does not consider the time value of money, whereas ARR considers accounting profits instead of cash flows and hence can be manipulated and is at the mercy of subjective accounting policies (Atrill &amp; McLaney, 2019).</w:t>
          </w:r>
        </w:p>
        <w:p w14:paraId="16BB4087" w14:textId="77777777" w:rsidR="0027530E" w:rsidRPr="0027530E" w:rsidRDefault="0027530E" w:rsidP="0027530E">
          <w:pPr>
            <w:pStyle w:val="NormalWeb"/>
            <w:spacing w:before="0" w:beforeAutospacing="0" w:after="0" w:afterAutospacing="0" w:line="360" w:lineRule="auto"/>
            <w:rPr>
              <w:rFonts w:asciiTheme="minorHAnsi" w:hAnsiTheme="minorHAnsi" w:cstheme="minorHAnsi"/>
            </w:rPr>
          </w:pPr>
          <w:r w:rsidRPr="0027530E">
            <w:rPr>
              <w:rFonts w:asciiTheme="minorHAnsi" w:hAnsiTheme="minorHAnsi" w:cstheme="minorHAnsi"/>
            </w:rPr>
            <w:t>Nevertheless, managers persist in using payback due to its simplicity, intuitive quality, and focus on liquidity and risk. When there is uncertainty or limited capital, quick recovery of original capital is a psychological reassurance, and this limits exposure to uncertainty in the long run (Graham and Harvey, 2001). Nevertheless, there is continual scholarly agreement over the application of NPV as the main measure of decision-making, with other methods acting as auxiliary instruments.</w:t>
          </w:r>
        </w:p>
        <w:p w14:paraId="28A74A52" w14:textId="77777777" w:rsidR="0027530E" w:rsidRPr="0027530E" w:rsidRDefault="0027530E" w:rsidP="0027530E">
          <w:pPr>
            <w:pStyle w:val="NormalWeb"/>
            <w:spacing w:before="0" w:beforeAutospacing="0" w:after="0" w:afterAutospacing="0" w:line="360" w:lineRule="auto"/>
            <w:jc w:val="center"/>
            <w:rPr>
              <w:rFonts w:asciiTheme="minorHAnsi" w:hAnsiTheme="minorHAnsi" w:cstheme="minorHAnsi"/>
            </w:rPr>
          </w:pPr>
          <w:r w:rsidRPr="0027530E">
            <w:rPr>
              <w:rFonts w:asciiTheme="minorHAnsi" w:hAnsiTheme="minorHAnsi" w:cstheme="minorHAnsi"/>
              <w:noProof/>
              <w14:ligatures w14:val="standardContextual"/>
            </w:rPr>
            <w:drawing>
              <wp:inline distT="0" distB="0" distL="0" distR="0" wp14:anchorId="3F33CD53" wp14:editId="4158B32F">
                <wp:extent cx="3769254" cy="2986269"/>
                <wp:effectExtent l="0" t="0" r="3175" b="0"/>
                <wp:docPr id="133076955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769552" name="Picture 1330769552"/>
                        <pic:cNvPicPr/>
                      </pic:nvPicPr>
                      <pic:blipFill>
                        <a:blip r:embed="rId20">
                          <a:extLst>
                            <a:ext uri="{28A0092B-C50C-407E-A947-70E740481C1C}">
                              <a14:useLocalDpi xmlns:a14="http://schemas.microsoft.com/office/drawing/2010/main" val="0"/>
                            </a:ext>
                          </a:extLst>
                        </a:blip>
                        <a:stretch>
                          <a:fillRect/>
                        </a:stretch>
                      </pic:blipFill>
                      <pic:spPr>
                        <a:xfrm>
                          <a:off x="0" y="0"/>
                          <a:ext cx="3775486" cy="2991207"/>
                        </a:xfrm>
                        <a:prstGeom prst="rect">
                          <a:avLst/>
                        </a:prstGeom>
                      </pic:spPr>
                    </pic:pic>
                  </a:graphicData>
                </a:graphic>
              </wp:inline>
            </w:drawing>
          </w:r>
        </w:p>
        <w:p w14:paraId="34DAE602" w14:textId="08281227" w:rsidR="0027530E" w:rsidRPr="0027530E" w:rsidRDefault="0027530E" w:rsidP="0027530E">
          <w:pPr>
            <w:pStyle w:val="NormalWeb"/>
            <w:jc w:val="center"/>
            <w:rPr>
              <w:rFonts w:asciiTheme="minorHAnsi" w:hAnsiTheme="minorHAnsi" w:cstheme="minorHAnsi"/>
            </w:rPr>
          </w:pPr>
          <w:r w:rsidRPr="0027530E">
            <w:rPr>
              <w:rFonts w:asciiTheme="minorHAnsi" w:hAnsiTheme="minorHAnsi" w:cstheme="minorHAnsi"/>
            </w:rPr>
            <w:t>Figure 11: discounted vs undiscounted cash flows over time</w:t>
          </w:r>
        </w:p>
        <w:p w14:paraId="4CB6B9BC" w14:textId="4FDA59BA" w:rsidR="0027530E" w:rsidRPr="0027530E" w:rsidRDefault="0027530E" w:rsidP="0027530E">
          <w:pPr>
            <w:spacing w:line="360" w:lineRule="auto"/>
            <w:outlineLvl w:val="1"/>
            <w:rPr>
              <w:rFonts w:cstheme="minorHAnsi"/>
              <w:b/>
              <w:bCs/>
            </w:rPr>
          </w:pPr>
          <w:bookmarkStart w:id="20" w:name="_Toc218881359"/>
          <w:r w:rsidRPr="0027530E">
            <w:rPr>
              <w:rFonts w:cstheme="minorHAnsi"/>
              <w:b/>
              <w:bCs/>
            </w:rPr>
            <w:t>2.6 Other Qualitative Factors Affecting the Decision</w:t>
          </w:r>
          <w:bookmarkEnd w:id="20"/>
          <w:r w:rsidRPr="0027530E">
            <w:rPr>
              <w:rFonts w:cstheme="minorHAnsi"/>
              <w:b/>
              <w:bCs/>
            </w:rPr>
            <w:t xml:space="preserve"> </w:t>
          </w:r>
        </w:p>
        <w:p w14:paraId="1900476D" w14:textId="77777777" w:rsidR="0027530E" w:rsidRPr="0027530E" w:rsidRDefault="0027530E" w:rsidP="0027530E">
          <w:pPr>
            <w:spacing w:line="360" w:lineRule="auto"/>
            <w:rPr>
              <w:rFonts w:cstheme="minorHAnsi"/>
            </w:rPr>
          </w:pPr>
          <w:r w:rsidRPr="0027530E">
            <w:rPr>
              <w:rFonts w:cstheme="minorHAnsi"/>
            </w:rPr>
            <w:t>As much as quantitative appraisal offers a firm basis for making investment decisions, the qualitative factors are essential. Long-term projects involve risk and uncertainty, especially in forecasting the demand, cost inflation, and technological change. Awareness of poor economic situations must be discussed in conjunction with the numerical outcomes (Ross, Westerfield, and Jordan, 2019).</w:t>
          </w:r>
        </w:p>
        <w:p w14:paraId="3AC0EA2E" w14:textId="71408CA1" w:rsidR="0027530E" w:rsidRPr="0027530E" w:rsidRDefault="0027530E" w:rsidP="0027530E">
          <w:pPr>
            <w:spacing w:line="360" w:lineRule="auto"/>
            <w:rPr>
              <w:rFonts w:cstheme="minorHAnsi"/>
            </w:rPr>
          </w:pPr>
          <w:r w:rsidRPr="0027530E">
            <w:rPr>
              <w:rFonts w:cstheme="minorHAnsi"/>
            </w:rPr>
            <w:t>Market conditions based on the competitive intensity, consumer behaviour, and regulatory developments can significantly impact the actual cash flow realisation</w:t>
          </w:r>
          <w:r w:rsidR="00063929">
            <w:rPr>
              <w:rFonts w:cstheme="minorHAnsi"/>
            </w:rPr>
            <w:t xml:space="preserve"> (</w:t>
          </w:r>
          <w:r w:rsidR="00063929" w:rsidRPr="00063929">
            <w:rPr>
              <w:rFonts w:cstheme="minorHAnsi"/>
            </w:rPr>
            <w:t>Umoh</w:t>
          </w:r>
          <w:r w:rsidR="00063929">
            <w:rPr>
              <w:rFonts w:cstheme="minorHAnsi"/>
            </w:rPr>
            <w:t>, 2024)</w:t>
          </w:r>
          <w:r w:rsidRPr="0027530E">
            <w:rPr>
              <w:rFonts w:cstheme="minorHAnsi"/>
            </w:rPr>
            <w:t>. A project that has a high NPV can perform poorly when the market assumptions turn out to be excessively positive.</w:t>
          </w:r>
        </w:p>
        <w:p w14:paraId="15E4A86D" w14:textId="77777777" w:rsidR="0027530E" w:rsidRPr="0027530E" w:rsidRDefault="0027530E" w:rsidP="0027530E">
          <w:pPr>
            <w:spacing w:line="360" w:lineRule="auto"/>
            <w:rPr>
              <w:rFonts w:cstheme="minorHAnsi"/>
            </w:rPr>
          </w:pPr>
          <w:r w:rsidRPr="0027530E">
            <w:rPr>
              <w:rFonts w:cstheme="minorHAnsi"/>
            </w:rPr>
            <w:t>Another important consideration is the operational capacity. Projects that involve higher managerial skills, infrastructure, or supply-chain requirements might also push organisational resources and raise the risk of execution (Kaplan and Norton, 2004).</w:t>
          </w:r>
        </w:p>
        <w:p w14:paraId="001E1C8B" w14:textId="77777777" w:rsidR="0027530E" w:rsidRPr="0027530E" w:rsidRDefault="0027530E" w:rsidP="0027530E">
          <w:pPr>
            <w:spacing w:line="360" w:lineRule="auto"/>
            <w:rPr>
              <w:rFonts w:cstheme="minorHAnsi"/>
            </w:rPr>
          </w:pPr>
          <w:r w:rsidRPr="0027530E">
            <w:rPr>
              <w:rFonts w:cstheme="minorHAnsi"/>
            </w:rPr>
            <w:t>The working capital implications of investment decisions are also available. Increases in sales volumes can necessitate more inventory quantities or shifts in supplier credit conditions with implications on liquidity despite the appealing long-run profitability (Atrill &amp; McLaney, 2019).</w:t>
          </w:r>
        </w:p>
        <w:p w14:paraId="1E39A3CA" w14:textId="77777777" w:rsidR="0027530E" w:rsidRPr="0027530E" w:rsidRDefault="0027530E" w:rsidP="0027530E">
          <w:pPr>
            <w:spacing w:line="360" w:lineRule="auto"/>
            <w:rPr>
              <w:rFonts w:cstheme="minorHAnsi"/>
            </w:rPr>
          </w:pPr>
          <w:r w:rsidRPr="0027530E">
            <w:rPr>
              <w:rFonts w:cstheme="minorHAnsi"/>
            </w:rPr>
            <w:t>Lastly, the projects should have a strategic alignment with corporate objectives. Parity investments that favor long-term competitive positioning, transformation to digital, or resilience may be favored despite marginally poor short-term financial performance (Porter, 2008).</w:t>
          </w:r>
        </w:p>
        <w:p w14:paraId="244D4511" w14:textId="3C42A7D7" w:rsidR="0027530E" w:rsidRPr="0027530E" w:rsidRDefault="0027530E" w:rsidP="0027530E">
          <w:pPr>
            <w:spacing w:line="360" w:lineRule="auto"/>
            <w:outlineLvl w:val="1"/>
            <w:rPr>
              <w:rFonts w:cstheme="minorHAnsi"/>
              <w:b/>
              <w:bCs/>
            </w:rPr>
          </w:pPr>
          <w:bookmarkStart w:id="21" w:name="_Toc218881360"/>
          <w:r w:rsidRPr="0027530E">
            <w:rPr>
              <w:rFonts w:cstheme="minorHAnsi"/>
              <w:b/>
              <w:bCs/>
            </w:rPr>
            <w:t>2.7 Sources of Finance Recommendation</w:t>
          </w:r>
          <w:bookmarkEnd w:id="21"/>
          <w:r w:rsidRPr="0027530E">
            <w:rPr>
              <w:rFonts w:cstheme="minorHAnsi"/>
              <w:b/>
              <w:bCs/>
            </w:rPr>
            <w:t xml:space="preserve"> </w:t>
          </w:r>
        </w:p>
        <w:p w14:paraId="435F6661" w14:textId="77777777" w:rsidR="0027530E" w:rsidRPr="0027530E" w:rsidRDefault="0027530E" w:rsidP="0027530E">
          <w:pPr>
            <w:spacing w:line="360" w:lineRule="auto"/>
            <w:rPr>
              <w:rFonts w:cstheme="minorHAnsi"/>
            </w:rPr>
          </w:pPr>
          <w:r w:rsidRPr="0027530E">
            <w:rPr>
              <w:rFonts w:cstheme="minorHAnsi"/>
            </w:rPr>
            <w:t>Selecting appropriate sources of finance is essential to support investment while maintaining financial stability. Financing options can be categorised into internal vs external and short-term vs long-term sources (Myers, 1984).</w:t>
          </w:r>
        </w:p>
        <w:p w14:paraId="3DE782D6" w14:textId="254E308E" w:rsidR="0027530E" w:rsidRPr="0027530E" w:rsidRDefault="0027530E" w:rsidP="0027530E">
          <w:pPr>
            <w:spacing w:line="360" w:lineRule="auto"/>
            <w:outlineLvl w:val="2"/>
            <w:rPr>
              <w:rFonts w:cstheme="minorHAnsi"/>
            </w:rPr>
          </w:pPr>
          <w:bookmarkStart w:id="22" w:name="_Toc218881361"/>
          <w:r w:rsidRPr="0027530E">
            <w:rPr>
              <w:rFonts w:cstheme="minorHAnsi"/>
            </w:rPr>
            <w:t>The cheapest and least risky source of finance is internal finance or retained earnings, since there is no cost of interest and dilution of ownership</w:t>
          </w:r>
          <w:r w:rsidR="000A019A">
            <w:rPr>
              <w:rFonts w:cstheme="minorHAnsi"/>
            </w:rPr>
            <w:t xml:space="preserve"> (</w:t>
          </w:r>
          <w:r w:rsidR="000A019A" w:rsidRPr="000A019A">
            <w:rPr>
              <w:rFonts w:cstheme="minorHAnsi"/>
            </w:rPr>
            <w:t>Almanaseer</w:t>
          </w:r>
          <w:r w:rsidR="000A019A">
            <w:rPr>
              <w:rFonts w:cstheme="minorHAnsi"/>
            </w:rPr>
            <w:t>, 2024)</w:t>
          </w:r>
          <w:r w:rsidRPr="0027530E">
            <w:rPr>
              <w:rFonts w:cstheme="minorHAnsi"/>
            </w:rPr>
            <w:t>. But overdependence on internal funds could restrict the dividend capacity and slow growth. External financing involves bank loans and bonds, and equity issues, each having specific risk and control implications (Arnold, 2013).</w:t>
          </w:r>
          <w:bookmarkEnd w:id="22"/>
        </w:p>
        <w:p w14:paraId="75931F49" w14:textId="7940F19E" w:rsidR="0027530E" w:rsidRPr="0027530E" w:rsidRDefault="0027530E" w:rsidP="0027530E">
          <w:pPr>
            <w:spacing w:line="360" w:lineRule="auto"/>
            <w:outlineLvl w:val="2"/>
            <w:rPr>
              <w:rFonts w:cstheme="minorHAnsi"/>
            </w:rPr>
          </w:pPr>
          <w:bookmarkStart w:id="23" w:name="_Toc218881362"/>
          <w:r w:rsidRPr="0027530E">
            <w:rPr>
              <w:rFonts w:cstheme="minorHAnsi"/>
            </w:rPr>
            <w:t>Short-term finance can be taken in the form of overdrafts or trade credit, which are flexible but raise refinancing risk and obstruct liquidity ratios</w:t>
          </w:r>
          <w:r w:rsidR="000A019A">
            <w:rPr>
              <w:rFonts w:cstheme="minorHAnsi"/>
            </w:rPr>
            <w:t xml:space="preserve"> (</w:t>
          </w:r>
          <w:r w:rsidR="000A019A" w:rsidRPr="000A019A">
            <w:rPr>
              <w:rFonts w:cstheme="minorHAnsi"/>
            </w:rPr>
            <w:t>Pamungkas</w:t>
          </w:r>
          <w:r w:rsidR="000A019A">
            <w:rPr>
              <w:rFonts w:cstheme="minorHAnsi"/>
            </w:rPr>
            <w:t>, 2023)</w:t>
          </w:r>
          <w:r w:rsidRPr="0027530E">
            <w:rPr>
              <w:rFonts w:cstheme="minorHAnsi"/>
            </w:rPr>
            <w:t>. They should use long-term finance, such as term loans and equity, to fund long-lived assets that require them to have maturity and financial stability (Brealey et al., 2020).</w:t>
          </w:r>
          <w:bookmarkEnd w:id="23"/>
        </w:p>
        <w:p w14:paraId="282421AA" w14:textId="77777777" w:rsidR="0027530E" w:rsidRPr="0027530E" w:rsidRDefault="0027530E" w:rsidP="0027530E">
          <w:pPr>
            <w:spacing w:line="360" w:lineRule="auto"/>
            <w:jc w:val="center"/>
            <w:outlineLvl w:val="2"/>
            <w:rPr>
              <w:rFonts w:cstheme="minorHAnsi"/>
            </w:rPr>
          </w:pPr>
          <w:bookmarkStart w:id="24" w:name="_Toc218881363"/>
          <w:r w:rsidRPr="0027530E">
            <w:rPr>
              <w:rFonts w:cstheme="minorHAnsi"/>
            </w:rPr>
            <w:t>Table 12: Evaluation of Financing Options</w:t>
          </w:r>
          <w:bookmarkEnd w:id="24"/>
        </w:p>
        <w:tbl>
          <w:tblPr>
            <w:tblStyle w:val="TableGrid"/>
            <w:tblW w:w="0" w:type="auto"/>
            <w:jc w:val="center"/>
            <w:tblLook w:val="04A0" w:firstRow="1" w:lastRow="0" w:firstColumn="1" w:lastColumn="0" w:noHBand="0" w:noVBand="1"/>
          </w:tblPr>
          <w:tblGrid>
            <w:gridCol w:w="1820"/>
            <w:gridCol w:w="2436"/>
            <w:gridCol w:w="1882"/>
          </w:tblGrid>
          <w:tr w:rsidR="0027530E" w:rsidRPr="0027530E" w14:paraId="6B7FD848" w14:textId="77777777" w:rsidTr="00D816E9">
            <w:trPr>
              <w:jc w:val="center"/>
            </w:trPr>
            <w:tc>
              <w:tcPr>
                <w:tcW w:w="0" w:type="auto"/>
                <w:hideMark/>
              </w:tcPr>
              <w:p w14:paraId="0D2C5133"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Source</w:t>
                </w:r>
              </w:p>
            </w:tc>
            <w:tc>
              <w:tcPr>
                <w:tcW w:w="0" w:type="auto"/>
                <w:hideMark/>
              </w:tcPr>
              <w:p w14:paraId="7833CE37"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Advantages</w:t>
                </w:r>
              </w:p>
            </w:tc>
            <w:tc>
              <w:tcPr>
                <w:tcW w:w="0" w:type="auto"/>
                <w:hideMark/>
              </w:tcPr>
              <w:p w14:paraId="767B1920" w14:textId="77777777" w:rsidR="0027530E" w:rsidRPr="0027530E" w:rsidRDefault="0027530E" w:rsidP="00D816E9">
                <w:pPr>
                  <w:spacing w:line="360" w:lineRule="auto"/>
                  <w:jc w:val="center"/>
                  <w:rPr>
                    <w:rFonts w:cstheme="minorHAnsi"/>
                    <w:b/>
                    <w:bCs/>
                    <w:sz w:val="22"/>
                    <w:szCs w:val="22"/>
                  </w:rPr>
                </w:pPr>
                <w:r w:rsidRPr="0027530E">
                  <w:rPr>
                    <w:rFonts w:cstheme="minorHAnsi"/>
                    <w:b/>
                    <w:bCs/>
                    <w:sz w:val="22"/>
                    <w:szCs w:val="22"/>
                  </w:rPr>
                  <w:t>Disadvantages</w:t>
                </w:r>
              </w:p>
            </w:tc>
          </w:tr>
          <w:tr w:rsidR="0027530E" w:rsidRPr="0027530E" w14:paraId="39A2F9CE" w14:textId="77777777" w:rsidTr="00D816E9">
            <w:trPr>
              <w:jc w:val="center"/>
            </w:trPr>
            <w:tc>
              <w:tcPr>
                <w:tcW w:w="0" w:type="auto"/>
                <w:hideMark/>
              </w:tcPr>
              <w:p w14:paraId="22994582" w14:textId="77777777" w:rsidR="0027530E" w:rsidRPr="0027530E" w:rsidRDefault="0027530E" w:rsidP="00D816E9">
                <w:pPr>
                  <w:spacing w:line="360" w:lineRule="auto"/>
                  <w:rPr>
                    <w:rFonts w:cstheme="minorHAnsi"/>
                    <w:sz w:val="22"/>
                    <w:szCs w:val="22"/>
                  </w:rPr>
                </w:pPr>
                <w:r w:rsidRPr="0027530E">
                  <w:rPr>
                    <w:rFonts w:cstheme="minorHAnsi"/>
                    <w:sz w:val="22"/>
                    <w:szCs w:val="22"/>
                  </w:rPr>
                  <w:t>Retained earnings</w:t>
                </w:r>
              </w:p>
            </w:tc>
            <w:tc>
              <w:tcPr>
                <w:tcW w:w="0" w:type="auto"/>
                <w:hideMark/>
              </w:tcPr>
              <w:p w14:paraId="6D0C4FBC" w14:textId="77777777" w:rsidR="0027530E" w:rsidRPr="0027530E" w:rsidRDefault="0027530E" w:rsidP="00D816E9">
                <w:pPr>
                  <w:spacing w:line="360" w:lineRule="auto"/>
                  <w:rPr>
                    <w:rFonts w:cstheme="minorHAnsi"/>
                    <w:sz w:val="22"/>
                    <w:szCs w:val="22"/>
                  </w:rPr>
                </w:pPr>
                <w:r w:rsidRPr="0027530E">
                  <w:rPr>
                    <w:rFonts w:cstheme="minorHAnsi"/>
                    <w:sz w:val="22"/>
                    <w:szCs w:val="22"/>
                  </w:rPr>
                  <w:t>Low cost, no dilution</w:t>
                </w:r>
              </w:p>
            </w:tc>
            <w:tc>
              <w:tcPr>
                <w:tcW w:w="0" w:type="auto"/>
                <w:hideMark/>
              </w:tcPr>
              <w:p w14:paraId="0C5BD264" w14:textId="77777777" w:rsidR="0027530E" w:rsidRPr="0027530E" w:rsidRDefault="0027530E" w:rsidP="00D816E9">
                <w:pPr>
                  <w:spacing w:line="360" w:lineRule="auto"/>
                  <w:rPr>
                    <w:rFonts w:cstheme="minorHAnsi"/>
                    <w:sz w:val="22"/>
                    <w:szCs w:val="22"/>
                  </w:rPr>
                </w:pPr>
                <w:r w:rsidRPr="0027530E">
                  <w:rPr>
                    <w:rFonts w:cstheme="minorHAnsi"/>
                    <w:sz w:val="22"/>
                    <w:szCs w:val="22"/>
                  </w:rPr>
                  <w:t>Limited availability</w:t>
                </w:r>
              </w:p>
            </w:tc>
          </w:tr>
          <w:tr w:rsidR="0027530E" w:rsidRPr="0027530E" w14:paraId="31A421E1" w14:textId="77777777" w:rsidTr="00D816E9">
            <w:trPr>
              <w:jc w:val="center"/>
            </w:trPr>
            <w:tc>
              <w:tcPr>
                <w:tcW w:w="0" w:type="auto"/>
                <w:hideMark/>
              </w:tcPr>
              <w:p w14:paraId="3C562582" w14:textId="77777777" w:rsidR="0027530E" w:rsidRPr="0027530E" w:rsidRDefault="0027530E" w:rsidP="00D816E9">
                <w:pPr>
                  <w:spacing w:line="360" w:lineRule="auto"/>
                  <w:rPr>
                    <w:rFonts w:cstheme="minorHAnsi"/>
                    <w:sz w:val="22"/>
                    <w:szCs w:val="22"/>
                  </w:rPr>
                </w:pPr>
                <w:r w:rsidRPr="0027530E">
                  <w:rPr>
                    <w:rFonts w:cstheme="minorHAnsi"/>
                    <w:sz w:val="22"/>
                    <w:szCs w:val="22"/>
                  </w:rPr>
                  <w:t>Bank loans</w:t>
                </w:r>
              </w:p>
            </w:tc>
            <w:tc>
              <w:tcPr>
                <w:tcW w:w="0" w:type="auto"/>
                <w:hideMark/>
              </w:tcPr>
              <w:p w14:paraId="4FE9C59E" w14:textId="77777777" w:rsidR="0027530E" w:rsidRPr="0027530E" w:rsidRDefault="0027530E" w:rsidP="00D816E9">
                <w:pPr>
                  <w:spacing w:line="360" w:lineRule="auto"/>
                  <w:rPr>
                    <w:rFonts w:cstheme="minorHAnsi"/>
                    <w:sz w:val="22"/>
                    <w:szCs w:val="22"/>
                  </w:rPr>
                </w:pPr>
                <w:r w:rsidRPr="0027530E">
                  <w:rPr>
                    <w:rFonts w:cstheme="minorHAnsi"/>
                    <w:sz w:val="22"/>
                    <w:szCs w:val="22"/>
                  </w:rPr>
                  <w:t>Tax-deductible interest</w:t>
                </w:r>
              </w:p>
            </w:tc>
            <w:tc>
              <w:tcPr>
                <w:tcW w:w="0" w:type="auto"/>
                <w:hideMark/>
              </w:tcPr>
              <w:p w14:paraId="564F0C9F" w14:textId="77777777" w:rsidR="0027530E" w:rsidRPr="0027530E" w:rsidRDefault="0027530E" w:rsidP="00D816E9">
                <w:pPr>
                  <w:spacing w:line="360" w:lineRule="auto"/>
                  <w:rPr>
                    <w:rFonts w:cstheme="minorHAnsi"/>
                    <w:sz w:val="22"/>
                    <w:szCs w:val="22"/>
                  </w:rPr>
                </w:pPr>
                <w:r w:rsidRPr="0027530E">
                  <w:rPr>
                    <w:rFonts w:cstheme="minorHAnsi"/>
                    <w:sz w:val="22"/>
                    <w:szCs w:val="22"/>
                  </w:rPr>
                  <w:t>Increases gearing</w:t>
                </w:r>
              </w:p>
            </w:tc>
          </w:tr>
          <w:tr w:rsidR="0027530E" w:rsidRPr="0027530E" w14:paraId="7AEDBA7A" w14:textId="77777777" w:rsidTr="00D816E9">
            <w:trPr>
              <w:jc w:val="center"/>
            </w:trPr>
            <w:tc>
              <w:tcPr>
                <w:tcW w:w="0" w:type="auto"/>
                <w:hideMark/>
              </w:tcPr>
              <w:p w14:paraId="00B480B8" w14:textId="77777777" w:rsidR="0027530E" w:rsidRPr="0027530E" w:rsidRDefault="0027530E" w:rsidP="00D816E9">
                <w:pPr>
                  <w:spacing w:line="360" w:lineRule="auto"/>
                  <w:rPr>
                    <w:rFonts w:cstheme="minorHAnsi"/>
                    <w:sz w:val="22"/>
                    <w:szCs w:val="22"/>
                  </w:rPr>
                </w:pPr>
                <w:r w:rsidRPr="0027530E">
                  <w:rPr>
                    <w:rFonts w:cstheme="minorHAnsi"/>
                    <w:sz w:val="22"/>
                    <w:szCs w:val="22"/>
                  </w:rPr>
                  <w:t>Equity</w:t>
                </w:r>
              </w:p>
            </w:tc>
            <w:tc>
              <w:tcPr>
                <w:tcW w:w="0" w:type="auto"/>
                <w:hideMark/>
              </w:tcPr>
              <w:p w14:paraId="27BACD5D" w14:textId="77777777" w:rsidR="0027530E" w:rsidRPr="0027530E" w:rsidRDefault="0027530E" w:rsidP="00D816E9">
                <w:pPr>
                  <w:spacing w:line="360" w:lineRule="auto"/>
                  <w:rPr>
                    <w:rFonts w:cstheme="minorHAnsi"/>
                    <w:sz w:val="22"/>
                    <w:szCs w:val="22"/>
                  </w:rPr>
                </w:pPr>
                <w:r w:rsidRPr="0027530E">
                  <w:rPr>
                    <w:rFonts w:cstheme="minorHAnsi"/>
                    <w:sz w:val="22"/>
                    <w:szCs w:val="22"/>
                  </w:rPr>
                  <w:t>No repayment obligation</w:t>
                </w:r>
              </w:p>
            </w:tc>
            <w:tc>
              <w:tcPr>
                <w:tcW w:w="0" w:type="auto"/>
                <w:hideMark/>
              </w:tcPr>
              <w:p w14:paraId="44653D4E" w14:textId="77777777" w:rsidR="0027530E" w:rsidRPr="0027530E" w:rsidRDefault="0027530E" w:rsidP="00D816E9">
                <w:pPr>
                  <w:spacing w:line="360" w:lineRule="auto"/>
                  <w:rPr>
                    <w:rFonts w:cstheme="minorHAnsi"/>
                    <w:sz w:val="22"/>
                    <w:szCs w:val="22"/>
                  </w:rPr>
                </w:pPr>
                <w:r w:rsidRPr="0027530E">
                  <w:rPr>
                    <w:rFonts w:cstheme="minorHAnsi"/>
                    <w:sz w:val="22"/>
                    <w:szCs w:val="22"/>
                  </w:rPr>
                  <w:t>Dilution of control</w:t>
                </w:r>
              </w:p>
            </w:tc>
          </w:tr>
        </w:tbl>
        <w:p w14:paraId="0D17DA73" w14:textId="3AC817AB" w:rsidR="0027530E" w:rsidRPr="0027530E" w:rsidRDefault="0027530E" w:rsidP="0027530E">
          <w:pPr>
            <w:spacing w:line="360" w:lineRule="auto"/>
            <w:rPr>
              <w:rFonts w:cstheme="minorHAnsi"/>
            </w:rPr>
          </w:pPr>
          <w:r w:rsidRPr="0027530E">
            <w:rPr>
              <w:rFonts w:cstheme="minorHAnsi"/>
            </w:rPr>
            <w:t>A combination of finance is advisable regarding the proposed investment programme. Part of the investment should be funded by retained earnings to maintain flexibility, and moderately long-term debt can be incurred to take advantage of the tax shield without unduly elevating gearing</w:t>
          </w:r>
          <w:r w:rsidR="000A019A">
            <w:rPr>
              <w:rFonts w:cstheme="minorHAnsi"/>
            </w:rPr>
            <w:t xml:space="preserve"> (</w:t>
          </w:r>
          <w:r w:rsidR="000A019A" w:rsidRPr="000A019A">
            <w:rPr>
              <w:rFonts w:cstheme="minorHAnsi"/>
            </w:rPr>
            <w:t>Adam and Miller,</w:t>
          </w:r>
          <w:r w:rsidR="000A019A">
            <w:rPr>
              <w:rFonts w:cstheme="minorHAnsi"/>
            </w:rPr>
            <w:t xml:space="preserve"> 2021)</w:t>
          </w:r>
          <w:r w:rsidRPr="0027530E">
            <w:rPr>
              <w:rFonts w:cstheme="minorHAnsi"/>
            </w:rPr>
            <w:t>. There should not be an equity issue except where the amount of funds required in financing the company surpasses the finances through debts, since by doing so, it would dilute the current shareholders, and, consequently, it would reduce the company's earnings per share (Myers and Majluf 1984).</w:t>
          </w:r>
        </w:p>
        <w:p w14:paraId="672438A1" w14:textId="77777777" w:rsidR="0027530E" w:rsidRPr="0027530E" w:rsidRDefault="0027530E" w:rsidP="0027530E">
          <w:pPr>
            <w:spacing w:line="360" w:lineRule="auto"/>
            <w:jc w:val="center"/>
            <w:rPr>
              <w:rFonts w:cstheme="minorHAnsi"/>
            </w:rPr>
          </w:pPr>
          <w:r w:rsidRPr="0027530E">
            <w:rPr>
              <w:rFonts w:cstheme="minorHAnsi"/>
              <w:noProof/>
              <w14:ligatures w14:val="standardContextual"/>
            </w:rPr>
            <w:drawing>
              <wp:inline distT="0" distB="0" distL="0" distR="0" wp14:anchorId="02DED73D" wp14:editId="39F3E560">
                <wp:extent cx="4039565" cy="3025104"/>
                <wp:effectExtent l="0" t="0" r="0" b="0"/>
                <wp:docPr id="91238905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389058" name="Picture 912389058"/>
                        <pic:cNvPicPr/>
                      </pic:nvPicPr>
                      <pic:blipFill>
                        <a:blip r:embed="rId21">
                          <a:extLst>
                            <a:ext uri="{28A0092B-C50C-407E-A947-70E740481C1C}">
                              <a14:useLocalDpi xmlns:a14="http://schemas.microsoft.com/office/drawing/2010/main" val="0"/>
                            </a:ext>
                          </a:extLst>
                        </a:blip>
                        <a:stretch>
                          <a:fillRect/>
                        </a:stretch>
                      </pic:blipFill>
                      <pic:spPr>
                        <a:xfrm>
                          <a:off x="0" y="0"/>
                          <a:ext cx="4041981" cy="3026913"/>
                        </a:xfrm>
                        <a:prstGeom prst="rect">
                          <a:avLst/>
                        </a:prstGeom>
                      </pic:spPr>
                    </pic:pic>
                  </a:graphicData>
                </a:graphic>
              </wp:inline>
            </w:drawing>
          </w:r>
        </w:p>
        <w:p w14:paraId="5734C7F5" w14:textId="72DA1F8E" w:rsidR="00CF0E48" w:rsidRPr="0027530E" w:rsidRDefault="0027530E" w:rsidP="0027530E">
          <w:pPr>
            <w:spacing w:line="360" w:lineRule="auto"/>
            <w:jc w:val="center"/>
            <w:rPr>
              <w:rFonts w:cstheme="minorHAnsi"/>
            </w:rPr>
          </w:pPr>
          <w:r w:rsidRPr="0027530E">
            <w:rPr>
              <w:rFonts w:cstheme="minorHAnsi"/>
            </w:rPr>
            <w:t>Figure 12: Capital structure comparison before vs after financing</w:t>
          </w:r>
        </w:p>
        <w:p w14:paraId="5C67928C" w14:textId="18BB66D6" w:rsidR="00AA2A91" w:rsidRPr="0027530E" w:rsidRDefault="00AA2A91" w:rsidP="00AA2A91">
          <w:pPr>
            <w:pStyle w:val="Heading1"/>
            <w:rPr>
              <w:rFonts w:asciiTheme="minorHAnsi" w:hAnsiTheme="minorHAnsi" w:cstheme="minorHAnsi"/>
            </w:rPr>
          </w:pPr>
          <w:bookmarkStart w:id="25" w:name="_Toc218881364"/>
          <w:r w:rsidRPr="0027530E">
            <w:rPr>
              <w:rFonts w:asciiTheme="minorHAnsi" w:hAnsiTheme="minorHAnsi" w:cstheme="minorHAnsi"/>
            </w:rPr>
            <w:t>Conclusion</w:t>
          </w:r>
          <w:bookmarkEnd w:id="25"/>
        </w:p>
        <w:p w14:paraId="3C0BEA28" w14:textId="77777777" w:rsidR="0027530E" w:rsidRPr="0027530E" w:rsidRDefault="0027530E" w:rsidP="0027530E">
          <w:pPr>
            <w:pStyle w:val="NormalWeb"/>
            <w:spacing w:before="0" w:beforeAutospacing="0" w:after="0" w:afterAutospacing="0" w:line="360" w:lineRule="auto"/>
            <w:rPr>
              <w:rFonts w:asciiTheme="minorHAnsi" w:hAnsiTheme="minorHAnsi" w:cstheme="minorHAnsi"/>
            </w:rPr>
          </w:pPr>
          <w:r w:rsidRPr="0027530E">
            <w:rPr>
              <w:rFonts w:asciiTheme="minorHAnsi" w:hAnsiTheme="minorHAnsi" w:cstheme="minorHAnsi"/>
            </w:rPr>
            <w:t>The following report aims to evaluate the financial performance of Sainsbury and determine the most value-adding strategy for investment. Part 1 concludes: The financial position of Sainsbury is in line with one of the leading UK grocery retailers: profitability is modest, but stable, based on scale and efficiency; liquidity is high in operational terms through the favourable working capital cycle; efficiency ratios are showing that Sainsbury is managing its assets and inventory well and gearing is prudent with a comfortable interest cover, which is doing well in the eyes of investors. As much as ratio analysis has flaws, overall trend and context are indicative of good financial management and survival in a competitive industry.</w:t>
          </w:r>
        </w:p>
        <w:p w14:paraId="3022D846" w14:textId="77777777" w:rsidR="0027530E" w:rsidRPr="0027530E" w:rsidRDefault="0027530E" w:rsidP="0027530E">
          <w:pPr>
            <w:pStyle w:val="NormalWeb"/>
            <w:spacing w:before="0" w:beforeAutospacing="0" w:after="0" w:afterAutospacing="0" w:line="360" w:lineRule="auto"/>
            <w:rPr>
              <w:rFonts w:asciiTheme="minorHAnsi" w:hAnsiTheme="minorHAnsi" w:cstheme="minorHAnsi"/>
            </w:rPr>
          </w:pPr>
          <w:r w:rsidRPr="0027530E">
            <w:rPr>
              <w:rFonts w:asciiTheme="minorHAnsi" w:hAnsiTheme="minorHAnsi" w:cstheme="minorHAnsi"/>
            </w:rPr>
            <w:t>Part 2 shows that punitive capital appraisal significantly enhances the quality of decisions. All projects proposed satisfy acceptance requirements, but capital rationing requires prioritisation. The use of the Profitability Index on divisible projects, both to determine the ideal investment mix to maximise total NPV, supports NPV as the primary decision rule. IRR and Payback offer some valuable supplementary information; the former is a benchmarking of returns, and the latter is a liquidity risk, but they should not supersede rankings based on value.</w:t>
          </w:r>
        </w:p>
        <w:p w14:paraId="43CFC3CE" w14:textId="77777777" w:rsidR="0027530E" w:rsidRPr="0027530E" w:rsidRDefault="0027530E" w:rsidP="0027530E">
          <w:pPr>
            <w:pStyle w:val="NormalWeb"/>
            <w:spacing w:before="0" w:beforeAutospacing="0" w:after="0" w:afterAutospacing="0" w:line="360" w:lineRule="auto"/>
            <w:rPr>
              <w:rFonts w:asciiTheme="minorHAnsi" w:hAnsiTheme="minorHAnsi" w:cstheme="minorHAnsi"/>
            </w:rPr>
          </w:pPr>
          <w:r w:rsidRPr="0027530E">
            <w:rPr>
              <w:rFonts w:asciiTheme="minorHAnsi" w:hAnsiTheme="minorHAnsi" w:cstheme="minorHAnsi"/>
            </w:rPr>
            <w:t>The ultimate recommendation to the Board is to accept the portfolio portrayed by capital rationing that can generate the most aggregate NPV, with funding being made by means of a moderate mix of retained earnings and moderate long-term debt. This maintains financial flexibility, liquidity protection, and avoids unwarranted equity dilution. Operationally, the sustained emphasis on costs, supply-chain effectiveness, and optimisation in inventory will be important to maintaining margins.</w:t>
          </w:r>
        </w:p>
        <w:p w14:paraId="14978F87" w14:textId="77777777" w:rsidR="0027530E" w:rsidRPr="0027530E" w:rsidRDefault="0027530E" w:rsidP="0027530E">
          <w:pPr>
            <w:pStyle w:val="NormalWeb"/>
            <w:spacing w:before="0" w:beforeAutospacing="0" w:after="0" w:afterAutospacing="0" w:line="360" w:lineRule="auto"/>
            <w:rPr>
              <w:rFonts w:asciiTheme="minorHAnsi" w:hAnsiTheme="minorHAnsi" w:cstheme="minorHAnsi"/>
            </w:rPr>
          </w:pPr>
          <w:r w:rsidRPr="0027530E">
            <w:rPr>
              <w:rFonts w:asciiTheme="minorHAnsi" w:hAnsiTheme="minorHAnsi" w:cstheme="minorHAnsi"/>
            </w:rPr>
            <w:t>In the future, Sainsbury's strategic financial outlook needs to focus more on its value-accretive investments, high cash generating, and a low capital structure to overcome market uncertainty and to enable it to achieve long-term development and shareholder value.</w:t>
          </w:r>
        </w:p>
        <w:p w14:paraId="037FE98C" w14:textId="77777777" w:rsidR="0027530E" w:rsidRPr="0027530E" w:rsidRDefault="0027530E" w:rsidP="0027530E">
          <w:pPr>
            <w:rPr>
              <w:rFonts w:cstheme="minorHAnsi"/>
            </w:rPr>
          </w:pPr>
        </w:p>
        <w:p w14:paraId="0C6DEB97" w14:textId="77777777" w:rsidR="00AA2A91" w:rsidRPr="0027530E" w:rsidRDefault="00AA2A91" w:rsidP="00AA2A91">
          <w:pPr>
            <w:rPr>
              <w:rFonts w:cstheme="minorHAnsi"/>
            </w:rPr>
          </w:pPr>
        </w:p>
        <w:p w14:paraId="6FF3B474" w14:textId="77777777" w:rsidR="00AA2A91" w:rsidRPr="0027530E" w:rsidRDefault="00AA2A91" w:rsidP="00AA2A91">
          <w:pPr>
            <w:rPr>
              <w:rFonts w:cstheme="minorHAnsi"/>
            </w:rPr>
          </w:pPr>
        </w:p>
        <w:p w14:paraId="735EB39C" w14:textId="77777777" w:rsidR="00AA2A91" w:rsidRPr="0027530E" w:rsidRDefault="00AA2A91" w:rsidP="00AA2A91">
          <w:pPr>
            <w:rPr>
              <w:rFonts w:cstheme="minorHAnsi"/>
            </w:rPr>
          </w:pPr>
        </w:p>
        <w:p w14:paraId="131D500D" w14:textId="77777777" w:rsidR="00AA2A91" w:rsidRPr="0027530E" w:rsidRDefault="00AA2A91" w:rsidP="00AA2A91">
          <w:pPr>
            <w:rPr>
              <w:rFonts w:cstheme="minorHAnsi"/>
            </w:rPr>
          </w:pPr>
        </w:p>
        <w:p w14:paraId="6694B73F" w14:textId="77777777" w:rsidR="00AA2A91" w:rsidRPr="0027530E" w:rsidRDefault="00AA2A91" w:rsidP="00AA2A91">
          <w:pPr>
            <w:rPr>
              <w:rFonts w:cstheme="minorHAnsi"/>
            </w:rPr>
          </w:pPr>
        </w:p>
        <w:p w14:paraId="7246D263" w14:textId="77777777" w:rsidR="00AA2A91" w:rsidRPr="0027530E" w:rsidRDefault="00AA2A91" w:rsidP="00AA2A91">
          <w:pPr>
            <w:rPr>
              <w:rFonts w:cstheme="minorHAnsi"/>
            </w:rPr>
          </w:pPr>
        </w:p>
        <w:p w14:paraId="22020C63" w14:textId="77777777" w:rsidR="00AA2A91" w:rsidRPr="0027530E" w:rsidRDefault="00AA2A91" w:rsidP="00AA2A91">
          <w:pPr>
            <w:rPr>
              <w:rFonts w:cstheme="minorHAnsi"/>
            </w:rPr>
          </w:pPr>
        </w:p>
        <w:p w14:paraId="43A20583" w14:textId="77777777" w:rsidR="00AA2A91" w:rsidRPr="0027530E" w:rsidRDefault="00AA2A91" w:rsidP="00AA2A91">
          <w:pPr>
            <w:rPr>
              <w:rFonts w:cstheme="minorHAnsi"/>
            </w:rPr>
          </w:pPr>
        </w:p>
        <w:p w14:paraId="39BA3A5F" w14:textId="77777777" w:rsidR="00AA2A91" w:rsidRPr="0027530E" w:rsidRDefault="00AA2A91" w:rsidP="00AA2A91">
          <w:pPr>
            <w:rPr>
              <w:rFonts w:cstheme="minorHAnsi"/>
            </w:rPr>
          </w:pPr>
        </w:p>
        <w:p w14:paraId="385E28CD" w14:textId="77777777" w:rsidR="00AA2A91" w:rsidRPr="0027530E" w:rsidRDefault="00AA2A91" w:rsidP="00AA2A91">
          <w:pPr>
            <w:rPr>
              <w:rFonts w:cstheme="minorHAnsi"/>
            </w:rPr>
          </w:pPr>
        </w:p>
        <w:p w14:paraId="0F501598" w14:textId="77777777" w:rsidR="00AA2A91" w:rsidRPr="0027530E" w:rsidRDefault="00AA2A91" w:rsidP="00AA2A91">
          <w:pPr>
            <w:rPr>
              <w:rFonts w:cstheme="minorHAnsi"/>
            </w:rPr>
          </w:pPr>
        </w:p>
        <w:p w14:paraId="0ABC39D3" w14:textId="77777777" w:rsidR="00AA2A91" w:rsidRPr="0027530E" w:rsidRDefault="00AA2A91" w:rsidP="00AA2A91">
          <w:pPr>
            <w:rPr>
              <w:rFonts w:cstheme="minorHAnsi"/>
            </w:rPr>
          </w:pPr>
        </w:p>
        <w:p w14:paraId="7202FDFC" w14:textId="77777777" w:rsidR="00AA2A91" w:rsidRPr="0027530E" w:rsidRDefault="00AA2A91" w:rsidP="00AA2A91">
          <w:pPr>
            <w:pStyle w:val="Heading1"/>
            <w:rPr>
              <w:rFonts w:asciiTheme="minorHAnsi" w:hAnsiTheme="minorHAnsi" w:cstheme="minorHAnsi"/>
            </w:rPr>
          </w:pPr>
          <w:bookmarkStart w:id="26" w:name="_Toc218881365"/>
          <w:r w:rsidRPr="0027530E">
            <w:rPr>
              <w:rFonts w:asciiTheme="minorHAnsi" w:hAnsiTheme="minorHAnsi" w:cstheme="minorHAnsi"/>
            </w:rPr>
            <w:t>Bibliography</w:t>
          </w:r>
          <w:bookmarkEnd w:id="26"/>
        </w:p>
        <w:p w14:paraId="4015E3CB" w14:textId="77777777" w:rsidR="0027530E" w:rsidRPr="0027530E" w:rsidRDefault="0027530E" w:rsidP="0027530E">
          <w:pPr>
            <w:pStyle w:val="NormalWeb"/>
            <w:spacing w:before="0" w:beforeAutospacing="0" w:after="0" w:afterAutospacing="0" w:line="360" w:lineRule="auto"/>
            <w:ind w:left="720" w:hanging="720"/>
            <w:rPr>
              <w:rFonts w:asciiTheme="minorHAnsi" w:hAnsiTheme="minorHAnsi" w:cstheme="minorHAnsi"/>
              <w:sz w:val="22"/>
              <w:szCs w:val="22"/>
            </w:rPr>
          </w:pPr>
          <w:r w:rsidRPr="0027530E">
            <w:rPr>
              <w:rFonts w:asciiTheme="minorHAnsi" w:hAnsiTheme="minorHAnsi" w:cstheme="minorHAnsi"/>
              <w:sz w:val="22"/>
              <w:szCs w:val="22"/>
            </w:rPr>
            <w:t xml:space="preserve">Arnold, G. (2013). </w:t>
          </w:r>
          <w:r w:rsidRPr="0027530E">
            <w:rPr>
              <w:rStyle w:val="Emphasis"/>
              <w:rFonts w:asciiTheme="minorHAnsi" w:eastAsiaTheme="majorEastAsia" w:hAnsiTheme="minorHAnsi" w:cstheme="minorHAnsi"/>
              <w:sz w:val="22"/>
              <w:szCs w:val="22"/>
            </w:rPr>
            <w:t>Essentials of corporate financial management</w:t>
          </w:r>
          <w:r w:rsidRPr="0027530E">
            <w:rPr>
              <w:rFonts w:asciiTheme="minorHAnsi" w:hAnsiTheme="minorHAnsi" w:cstheme="minorHAnsi"/>
              <w:sz w:val="22"/>
              <w:szCs w:val="22"/>
            </w:rPr>
            <w:t xml:space="preserve"> (2nd ed.). Pearson.</w:t>
          </w:r>
        </w:p>
        <w:p w14:paraId="22D0AF53" w14:textId="77777777" w:rsidR="0027530E" w:rsidRPr="0027530E" w:rsidRDefault="0027530E" w:rsidP="0027530E">
          <w:pPr>
            <w:pStyle w:val="NormalWeb"/>
            <w:spacing w:before="0" w:beforeAutospacing="0" w:after="0" w:afterAutospacing="0" w:line="360" w:lineRule="auto"/>
            <w:ind w:left="720" w:hanging="720"/>
            <w:rPr>
              <w:rFonts w:asciiTheme="minorHAnsi" w:hAnsiTheme="minorHAnsi" w:cstheme="minorHAnsi"/>
              <w:sz w:val="22"/>
              <w:szCs w:val="22"/>
            </w:rPr>
          </w:pPr>
          <w:r w:rsidRPr="0027530E">
            <w:rPr>
              <w:rFonts w:asciiTheme="minorHAnsi" w:hAnsiTheme="minorHAnsi" w:cstheme="minorHAnsi"/>
              <w:sz w:val="22"/>
              <w:szCs w:val="22"/>
            </w:rPr>
            <w:t xml:space="preserve">Atrill, P., &amp; McLaney, E. (2019). </w:t>
          </w:r>
          <w:r w:rsidRPr="0027530E">
            <w:rPr>
              <w:rStyle w:val="Emphasis"/>
              <w:rFonts w:asciiTheme="minorHAnsi" w:eastAsiaTheme="majorEastAsia" w:hAnsiTheme="minorHAnsi" w:cstheme="minorHAnsi"/>
              <w:sz w:val="22"/>
              <w:szCs w:val="22"/>
            </w:rPr>
            <w:t>Financial management for decision makers</w:t>
          </w:r>
          <w:r w:rsidRPr="0027530E">
            <w:rPr>
              <w:rFonts w:asciiTheme="minorHAnsi" w:hAnsiTheme="minorHAnsi" w:cstheme="minorHAnsi"/>
              <w:sz w:val="22"/>
              <w:szCs w:val="22"/>
            </w:rPr>
            <w:t xml:space="preserve"> (9th ed.). Pearson.</w:t>
          </w:r>
        </w:p>
        <w:p w14:paraId="3AE2CF0E" w14:textId="77777777" w:rsidR="0027530E" w:rsidRPr="0027530E" w:rsidRDefault="0027530E" w:rsidP="0027530E">
          <w:pPr>
            <w:pStyle w:val="NormalWeb"/>
            <w:spacing w:before="0" w:beforeAutospacing="0" w:after="0" w:afterAutospacing="0" w:line="360" w:lineRule="auto"/>
            <w:ind w:left="720" w:hanging="720"/>
            <w:rPr>
              <w:rFonts w:asciiTheme="minorHAnsi" w:hAnsiTheme="minorHAnsi" w:cstheme="minorHAnsi"/>
              <w:sz w:val="22"/>
              <w:szCs w:val="22"/>
            </w:rPr>
          </w:pPr>
          <w:r w:rsidRPr="0027530E">
            <w:rPr>
              <w:rFonts w:asciiTheme="minorHAnsi" w:hAnsiTheme="minorHAnsi" w:cstheme="minorHAnsi"/>
              <w:sz w:val="22"/>
              <w:szCs w:val="22"/>
            </w:rPr>
            <w:t xml:space="preserve">Brealey, R. A., Myers, S. C., &amp; Allen, F. (2020). </w:t>
          </w:r>
          <w:r w:rsidRPr="0027530E">
            <w:rPr>
              <w:rStyle w:val="Emphasis"/>
              <w:rFonts w:asciiTheme="minorHAnsi" w:eastAsiaTheme="majorEastAsia" w:hAnsiTheme="minorHAnsi" w:cstheme="minorHAnsi"/>
              <w:sz w:val="22"/>
              <w:szCs w:val="22"/>
            </w:rPr>
            <w:t>Principles of corporate finance</w:t>
          </w:r>
          <w:r w:rsidRPr="0027530E">
            <w:rPr>
              <w:rFonts w:asciiTheme="minorHAnsi" w:hAnsiTheme="minorHAnsi" w:cstheme="minorHAnsi"/>
              <w:sz w:val="22"/>
              <w:szCs w:val="22"/>
            </w:rPr>
            <w:t xml:space="preserve"> (13th ed.). McGraw-Hill.</w:t>
          </w:r>
        </w:p>
        <w:p w14:paraId="2A2E2600" w14:textId="77777777" w:rsidR="0027530E" w:rsidRPr="0027530E" w:rsidRDefault="0027530E" w:rsidP="0027530E">
          <w:pPr>
            <w:pStyle w:val="NormalWeb"/>
            <w:spacing w:before="0" w:beforeAutospacing="0" w:after="0" w:afterAutospacing="0" w:line="360" w:lineRule="auto"/>
            <w:ind w:left="720" w:hanging="720"/>
            <w:rPr>
              <w:rFonts w:asciiTheme="minorHAnsi" w:hAnsiTheme="minorHAnsi" w:cstheme="minorHAnsi"/>
              <w:sz w:val="22"/>
              <w:szCs w:val="22"/>
            </w:rPr>
          </w:pPr>
          <w:r w:rsidRPr="0027530E">
            <w:rPr>
              <w:rFonts w:asciiTheme="minorHAnsi" w:hAnsiTheme="minorHAnsi" w:cstheme="minorHAnsi"/>
              <w:sz w:val="22"/>
              <w:szCs w:val="22"/>
            </w:rPr>
            <w:t xml:space="preserve">Damodaran, A. (2015). </w:t>
          </w:r>
          <w:r w:rsidRPr="0027530E">
            <w:rPr>
              <w:rStyle w:val="Emphasis"/>
              <w:rFonts w:asciiTheme="minorHAnsi" w:eastAsiaTheme="majorEastAsia" w:hAnsiTheme="minorHAnsi" w:cstheme="minorHAnsi"/>
              <w:sz w:val="22"/>
              <w:szCs w:val="22"/>
            </w:rPr>
            <w:t>Applied corporate finance</w:t>
          </w:r>
          <w:r w:rsidRPr="0027530E">
            <w:rPr>
              <w:rFonts w:asciiTheme="minorHAnsi" w:hAnsiTheme="minorHAnsi" w:cstheme="minorHAnsi"/>
              <w:sz w:val="22"/>
              <w:szCs w:val="22"/>
            </w:rPr>
            <w:t xml:space="preserve"> (4th ed.). Wiley.</w:t>
          </w:r>
        </w:p>
        <w:p w14:paraId="4774A6A4" w14:textId="77777777" w:rsidR="0027530E" w:rsidRPr="0027530E" w:rsidRDefault="0027530E" w:rsidP="0027530E">
          <w:pPr>
            <w:pStyle w:val="NormalWeb"/>
            <w:spacing w:before="0" w:beforeAutospacing="0" w:after="0" w:afterAutospacing="0" w:line="360" w:lineRule="auto"/>
            <w:ind w:left="720" w:hanging="720"/>
            <w:rPr>
              <w:rFonts w:asciiTheme="minorHAnsi" w:hAnsiTheme="minorHAnsi" w:cstheme="minorHAnsi"/>
              <w:sz w:val="22"/>
              <w:szCs w:val="22"/>
            </w:rPr>
          </w:pPr>
          <w:r w:rsidRPr="0027530E">
            <w:rPr>
              <w:rFonts w:asciiTheme="minorHAnsi" w:hAnsiTheme="minorHAnsi" w:cstheme="minorHAnsi"/>
              <w:sz w:val="22"/>
              <w:szCs w:val="22"/>
            </w:rPr>
            <w:t xml:space="preserve">Fisher, I. (1930). </w:t>
          </w:r>
          <w:r w:rsidRPr="0027530E">
            <w:rPr>
              <w:rStyle w:val="Emphasis"/>
              <w:rFonts w:asciiTheme="minorHAnsi" w:eastAsiaTheme="majorEastAsia" w:hAnsiTheme="minorHAnsi" w:cstheme="minorHAnsi"/>
              <w:sz w:val="22"/>
              <w:szCs w:val="22"/>
            </w:rPr>
            <w:t>The theory of interest</w:t>
          </w:r>
          <w:r w:rsidRPr="0027530E">
            <w:rPr>
              <w:rFonts w:asciiTheme="minorHAnsi" w:hAnsiTheme="minorHAnsi" w:cstheme="minorHAnsi"/>
              <w:sz w:val="22"/>
              <w:szCs w:val="22"/>
            </w:rPr>
            <w:t>. Macmillan.</w:t>
          </w:r>
        </w:p>
        <w:p w14:paraId="6129B6D8" w14:textId="77777777" w:rsidR="0027530E" w:rsidRPr="0027530E" w:rsidRDefault="0027530E" w:rsidP="0027530E">
          <w:pPr>
            <w:pStyle w:val="NormalWeb"/>
            <w:spacing w:before="0" w:beforeAutospacing="0" w:after="0" w:afterAutospacing="0" w:line="360" w:lineRule="auto"/>
            <w:ind w:left="720" w:hanging="720"/>
            <w:rPr>
              <w:rFonts w:asciiTheme="minorHAnsi" w:hAnsiTheme="minorHAnsi" w:cstheme="minorHAnsi"/>
              <w:sz w:val="22"/>
              <w:szCs w:val="22"/>
            </w:rPr>
          </w:pPr>
          <w:r w:rsidRPr="0027530E">
            <w:rPr>
              <w:rFonts w:asciiTheme="minorHAnsi" w:hAnsiTheme="minorHAnsi" w:cstheme="minorHAnsi"/>
              <w:sz w:val="22"/>
              <w:szCs w:val="22"/>
            </w:rPr>
            <w:t xml:space="preserve">Graham, J. R., &amp; Harvey, C. R. (2001). The theory and practice of corporate finance. </w:t>
          </w:r>
          <w:r w:rsidRPr="0027530E">
            <w:rPr>
              <w:rStyle w:val="Emphasis"/>
              <w:rFonts w:asciiTheme="minorHAnsi" w:eastAsiaTheme="majorEastAsia" w:hAnsiTheme="minorHAnsi" w:cstheme="minorHAnsi"/>
              <w:sz w:val="22"/>
              <w:szCs w:val="22"/>
            </w:rPr>
            <w:t>Journal of Financial Economics</w:t>
          </w:r>
          <w:r w:rsidRPr="0027530E">
            <w:rPr>
              <w:rFonts w:asciiTheme="minorHAnsi" w:hAnsiTheme="minorHAnsi" w:cstheme="minorHAnsi"/>
              <w:sz w:val="22"/>
              <w:szCs w:val="22"/>
            </w:rPr>
            <w:t>, 60(2–3), 187–243.</w:t>
          </w:r>
        </w:p>
        <w:p w14:paraId="1858716F" w14:textId="77777777" w:rsidR="0027530E" w:rsidRPr="0027530E" w:rsidRDefault="0027530E" w:rsidP="0027530E">
          <w:pPr>
            <w:pStyle w:val="NormalWeb"/>
            <w:spacing w:before="0" w:beforeAutospacing="0" w:after="0" w:afterAutospacing="0" w:line="360" w:lineRule="auto"/>
            <w:ind w:left="720" w:hanging="720"/>
            <w:rPr>
              <w:rFonts w:asciiTheme="minorHAnsi" w:hAnsiTheme="minorHAnsi" w:cstheme="minorHAnsi"/>
              <w:sz w:val="22"/>
              <w:szCs w:val="22"/>
            </w:rPr>
          </w:pPr>
          <w:r w:rsidRPr="0027530E">
            <w:rPr>
              <w:rFonts w:asciiTheme="minorHAnsi" w:hAnsiTheme="minorHAnsi" w:cstheme="minorHAnsi"/>
              <w:sz w:val="22"/>
              <w:szCs w:val="22"/>
            </w:rPr>
            <w:t xml:space="preserve">Kaplan, R. S., &amp; Norton, D. P. (2004). </w:t>
          </w:r>
          <w:r w:rsidRPr="0027530E">
            <w:rPr>
              <w:rFonts w:asciiTheme="minorHAnsi" w:hAnsiTheme="minorHAnsi" w:cstheme="minorHAnsi"/>
              <w:i/>
              <w:iCs/>
              <w:sz w:val="22"/>
              <w:szCs w:val="22"/>
            </w:rPr>
            <w:t>Strategy maps</w:t>
          </w:r>
          <w:r w:rsidRPr="0027530E">
            <w:rPr>
              <w:rFonts w:asciiTheme="minorHAnsi" w:hAnsiTheme="minorHAnsi" w:cstheme="minorHAnsi"/>
              <w:sz w:val="22"/>
              <w:szCs w:val="22"/>
            </w:rPr>
            <w:t>. Harvard Business School Press.</w:t>
          </w:r>
        </w:p>
        <w:p w14:paraId="1404778F" w14:textId="77777777" w:rsidR="0027530E" w:rsidRPr="0027530E" w:rsidRDefault="0027530E" w:rsidP="0027530E">
          <w:pPr>
            <w:pStyle w:val="NormalWeb"/>
            <w:spacing w:before="0" w:beforeAutospacing="0" w:after="0" w:afterAutospacing="0" w:line="360" w:lineRule="auto"/>
            <w:ind w:left="720" w:hanging="720"/>
            <w:rPr>
              <w:rFonts w:asciiTheme="minorHAnsi" w:hAnsiTheme="minorHAnsi" w:cstheme="minorHAnsi"/>
              <w:sz w:val="22"/>
              <w:szCs w:val="22"/>
            </w:rPr>
          </w:pPr>
          <w:r w:rsidRPr="0027530E">
            <w:rPr>
              <w:rFonts w:asciiTheme="minorHAnsi" w:hAnsiTheme="minorHAnsi" w:cstheme="minorHAnsi"/>
              <w:sz w:val="22"/>
              <w:szCs w:val="22"/>
            </w:rPr>
            <w:t xml:space="preserve">Modigliani, F., &amp; Miller, M. (1958). The cost of capital, corporation finance and the theory of investment. </w:t>
          </w:r>
          <w:r w:rsidRPr="0027530E">
            <w:rPr>
              <w:rFonts w:asciiTheme="minorHAnsi" w:hAnsiTheme="minorHAnsi" w:cstheme="minorHAnsi"/>
              <w:i/>
              <w:iCs/>
              <w:sz w:val="22"/>
              <w:szCs w:val="22"/>
            </w:rPr>
            <w:t>American Economic Review</w:t>
          </w:r>
          <w:r w:rsidRPr="0027530E">
            <w:rPr>
              <w:rFonts w:asciiTheme="minorHAnsi" w:hAnsiTheme="minorHAnsi" w:cstheme="minorHAnsi"/>
              <w:sz w:val="22"/>
              <w:szCs w:val="22"/>
            </w:rPr>
            <w:t>, 48(3), 261–297.</w:t>
          </w:r>
        </w:p>
        <w:p w14:paraId="0A6B6053" w14:textId="77777777" w:rsidR="0027530E" w:rsidRPr="0027530E" w:rsidRDefault="0027530E" w:rsidP="0027530E">
          <w:pPr>
            <w:pStyle w:val="NormalWeb"/>
            <w:spacing w:before="0" w:beforeAutospacing="0" w:after="0" w:afterAutospacing="0" w:line="360" w:lineRule="auto"/>
            <w:ind w:left="720" w:hanging="720"/>
            <w:rPr>
              <w:rFonts w:asciiTheme="minorHAnsi" w:hAnsiTheme="minorHAnsi" w:cstheme="minorHAnsi"/>
              <w:sz w:val="22"/>
              <w:szCs w:val="22"/>
            </w:rPr>
          </w:pPr>
          <w:r w:rsidRPr="0027530E">
            <w:rPr>
              <w:rFonts w:asciiTheme="minorHAnsi" w:hAnsiTheme="minorHAnsi" w:cstheme="minorHAnsi"/>
              <w:sz w:val="22"/>
              <w:szCs w:val="22"/>
            </w:rPr>
            <w:t xml:space="preserve">Myers, S. C. (1984). The capital structure puzzle. </w:t>
          </w:r>
          <w:r w:rsidRPr="0027530E">
            <w:rPr>
              <w:rFonts w:asciiTheme="minorHAnsi" w:hAnsiTheme="minorHAnsi" w:cstheme="minorHAnsi"/>
              <w:i/>
              <w:iCs/>
              <w:sz w:val="22"/>
              <w:szCs w:val="22"/>
            </w:rPr>
            <w:t>Journal of Finance</w:t>
          </w:r>
          <w:r w:rsidRPr="0027530E">
            <w:rPr>
              <w:rFonts w:asciiTheme="minorHAnsi" w:hAnsiTheme="minorHAnsi" w:cstheme="minorHAnsi"/>
              <w:sz w:val="22"/>
              <w:szCs w:val="22"/>
            </w:rPr>
            <w:t>, 39(3), 575–592.</w:t>
          </w:r>
        </w:p>
        <w:p w14:paraId="545B0C8B" w14:textId="77777777" w:rsidR="0027530E" w:rsidRPr="0027530E" w:rsidRDefault="0027530E" w:rsidP="0027530E">
          <w:pPr>
            <w:pStyle w:val="NormalWeb"/>
            <w:spacing w:before="0" w:beforeAutospacing="0" w:after="0" w:afterAutospacing="0" w:line="360" w:lineRule="auto"/>
            <w:ind w:left="720" w:hanging="720"/>
            <w:rPr>
              <w:rFonts w:asciiTheme="minorHAnsi" w:hAnsiTheme="minorHAnsi" w:cstheme="minorHAnsi"/>
              <w:sz w:val="22"/>
              <w:szCs w:val="22"/>
            </w:rPr>
          </w:pPr>
          <w:r w:rsidRPr="0027530E">
            <w:rPr>
              <w:rFonts w:asciiTheme="minorHAnsi" w:hAnsiTheme="minorHAnsi" w:cstheme="minorHAnsi"/>
              <w:sz w:val="22"/>
              <w:szCs w:val="22"/>
            </w:rPr>
            <w:t xml:space="preserve">Myers, S. C., &amp; Majluf, N. (1984). Corporate financing and investment decisions. </w:t>
          </w:r>
          <w:r w:rsidRPr="0027530E">
            <w:rPr>
              <w:rFonts w:asciiTheme="minorHAnsi" w:hAnsiTheme="minorHAnsi" w:cstheme="minorHAnsi"/>
              <w:i/>
              <w:iCs/>
              <w:sz w:val="22"/>
              <w:szCs w:val="22"/>
            </w:rPr>
            <w:t>Journal of Financial Economics</w:t>
          </w:r>
          <w:r w:rsidRPr="0027530E">
            <w:rPr>
              <w:rFonts w:asciiTheme="minorHAnsi" w:hAnsiTheme="minorHAnsi" w:cstheme="minorHAnsi"/>
              <w:sz w:val="22"/>
              <w:szCs w:val="22"/>
            </w:rPr>
            <w:t>, 13(2), 187–221.</w:t>
          </w:r>
        </w:p>
        <w:p w14:paraId="43FD19C5" w14:textId="77777777" w:rsidR="0027530E" w:rsidRPr="0027530E" w:rsidRDefault="0027530E" w:rsidP="0027530E">
          <w:pPr>
            <w:pStyle w:val="NormalWeb"/>
            <w:spacing w:before="0" w:beforeAutospacing="0" w:after="0" w:afterAutospacing="0" w:line="360" w:lineRule="auto"/>
            <w:ind w:left="720" w:hanging="720"/>
            <w:rPr>
              <w:rFonts w:asciiTheme="minorHAnsi" w:hAnsiTheme="minorHAnsi" w:cstheme="minorHAnsi"/>
              <w:sz w:val="22"/>
              <w:szCs w:val="22"/>
            </w:rPr>
          </w:pPr>
          <w:r w:rsidRPr="0027530E">
            <w:rPr>
              <w:rFonts w:asciiTheme="minorHAnsi" w:hAnsiTheme="minorHAnsi" w:cstheme="minorHAnsi"/>
              <w:sz w:val="22"/>
              <w:szCs w:val="22"/>
            </w:rPr>
            <w:t xml:space="preserve">Porter, M. E. (2008). </w:t>
          </w:r>
          <w:r w:rsidRPr="0027530E">
            <w:rPr>
              <w:rFonts w:asciiTheme="minorHAnsi" w:hAnsiTheme="minorHAnsi" w:cstheme="minorHAnsi"/>
              <w:i/>
              <w:iCs/>
              <w:sz w:val="22"/>
              <w:szCs w:val="22"/>
            </w:rPr>
            <w:t>Competitive strategy</w:t>
          </w:r>
          <w:r w:rsidRPr="0027530E">
            <w:rPr>
              <w:rFonts w:asciiTheme="minorHAnsi" w:hAnsiTheme="minorHAnsi" w:cstheme="minorHAnsi"/>
              <w:sz w:val="22"/>
              <w:szCs w:val="22"/>
            </w:rPr>
            <w:t>. Free Press.</w:t>
          </w:r>
        </w:p>
        <w:p w14:paraId="5FD27C45" w14:textId="77777777" w:rsidR="0027530E" w:rsidRPr="0027530E" w:rsidRDefault="0027530E" w:rsidP="0027530E">
          <w:pPr>
            <w:pStyle w:val="NormalWeb"/>
            <w:spacing w:before="0" w:beforeAutospacing="0" w:after="0" w:afterAutospacing="0" w:line="360" w:lineRule="auto"/>
            <w:ind w:left="720" w:hanging="720"/>
            <w:rPr>
              <w:rFonts w:asciiTheme="minorHAnsi" w:hAnsiTheme="minorHAnsi" w:cstheme="minorHAnsi"/>
              <w:sz w:val="22"/>
              <w:szCs w:val="22"/>
            </w:rPr>
          </w:pPr>
          <w:r w:rsidRPr="0027530E">
            <w:rPr>
              <w:rFonts w:asciiTheme="minorHAnsi" w:hAnsiTheme="minorHAnsi" w:cstheme="minorHAnsi"/>
              <w:sz w:val="22"/>
              <w:szCs w:val="22"/>
            </w:rPr>
            <w:t xml:space="preserve">Ross, S. A., Westerfield, R. W., &amp; Jordan, B. D. (2019). </w:t>
          </w:r>
          <w:r w:rsidRPr="0027530E">
            <w:rPr>
              <w:rStyle w:val="Emphasis"/>
              <w:rFonts w:asciiTheme="minorHAnsi" w:eastAsiaTheme="majorEastAsia" w:hAnsiTheme="minorHAnsi" w:cstheme="minorHAnsi"/>
              <w:sz w:val="22"/>
              <w:szCs w:val="22"/>
            </w:rPr>
            <w:t>Fundamentals of corporate finance</w:t>
          </w:r>
          <w:r w:rsidRPr="0027530E">
            <w:rPr>
              <w:rFonts w:asciiTheme="minorHAnsi" w:hAnsiTheme="minorHAnsi" w:cstheme="minorHAnsi"/>
              <w:sz w:val="22"/>
              <w:szCs w:val="22"/>
            </w:rPr>
            <w:t xml:space="preserve"> (12th ed.). McGraw-Hill.</w:t>
          </w:r>
        </w:p>
        <w:p w14:paraId="28F65DE0" w14:textId="77777777" w:rsidR="0027530E" w:rsidRPr="0027530E" w:rsidRDefault="0027530E" w:rsidP="0027530E">
          <w:pPr>
            <w:pStyle w:val="NormalWeb"/>
            <w:spacing w:before="0" w:beforeAutospacing="0" w:after="0" w:afterAutospacing="0" w:line="360" w:lineRule="auto"/>
            <w:ind w:left="720" w:hanging="720"/>
            <w:rPr>
              <w:rFonts w:asciiTheme="minorHAnsi" w:hAnsiTheme="minorHAnsi" w:cstheme="minorHAnsi"/>
              <w:sz w:val="22"/>
              <w:szCs w:val="22"/>
            </w:rPr>
          </w:pPr>
          <w:r w:rsidRPr="0027530E">
            <w:rPr>
              <w:rFonts w:asciiTheme="minorHAnsi" w:hAnsiTheme="minorHAnsi" w:cstheme="minorHAnsi"/>
              <w:sz w:val="22"/>
              <w:szCs w:val="22"/>
            </w:rPr>
            <w:t xml:space="preserve">Sainsbury . (2023). </w:t>
          </w:r>
          <w:r w:rsidRPr="0027530E">
            <w:rPr>
              <w:rStyle w:val="Emphasis"/>
              <w:rFonts w:asciiTheme="minorHAnsi" w:eastAsiaTheme="majorEastAsia" w:hAnsiTheme="minorHAnsi" w:cstheme="minorHAnsi"/>
              <w:sz w:val="22"/>
              <w:szCs w:val="22"/>
            </w:rPr>
            <w:t>Annual report and financial statements</w:t>
          </w:r>
          <w:r w:rsidRPr="0027530E">
            <w:rPr>
              <w:rFonts w:asciiTheme="minorHAnsi" w:hAnsiTheme="minorHAnsi" w:cstheme="minorHAnsi"/>
              <w:sz w:val="22"/>
              <w:szCs w:val="22"/>
            </w:rPr>
            <w:t>.</w:t>
          </w:r>
        </w:p>
        <w:p w14:paraId="0E7C290E" w14:textId="77777777" w:rsidR="0027530E" w:rsidRPr="0027530E" w:rsidRDefault="0027530E" w:rsidP="0027530E">
          <w:pPr>
            <w:pStyle w:val="NormalWeb"/>
            <w:spacing w:before="0" w:beforeAutospacing="0" w:after="0" w:afterAutospacing="0" w:line="360" w:lineRule="auto"/>
            <w:ind w:left="720" w:hanging="720"/>
            <w:rPr>
              <w:rFonts w:asciiTheme="minorHAnsi" w:hAnsiTheme="minorHAnsi" w:cstheme="minorHAnsi"/>
              <w:sz w:val="22"/>
              <w:szCs w:val="22"/>
            </w:rPr>
          </w:pPr>
          <w:r w:rsidRPr="0027530E">
            <w:rPr>
              <w:rFonts w:asciiTheme="minorHAnsi" w:hAnsiTheme="minorHAnsi" w:cstheme="minorHAnsi"/>
              <w:sz w:val="22"/>
              <w:szCs w:val="22"/>
            </w:rPr>
            <w:t xml:space="preserve">Sainsbury . (2024). </w:t>
          </w:r>
          <w:r w:rsidRPr="0027530E">
            <w:rPr>
              <w:rStyle w:val="Emphasis"/>
              <w:rFonts w:asciiTheme="minorHAnsi" w:eastAsiaTheme="majorEastAsia" w:hAnsiTheme="minorHAnsi" w:cstheme="minorHAnsi"/>
              <w:sz w:val="22"/>
              <w:szCs w:val="22"/>
            </w:rPr>
            <w:t>Annual report and financial statements</w:t>
          </w:r>
          <w:r w:rsidRPr="0027530E">
            <w:rPr>
              <w:rFonts w:asciiTheme="minorHAnsi" w:hAnsiTheme="minorHAnsi" w:cstheme="minorHAnsi"/>
              <w:sz w:val="22"/>
              <w:szCs w:val="22"/>
            </w:rPr>
            <w:t>.</w:t>
          </w:r>
        </w:p>
        <w:p w14:paraId="77D69E6F" w14:textId="014A98EF" w:rsidR="004A11F6" w:rsidRDefault="004C40AF" w:rsidP="007D1947">
          <w:pPr>
            <w:rPr>
              <w:rFonts w:cstheme="minorHAnsi"/>
            </w:rPr>
          </w:pPr>
          <w:r w:rsidRPr="004C40AF">
            <w:rPr>
              <w:rFonts w:cstheme="minorHAnsi"/>
            </w:rPr>
            <w:t>Kar, S.K., Bansal, R. and Mishra, S., 2021. Tesco: Entry and expansion strategy in India. Emerging Economies Cases Journal, 3(2), pp.65-76.</w:t>
          </w:r>
        </w:p>
        <w:p w14:paraId="2E2D9B3B" w14:textId="36F6DD25" w:rsidR="004C40AF" w:rsidRDefault="004C40AF" w:rsidP="007D1947">
          <w:pPr>
            <w:rPr>
              <w:rFonts w:cstheme="minorHAnsi"/>
            </w:rPr>
          </w:pPr>
          <w:r w:rsidRPr="004C40AF">
            <w:rPr>
              <w:rFonts w:cstheme="minorHAnsi"/>
            </w:rPr>
            <w:t>Gao, Z., 2024. A Study of Inflation in the UK’s Economy in 2021 and 2022. Highlights in Business, Economics and Management, 24, pp.1846-1850.</w:t>
          </w:r>
        </w:p>
        <w:p w14:paraId="4BB44E90" w14:textId="0BEF21E8" w:rsidR="00EB40BA" w:rsidRDefault="004C40AF" w:rsidP="004C40AF">
          <w:pPr>
            <w:rPr>
              <w:rFonts w:cstheme="minorHAnsi"/>
            </w:rPr>
          </w:pPr>
          <w:r w:rsidRPr="004C40AF">
            <w:rPr>
              <w:rFonts w:cstheme="minorHAnsi"/>
            </w:rPr>
            <w:t>Rashid, C.A., 2021</w:t>
          </w:r>
          <w:r w:rsidR="007C5EC2">
            <w:rPr>
              <w:rFonts w:cstheme="minorHAnsi"/>
            </w:rPr>
            <w:t>a</w:t>
          </w:r>
          <w:r w:rsidRPr="004C40AF">
            <w:rPr>
              <w:rFonts w:cstheme="minorHAnsi"/>
            </w:rPr>
            <w:t>. The efficiency of financial ratios analysis to evaluate company’s profitability. Journal of Global Economics and Business, 2(4), pp.119-132.</w:t>
          </w:r>
        </w:p>
      </w:sdtContent>
    </w:sdt>
    <w:p w14:paraId="1F4145EA" w14:textId="38666819" w:rsidR="00CF0E48" w:rsidRDefault="00EB40BA" w:rsidP="004C40AF">
      <w:pPr>
        <w:rPr>
          <w:rFonts w:cstheme="minorHAnsi"/>
        </w:rPr>
      </w:pPr>
      <w:r w:rsidRPr="00EB40BA">
        <w:rPr>
          <w:rFonts w:cstheme="minorHAnsi"/>
        </w:rPr>
        <w:t>Zalizniuk, V. and Nozhovnik, O., 2024. EXPRESS METHOD FOR CALCULATING GROSS MARGIN IN E-COMMERCE: A PRACTICAL APPROACH. Baltic Journal of Economic Studies, 10(4), pp.201-210.</w:t>
      </w:r>
    </w:p>
    <w:p w14:paraId="23C997F0" w14:textId="0B737477" w:rsidR="00EB40BA" w:rsidRDefault="00EB40BA" w:rsidP="004C40AF">
      <w:pPr>
        <w:rPr>
          <w:rFonts w:cstheme="minorHAnsi"/>
        </w:rPr>
      </w:pPr>
      <w:r w:rsidRPr="00EB40BA">
        <w:rPr>
          <w:rFonts w:cstheme="minorHAnsi"/>
        </w:rPr>
        <w:t>Rounaghi, M.M., Jarrar, H. and Dana, L.P., 2021. Implementation of strategic cost management in manufacturing companies: overcoming costs stickiness and increasing corporate sustainability. Future Business Journal, 7(1), p.31.</w:t>
      </w:r>
    </w:p>
    <w:p w14:paraId="4271BC2B" w14:textId="6F1AA5F7" w:rsidR="00EB40BA" w:rsidRDefault="00EB40BA" w:rsidP="004C40AF">
      <w:pPr>
        <w:rPr>
          <w:rFonts w:cstheme="minorHAnsi"/>
        </w:rPr>
      </w:pPr>
      <w:r w:rsidRPr="00EB40BA">
        <w:rPr>
          <w:rFonts w:cstheme="minorHAnsi"/>
        </w:rPr>
        <w:t>Shem, A.M. and Mupa, M.N., 2024. Turnaround Financing: Legal and Financial Considerations for Distressed Companies [online]</w:t>
      </w:r>
    </w:p>
    <w:p w14:paraId="6AC6CF5D" w14:textId="477E7B48" w:rsidR="00EB40BA" w:rsidRDefault="00EB40BA" w:rsidP="004C40AF">
      <w:pPr>
        <w:rPr>
          <w:rFonts w:cstheme="minorHAnsi"/>
        </w:rPr>
      </w:pPr>
      <w:r w:rsidRPr="00EB40BA">
        <w:rPr>
          <w:rFonts w:cstheme="minorHAnsi"/>
        </w:rPr>
        <w:t>Andoko, A. and Angeline, A., 2023. The Influence Of Debt To Equity Ratio, Operating Profit Margin Ratio And Operating Expense Toward Entity Income Tax Of Infrastructure, Utility And Transportation Companies Listed On The Indonesia Stock Exchange. International Journal Of Social, Policy and Law, 4(1), pp.58-68.</w:t>
      </w:r>
    </w:p>
    <w:p w14:paraId="3F85B660" w14:textId="0F4F0C9F" w:rsidR="00EB40BA" w:rsidRDefault="00EB40BA" w:rsidP="004C40AF">
      <w:pPr>
        <w:rPr>
          <w:rFonts w:cstheme="minorHAnsi"/>
        </w:rPr>
      </w:pPr>
      <w:r w:rsidRPr="00EB40BA">
        <w:rPr>
          <w:rFonts w:cstheme="minorHAnsi"/>
        </w:rPr>
        <w:t>Rosario, S. and Rosario, R., 2024. The Impact of Return on Capital Employed (ROCE) on Market Valuation: An Empirical Analysis of India’s Automobile and Paint Industries. RVIM Journal of Management Research, pp.20-25.</w:t>
      </w:r>
    </w:p>
    <w:p w14:paraId="377FA1C6" w14:textId="6FA8F228" w:rsidR="00EB40BA" w:rsidRDefault="00EB40BA" w:rsidP="004C40AF">
      <w:pPr>
        <w:rPr>
          <w:rFonts w:cstheme="minorHAnsi"/>
        </w:rPr>
      </w:pPr>
      <w:r w:rsidRPr="00EB40BA">
        <w:rPr>
          <w:rFonts w:cstheme="minorHAnsi"/>
        </w:rPr>
        <w:t>Kumar, R., 2025. Cash flow management in modern businesses: techniques for liquidity optimization. International Journal of Exploring Emerging Trends in Engineering, 11(4), pp.1-12.</w:t>
      </w:r>
    </w:p>
    <w:p w14:paraId="338F8E99" w14:textId="73AAF4BC" w:rsidR="00EB40BA" w:rsidRDefault="007C5EC2" w:rsidP="007C5EC2">
      <w:pPr>
        <w:rPr>
          <w:rFonts w:cstheme="minorHAnsi"/>
        </w:rPr>
      </w:pPr>
      <w:r w:rsidRPr="007C5EC2">
        <w:rPr>
          <w:rFonts w:cstheme="minorHAnsi"/>
        </w:rPr>
        <w:t xml:space="preserve">Sudirman, S., Abdullah, M.W. and Obie, M. (2020). The Effect of Current Ratio and Debt to Asset Ratio on Net Profit Margin and Stock Prices: a Study of Basic Industry and Chemicals Companies. International Journal of Scientific Research in Science and Technology, 7(5), pp.282–294. </w:t>
      </w:r>
      <w:r>
        <w:rPr>
          <w:rFonts w:cstheme="minorHAnsi"/>
        </w:rPr>
        <w:t>]</w:t>
      </w:r>
    </w:p>
    <w:p w14:paraId="285F573B" w14:textId="037089FE" w:rsidR="007C5EC2" w:rsidRDefault="007C5EC2" w:rsidP="007C5EC2">
      <w:pPr>
        <w:rPr>
          <w:rFonts w:cstheme="minorHAnsi"/>
        </w:rPr>
      </w:pPr>
      <w:r w:rsidRPr="007C5EC2">
        <w:rPr>
          <w:rFonts w:cstheme="minorHAnsi"/>
        </w:rPr>
        <w:t>Yusup, W.E. and Hariani, S., 2023. The effect of receivables turnover, inventory turnover and current ratio on profitability. Jurnal Riset Manajemen dan Bisnis, 8(1), pp.23-32.</w:t>
      </w:r>
    </w:p>
    <w:p w14:paraId="06BF0BE6" w14:textId="6FF46A44" w:rsidR="007C5EC2" w:rsidRDefault="007C5EC2" w:rsidP="007C5EC2">
      <w:pPr>
        <w:rPr>
          <w:rFonts w:cstheme="minorHAnsi"/>
        </w:rPr>
      </w:pPr>
      <w:r w:rsidRPr="007C5EC2">
        <w:rPr>
          <w:rFonts w:cstheme="minorHAnsi"/>
        </w:rPr>
        <w:t>Rashid, C.A., 2021</w:t>
      </w:r>
      <w:r>
        <w:rPr>
          <w:rFonts w:cstheme="minorHAnsi"/>
        </w:rPr>
        <w:t>b</w:t>
      </w:r>
      <w:r w:rsidRPr="007C5EC2">
        <w:rPr>
          <w:rFonts w:cstheme="minorHAnsi"/>
        </w:rPr>
        <w:t>. The efficiency of financial ratios analysis to evaluate company’s profitability. Journal of Global Economics and Business, 2(4), pp.119-132.</w:t>
      </w:r>
    </w:p>
    <w:p w14:paraId="790EDEF9" w14:textId="0940515E" w:rsidR="007C5EC2" w:rsidRDefault="007C5EC2" w:rsidP="007C5EC2">
      <w:pPr>
        <w:rPr>
          <w:rFonts w:cstheme="minorHAnsi"/>
        </w:rPr>
      </w:pPr>
      <w:r w:rsidRPr="007C5EC2">
        <w:rPr>
          <w:rFonts w:cstheme="minorHAnsi"/>
        </w:rPr>
        <w:t>Saghiri, S., Aktas, E. and Mohammadipour, M., 2023. Grocery omnichannel perishable inventories: performance measures and influencing factors. International Journal of Operations &amp; Production Management, 43(12), pp.1891-1919.</w:t>
      </w:r>
    </w:p>
    <w:p w14:paraId="1E7ACD59" w14:textId="02B4796E" w:rsidR="007C5EC2" w:rsidRDefault="007C5EC2" w:rsidP="007C5EC2">
      <w:pPr>
        <w:rPr>
          <w:rFonts w:cstheme="minorHAnsi"/>
        </w:rPr>
      </w:pPr>
      <w:r w:rsidRPr="007C5EC2">
        <w:rPr>
          <w:rFonts w:cstheme="minorHAnsi"/>
        </w:rPr>
        <w:t>Aldo, M., 2022. The Effect of Gearing, Price Earning Ratio, Interest Rate, Risk on Abnormal Return. Indonesian Interdisciplinary Journal of Sharia Economics (IIJSE), 5(2), pp.751-767.</w:t>
      </w:r>
    </w:p>
    <w:p w14:paraId="6CC83939" w14:textId="2ED31F8A" w:rsidR="007C5EC2" w:rsidRDefault="007C5EC2" w:rsidP="007C5EC2">
      <w:pPr>
        <w:rPr>
          <w:rFonts w:cstheme="minorHAnsi"/>
        </w:rPr>
      </w:pPr>
      <w:r w:rsidRPr="007C5EC2">
        <w:rPr>
          <w:rFonts w:cstheme="minorHAnsi"/>
        </w:rPr>
        <w:t>Mitra, S. and Samanta, P.K., 2022. Leverage tax benefit, non-debt tax shield, default risk and external financing policy of listed small and medium-sized transportation companies: a panel data approach. SKBU Business Review, 2(1).</w:t>
      </w:r>
    </w:p>
    <w:p w14:paraId="328F29F3" w14:textId="13715284" w:rsidR="007C5EC2" w:rsidRDefault="00E20678" w:rsidP="007C5EC2">
      <w:pPr>
        <w:rPr>
          <w:rFonts w:cstheme="minorHAnsi"/>
        </w:rPr>
      </w:pPr>
      <w:r w:rsidRPr="00E20678">
        <w:rPr>
          <w:rFonts w:cstheme="minorHAnsi"/>
        </w:rPr>
        <w:t>Taebi, N.A., Zeinali, H. and Beytollahi, A., 2022. The effect of company’s interest coverage ratio on the structural and reduced-form models in predicting credit derivatives price.</w:t>
      </w:r>
    </w:p>
    <w:p w14:paraId="664D207F" w14:textId="35463DF0" w:rsidR="00E20678" w:rsidRDefault="00E20678" w:rsidP="007C5EC2">
      <w:pPr>
        <w:rPr>
          <w:rFonts w:cstheme="minorHAnsi"/>
        </w:rPr>
      </w:pPr>
      <w:r w:rsidRPr="00E20678">
        <w:rPr>
          <w:rFonts w:cstheme="minorHAnsi"/>
        </w:rPr>
        <w:t>Arsal, M., 2021. Impact of earnings per share and dividend per share on firm value. ATESTASI: Jurnal Ilmiah Akuntansi, 4(1), pp.11-18.</w:t>
      </w:r>
    </w:p>
    <w:p w14:paraId="6BB41F16" w14:textId="6DDB63DD" w:rsidR="00E20678" w:rsidRDefault="00E20678" w:rsidP="007C5EC2">
      <w:pPr>
        <w:rPr>
          <w:rFonts w:cstheme="minorHAnsi"/>
        </w:rPr>
      </w:pPr>
      <w:r w:rsidRPr="00E20678">
        <w:rPr>
          <w:rFonts w:cstheme="minorHAnsi"/>
        </w:rPr>
        <w:t>Falavigna, G. and Ippoliti, R., 2021. Financial constraints and the sustainability of dividend payout policy. Sustainability, 13(11), p.6334.</w:t>
      </w:r>
    </w:p>
    <w:p w14:paraId="6542810E" w14:textId="4B18EB17" w:rsidR="00E20678" w:rsidRDefault="00E20678" w:rsidP="007C5EC2">
      <w:pPr>
        <w:rPr>
          <w:rFonts w:cstheme="minorHAnsi"/>
        </w:rPr>
      </w:pPr>
      <w:r w:rsidRPr="00E20678">
        <w:rPr>
          <w:rFonts w:cstheme="minorHAnsi"/>
        </w:rPr>
        <w:t>Adkins, L., Cooper, M. and Konings, M., 2021. Class in the 21st century: Asset inflation and the new logic of inequality. Environment and planning A: economy and space, 53(3), pp.548-572.</w:t>
      </w:r>
    </w:p>
    <w:p w14:paraId="0B043E1A" w14:textId="5582ED13" w:rsidR="00E20678" w:rsidRDefault="00E20678" w:rsidP="007C5EC2">
      <w:pPr>
        <w:rPr>
          <w:rFonts w:cstheme="minorHAnsi"/>
        </w:rPr>
      </w:pPr>
      <w:r w:rsidRPr="00E20678">
        <w:rPr>
          <w:rFonts w:cstheme="minorHAnsi"/>
        </w:rPr>
        <w:t>Ikue, N.J., 2024. Asymmetric impacts of retail energy prices on inflation in Nigeria. Bussecon Review of Social Sciences (2687-2285), 6(2), pp.25-35.</w:t>
      </w:r>
    </w:p>
    <w:p w14:paraId="678361DC" w14:textId="43C29FD7" w:rsidR="00E20678" w:rsidRDefault="00E20678" w:rsidP="007C5EC2">
      <w:pPr>
        <w:rPr>
          <w:rFonts w:cstheme="minorHAnsi"/>
        </w:rPr>
      </w:pPr>
      <w:r w:rsidRPr="00E20678">
        <w:rPr>
          <w:rFonts w:cstheme="minorHAnsi"/>
        </w:rPr>
        <w:t>Pereira, A.V., Dias, R., Galvão, R. and Varela, M., 2024. Cash flow and its components in investment valuation. Revista de Gestão Social e Ambiental, 18(5), pp.1-20.</w:t>
      </w:r>
    </w:p>
    <w:p w14:paraId="2EC3DF89" w14:textId="2CB8D305" w:rsidR="00E20678" w:rsidRDefault="00E20678" w:rsidP="007C5EC2">
      <w:pPr>
        <w:rPr>
          <w:rFonts w:cstheme="minorHAnsi"/>
        </w:rPr>
      </w:pPr>
      <w:r w:rsidRPr="00E20678">
        <w:rPr>
          <w:rFonts w:cstheme="minorHAnsi"/>
        </w:rPr>
        <w:t>Buchanan, D.L., 2025. METALS AND ENERGY FINANCE: Interrelationship between Technical and Financial Risk in Mineral Projects. World Scientific.</w:t>
      </w:r>
    </w:p>
    <w:p w14:paraId="6D810EF0" w14:textId="7413DBC0" w:rsidR="00E20678" w:rsidRDefault="00063929" w:rsidP="007C5EC2">
      <w:pPr>
        <w:rPr>
          <w:rFonts w:cstheme="minorHAnsi"/>
        </w:rPr>
      </w:pPr>
      <w:r w:rsidRPr="00063929">
        <w:rPr>
          <w:rFonts w:cstheme="minorHAnsi"/>
        </w:rPr>
        <w:t>Dai, H., Li, N., Wang, Y. and Zhao, X., 2022, March. The analysis of three main investment criteria: NPV IRR and payback period. In 2022 7th International Conference on Financial Innovation and Economic Development (ICFIED 2022) (pp. 185-189). Atlantis Press.</w:t>
      </w:r>
    </w:p>
    <w:p w14:paraId="5D4C6D1C" w14:textId="698B8699" w:rsidR="00063929" w:rsidRDefault="00063929" w:rsidP="007C5EC2">
      <w:pPr>
        <w:rPr>
          <w:rFonts w:cstheme="minorHAnsi"/>
        </w:rPr>
      </w:pPr>
      <w:r w:rsidRPr="00063929">
        <w:rPr>
          <w:rFonts w:cstheme="minorHAnsi"/>
        </w:rPr>
        <w:t>Perrelli, A., Sodré, E., Silva, V. and Santos, A., 2023. Maximizing returns and minimizing risks in hybrid renewable energy systems: A stochastic discounted cash flow analysis of wind and photovoltaic systems in Brazil. Energies, 16(19), p.6833.</w:t>
      </w:r>
    </w:p>
    <w:p w14:paraId="24D5173B" w14:textId="67593EEF" w:rsidR="00063929" w:rsidRDefault="00063929" w:rsidP="007C5EC2">
      <w:pPr>
        <w:rPr>
          <w:rFonts w:cstheme="minorHAnsi"/>
        </w:rPr>
      </w:pPr>
      <w:r w:rsidRPr="00063929">
        <w:rPr>
          <w:rFonts w:cstheme="minorHAnsi"/>
        </w:rPr>
        <w:t>Wangchuk, P., 2022. Application of depreciation net present value and internal rate of return in engineering projects a brief literature review. Journal of Applied Engineering, Technology and Management, 2(1), pp.25-30.</w:t>
      </w:r>
    </w:p>
    <w:p w14:paraId="04C717CC" w14:textId="6B4814EF" w:rsidR="00063929" w:rsidRDefault="00063929" w:rsidP="007C5EC2">
      <w:pPr>
        <w:rPr>
          <w:rFonts w:cstheme="minorHAnsi"/>
        </w:rPr>
      </w:pPr>
      <w:r w:rsidRPr="00063929">
        <w:rPr>
          <w:rFonts w:cstheme="minorHAnsi"/>
        </w:rPr>
        <w:t>Irwanto, R., 2021. Why IRR is not the right measure for return analysis and What’s then?. In International Conference on Engineering, Construction, Renewable Energy, and Advanced Materials.</w:t>
      </w:r>
    </w:p>
    <w:p w14:paraId="1496B40F" w14:textId="3398A4B6" w:rsidR="00063929" w:rsidRDefault="00063929" w:rsidP="007C5EC2">
      <w:pPr>
        <w:rPr>
          <w:rFonts w:cstheme="minorHAnsi"/>
        </w:rPr>
      </w:pPr>
      <w:r w:rsidRPr="00063929">
        <w:rPr>
          <w:rFonts w:cstheme="minorHAnsi"/>
        </w:rPr>
        <w:t>Sneps-Sneppe, M., 2023, May. Use of criteria NPV and IRR for choosing among investment projects. In 22nd International Scientific Conference Engineering for Rural Development Proceedings (pp. 745-750).</w:t>
      </w:r>
    </w:p>
    <w:p w14:paraId="7CB61666" w14:textId="3700023C" w:rsidR="00063929" w:rsidRDefault="00063929" w:rsidP="007C5EC2">
      <w:pPr>
        <w:rPr>
          <w:rFonts w:cstheme="minorHAnsi"/>
        </w:rPr>
      </w:pPr>
      <w:r w:rsidRPr="00063929">
        <w:rPr>
          <w:rFonts w:cstheme="minorHAnsi"/>
        </w:rPr>
        <w:t>Burcovich, L., 2021. Value-Based Management: Performance Indicators of Value Creation. Alternative Measures to Assess Shareholder Returns.</w:t>
      </w:r>
    </w:p>
    <w:p w14:paraId="5CF2FD79" w14:textId="1CCF96E9" w:rsidR="00063929" w:rsidRDefault="00063929" w:rsidP="007C5EC2">
      <w:pPr>
        <w:rPr>
          <w:rFonts w:cstheme="minorHAnsi"/>
        </w:rPr>
      </w:pPr>
      <w:r w:rsidRPr="00063929">
        <w:rPr>
          <w:rFonts w:cstheme="minorHAnsi"/>
        </w:rPr>
        <w:t>Sladkova, A., 2022. Assessment of the economic and environmental efficiency for the utilization of ferrous metallurgy slags.</w:t>
      </w:r>
    </w:p>
    <w:p w14:paraId="59D7088D" w14:textId="100BA22A" w:rsidR="00063929" w:rsidRDefault="00063929" w:rsidP="007C5EC2">
      <w:pPr>
        <w:rPr>
          <w:rFonts w:cstheme="minorHAnsi"/>
        </w:rPr>
      </w:pPr>
      <w:r w:rsidRPr="00063929">
        <w:rPr>
          <w:rFonts w:cstheme="minorHAnsi"/>
        </w:rPr>
        <w:t>Umoh, E., 2024. Insights into the Effect of Cash Flow Management on Corporate Performance in the Consumer Products Sector: A Study of BUA Cement Plc. Insights into the Effect of Cash Flow Management on Corporate Performance in the Consumer Products Sector: A Study of BUA Cement Plc (December 30, 2024).</w:t>
      </w:r>
    </w:p>
    <w:p w14:paraId="5387930D" w14:textId="5A30CA79" w:rsidR="00063929" w:rsidRDefault="000A019A" w:rsidP="007C5EC2">
      <w:pPr>
        <w:rPr>
          <w:rFonts w:cstheme="minorHAnsi"/>
        </w:rPr>
      </w:pPr>
      <w:r w:rsidRPr="000A019A">
        <w:rPr>
          <w:rFonts w:cstheme="minorHAnsi"/>
        </w:rPr>
        <w:t>Pamungkas, M.S., 2023. Capital Management Strategy for Liquidity Refinancing: A study on SMEs' Restructuring Solutions. SUKUK: INTERNATIONAL JOURNAL OF BANKING, FINANCE, MANAGEMENT AND BUSINESS, 2(II), pp.17-30.</w:t>
      </w:r>
    </w:p>
    <w:p w14:paraId="1A27CC65" w14:textId="1E5CAD99" w:rsidR="000A019A" w:rsidRDefault="000A019A" w:rsidP="007C5EC2">
      <w:pPr>
        <w:rPr>
          <w:rFonts w:cstheme="minorHAnsi"/>
        </w:rPr>
      </w:pPr>
      <w:r w:rsidRPr="000A019A">
        <w:rPr>
          <w:rFonts w:cstheme="minorHAnsi"/>
        </w:rPr>
        <w:t>Adam, S. and Miller, H., 2021. Taxing work and investment across legal forms: Pathways to welldesigned taxes (No. R184). IFS Report.</w:t>
      </w:r>
    </w:p>
    <w:p w14:paraId="180FAFDB" w14:textId="623BCF4D" w:rsidR="000A019A" w:rsidRDefault="000A019A" w:rsidP="007C5EC2">
      <w:pPr>
        <w:rPr>
          <w:rFonts w:cstheme="minorHAnsi"/>
        </w:rPr>
      </w:pPr>
      <w:r w:rsidRPr="000A019A">
        <w:rPr>
          <w:rFonts w:cstheme="minorHAnsi"/>
        </w:rPr>
        <w:t>Almanaseer, S., 2024. The Impact of Equity Financing on Financial Performance: Evidence from Jordan. Foundations of Management, 16(1), pp.157-176.</w:t>
      </w:r>
    </w:p>
    <w:p w14:paraId="4F81CD32" w14:textId="527F0BD9" w:rsidR="000A019A" w:rsidRDefault="000A019A" w:rsidP="007C5EC2">
      <w:pPr>
        <w:rPr>
          <w:rFonts w:cstheme="minorHAnsi"/>
        </w:rPr>
      </w:pPr>
      <w:r w:rsidRPr="000A019A">
        <w:rPr>
          <w:rFonts w:cstheme="minorHAnsi"/>
        </w:rPr>
        <w:t>Elghaish, F., Abrishami, S., Abu Samra, S., Gaterell, M., Hosseini, M.R. and Wise, R., 2021. Cash flow system development framework within integrated project delivery (IPD) using BIM tools. International Journal of Construction Management, 21(6), pp.555-570.</w:t>
      </w:r>
    </w:p>
    <w:p w14:paraId="7B99EAFB" w14:textId="5A9AAA39" w:rsidR="000A019A" w:rsidRDefault="000A019A" w:rsidP="007C5EC2">
      <w:pPr>
        <w:rPr>
          <w:rFonts w:cstheme="minorHAnsi"/>
        </w:rPr>
      </w:pPr>
      <w:r w:rsidRPr="000A019A">
        <w:rPr>
          <w:rFonts w:cstheme="minorHAnsi"/>
        </w:rPr>
        <w:t>Mäntysalo, R., Granqvist, K., Duman, O. and Mladenović, M.N., 2023. From forecasts to scenarios in strategic city-regional land-use and transportation planning. Regional Studies, 57(4), pp.629-641.</w:t>
      </w:r>
    </w:p>
    <w:p w14:paraId="4765DDE5" w14:textId="09224D12" w:rsidR="000A019A" w:rsidRPr="00063929" w:rsidRDefault="000A019A" w:rsidP="007C5EC2">
      <w:pPr>
        <w:rPr>
          <w:rFonts w:cstheme="minorHAnsi"/>
        </w:rPr>
      </w:pPr>
      <w:r w:rsidRPr="000A019A">
        <w:rPr>
          <w:rFonts w:cstheme="minorHAnsi"/>
        </w:rPr>
        <w:t>Pereira, A.V., Dias, R., Galvão, R. and Varela, M., 2024. Cash flow and its components in investment valuation. Revista de Gestão Social e Ambiental, 18(5), pp.1-20.</w:t>
      </w:r>
    </w:p>
    <w:sectPr w:rsidR="000A019A" w:rsidRPr="00063929" w:rsidSect="007D1947">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7D9D65" w14:textId="77777777" w:rsidR="00AA7660" w:rsidRDefault="00AA7660" w:rsidP="00F33B24">
      <w:pPr>
        <w:spacing w:after="0" w:line="240" w:lineRule="auto"/>
      </w:pPr>
      <w:r>
        <w:separator/>
      </w:r>
    </w:p>
  </w:endnote>
  <w:endnote w:type="continuationSeparator" w:id="0">
    <w:p w14:paraId="0A87C0B8" w14:textId="77777777" w:rsidR="00AA7660" w:rsidRDefault="00AA7660"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5088306"/>
      <w:docPartObj>
        <w:docPartGallery w:val="Page Numbers (Bottom of Page)"/>
        <w:docPartUnique/>
      </w:docPartObj>
    </w:sdtPr>
    <w:sdtEndPr>
      <w:rPr>
        <w:noProof/>
      </w:rPr>
    </w:sdtEndPr>
    <w:sdtContent>
      <w:p w14:paraId="4C366E65" w14:textId="31925501" w:rsidR="00F33B24" w:rsidRDefault="00F33B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7ED3F4" w14:textId="77777777" w:rsidR="00F33B24" w:rsidRDefault="00F33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F4008" w14:textId="77777777" w:rsidR="00AA7660" w:rsidRDefault="00AA7660" w:rsidP="00F33B24">
      <w:pPr>
        <w:spacing w:after="0" w:line="240" w:lineRule="auto"/>
      </w:pPr>
      <w:r>
        <w:separator/>
      </w:r>
    </w:p>
  </w:footnote>
  <w:footnote w:type="continuationSeparator" w:id="0">
    <w:p w14:paraId="40086F76" w14:textId="77777777" w:rsidR="00AA7660" w:rsidRDefault="00AA7660" w:rsidP="00F33B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6"/>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5C15"/>
    <w:rsid w:val="00063929"/>
    <w:rsid w:val="00084E65"/>
    <w:rsid w:val="000A019A"/>
    <w:rsid w:val="00107936"/>
    <w:rsid w:val="00115B96"/>
    <w:rsid w:val="001D3532"/>
    <w:rsid w:val="0023725C"/>
    <w:rsid w:val="0027530E"/>
    <w:rsid w:val="00306808"/>
    <w:rsid w:val="00324CCD"/>
    <w:rsid w:val="003C11E7"/>
    <w:rsid w:val="00480872"/>
    <w:rsid w:val="004A11F6"/>
    <w:rsid w:val="004C40AF"/>
    <w:rsid w:val="004D519C"/>
    <w:rsid w:val="007C5EC2"/>
    <w:rsid w:val="007D1947"/>
    <w:rsid w:val="008A3830"/>
    <w:rsid w:val="00931CAA"/>
    <w:rsid w:val="00A11633"/>
    <w:rsid w:val="00A12B58"/>
    <w:rsid w:val="00AA2A91"/>
    <w:rsid w:val="00AA7660"/>
    <w:rsid w:val="00BF4C9C"/>
    <w:rsid w:val="00C06376"/>
    <w:rsid w:val="00CA09F3"/>
    <w:rsid w:val="00CF0E48"/>
    <w:rsid w:val="00D854A5"/>
    <w:rsid w:val="00E20678"/>
    <w:rsid w:val="00E35910"/>
    <w:rsid w:val="00E473D3"/>
    <w:rsid w:val="00EB261C"/>
    <w:rsid w:val="00EB40BA"/>
    <w:rsid w:val="00F01D96"/>
    <w:rsid w:val="00F33B24"/>
    <w:rsid w:val="00F82CF1"/>
    <w:rsid w:val="00FB6AE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table" w:styleId="TableGrid">
    <w:name w:val="Table Grid"/>
    <w:basedOn w:val="TableNormal"/>
    <w:uiPriority w:val="39"/>
    <w:rsid w:val="0027530E"/>
    <w:pPr>
      <w:spacing w:after="0" w:line="240" w:lineRule="auto"/>
    </w:pPr>
    <w:rPr>
      <w:kern w:val="2"/>
      <w:sz w:val="24"/>
      <w:szCs w:val="24"/>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7530E"/>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27530E"/>
    <w:rPr>
      <w:i/>
      <w:iCs/>
    </w:rPr>
  </w:style>
  <w:style w:type="paragraph" w:styleId="TOC3">
    <w:name w:val="toc 3"/>
    <w:basedOn w:val="Normal"/>
    <w:next w:val="Normal"/>
    <w:autoRedefine/>
    <w:uiPriority w:val="39"/>
    <w:unhideWhenUsed/>
    <w:rsid w:val="0027530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3" Type="http://schemas.openxmlformats.org/officeDocument/2006/relationships/styles" Target="styles.xml" /><Relationship Id="rId21" Type="http://schemas.openxmlformats.org/officeDocument/2006/relationships/image" Target="media/image14.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 Type="http://schemas.openxmlformats.org/officeDocument/2006/relationships/customXml" Target="../customXml/item2.xml" /><Relationship Id="rId16" Type="http://schemas.openxmlformats.org/officeDocument/2006/relationships/image" Target="media/image9.png" /><Relationship Id="rId20" Type="http://schemas.openxmlformats.org/officeDocument/2006/relationships/image" Target="media/image13.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12/01/2026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6405</Words>
  <Characters>36515</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42835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MBA - Finance for Business Managers (BMMB7005D)</dc:subject>
  <dc:creator>Marie Pitson</dc:creator>
  <cp:keywords/>
  <dc:description/>
  <cp:lastModifiedBy>hani rosteenmehr</cp:lastModifiedBy>
  <cp:revision>2</cp:revision>
  <dcterms:created xsi:type="dcterms:W3CDTF">2026-01-12T22:47:00Z</dcterms:created>
  <dcterms:modified xsi:type="dcterms:W3CDTF">2026-01-12T22:47:00Z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182c0fd9-6d64-4988-8d06-f34aea9a2e7b</vt:lpwstr>
  </property>
</Properties>
</file>