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footnotes.xml" ContentType="application/vnd.openxmlformats-officedocument.wordprocessingml.footnot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p14:paraId="5E5787A5" wp14:textId="5349F90E">
      <w:r w:rsidR="4B828A44">
        <w:rPr/>
        <w:t xml:space="preserve">The Celts were an Indo-European people who once </w:t>
      </w:r>
      <w:r w:rsidR="1E5F6412">
        <w:rPr/>
        <w:t>inhabited</w:t>
      </w:r>
      <w:r w:rsidR="529CE93B">
        <w:rPr/>
        <w:t xml:space="preserve"> a majority of the European continent</w:t>
      </w:r>
      <w:r w:rsidR="09D83F2F">
        <w:rPr/>
        <w:t>, spanning from</w:t>
      </w:r>
      <w:r w:rsidR="282BF108">
        <w:rPr/>
        <w:t xml:space="preserve"> the </w:t>
      </w:r>
      <w:r w:rsidR="263CAC70">
        <w:rPr/>
        <w:t>Iberian Peninsula</w:t>
      </w:r>
      <w:r w:rsidR="5CE7F506">
        <w:rPr/>
        <w:t xml:space="preserve"> to the Balkans and the British Isles.</w:t>
      </w:r>
      <w:r w:rsidR="576B7DBB">
        <w:rPr/>
        <w:t xml:space="preserve"> In the modern day, the term ‘Celtic’ is used to refer to the six</w:t>
      </w:r>
      <w:r w:rsidR="1B1D6551">
        <w:rPr/>
        <w:t xml:space="preserve"> ‘Celtic countries’ of Wales, Scotland, Ireland, Cornwall, the Isle of Man and Brittany.</w:t>
      </w:r>
      <w:r w:rsidR="6CAE9583">
        <w:rPr/>
        <w:t xml:space="preserve"> Evidence for the Celtic art style can be found in the </w:t>
      </w:r>
      <w:r w:rsidR="0F9C1E8F">
        <w:rPr/>
        <w:t>La T</w:t>
      </w:r>
      <w:r w:rsidR="7B7C2B05">
        <w:rPr/>
        <w:t>ène culture</w:t>
      </w:r>
      <w:r w:rsidR="2C9740B2">
        <w:rPr/>
        <w:t>, f</w:t>
      </w:r>
      <w:r w:rsidR="13B0DA9B">
        <w:rPr/>
        <w:t>irst identified</w:t>
      </w:r>
      <w:r w:rsidR="2C9740B2">
        <w:rPr/>
        <w:t xml:space="preserve"> in an archaeological site of the same name in Switzerland,</w:t>
      </w:r>
      <w:r w:rsidR="7B7C2B05">
        <w:rPr/>
        <w:t xml:space="preserve"> that </w:t>
      </w:r>
      <w:r w:rsidR="7B7C2B05">
        <w:rPr/>
        <w:t>emerged</w:t>
      </w:r>
      <w:r w:rsidR="7B7C2B05">
        <w:rPr/>
        <w:t xml:space="preserve"> in </w:t>
      </w:r>
      <w:r w:rsidR="20B27C6C">
        <w:rPr/>
        <w:t>the middle of the 5</w:t>
      </w:r>
      <w:r w:rsidRPr="55B01488" w:rsidR="20B27C6C">
        <w:rPr>
          <w:vertAlign w:val="superscript"/>
        </w:rPr>
        <w:t>th</w:t>
      </w:r>
      <w:r w:rsidR="20B27C6C">
        <w:rPr/>
        <w:t xml:space="preserve"> century B.C.E</w:t>
      </w:r>
      <w:r w:rsidR="11D33DB8">
        <w:rPr/>
        <w:t xml:space="preserve">, where trade with the Etruscans </w:t>
      </w:r>
      <w:r w:rsidR="6A938B20">
        <w:rPr/>
        <w:t xml:space="preserve">in Italy </w:t>
      </w:r>
      <w:r w:rsidR="11D33DB8">
        <w:rPr/>
        <w:t>was becoming predominant.</w:t>
      </w:r>
      <w:r w:rsidR="3B7AB960">
        <w:rPr/>
        <w:t xml:space="preserve"> This culture </w:t>
      </w:r>
      <w:r w:rsidR="72264052">
        <w:rPr/>
        <w:t xml:space="preserve">spread alongside </w:t>
      </w:r>
      <w:r w:rsidR="3B7AB960">
        <w:rPr/>
        <w:t xml:space="preserve">the Celts</w:t>
      </w:r>
      <w:r w:rsidR="4A2F1CC6">
        <w:rPr/>
        <w:t xml:space="preserve">, following them with </w:t>
      </w:r>
      <w:r w:rsidR="3B7AB960">
        <w:rPr/>
        <w:t xml:space="preserve">their migrations to the British Isles and eastern Europe</w:t>
      </w:r>
      <w:r w:rsidRPr="55B01488">
        <w:rPr>
          <w:rStyle w:val="FootnoteReference"/>
        </w:rPr>
        <w:footnoteReference w:id="31433"/>
      </w:r>
      <w:r w:rsidR="236804C6">
        <w:rPr/>
        <w:t xml:space="preserve"> </w:t>
      </w:r>
      <w:r w:rsidR="1A05F5D8">
        <w:rPr/>
        <w:t xml:space="preserve">until </w:t>
      </w:r>
      <w:r w:rsidR="1A05F5D8">
        <w:rPr/>
        <w:t>coming to an</w:t>
      </w:r>
      <w:r w:rsidR="6A226B89">
        <w:rPr/>
        <w:t xml:space="preserve"> end</w:t>
      </w:r>
      <w:r w:rsidR="6A226B89">
        <w:rPr/>
        <w:t xml:space="preserve"> in the mid-1</w:t>
      </w:r>
      <w:r w:rsidRPr="55B01488" w:rsidR="6A226B89">
        <w:rPr>
          <w:vertAlign w:val="superscript"/>
        </w:rPr>
        <w:t>st</w:t>
      </w:r>
      <w:r w:rsidR="6A226B89">
        <w:rPr/>
        <w:t xml:space="preserve"> century B.C.E</w:t>
      </w:r>
      <w:r w:rsidR="64F7924F">
        <w:rPr/>
        <w:t xml:space="preserve"> whe</w:t>
      </w:r>
      <w:r w:rsidR="74D41504">
        <w:rPr/>
        <w:t xml:space="preserve">n </w:t>
      </w:r>
      <w:r w:rsidR="64F7924F">
        <w:rPr/>
        <w:t>the Celts</w:t>
      </w:r>
      <w:r w:rsidR="0750AD3E">
        <w:rPr/>
        <w:t xml:space="preserve"> lost their </w:t>
      </w:r>
      <w:r w:rsidR="7D7E21F6">
        <w:rPr/>
        <w:t>independence</w:t>
      </w:r>
      <w:r w:rsidR="0750AD3E">
        <w:rPr/>
        <w:t xml:space="preserve"> due to Roman </w:t>
      </w:r>
      <w:r w:rsidR="0750AD3E">
        <w:rPr/>
        <w:t xml:space="preserve">exp</w:t>
      </w:r>
      <w:r w:rsidR="3272ED6D">
        <w:rPr/>
        <w:t>ansion.</w:t>
      </w:r>
      <w:r w:rsidRPr="55B01488">
        <w:rPr>
          <w:rStyle w:val="FootnoteReference"/>
        </w:rPr>
        <w:footnoteReference w:id="7903"/>
      </w:r>
    </w:p>
    <w:p w:rsidR="1F07F882" w:rsidP="55B01488" w:rsidRDefault="1F07F882" w14:paraId="4C57BB13" w14:textId="2E58F40B">
      <w:pPr>
        <w:pStyle w:val="Normal"/>
      </w:pPr>
      <w:r w:rsidR="1F07F882">
        <w:rPr/>
        <w:t xml:space="preserve">The La Tène art style replaced that of the </w:t>
      </w:r>
      <w:bookmarkStart w:name="_Int_ZqjbQkMt" w:id="1872751656"/>
      <w:r w:rsidR="1F07F882">
        <w:rPr/>
        <w:t>previous</w:t>
      </w:r>
      <w:bookmarkEnd w:id="1872751656"/>
      <w:r w:rsidR="1F07F882">
        <w:rPr/>
        <w:t xml:space="preserve"> </w:t>
      </w:r>
      <w:r w:rsidR="1F07F882">
        <w:rPr/>
        <w:t>Halstatt</w:t>
      </w:r>
      <w:r w:rsidR="1F07F882">
        <w:rPr/>
        <w:t xml:space="preserve"> culture</w:t>
      </w:r>
      <w:r w:rsidR="6410DF0D">
        <w:rPr/>
        <w:t xml:space="preserve">. </w:t>
      </w:r>
      <w:bookmarkStart w:name="_Int_XwcNyaid" w:id="1786457383"/>
      <w:r w:rsidR="6410DF0D">
        <w:rPr/>
        <w:t xml:space="preserve">The </w:t>
      </w:r>
      <w:r w:rsidR="09076B11">
        <w:rPr/>
        <w:t>majority of</w:t>
      </w:r>
      <w:bookmarkEnd w:id="1786457383"/>
      <w:r w:rsidR="09076B11">
        <w:rPr/>
        <w:t xml:space="preserve"> examples of </w:t>
      </w:r>
      <w:r w:rsidR="7F6FA14B">
        <w:rPr/>
        <w:t xml:space="preserve">this style of artwork can be found in small-scale work, such as </w:t>
      </w:r>
      <w:r w:rsidR="5982CE66">
        <w:rPr/>
        <w:t>jewellery and household utensils</w:t>
      </w:r>
      <w:r w:rsidR="10DFD641">
        <w:rPr/>
        <w:t xml:space="preserve"> and it </w:t>
      </w:r>
      <w:r w:rsidR="10DFD641">
        <w:rPr/>
        <w:t>demonstrates</w:t>
      </w:r>
      <w:r w:rsidR="10DFD641">
        <w:rPr/>
        <w:t xml:space="preserve"> a preference for</w:t>
      </w:r>
      <w:r w:rsidR="607DCB52">
        <w:rPr/>
        <w:t xml:space="preserve"> S-shapes, spirals, soft and fluid forms over stiff geometric patterns</w:t>
      </w:r>
      <w:r w:rsidR="54CD4EF4">
        <w:rPr/>
        <w:t xml:space="preserve">. This fluidity meant that it was common to see the </w:t>
      </w:r>
      <w:r w:rsidR="53C8A836">
        <w:rPr/>
        <w:t xml:space="preserve">inclusion of plant motifs and animalistic representations worked into the ornamentations.</w:t>
      </w:r>
      <w:r w:rsidRPr="55B01488">
        <w:rPr>
          <w:rStyle w:val="FootnoteReference"/>
        </w:rPr>
        <w:footnoteReference w:id="11395"/>
      </w:r>
      <w:r w:rsidR="643E2D36">
        <w:rPr/>
        <w:t xml:space="preserve"> </w:t>
      </w:r>
      <w:r w:rsidRPr="55B01488">
        <w:rPr>
          <w:rStyle w:val="FootnoteReference"/>
        </w:rPr>
        <w:footnoteReference w:id="19590"/>
      </w:r>
      <w:r w:rsidR="3E7CA01E">
        <w:rPr/>
        <w:t xml:space="preserve"> Human faces were also a popular </w:t>
      </w:r>
      <w:r w:rsidR="74360302">
        <w:rPr/>
        <w:t>motif;</w:t>
      </w:r>
      <w:r w:rsidR="3E7CA01E">
        <w:rPr/>
        <w:t xml:space="preserve"> </w:t>
      </w:r>
      <w:r w:rsidR="42F31FD7">
        <w:rPr/>
        <w:t>however,</w:t>
      </w:r>
      <w:r w:rsidR="3E7CA01E">
        <w:rPr/>
        <w:t xml:space="preserve"> they were often</w:t>
      </w:r>
      <w:r w:rsidR="5F160094">
        <w:rPr/>
        <w:t xml:space="preserve"> distorted </w:t>
      </w:r>
      <w:r w:rsidR="5F160094">
        <w:rPr/>
        <w:t>almost completely</w:t>
      </w:r>
      <w:r w:rsidR="5F160094">
        <w:rPr/>
        <w:t xml:space="preserve"> beyond recognition and complete human</w:t>
      </w:r>
      <w:r w:rsidR="11FF681E">
        <w:rPr/>
        <w:t xml:space="preserve"> figures were rarely represented, and </w:t>
      </w:r>
      <w:r w:rsidR="5168B8E0">
        <w:rPr/>
        <w:t xml:space="preserve">where they were, they were heavily stylised.</w:t>
      </w:r>
      <w:r w:rsidRPr="55B01488">
        <w:rPr>
          <w:rStyle w:val="FootnoteReference"/>
        </w:rPr>
        <w:footnoteReference w:id="12688"/>
      </w:r>
      <w:r w:rsidR="65A06440">
        <w:rPr/>
        <w:t xml:space="preserve"> </w:t>
      </w:r>
      <w:r w:rsidR="00F71B7A">
        <w:rPr/>
        <w:t>An example of the La Tène</w:t>
      </w:r>
      <w:r w:rsidR="79279EBD">
        <w:rPr/>
        <w:t xml:space="preserve"> style can be found in the Snettisham Great Torc</w:t>
      </w:r>
      <w:r w:rsidR="7D7BC906">
        <w:rPr/>
        <w:t>.</w:t>
      </w:r>
      <w:r w:rsidR="03BBB73D">
        <w:rPr/>
        <w:t xml:space="preserve"> </w:t>
      </w:r>
      <w:r w:rsidR="5FD19A0D">
        <w:rPr/>
        <w:t xml:space="preserve">A torc is a type of </w:t>
      </w:r>
      <w:r w:rsidR="623B0CF4">
        <w:rPr/>
        <w:t xml:space="preserve">jewellery</w:t>
      </w:r>
      <w:r w:rsidR="5FD19A0D">
        <w:rPr/>
        <w:t xml:space="preserve"> found in </w:t>
      </w:r>
      <w:bookmarkStart w:name="_Int_IPHExjso" w:id="852452473"/>
      <w:r w:rsidR="2D4CA3C7">
        <w:rPr/>
        <w:t xml:space="preserve">a number</w:t>
      </w:r>
      <w:r w:rsidR="2E6E2E74">
        <w:rPr/>
        <w:t xml:space="preserve"> </w:t>
      </w:r>
      <w:r w:rsidR="2D4CA3C7">
        <w:rPr/>
        <w:t xml:space="preserve">of</w:t>
      </w:r>
      <w:bookmarkEnd w:id="852452473"/>
      <w:r w:rsidR="2D4CA3C7">
        <w:rPr/>
        <w:t xml:space="preserve"> </w:t>
      </w:r>
      <w:r w:rsidR="2E6E2E74">
        <w:rPr/>
        <w:t xml:space="preserve">cultures from Iron Age Europe</w:t>
      </w:r>
      <w:r w:rsidR="3204136A">
        <w:rPr/>
        <w:t xml:space="preserve">, including the </w:t>
      </w:r>
      <w:r w:rsidR="68C55633">
        <w:rPr/>
        <w:t xml:space="preserve">Celts, which </w:t>
      </w:r>
      <w:r w:rsidR="2E6E2E74">
        <w:rPr/>
        <w:t xml:space="preserve">would have been worn around a </w:t>
      </w:r>
      <w:r w:rsidR="5A5A2FFD">
        <w:rPr/>
        <w:t xml:space="preserve">person's</w:t>
      </w:r>
      <w:r w:rsidR="2E6E2E74">
        <w:rPr/>
        <w:t xml:space="preserve"> neck</w:t>
      </w:r>
      <w:r w:rsidR="4555D16B">
        <w:rPr/>
        <w:t xml:space="preserve">.</w:t>
      </w:r>
      <w:r w:rsidR="77847351">
        <w:rPr/>
        <w:t xml:space="preserve"> Some torcs were made to form a complete ring when worn, however in Britain and Ireland, torcs </w:t>
      </w:r>
      <w:r w:rsidR="4874BA40">
        <w:rPr/>
        <w:t xml:space="preserve">often had </w:t>
      </w:r>
      <w:r w:rsidR="504CDF58">
        <w:rPr/>
        <w:t xml:space="preserve">a centre gap and two circular terminals on either side</w:t>
      </w:r>
      <w:r w:rsidRPr="5A556F64">
        <w:rPr>
          <w:rStyle w:val="FootnoteReference"/>
        </w:rPr>
        <w:footnoteReference w:id="7300"/>
      </w:r>
      <w:r w:rsidR="5CCC68C2">
        <w:rPr/>
        <w:t xml:space="preserve"> (such as </w:t>
      </w:r>
      <w:r w:rsidR="791E6498">
        <w:rPr/>
        <w:t xml:space="preserve">the </w:t>
      </w:r>
      <w:r w:rsidR="504CDF58">
        <w:rPr/>
        <w:t xml:space="preserve">Great Torc from Snettisham, pictured </w:t>
      </w:r>
      <w:r w:rsidR="129F3646">
        <w:rPr/>
        <w:t xml:space="preserve">below</w:t>
      </w:r>
      <w:r w:rsidR="504CDF58">
        <w:rPr/>
        <w:t xml:space="preserve">)</w:t>
      </w:r>
      <w:r w:rsidR="504CDF58">
        <w:rPr/>
        <w:t xml:space="preserve">.</w:t>
      </w:r>
    </w:p>
    <w:p w:rsidR="00F71B7A" w:rsidP="60EB88BF" w:rsidRDefault="00F71B7A" w14:paraId="4851D82B" w14:textId="395D440A">
      <w:pPr>
        <w:pStyle w:val="Normal"/>
        <w:jc w:val="center"/>
        <w:rPr>
          <w:rStyle w:val="FootnoteReference"/>
        </w:rPr>
      </w:pPr>
      <w:r w:rsidR="0D956236">
        <w:drawing>
          <wp:inline wp14:editId="4ABD7CA4" wp14:anchorId="62A30286">
            <wp:extent cx="3388562" cy="2576663"/>
            <wp:effectExtent l="228600" t="228600" r="231140" b="224155"/>
            <wp:docPr id="1781621009" name="drawing" descr="&#10;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18157382" name="Picture 1518157382"/>
                    <pic:cNvPicPr/>
                  </pic:nvPicPr>
                  <pic:blipFill>
                    <a:blip xmlns:r="http://schemas.openxmlformats.org/officeDocument/2006/relationships" r:embed="rId214244022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3388562" cy="2576663"/>
                    </a:xfrm>
                    <a:prstGeom prst="rect">
                      <a:avLst/>
                    </a:prstGeom>
                    <a:ln w="228600" cap="sq" cmpd="thickThin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innerShdw blurRad="76200">
                        <a:srgbClr val="000000"/>
                      </a:innerShdw>
                    </a:effectLst>
                  </pic:spPr>
                </pic:pic>
              </a:graphicData>
            </a:graphic>
          </wp:inline>
        </w:drawing>
      </w:r>
    </w:p>
    <w:p w:rsidR="6A4A4BE1" w:rsidP="60EB88BF" w:rsidRDefault="6A4A4BE1" w14:paraId="32B8C215" w14:textId="536B949E">
      <w:pPr>
        <w:pStyle w:val="Normal"/>
      </w:pPr>
      <w:r w:rsidR="6A4A4BE1">
        <w:rPr/>
        <w:t>(</w:t>
      </w:r>
      <w:r w:rsidRPr="60EB88BF" w:rsidR="6A4A4BE1">
        <w:rPr>
          <w:i w:val="1"/>
          <w:iCs w:val="1"/>
        </w:rPr>
        <w:t xml:space="preserve">Image from The British Museum, published to the World History </w:t>
      </w:r>
      <w:r w:rsidRPr="60EB88BF" w:rsidR="6A4A4BE1">
        <w:rPr>
          <w:i w:val="1"/>
          <w:iCs w:val="1"/>
        </w:rPr>
        <w:t>Encyclopedia</w:t>
      </w:r>
      <w:r w:rsidR="0C4DE348">
        <w:rPr/>
        <w:t>)</w:t>
      </w:r>
    </w:p>
    <w:p w:rsidR="00F71B7A" w:rsidP="55B01488" w:rsidRDefault="00F71B7A" w14:paraId="4A5A06C4" w14:textId="5CCCDD68">
      <w:pPr>
        <w:pStyle w:val="Normal"/>
      </w:pPr>
      <w:r w:rsidR="62D5D7E8">
        <w:rPr/>
        <w:t xml:space="preserve">The Snettisham Great Torc </w:t>
      </w:r>
      <w:r w:rsidR="27817A33">
        <w:rPr/>
        <w:t xml:space="preserve">is an extremely elaborate gold torc that </w:t>
      </w:r>
      <w:r w:rsidR="62D5D7E8">
        <w:rPr/>
        <w:t xml:space="preserve">was </w:t>
      </w:r>
      <w:r w:rsidR="48985185">
        <w:rPr/>
        <w:t xml:space="preserve">discovered </w:t>
      </w:r>
      <w:r w:rsidR="603EF1C6">
        <w:rPr/>
        <w:t xml:space="preserve">as </w:t>
      </w:r>
      <w:r w:rsidR="48985185">
        <w:rPr/>
        <w:t xml:space="preserve">a </w:t>
      </w:r>
      <w:r w:rsidR="3308B063">
        <w:rPr/>
        <w:t xml:space="preserve">part of a </w:t>
      </w:r>
      <w:r w:rsidR="48985185">
        <w:rPr/>
        <w:t xml:space="preserve">burial hoard in </w:t>
      </w:r>
      <w:r w:rsidR="2D5741C5">
        <w:rPr/>
        <w:t xml:space="preserve">a field at Ken Hill in </w:t>
      </w:r>
      <w:r w:rsidR="48985185">
        <w:rPr/>
        <w:t xml:space="preserve">Snettisham, Norfolk, in 1950</w:t>
      </w:r>
      <w:r w:rsidR="3EE3ADBD">
        <w:rPr/>
        <w:t xml:space="preserve"> after the field was ploughed. </w:t>
      </w:r>
      <w:r w:rsidR="5D1545DA">
        <w:rPr/>
        <w:t xml:space="preserve">This area overall has held </w:t>
      </w:r>
      <w:bookmarkStart w:name="_Int_mRo9X4nQ" w:id="128476600"/>
      <w:r w:rsidR="5D1545DA">
        <w:rPr/>
        <w:t xml:space="preserve">a number of</w:t>
      </w:r>
      <w:bookmarkEnd w:id="128476600"/>
      <w:r w:rsidR="5D1545DA">
        <w:rPr/>
        <w:t xml:space="preserve"> buri</w:t>
      </w:r>
      <w:r w:rsidR="115D73E2">
        <w:rPr/>
        <w:t xml:space="preserve">al hoards, others of which</w:t>
      </w:r>
      <w:r w:rsidR="3EE3ADBD">
        <w:rPr/>
        <w:t xml:space="preserve"> </w:t>
      </w:r>
      <w:r w:rsidR="3EE3ADBD">
        <w:rPr/>
        <w:t xml:space="preserve">were found in the same</w:t>
      </w:r>
      <w:r w:rsidR="72B9579F">
        <w:rPr/>
        <w:t xml:space="preserve"> field in 1948 and 1990</w:t>
      </w:r>
      <w:r w:rsidR="48985185">
        <w:rPr/>
        <w:t xml:space="preserve">. </w:t>
      </w:r>
      <w:r w:rsidR="70CC59D6">
        <w:rPr/>
        <w:t xml:space="preserve">The torc</w:t>
      </w:r>
      <w:r w:rsidR="5CDAE0DB">
        <w:rPr/>
        <w:t xml:space="preserve"> was buried alongside </w:t>
      </w:r>
      <w:r w:rsidR="306465A8">
        <w:rPr/>
        <w:t xml:space="preserve">other jewellery pieces</w:t>
      </w:r>
      <w:r w:rsidR="660019A9">
        <w:rPr/>
        <w:t xml:space="preserve"> such as a bracelet</w:t>
      </w:r>
      <w:r w:rsidR="306465A8">
        <w:rPr/>
        <w:t xml:space="preserve">, </w:t>
      </w:r>
      <w:r w:rsidR="22F745DB">
        <w:rPr/>
        <w:t xml:space="preserve">a</w:t>
      </w:r>
      <w:r w:rsidR="28CC0CBF">
        <w:rPr/>
        <w:t xml:space="preserve">nd was also buried</w:t>
      </w:r>
      <w:r w:rsidR="22F745DB">
        <w:rPr/>
        <w:t xml:space="preserve"> </w:t>
      </w:r>
      <w:r w:rsidR="5B7A5EA3">
        <w:rPr/>
        <w:t xml:space="preserve">with</w:t>
      </w:r>
      <w:r w:rsidR="22F745DB">
        <w:rPr/>
        <w:t xml:space="preserve"> </w:t>
      </w:r>
      <w:r w:rsidR="5E4C6E87">
        <w:rPr/>
        <w:t xml:space="preserve">a </w:t>
      </w:r>
      <w:r w:rsidR="22F745DB">
        <w:rPr/>
        <w:t xml:space="preserve">coin which suggested</w:t>
      </w:r>
      <w:r w:rsidR="6D2DE3E4">
        <w:rPr/>
        <w:t xml:space="preserve"> the</w:t>
      </w:r>
      <w:r w:rsidR="22F745DB">
        <w:rPr/>
        <w:t xml:space="preserve"> hoard was buried sometime around the year 75 B.C.E.</w:t>
      </w:r>
      <w:r w:rsidRPr="6E22EEF5">
        <w:rPr>
          <w:rStyle w:val="FootnoteReference"/>
        </w:rPr>
        <w:footnoteReference w:id="18195"/>
      </w:r>
      <w:r w:rsidR="0E926719">
        <w:rPr/>
        <w:t xml:space="preserve"> </w:t>
      </w:r>
      <w:r w:rsidR="00FD268C">
        <w:rPr/>
        <w:t xml:space="preserve">The Great Torc was </w:t>
      </w:r>
      <w:r w:rsidR="00FD268C">
        <w:rPr/>
        <w:t xml:space="preserve">purchased</w:t>
      </w:r>
      <w:r w:rsidR="00FD268C">
        <w:rPr/>
        <w:t xml:space="preserve"> by the British </w:t>
      </w:r>
      <w:r w:rsidR="6D73339E">
        <w:rPr/>
        <w:t xml:space="preserve">Museum,</w:t>
      </w:r>
      <w:r w:rsidR="00FD268C">
        <w:rPr/>
        <w:t xml:space="preserve"> and </w:t>
      </w:r>
      <w:r w:rsidR="75FCC454">
        <w:rPr/>
        <w:t xml:space="preserve">it was</w:t>
      </w:r>
      <w:r w:rsidR="00FD268C">
        <w:rPr/>
        <w:t xml:space="preserve"> </w:t>
      </w:r>
      <w:r w:rsidR="75FCC454">
        <w:rPr/>
        <w:t xml:space="preserve">placed </w:t>
      </w:r>
      <w:r w:rsidR="00FD268C">
        <w:rPr/>
        <w:t xml:space="preserve">on display in London.</w:t>
      </w:r>
      <w:r w:rsidR="45CC2A85">
        <w:rPr/>
        <w:t xml:space="preserve"> </w:t>
      </w:r>
      <w:r w:rsidR="0E926719">
        <w:rPr/>
        <w:t xml:space="preserve">Physically, the Great Torc</w:t>
      </w:r>
      <w:r w:rsidR="414FAF20">
        <w:rPr/>
        <w:t xml:space="preserve"> is </w:t>
      </w:r>
      <w:r w:rsidR="764A9A80">
        <w:rPr/>
        <w:t xml:space="preserve">remarkably well crafted, and is </w:t>
      </w:r>
      <w:r w:rsidR="414FAF20">
        <w:rPr/>
        <w:t xml:space="preserve">made up of over a kilogram of gold mixed with silver and consists of 64 </w:t>
      </w:r>
      <w:r w:rsidR="5CE6EA00">
        <w:rPr/>
        <w:t xml:space="preserve">tiny </w:t>
      </w:r>
      <w:r w:rsidR="414FAF20">
        <w:rPr/>
        <w:t xml:space="preserve">threads</w:t>
      </w:r>
      <w:r w:rsidR="414FAF20">
        <w:rPr/>
        <w:t xml:space="preserve"> woven</w:t>
      </w:r>
      <w:r w:rsidR="7838FFBD">
        <w:rPr/>
        <w:t xml:space="preserve"> </w:t>
      </w:r>
      <w:r w:rsidR="414FAF20">
        <w:rPr/>
        <w:t xml:space="preserve">into 8</w:t>
      </w:r>
      <w:r w:rsidR="5B641407">
        <w:rPr/>
        <w:t xml:space="preserve"> ropes that were then twisted together to create </w:t>
      </w:r>
      <w:r w:rsidR="109A4542">
        <w:rPr/>
        <w:t xml:space="preserve">the </w:t>
      </w:r>
      <w:r w:rsidR="5B641407">
        <w:rPr/>
        <w:t>C-shaped body</w:t>
      </w:r>
      <w:r w:rsidR="2091D460">
        <w:rPr/>
        <w:t xml:space="preserve"> and the terminals that are at</w:t>
      </w:r>
      <w:r w:rsidR="2A264AE8">
        <w:rPr/>
        <w:t>tached to either end of the ropes were cast in moulds and then welded onto the ropes.</w:t>
      </w:r>
      <w:r w:rsidRPr="535AABD1">
        <w:rPr>
          <w:rStyle w:val="FootnoteReference"/>
        </w:rPr>
        <w:footnoteReference w:id="25220"/>
      </w:r>
      <w:r w:rsidR="348D7FC9">
        <w:rPr/>
        <w:t xml:space="preserve"> The overall quality of the Torc, as well as the other pieces found in Snettisham hoard (along </w:t>
      </w:r>
      <w:r w:rsidR="562CC56E">
        <w:rPr/>
        <w:t>with other hoards in the same area)</w:t>
      </w:r>
      <w:r w:rsidR="68A01224">
        <w:rPr/>
        <w:t xml:space="preserve"> are of a high enough standard and value to suggest that t</w:t>
      </w:r>
      <w:r w:rsidR="3A2C8CF7">
        <w:rPr/>
        <w:t>hey possibly belonged to the royalty of the Iceni tribe</w:t>
      </w:r>
      <w:r w:rsidR="4189D8C8">
        <w:rPr/>
        <w:t>,</w:t>
      </w:r>
      <w:r w:rsidRPr="6E22EEF5">
        <w:rPr>
          <w:rStyle w:val="FootnoteReference"/>
        </w:rPr>
        <w:footnoteReference w:id="16692"/>
      </w:r>
      <w:r w:rsidR="4189D8C8">
        <w:rPr/>
        <w:t xml:space="preserve"> a Celtic tribe that once occupied the territory that is now modern-day Norfolk and Suffolk.</w:t>
      </w:r>
      <w:r w:rsidRPr="6E22EEF5">
        <w:rPr>
          <w:rStyle w:val="FootnoteReference"/>
        </w:rPr>
        <w:footnoteReference w:id="26446"/>
      </w:r>
    </w:p>
    <w:p w:rsidR="410864BB" w:rsidP="0DEF7B38" w:rsidRDefault="410864BB" w14:paraId="7EA70A8C" w14:textId="4717CD7B">
      <w:pPr>
        <w:pStyle w:val="Normal"/>
      </w:pPr>
      <w:r w:rsidR="410864BB">
        <w:rPr/>
        <w:t xml:space="preserve">Other torcs of similar design to Snettisham’s Great Torc have </w:t>
      </w:r>
      <w:r w:rsidR="1585203D">
        <w:rPr/>
        <w:t xml:space="preserve">also </w:t>
      </w:r>
      <w:r w:rsidR="410864BB">
        <w:rPr/>
        <w:t xml:space="preserve">been discovered, </w:t>
      </w:r>
      <w:r w:rsidR="6112E5CE">
        <w:rPr/>
        <w:t xml:space="preserve">with </w:t>
      </w:r>
      <w:r w:rsidR="410864BB">
        <w:rPr/>
        <w:t>one exampl</w:t>
      </w:r>
      <w:r w:rsidR="6C7AB1D5">
        <w:rPr/>
        <w:t xml:space="preserve">e being the </w:t>
      </w:r>
      <w:r w:rsidR="6C7AB1D5">
        <w:rPr/>
        <w:t>Sedgeford</w:t>
      </w:r>
      <w:r w:rsidR="6C7AB1D5">
        <w:rPr/>
        <w:t xml:space="preserve"> torc, </w:t>
      </w:r>
      <w:r w:rsidR="04C6DB03">
        <w:rPr/>
        <w:t xml:space="preserve">which was </w:t>
      </w:r>
      <w:r w:rsidR="726A030B">
        <w:rPr/>
        <w:t>discovered</w:t>
      </w:r>
      <w:r w:rsidR="6C7AB1D5">
        <w:rPr/>
        <w:t xml:space="preserve"> in 1965 </w:t>
      </w:r>
      <w:r w:rsidR="45A46882">
        <w:rPr/>
        <w:t xml:space="preserve">at a field in </w:t>
      </w:r>
      <w:r w:rsidR="45A46882">
        <w:rPr/>
        <w:t>Sedgeford</w:t>
      </w:r>
      <w:r w:rsidR="45A46882">
        <w:rPr/>
        <w:t>, Norfolk</w:t>
      </w:r>
      <w:r w:rsidR="784CEA72">
        <w:rPr/>
        <w:t xml:space="preserve">. </w:t>
      </w:r>
      <w:r w:rsidR="09C77786">
        <w:rPr/>
        <w:t xml:space="preserve">Like the Great Torc, the </w:t>
      </w:r>
      <w:r w:rsidR="784CEA72">
        <w:rPr/>
        <w:t>Sedgeford</w:t>
      </w:r>
      <w:r w:rsidR="784CEA72">
        <w:rPr/>
        <w:t xml:space="preserve"> torc also consisted of a C-shaped body of woven and twisted golden threads </w:t>
      </w:r>
      <w:r w:rsidR="21128C8C">
        <w:rPr/>
        <w:t>with two embossed circular terminals welded onto the ends</w:t>
      </w:r>
      <w:r w:rsidR="3455A3CF">
        <w:rPr/>
        <w:t>.</w:t>
      </w:r>
      <w:r w:rsidRPr="0DEF7B38">
        <w:rPr>
          <w:rStyle w:val="FootnoteReference"/>
        </w:rPr>
        <w:footnoteReference w:id="5593"/>
      </w:r>
      <w:r w:rsidR="6D1DE197">
        <w:rPr/>
        <w:t xml:space="preserve"> </w:t>
      </w:r>
      <w:r w:rsidR="44672328">
        <w:rPr/>
        <w:t xml:space="preserve">For another </w:t>
      </w:r>
      <w:r w:rsidR="6D1DE197">
        <w:rPr/>
        <w:t xml:space="preserve">e</w:t>
      </w:r>
      <w:r w:rsidR="44672328">
        <w:rPr/>
        <w:t xml:space="preserve">xample, there</w:t>
      </w:r>
      <w:r w:rsidR="6D1DE197">
        <w:rPr/>
        <w:t xml:space="preserve"> is the Newark torc, discovered in 2005 in Newark-on-Trent</w:t>
      </w:r>
      <w:r w:rsidR="12D10864">
        <w:rPr/>
        <w:t xml:space="preserve"> with the same fundamental design: golden threads woven together and two embossed terminals.</w:t>
      </w:r>
      <w:r w:rsidRPr="0DEF7B38">
        <w:rPr>
          <w:rStyle w:val="FootnoteReference"/>
        </w:rPr>
        <w:footnoteReference w:id="10391"/>
      </w:r>
      <w:r w:rsidR="0AD262DF">
        <w:rPr/>
        <w:t xml:space="preserve"> However, these torcs are much lighter than Snettisham’s Great Torc, for example the </w:t>
      </w:r>
      <w:r w:rsidR="0AD262DF">
        <w:rPr/>
        <w:t>Sedgeford</w:t>
      </w:r>
      <w:r w:rsidR="0AD262DF">
        <w:rPr/>
        <w:t xml:space="preserve"> torc </w:t>
      </w:r>
      <w:r w:rsidR="1B51D573">
        <w:rPr/>
        <w:t xml:space="preserve">weighs only 117 grams, </w:t>
      </w:r>
      <w:r w:rsidR="1B51D573">
        <w:rPr/>
        <w:t>roughly ten</w:t>
      </w:r>
      <w:r w:rsidR="1B51D573">
        <w:rPr/>
        <w:t xml:space="preserve"> times less than the Great Torc.</w:t>
      </w:r>
    </w:p>
    <w:p w:rsidR="0DEF7B38" w:rsidP="0DEF7B38" w:rsidRDefault="0DEF7B38" w14:paraId="184A943A" w14:textId="66C1A631">
      <w:pPr>
        <w:pStyle w:val="Normal"/>
      </w:pPr>
    </w:p>
    <w:p w:rsidR="6AE9F8A0" w:rsidP="0DEF7B38" w:rsidRDefault="6AE9F8A0" w14:paraId="3E7E310A" w14:textId="47AF7E0A">
      <w:pPr>
        <w:pStyle w:val="Normal"/>
      </w:pPr>
      <w:r w:rsidR="6AE9F8A0">
        <w:drawing>
          <wp:anchor distT="0" distB="0" distL="114300" distR="114300" simplePos="0" relativeHeight="251658240" behindDoc="0" locked="0" layoutInCell="1" allowOverlap="1" wp14:anchorId="62B3A904" wp14:editId="610D89B4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2156219" cy="1531294"/>
            <wp:effectExtent l="228600" t="228600" r="225425" b="221615"/>
            <wp:wrapSquare wrapText="bothSides"/>
            <wp:docPr id="195696631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56966314" name="Picture 1956966314"/>
                    <pic:cNvPicPr/>
                  </pic:nvPicPr>
                  <pic:blipFill>
                    <a:blip xmlns:r="http://schemas.openxmlformats.org/officeDocument/2006/relationships" r:embed="rId22397953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6127" t="10294" r="9803"/>
                    <a:stretch>
                      <a:fillRect/>
                    </a:stretch>
                  </pic:blipFill>
                  <pic:spPr>
                    <a:xfrm>
                      <a:off x="0" y="0"/>
                      <a:ext cx="2156219" cy="1531294"/>
                    </a:xfrm>
                    <a:prstGeom prst="rect">
                      <a:avLst/>
                    </a:prstGeom>
                    <a:ln w="228600" cap="sq" cmpd="thickThin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innerShdw blurRad="76200">
                        <a:srgbClr val="000000"/>
                      </a:inn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3F70AFD3">
        <w:drawing>
          <wp:inline wp14:anchorId="2E2785D4" wp14:editId="29A7A63B">
            <wp:extent cx="2369742" cy="1432524"/>
            <wp:effectExtent l="228600" t="228600" r="221615" b="225425"/>
            <wp:docPr id="111643428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6517601" name="Picture 156517601"/>
                    <pic:cNvPicPr/>
                  </pic:nvPicPr>
                  <pic:blipFill>
                    <a:blip xmlns:r="http://schemas.openxmlformats.org/officeDocument/2006/relationships" r:embed="rId114344867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9764" t="17171" r="6060" b="6565"/>
                    <a:stretch>
                      <a:fillRect/>
                    </a:stretch>
                  </pic:blipFill>
                  <pic:spPr>
                    <a:xfrm>
                      <a:off x="0" y="0"/>
                      <a:ext cx="2369742" cy="1432524"/>
                    </a:xfrm>
                    <a:prstGeom prst="rect">
                      <a:avLst/>
                    </a:prstGeom>
                    <a:ln w="228600" cap="sq" cmpd="thickThin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innerShdw blurRad="76200">
                        <a:srgbClr val="000000"/>
                      </a:innerShdw>
                    </a:effectLst>
                  </pic:spPr>
                </pic:pic>
              </a:graphicData>
            </a:graphic>
          </wp:inline>
        </w:drawing>
      </w:r>
    </w:p>
    <w:p w:rsidR="0DEF7B38" w:rsidP="3EDB4444" w:rsidRDefault="0DEF7B38" w14:paraId="27B7475E" w14:textId="2CD94920">
      <w:pPr>
        <w:pStyle w:val="Normal"/>
        <w:jc w:val="center"/>
      </w:pPr>
      <w:r w:rsidR="3F70AFD3">
        <w:rPr/>
        <w:t>(</w:t>
      </w:r>
      <w:r w:rsidRPr="47A8CC6A" w:rsidR="74AB394B">
        <w:rPr>
          <w:i w:val="1"/>
          <w:iCs w:val="1"/>
        </w:rPr>
        <w:t xml:space="preserve">Left: Newark torc, Right: </w:t>
      </w:r>
      <w:r w:rsidRPr="47A8CC6A" w:rsidR="74AB394B">
        <w:rPr>
          <w:i w:val="1"/>
          <w:iCs w:val="1"/>
        </w:rPr>
        <w:t>Sedgeford</w:t>
      </w:r>
      <w:r w:rsidRPr="47A8CC6A" w:rsidR="74AB394B">
        <w:rPr>
          <w:i w:val="1"/>
          <w:iCs w:val="1"/>
        </w:rPr>
        <w:t xml:space="preserve"> torc</w:t>
      </w:r>
      <w:r w:rsidR="74AB394B">
        <w:rPr/>
        <w:t>)</w:t>
      </w:r>
    </w:p>
    <w:p w:rsidR="287439FB" w:rsidP="0E33A28B" w:rsidRDefault="287439FB" w14:paraId="24108DDF" w14:textId="4355BDC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287439FB">
        <w:rPr/>
        <w:t>The</w:t>
      </w:r>
      <w:r w:rsidR="12026A5F">
        <w:rPr/>
        <w:t xml:space="preserve"> fact that each of these torcs share the same design </w:t>
      </w:r>
      <w:r w:rsidR="5FF8B992">
        <w:rPr/>
        <w:t xml:space="preserve">shows that the style they employ was a popular and widespread style of the </w:t>
      </w:r>
      <w:r w:rsidR="25E40C23">
        <w:rPr/>
        <w:t>period</w:t>
      </w:r>
      <w:r w:rsidR="2DA0CE17">
        <w:rPr/>
        <w:t xml:space="preserve">, and the embossments found on the terminals of the torcs follow the </w:t>
      </w:r>
      <w:r w:rsidR="4837B7A1">
        <w:rPr/>
        <w:t xml:space="preserve">same design principles found with the </w:t>
      </w:r>
      <w:r w:rsidR="587ACF6E">
        <w:rPr/>
        <w:t>La Tène style</w:t>
      </w:r>
      <w:r w:rsidR="6C52BEEE">
        <w:rPr/>
        <w:t xml:space="preserve">; the embossments all follow the smooth and fluid designs, and on the </w:t>
      </w:r>
      <w:r w:rsidR="6C52BEEE">
        <w:rPr/>
        <w:t>Sed</w:t>
      </w:r>
      <w:r w:rsidR="115CB56B">
        <w:rPr/>
        <w:t>geford</w:t>
      </w:r>
      <w:r w:rsidR="115CB56B">
        <w:rPr/>
        <w:t xml:space="preserve"> torc, the embossments even somewhat resemble vines with leaves</w:t>
      </w:r>
      <w:r w:rsidR="36E8273E">
        <w:rPr/>
        <w:t xml:space="preserve">. In theory, it could even be said that the </w:t>
      </w:r>
      <w:r w:rsidR="5D050AD0">
        <w:rPr/>
        <w:t xml:space="preserve">spiralling </w:t>
      </w:r>
      <w:r w:rsidR="36E8273E">
        <w:rPr/>
        <w:t xml:space="preserve">pattern created from the woven gold threads/ropes is also an element of the </w:t>
      </w:r>
      <w:r w:rsidR="6D2C5C20">
        <w:rPr/>
        <w:t>La Tène style</w:t>
      </w:r>
      <w:r w:rsidR="485A4252">
        <w:rPr/>
        <w:t xml:space="preserve"> with their fluid motions</w:t>
      </w:r>
      <w:r w:rsidR="6D2C5C20">
        <w:rPr/>
        <w:t>.</w:t>
      </w:r>
    </w:p>
    <w:p w:rsidR="7628D14B" w:rsidP="47A8CC6A" w:rsidRDefault="7628D14B" w14:paraId="3B37B882" w14:textId="412D038D">
      <w:pPr>
        <w:pStyle w:val="Normal"/>
        <w:jc w:val="left"/>
      </w:pPr>
      <w:bookmarkStart w:name="_Int_jg3C8sTO" w:id="895493245"/>
      <w:r w:rsidR="7628D14B">
        <w:rPr/>
        <w:t>In regard to</w:t>
      </w:r>
      <w:bookmarkEnd w:id="895493245"/>
      <w:r w:rsidR="7628D14B">
        <w:rPr/>
        <w:t xml:space="preserve"> the Great Torc,</w:t>
      </w:r>
      <w:r w:rsidR="165677EC">
        <w:rPr/>
        <w:t xml:space="preserve"> the embossed designs on the terminals do not seem to </w:t>
      </w:r>
      <w:r w:rsidR="68CDB5BF">
        <w:rPr/>
        <w:t xml:space="preserve">consist of </w:t>
      </w:r>
      <w:r w:rsidR="165677EC">
        <w:rPr/>
        <w:t>any</w:t>
      </w:r>
      <w:r w:rsidR="2F81F0CB">
        <w:rPr/>
        <w:t xml:space="preserve"> plant or animal designs and simply consists of </w:t>
      </w:r>
      <w:r w:rsidR="1A2DB76C">
        <w:rPr/>
        <w:t xml:space="preserve">smooth </w:t>
      </w:r>
      <w:r w:rsidR="4FE9C7DB">
        <w:rPr/>
        <w:t>dancing lines</w:t>
      </w:r>
      <w:r w:rsidR="59C3FA7C">
        <w:rPr/>
        <w:t xml:space="preserve"> across </w:t>
      </w:r>
      <w:r w:rsidR="6B0567E1">
        <w:rPr/>
        <w:t>its</w:t>
      </w:r>
      <w:r w:rsidR="59C3FA7C">
        <w:rPr/>
        <w:t xml:space="preserve"> surface</w:t>
      </w:r>
      <w:r w:rsidR="66C41451">
        <w:rPr/>
        <w:t xml:space="preserve">. In between these lines there are </w:t>
      </w:r>
      <w:r w:rsidR="7744651F">
        <w:rPr/>
        <w:t>small, chased</w:t>
      </w:r>
      <w:r w:rsidR="66C41451">
        <w:rPr/>
        <w:t xml:space="preserve"> hatch work patterns </w:t>
      </w:r>
      <w:r w:rsidR="6CED1ADA">
        <w:rPr/>
        <w:t>that otherwise contrasts the smooth gold of the</w:t>
      </w:r>
      <w:r w:rsidR="7EE669D9">
        <w:rPr/>
        <w:t xml:space="preserve"> torcs body.</w:t>
      </w:r>
    </w:p>
    <w:p w:rsidR="7EE669D9" w:rsidP="47A8CC6A" w:rsidRDefault="7EE669D9" w14:paraId="47F7575E" w14:textId="5B6CFC88">
      <w:pPr>
        <w:pStyle w:val="Normal"/>
        <w:jc w:val="center"/>
      </w:pPr>
      <w:r w:rsidR="7EE669D9">
        <w:drawing>
          <wp:inline wp14:editId="1A08B496" wp14:anchorId="5F419043">
            <wp:extent cx="2762642" cy="2762642"/>
            <wp:effectExtent l="228600" t="228600" r="228600" b="228600"/>
            <wp:docPr id="119890254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98902547" name="Picture 1198902547"/>
                    <pic:cNvPicPr/>
                  </pic:nvPicPr>
                  <pic:blipFill>
                    <a:blip xmlns:r="http://schemas.openxmlformats.org/officeDocument/2006/relationships" r:embed="rId197635582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762642" cy="2762642"/>
                    </a:xfrm>
                    <a:prstGeom prst="rect">
                      <a:avLst/>
                    </a:prstGeom>
                    <a:ln w="228600" cap="sq" cmpd="thickThin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innerShdw blurRad="76200">
                        <a:srgbClr val="000000"/>
                      </a:innerShdw>
                    </a:effectLst>
                  </pic:spPr>
                </pic:pic>
              </a:graphicData>
            </a:graphic>
          </wp:inline>
        </w:drawing>
      </w:r>
    </w:p>
    <w:p w:rsidR="3EDB4444" w:rsidP="47A8CC6A" w:rsidRDefault="3EDB4444" w14:paraId="55781D2A" w14:textId="2C92073A">
      <w:pPr>
        <w:pStyle w:val="Normal"/>
        <w:jc w:val="center"/>
      </w:pPr>
      <w:r w:rsidR="7EE669D9">
        <w:rPr/>
        <w:t>(</w:t>
      </w:r>
      <w:r w:rsidRPr="47A8CC6A" w:rsidR="7EE669D9">
        <w:rPr>
          <w:i w:val="1"/>
          <w:iCs w:val="1"/>
        </w:rPr>
        <w:t xml:space="preserve">Image from </w:t>
      </w:r>
      <w:r w:rsidRPr="47A8CC6A" w:rsidR="33CF716A">
        <w:rPr>
          <w:i w:val="1"/>
          <w:iCs w:val="1"/>
        </w:rPr>
        <w:t>the British Museum, focused on the Great Torc’s terminal</w:t>
      </w:r>
      <w:r w:rsidR="33CF716A">
        <w:rPr/>
        <w:t>)</w:t>
      </w:r>
    </w:p>
    <w:p w:rsidR="2881A375" w:rsidP="0E33A28B" w:rsidRDefault="2881A375" w14:paraId="4470B6A6" w14:textId="4B248E2F">
      <w:pPr>
        <w:pStyle w:val="Normal"/>
        <w:jc w:val="left"/>
      </w:pPr>
      <w:r w:rsidR="2881A375">
        <w:rPr/>
        <w:t>These details found on the Great Torc are remarkably fine</w:t>
      </w:r>
      <w:r w:rsidR="594CBE16">
        <w:rPr/>
        <w:t xml:space="preserve"> and the quality of the handiwork</w:t>
      </w:r>
      <w:r w:rsidR="7A3D4768">
        <w:rPr/>
        <w:t xml:space="preserve"> </w:t>
      </w:r>
      <w:r w:rsidR="7D402A6F">
        <w:rPr/>
        <w:t>demonstrate</w:t>
      </w:r>
      <w:r w:rsidR="7D402A6F">
        <w:rPr/>
        <w:t xml:space="preserve"> an exceptional level of talent, showing</w:t>
      </w:r>
      <w:r w:rsidR="7A3D4768">
        <w:rPr/>
        <w:t xml:space="preserve"> that the torc was produced by so</w:t>
      </w:r>
      <w:r w:rsidR="5BE35F88">
        <w:rPr/>
        <w:t>meone who was a</w:t>
      </w:r>
      <w:r w:rsidR="60EF2CED">
        <w:rPr/>
        <w:t xml:space="preserve"> highly</w:t>
      </w:r>
      <w:r w:rsidR="5BE35F88">
        <w:rPr/>
        <w:t xml:space="preserve"> skilled artisan</w:t>
      </w:r>
      <w:r w:rsidR="14A3DFBE">
        <w:rPr/>
        <w:t>.</w:t>
      </w:r>
      <w:r w:rsidR="5BE35F88">
        <w:rPr/>
        <w:t xml:space="preserve"> </w:t>
      </w:r>
      <w:r w:rsidR="58927CB2">
        <w:rPr/>
        <w:t xml:space="preserve">The high </w:t>
      </w:r>
      <w:r w:rsidR="5BE35F88">
        <w:rPr/>
        <w:t xml:space="preserve">quality </w:t>
      </w:r>
      <w:r w:rsidR="3DC09ED7">
        <w:rPr/>
        <w:t xml:space="preserve">of this piece of work </w:t>
      </w:r>
      <w:r w:rsidR="5BE35F88">
        <w:rPr/>
        <w:t xml:space="preserve">was </w:t>
      </w:r>
      <w:r w:rsidR="1C46BAF1">
        <w:rPr/>
        <w:t>what gave reason behind the previously mentioned idea that the Torc belonged to a person of royalty.</w:t>
      </w:r>
    </w:p>
    <w:p w:rsidR="70BC8643" w:rsidP="70BC8643" w:rsidRDefault="70BC8643" w14:paraId="34861CA6" w14:textId="5628809F">
      <w:pPr>
        <w:pStyle w:val="Normal"/>
        <w:jc w:val="left"/>
      </w:pPr>
    </w:p>
    <w:p w:rsidR="70BC8643" w:rsidP="70BC8643" w:rsidRDefault="70BC8643" w14:paraId="16219B80" w14:textId="65B175A1">
      <w:pPr>
        <w:pStyle w:val="Normal"/>
        <w:jc w:val="left"/>
      </w:pPr>
    </w:p>
    <w:p w:rsidR="70BC8643" w:rsidP="70BC8643" w:rsidRDefault="70BC8643" w14:paraId="5AB44B6A" w14:textId="5F91917E">
      <w:pPr>
        <w:pStyle w:val="Normal"/>
        <w:jc w:val="left"/>
      </w:pPr>
    </w:p>
    <w:p w:rsidR="70BC8643" w:rsidP="70BC8643" w:rsidRDefault="70BC8643" w14:paraId="70F83D3B" w14:textId="58ED9A07">
      <w:pPr>
        <w:pStyle w:val="Normal"/>
        <w:jc w:val="left"/>
      </w:pPr>
    </w:p>
    <w:p w:rsidR="70BC8643" w:rsidP="70BC8643" w:rsidRDefault="70BC8643" w14:paraId="7EB3FD07" w14:textId="2CBCEB28">
      <w:pPr>
        <w:pStyle w:val="Normal"/>
        <w:jc w:val="left"/>
      </w:pPr>
    </w:p>
    <w:p w:rsidR="7155F48E" w:rsidP="70BC8643" w:rsidRDefault="7155F48E" w14:paraId="0ABBDACD" w14:textId="6292AA7A">
      <w:pPr>
        <w:pStyle w:val="Heading1"/>
        <w:spacing w:before="0" w:beforeAutospacing="off" w:after="360" w:afterAutospacing="off" w:line="360" w:lineRule="auto"/>
        <w:jc w:val="left"/>
      </w:pPr>
      <w:r w:rsidRPr="70BC8643" w:rsidR="7155F48E">
        <w:rPr>
          <w:rFonts w:ascii="Times New Roman" w:hAnsi="Times New Roman" w:eastAsia="Times New Roman" w:cs="Times New Roman"/>
          <w:b w:val="1"/>
          <w:bCs w:val="1"/>
          <w:noProof w:val="0"/>
          <w:sz w:val="36"/>
          <w:szCs w:val="36"/>
          <w:lang w:val="en-GB"/>
        </w:rPr>
        <w:t>Bibliography</w:t>
      </w:r>
    </w:p>
    <w:p w:rsidR="7155F48E" w:rsidP="70BC8643" w:rsidRDefault="7155F48E" w14:paraId="3DF3BB0C" w14:textId="06DF715F">
      <w:pPr>
        <w:spacing w:before="0" w:beforeAutospacing="off" w:after="240" w:afterAutospacing="off" w:line="360" w:lineRule="auto"/>
        <w:ind w:left="720" w:right="0" w:hanging="720"/>
        <w:jc w:val="left"/>
      </w:pPr>
      <w:r w:rsidRPr="70BC8643" w:rsidR="7155F4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Brailsford, J. W. 1971. ‘The Sedgeford Torc’, </w:t>
      </w:r>
      <w:r w:rsidRPr="70BC8643" w:rsidR="7155F48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British Museum Quarterly</w:t>
      </w:r>
      <w:r w:rsidRPr="70BC8643" w:rsidR="7155F4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35.1/4: 16 &lt;https://doi.org/10.2307/4423067&gt;</w:t>
      </w:r>
    </w:p>
    <w:p w:rsidR="7155F48E" w:rsidP="70BC8643" w:rsidRDefault="7155F48E" w14:paraId="5E8C297F" w14:textId="2498EFB7">
      <w:pPr>
        <w:spacing w:before="0" w:beforeAutospacing="off" w:after="240" w:afterAutospacing="off" w:line="360" w:lineRule="auto"/>
        <w:ind w:left="720" w:right="0" w:hanging="720"/>
        <w:jc w:val="left"/>
      </w:pPr>
      <w:r w:rsidRPr="70BC8643" w:rsidR="7155F4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‘Iceni | People | Britannica’. 2019. </w:t>
      </w:r>
      <w:r w:rsidRPr="70BC8643" w:rsidR="7155F48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Encyclopædia Britannica</w:t>
      </w:r>
      <w:r w:rsidRPr="70BC8643" w:rsidR="7155F4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&lt;https://www.britannica.com/topic/Iceni&gt;</w:t>
      </w:r>
    </w:p>
    <w:p w:rsidR="7155F48E" w:rsidP="70BC8643" w:rsidRDefault="7155F48E" w14:paraId="4E810EC8" w14:textId="50B5CD8C">
      <w:pPr>
        <w:spacing w:before="0" w:beforeAutospacing="off" w:after="240" w:afterAutospacing="off" w:line="360" w:lineRule="auto"/>
        <w:ind w:left="720" w:right="0" w:hanging="720"/>
        <w:jc w:val="left"/>
      </w:pPr>
      <w:r w:rsidRPr="70BC8643" w:rsidR="7155F4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James, Simon. 2005. </w:t>
      </w:r>
      <w:r w:rsidRPr="70BC8643" w:rsidR="7155F48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Exploring the World of the Celts</w:t>
      </w:r>
      <w:r w:rsidRPr="70BC8643" w:rsidR="7155F4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(London ; New York: Thames &amp; Hudson)</w:t>
      </w:r>
    </w:p>
    <w:p w:rsidR="7155F48E" w:rsidP="70BC8643" w:rsidRDefault="7155F48E" w14:paraId="20BDB552" w14:textId="2E0772C2">
      <w:pPr>
        <w:spacing w:before="0" w:beforeAutospacing="off" w:after="240" w:afterAutospacing="off" w:line="360" w:lineRule="auto"/>
        <w:ind w:left="720" w:right="0" w:hanging="720"/>
        <w:jc w:val="left"/>
      </w:pPr>
      <w:r w:rsidRPr="70BC8643" w:rsidR="7155F4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‘La Tène | Archaeological Site, Switzerland’. [n.d.]. </w:t>
      </w:r>
      <w:r w:rsidRPr="70BC8643" w:rsidR="7155F48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Encyclopedia Britannica</w:t>
      </w:r>
      <w:r w:rsidRPr="70BC8643" w:rsidR="7155F4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&lt;https://www.britannica.com/place/La-Tene#ref111430&gt; [accessed 26 March 2026]</w:t>
      </w:r>
    </w:p>
    <w:p w:rsidR="7155F48E" w:rsidP="70BC8643" w:rsidRDefault="7155F48E" w14:paraId="1FAE3C3D" w14:textId="3CE6CCAA">
      <w:pPr>
        <w:spacing w:before="0" w:beforeAutospacing="off" w:after="240" w:afterAutospacing="off" w:line="360" w:lineRule="auto"/>
        <w:ind w:left="720" w:right="0" w:hanging="720"/>
        <w:jc w:val="left"/>
      </w:pPr>
      <w:r w:rsidRPr="70BC8643" w:rsidR="7155F4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Maier, Bernhard. 2017. </w:t>
      </w:r>
      <w:r w:rsidRPr="70BC8643" w:rsidR="7155F48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Celts: A History from the Earliest Times to the Present</w:t>
      </w:r>
      <w:r w:rsidRPr="70BC8643" w:rsidR="7155F4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2nd Edition (Edinburgh University Press)</w:t>
      </w:r>
    </w:p>
    <w:p w:rsidR="7155F48E" w:rsidP="70BC8643" w:rsidRDefault="7155F48E" w14:paraId="79355B18" w14:textId="49F66888">
      <w:pPr>
        <w:spacing w:before="0" w:beforeAutospacing="off" w:after="240" w:afterAutospacing="off" w:line="360" w:lineRule="auto"/>
        <w:ind w:left="720" w:right="0" w:hanging="720"/>
        <w:jc w:val="left"/>
      </w:pPr>
      <w:r w:rsidRPr="70BC8643" w:rsidR="7155F4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Museum, The British. 2021. ‘Snettisham Great Torc’, </w:t>
      </w:r>
      <w:r w:rsidRPr="70BC8643" w:rsidR="7155F48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World History Encyclopedia</w:t>
      </w:r>
      <w:r w:rsidRPr="70BC8643" w:rsidR="7155F4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&lt;https://www.worldhistory.org/image/13404/snettisham-great-torc/&gt;</w:t>
      </w:r>
    </w:p>
    <w:p w:rsidR="7155F48E" w:rsidP="70BC8643" w:rsidRDefault="7155F48E" w14:paraId="7AA3DACB" w14:textId="09079D3C">
      <w:pPr>
        <w:spacing w:before="0" w:beforeAutospacing="off" w:after="240" w:afterAutospacing="off" w:line="360" w:lineRule="auto"/>
        <w:ind w:left="720" w:right="0" w:hanging="720"/>
        <w:jc w:val="left"/>
      </w:pPr>
      <w:r w:rsidRPr="70BC8643" w:rsidR="7155F4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Editors of Encyclopedia Britannica. 2018. ‘Celt | History, Institutions, &amp; Religion’, </w:t>
      </w:r>
      <w:r w:rsidRPr="70BC8643" w:rsidR="7155F48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Encyclopædia Britannica</w:t>
      </w:r>
      <w:r w:rsidRPr="70BC8643" w:rsidR="7155F4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&lt;https://www.britannica.com/topic/Celt-people&gt; [accessed 26 March 2026]</w:t>
      </w:r>
    </w:p>
    <w:p w:rsidR="7155F48E" w:rsidP="70BC8643" w:rsidRDefault="7155F48E" w14:paraId="5190CAAD" w14:textId="45A43ECF">
      <w:pPr>
        <w:spacing w:before="0" w:beforeAutospacing="off" w:after="240" w:afterAutospacing="off" w:line="360" w:lineRule="auto"/>
        <w:ind w:left="720" w:right="0" w:hanging="720"/>
        <w:jc w:val="left"/>
      </w:pPr>
      <w:r w:rsidRPr="70BC8643" w:rsidR="7155F4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‘The Great Torc from Snettisham’. 2026. </w:t>
      </w:r>
      <w:r w:rsidRPr="70BC8643" w:rsidR="7155F48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British Museum</w:t>
      </w:r>
      <w:r w:rsidRPr="70BC8643" w:rsidR="7155F4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&lt;https://web.archive.org/web/20151027020809/http://www.britishmuseum.org/explore/highlights/highlight_objects/pe_prb/t/the_great_torc_from_snettisham.aspx&gt;</w:t>
      </w:r>
    </w:p>
    <w:p w:rsidR="7155F48E" w:rsidP="70BC8643" w:rsidRDefault="7155F48E" w14:paraId="686D9A70" w14:textId="28DF1AAF">
      <w:pPr>
        <w:spacing w:before="0" w:beforeAutospacing="off" w:after="240" w:afterAutospacing="off" w:line="360" w:lineRule="auto"/>
        <w:ind w:left="720" w:right="0" w:hanging="720"/>
        <w:jc w:val="left"/>
      </w:pPr>
      <w:r w:rsidRPr="70BC8643" w:rsidR="7155F4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‘The Newark Torc | Newark Guide’. 2017. </w:t>
      </w:r>
      <w:r w:rsidRPr="70BC8643" w:rsidR="7155F48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Newark Guide</w:t>
      </w:r>
      <w:r w:rsidRPr="70BC8643" w:rsidR="7155F4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&lt;https://www.newarkguide.co.uk/thenewarktorc&gt;</w:t>
      </w:r>
    </w:p>
    <w:p w:rsidR="7155F48E" w:rsidP="70BC8643" w:rsidRDefault="7155F48E" w14:paraId="4F7EE390" w14:textId="3F55FDD7">
      <w:pPr>
        <w:spacing w:before="0" w:beforeAutospacing="off" w:after="240" w:afterAutospacing="off" w:line="360" w:lineRule="auto"/>
        <w:ind w:left="720" w:right="0" w:hanging="720"/>
        <w:jc w:val="left"/>
      </w:pPr>
      <w:r w:rsidRPr="70BC8643" w:rsidR="7155F4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‘The Snettisham Treasure’. 2026. </w:t>
      </w:r>
      <w:r w:rsidRPr="70BC8643" w:rsidR="7155F48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Archive.org</w:t>
      </w:r>
      <w:r w:rsidRPr="70BC8643" w:rsidR="7155F4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&lt;https://web.archive.org/web/20060509121039/http://www.cix.co.uk/~archaeology/hilites/snet.htm&gt;</w:t>
      </w:r>
    </w:p>
    <w:p w:rsidR="7155F48E" w:rsidP="70BC8643" w:rsidRDefault="7155F48E" w14:paraId="6BADB5A4" w14:textId="11FD81E5">
      <w:pPr>
        <w:spacing w:before="0" w:beforeAutospacing="off" w:after="240" w:afterAutospacing="off" w:line="360" w:lineRule="auto"/>
        <w:ind w:left="720" w:right="0" w:hanging="720"/>
        <w:jc w:val="left"/>
      </w:pPr>
      <w:r w:rsidRPr="70BC8643" w:rsidR="7155F4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‘Torc FAQs’. 2025. </w:t>
      </w:r>
      <w:r w:rsidRPr="70BC8643" w:rsidR="7155F48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Big Book of Torcs</w:t>
      </w:r>
      <w:r w:rsidRPr="70BC8643" w:rsidR="7155F4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&lt;https://bigbookoftorcs.com/torc-faqs/&gt; [accessed 27 March 2026]</w:t>
      </w:r>
    </w:p>
    <w:p w:rsidR="70BC8643" w:rsidP="70BC8643" w:rsidRDefault="70BC8643" w14:paraId="40E22179" w14:textId="2C716CB1">
      <w:pPr>
        <w:pStyle w:val="Normal"/>
        <w:jc w:val="left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103dcfa57c9d460f"/>
      <w:footerReference w:type="default" r:id="R57fa7352933d4ca4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p14="http://schemas.microsoft.com/office/word/2010/wordprocessingDrawing" xmlns:w14="http://schemas.microsoft.com/office/word/2010/wordml" xmlns:w="http://schemas.openxmlformats.org/wordprocessingml/2006/main" xmlns:mc="http://schemas.openxmlformats.org/markup-compatibility/2006" mc:Ignorable="wp14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xmlns:wp14="http://schemas.microsoft.com/office/word/2010/wordml" w:rsidR="099EB04D" w:rsidTr="099EB04D" w14:paraId="311AD352" wp14:textId="77777777">
      <w:trPr>
        <w:trHeight w:val="300"/>
      </w:trPr>
      <w:tc>
        <w:tcPr>
          <w:tcW w:w="3005" w:type="dxa"/>
          <w:tcMar/>
        </w:tcPr>
        <w:p w:rsidR="099EB04D" w:rsidP="099EB04D" w:rsidRDefault="099EB04D" w14:paraId="1E27D8DE" w14:textId="47707CB4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99EB04D" w:rsidP="099EB04D" w:rsidRDefault="099EB04D" w14:paraId="206A992C" w14:textId="2DF21468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99EB04D" w:rsidP="099EB04D" w:rsidRDefault="099EB04D" w14:paraId="7C7C8E0D" w14:textId="262E1F36">
          <w:pPr>
            <w:pStyle w:val="Header"/>
            <w:bidi w:val="0"/>
            <w:ind w:right="-115"/>
            <w:jc w:val="right"/>
          </w:pPr>
        </w:p>
      </w:tc>
    </w:tr>
  </w:tbl>
  <w:p w:rsidR="099EB04D" w:rsidP="099EB04D" w:rsidRDefault="099EB04D" w14:paraId="1A71F0FA" w14:textId="1984077A">
    <w:pPr>
      <w:pStyle w:val="Footer"/>
      <w:bidi w:val="0"/>
    </w:pPr>
  </w:p>
</w:ftr>
</file>

<file path=word/footnotes.xml><?xml version="1.0" encoding="utf-8"?>
<w:footnotes xmlns:wp14="http://schemas.microsoft.com/office/word/2010/wordprocessingDrawing" xmlns:w14="http://schemas.microsoft.com/office/word/2010/wordml" xmlns:r="http://schemas.openxmlformats.org/officeDocument/2006/relationships" xmlns:w="http://schemas.openxmlformats.org/wordprocessingml/2006/main" xmlns:mc="http://schemas.openxmlformats.org/markup-compatibility/2006" mc:Ignorable="wp14">
  <w:footnote w:type="separator" w:id="-1">
    <w:p w:rsidR="55B01488" w:rsidRDefault="55B01488" w14:paraId="6A8FF047" w14:textId="57FAF8A5">
      <w:pPr>
        <w:spacing w:after="0" w:line="240" w:lineRule="auto"/>
      </w:pPr>
      <w:r>
        <w:separator/>
      </w:r>
    </w:p>
  </w:footnote>
  <w:footnote w:type="continuationSeparator" w:id="0">
    <w:p w:rsidR="55B01488" w:rsidRDefault="55B01488" w14:paraId="3A23DBE0" w14:textId="4828EDE0">
      <w:pPr>
        <w:spacing w:after="0" w:line="240" w:lineRule="auto"/>
      </w:pPr>
      <w:r>
        <w:continuationSeparator/>
      </w:r>
    </w:p>
  </w:footnote>
  <w:footnote w:id="31433">
    <w:p w:rsidR="55B01488" w:rsidP="55B01488" w:rsidRDefault="55B01488" w14:paraId="7F3A5604" w14:textId="5EDDC6F2">
      <w:pPr>
        <w:pStyle w:val="FootnoteText"/>
        <w:bidi w:val="0"/>
      </w:pPr>
      <w:r w:rsidRPr="55B01488">
        <w:rPr>
          <w:rStyle w:val="FootnoteReference"/>
        </w:rPr>
        <w:footnoteRef/>
      </w:r>
      <w:r w:rsidR="55B01488">
        <w:rPr/>
        <w:t xml:space="preserve"> Celt, Encyclopaedia Britannica, </w:t>
      </w:r>
      <w:hyperlink r:id="R3fcd389a4a5a498d">
        <w:r w:rsidRPr="55B01488" w:rsidR="55B01488">
          <w:rPr>
            <w:rStyle w:val="Hyperlink"/>
          </w:rPr>
          <w:t>https://www.britannica.com/topic/Celt-people</w:t>
        </w:r>
      </w:hyperlink>
    </w:p>
  </w:footnote>
  <w:footnote w:id="7903">
    <w:p w:rsidR="55B01488" w:rsidP="55B01488" w:rsidRDefault="55B01488" w14:paraId="11078112" w14:textId="051C0AA6">
      <w:pPr>
        <w:pStyle w:val="FootnoteText"/>
        <w:bidi w:val="0"/>
      </w:pPr>
      <w:r w:rsidRPr="55B01488">
        <w:rPr>
          <w:rStyle w:val="FootnoteReference"/>
          <w:lang w:val="fr-FR"/>
        </w:rPr>
        <w:footnoteRef/>
      </w:r>
      <w:r w:rsidRPr="55B01488" w:rsidR="0E33A28B">
        <w:rPr>
          <w:lang w:val="fr-FR"/>
        </w:rPr>
        <w:t xml:space="preserve"> La Tène, </w:t>
      </w:r>
      <w:r w:rsidRPr="55B01488" w:rsidR="0E33A28B">
        <w:rPr>
          <w:lang w:val="fr-FR"/>
        </w:rPr>
        <w:t>Encyclopaedia</w:t>
      </w:r>
      <w:r w:rsidRPr="55B01488" w:rsidR="0E33A28B">
        <w:rPr>
          <w:lang w:val="fr-FR"/>
        </w:rPr>
        <w:t xml:space="preserve"> Britannica, </w:t>
      </w:r>
      <w:hyperlink r:id="Rf85079d1598a4e3d">
        <w:r w:rsidRPr="0E33A28B" w:rsidR="0E33A28B">
          <w:rPr>
            <w:rStyle w:val="Hyperlink"/>
            <w:lang w:val="fr-FR"/>
          </w:rPr>
          <w:t>https://www.britannica.com/place/La-Tene#ref111430</w:t>
        </w:r>
      </w:hyperlink>
    </w:p>
  </w:footnote>
  <w:footnote w:id="11395">
    <w:p w:rsidR="55B01488" w:rsidP="55B01488" w:rsidRDefault="55B01488" w14:paraId="7B860C98" w14:textId="74731F45">
      <w:pPr>
        <w:pStyle w:val="FootnoteText"/>
        <w:bidi w:val="0"/>
      </w:pPr>
      <w:r w:rsidRPr="55B01488">
        <w:rPr>
          <w:rStyle w:val="FootnoteReference"/>
        </w:rPr>
        <w:footnoteRef/>
      </w:r>
      <w:r w:rsidR="55B01488">
        <w:rPr/>
        <w:t xml:space="preserve"> La Tène, Encyclopaedia Britannica</w:t>
      </w:r>
    </w:p>
  </w:footnote>
  <w:footnote w:id="19590">
    <w:p w:rsidR="55B01488" w:rsidP="55B01488" w:rsidRDefault="55B01488" w14:paraId="723BC7B4" w14:textId="7DA2BCBE">
      <w:pPr>
        <w:pStyle w:val="FootnoteText"/>
        <w:bidi w:val="0"/>
      </w:pPr>
      <w:r w:rsidRPr="55B01488">
        <w:rPr>
          <w:rStyle w:val="FootnoteReference"/>
        </w:rPr>
        <w:footnoteRef/>
      </w:r>
      <w:r w:rsidR="55B01488">
        <w:rPr/>
        <w:t xml:space="preserve"> Bernhard Maier, “</w:t>
      </w:r>
      <w:r w:rsidRPr="55B01488" w:rsidR="55B01488">
        <w:rPr>
          <w:i w:val="1"/>
          <w:iCs w:val="1"/>
        </w:rPr>
        <w:t>The Celts, A History from Earliest Times to the Present</w:t>
      </w:r>
      <w:r w:rsidR="55B01488">
        <w:rPr/>
        <w:t>”,</w:t>
      </w:r>
      <w:r w:rsidR="55B01488">
        <w:rPr/>
        <w:t xml:space="preserve"> (Edinburgh University Press, 2017), pp.36-37</w:t>
      </w:r>
    </w:p>
  </w:footnote>
  <w:footnote w:id="12688">
    <w:p w:rsidR="55B01488" w:rsidP="55B01488" w:rsidRDefault="55B01488" w14:paraId="56ECAF70" w14:textId="064580BC">
      <w:pPr>
        <w:pStyle w:val="FootnoteText"/>
        <w:bidi w:val="0"/>
      </w:pPr>
      <w:r w:rsidRPr="55B01488">
        <w:rPr>
          <w:rStyle w:val="FootnoteReference"/>
        </w:rPr>
        <w:footnoteRef/>
      </w:r>
      <w:r w:rsidR="55B01488">
        <w:rPr/>
        <w:t xml:space="preserve"> Simon James, “</w:t>
      </w:r>
      <w:r w:rsidRPr="55B01488" w:rsidR="55B01488">
        <w:rPr>
          <w:i w:val="1"/>
          <w:iCs w:val="1"/>
        </w:rPr>
        <w:t>Exploring the World of the Celts</w:t>
      </w:r>
      <w:r w:rsidR="55B01488">
        <w:rPr/>
        <w:t>”,</w:t>
      </w:r>
      <w:r w:rsidR="55B01488">
        <w:rPr/>
        <w:t xml:space="preserve"> (Thames &amp; Hudson, 2005) p. 106</w:t>
      </w:r>
    </w:p>
  </w:footnote>
  <w:footnote w:id="7300">
    <w:p w:rsidR="5A556F64" w:rsidP="5A556F64" w:rsidRDefault="5A556F64" w14:paraId="6DE1946C" w14:textId="47B2A2F4">
      <w:pPr>
        <w:pStyle w:val="FootnoteText"/>
        <w:bidi w:val="0"/>
      </w:pPr>
      <w:r w:rsidRPr="5A556F64">
        <w:rPr>
          <w:rStyle w:val="FootnoteReference"/>
        </w:rPr>
        <w:footnoteRef/>
      </w:r>
      <w:r w:rsidR="5A556F64">
        <w:rPr/>
        <w:t xml:space="preserve"> </w:t>
      </w:r>
      <w:hyperlink r:id="R16f97fd3c3aa4ee1">
        <w:r w:rsidRPr="5A556F64" w:rsidR="5A556F64">
          <w:rPr>
            <w:rStyle w:val="Hyperlink"/>
          </w:rPr>
          <w:t>https://bigbookoftorcs.com/torc-faqs/</w:t>
        </w:r>
      </w:hyperlink>
    </w:p>
  </w:footnote>
  <w:footnote w:id="25220">
    <w:p w:rsidR="5A556F64" w:rsidP="5A556F64" w:rsidRDefault="5A556F64" w14:paraId="16F1DAE1" w14:textId="2254D255">
      <w:pPr>
        <w:pStyle w:val="FootnoteText"/>
        <w:bidi w:val="0"/>
      </w:pPr>
      <w:r w:rsidRPr="5A556F64">
        <w:rPr>
          <w:rStyle w:val="FootnoteReference"/>
        </w:rPr>
        <w:footnoteRef/>
      </w:r>
      <w:r w:rsidR="70C1057C">
        <w:rPr/>
        <w:t xml:space="preserve"> The British Museum, </w:t>
      </w:r>
      <w:r w:rsidR="70C1057C">
        <w:rPr/>
        <w:t xml:space="preserve">“</w:t>
      </w:r>
      <w:hyperlink r:id="Rdd23c582d73e4a4d">
        <w:r w:rsidRPr="70C1057C" w:rsidR="70C1057C">
          <w:rPr>
            <w:rStyle w:val="Hyperlink"/>
          </w:rPr>
          <w:t>The Great Torc from Snettisham</w:t>
        </w:r>
        <w:r w:rsidRPr="70C1057C" w:rsidR="70C1057C">
          <w:rPr>
            <w:rStyle w:val="Hyperlink"/>
            <w:color w:val="auto"/>
            <w:u w:val="none"/>
          </w:rPr>
          <w:t>”</w:t>
        </w:r>
      </w:hyperlink>
    </w:p>
  </w:footnote>
  <w:footnote w:id="18195">
    <w:p w:rsidR="6E22EEF5" w:rsidP="6E22EEF5" w:rsidRDefault="6E22EEF5" w14:paraId="6EFEFEB1" w14:textId="7A3E4E1C">
      <w:pPr>
        <w:pStyle w:val="FootnoteText"/>
        <w:bidi w:val="0"/>
      </w:pPr>
      <w:r w:rsidRPr="6E22EEF5">
        <w:rPr>
          <w:rStyle w:val="FootnoteReference"/>
        </w:rPr>
        <w:footnoteRef/>
      </w:r>
      <w:r w:rsidR="6E22EEF5">
        <w:rPr/>
        <w:t xml:space="preserve"> The British Museum, “</w:t>
      </w:r>
      <w:hyperlink r:id="Rd64700ea4aab4f55">
        <w:r w:rsidRPr="6E22EEF5" w:rsidR="6E22EEF5">
          <w:rPr>
            <w:rStyle w:val="Hyperlink"/>
          </w:rPr>
          <w:t>The Great Torc from Snettisham</w:t>
        </w:r>
      </w:hyperlink>
      <w:r w:rsidR="6E22EEF5">
        <w:rPr/>
        <w:t>”</w:t>
      </w:r>
    </w:p>
  </w:footnote>
  <w:footnote w:id="16692">
    <w:p w:rsidR="6E22EEF5" w:rsidP="6E22EEF5" w:rsidRDefault="6E22EEF5" w14:paraId="7FE2EBBE" w14:textId="5EA13258">
      <w:pPr>
        <w:pStyle w:val="FootnoteText"/>
        <w:bidi w:val="0"/>
      </w:pPr>
      <w:r w:rsidRPr="6E22EEF5">
        <w:rPr>
          <w:rStyle w:val="FootnoteReference"/>
        </w:rPr>
        <w:footnoteRef/>
      </w:r>
      <w:r w:rsidR="6E22EEF5">
        <w:rPr/>
        <w:t xml:space="preserve"> The British Museum, “</w:t>
      </w:r>
      <w:hyperlink r:id="Rc9dc446ecfc84da8">
        <w:r w:rsidRPr="6E22EEF5" w:rsidR="6E22EEF5">
          <w:rPr>
            <w:rStyle w:val="Hyperlink"/>
          </w:rPr>
          <w:t>The Snettisham Treasure</w:t>
        </w:r>
      </w:hyperlink>
      <w:r w:rsidR="6E22EEF5">
        <w:rPr/>
        <w:t>”</w:t>
      </w:r>
    </w:p>
  </w:footnote>
  <w:footnote w:id="26446">
    <w:p w:rsidR="6E22EEF5" w:rsidP="6E22EEF5" w:rsidRDefault="6E22EEF5" w14:paraId="2938859D" w14:textId="2F20E730">
      <w:pPr>
        <w:pStyle w:val="FootnoteText"/>
        <w:bidi w:val="0"/>
      </w:pPr>
      <w:r w:rsidRPr="6E22EEF5">
        <w:rPr>
          <w:rStyle w:val="FootnoteReference"/>
        </w:rPr>
        <w:footnoteRef/>
      </w:r>
      <w:r w:rsidR="6E22EEF5">
        <w:rPr/>
        <w:t xml:space="preserve"> Iceni, Encyclopaedia Britannica, </w:t>
      </w:r>
      <w:hyperlink r:id="R74bc2accb20649d2">
        <w:r w:rsidRPr="6E22EEF5" w:rsidR="6E22EEF5">
          <w:rPr>
            <w:rStyle w:val="Hyperlink"/>
          </w:rPr>
          <w:t>https://www.britannica.com/topic/Iceni</w:t>
        </w:r>
      </w:hyperlink>
    </w:p>
  </w:footnote>
  <w:footnote w:id="5593">
    <w:p w:rsidR="0DEF7B38" w:rsidP="0DEF7B38" w:rsidRDefault="0DEF7B38" w14:paraId="5C66E6C4" w14:textId="2E6E9A0B">
      <w:pPr>
        <w:pStyle w:val="FootnoteText"/>
        <w:bidi w:val="0"/>
      </w:pPr>
      <w:r w:rsidRPr="0DEF7B38">
        <w:rPr>
          <w:rStyle w:val="FootnoteReference"/>
        </w:rPr>
        <w:footnoteRef/>
      </w:r>
      <w:r w:rsidR="0DEF7B38">
        <w:rPr/>
        <w:t xml:space="preserve"> Brailsford, J. W. 1971. ‘The </w:t>
      </w:r>
      <w:r w:rsidR="0DEF7B38">
        <w:rPr/>
        <w:t>Sedgeford</w:t>
      </w:r>
      <w:r w:rsidR="0DEF7B38">
        <w:rPr/>
        <w:t xml:space="preserve"> Torc</w:t>
      </w:r>
      <w:r w:rsidR="0DEF7B38">
        <w:rPr/>
        <w:t>’,</w:t>
      </w:r>
      <w:r w:rsidR="0DEF7B38">
        <w:rPr/>
        <w:t xml:space="preserve"> The British Museum Quarterly, 35.1/4: 16 &lt;</w:t>
      </w:r>
      <w:hyperlink r:id="R20e92776fb05435d">
        <w:r w:rsidRPr="0DEF7B38" w:rsidR="0DEF7B38">
          <w:rPr>
            <w:rStyle w:val="Hyperlink"/>
          </w:rPr>
          <w:t>https://doi.org/10.2307/4423067</w:t>
        </w:r>
      </w:hyperlink>
      <w:r w:rsidR="0DEF7B38">
        <w:rPr/>
        <w:t>&gt;</w:t>
      </w:r>
    </w:p>
  </w:footnote>
  <w:footnote w:id="10391">
    <w:p w:rsidR="0DEF7B38" w:rsidP="0DEF7B38" w:rsidRDefault="0DEF7B38" w14:paraId="58350B96" w14:textId="459C678A">
      <w:pPr>
        <w:pStyle w:val="FootnoteText"/>
        <w:bidi w:val="0"/>
      </w:pPr>
      <w:r w:rsidRPr="0DEF7B38">
        <w:rPr>
          <w:rStyle w:val="FootnoteReference"/>
        </w:rPr>
        <w:footnoteRef/>
      </w:r>
      <w:r w:rsidR="0DEF7B38">
        <w:rPr/>
        <w:t xml:space="preserve"> </w:t>
      </w:r>
      <w:hyperlink r:id="Rb758ef0fafe84615">
        <w:r w:rsidRPr="0DEF7B38" w:rsidR="0DEF7B38">
          <w:rPr>
            <w:rStyle w:val="Hyperlink"/>
          </w:rPr>
          <w:t>https://www.newarkguide.co.uk/thenewarktorc</w:t>
        </w:r>
      </w:hyperlink>
    </w:p>
  </w:footnote>
</w:footnotes>
</file>

<file path=word/header.xml><?xml version="1.0" encoding="utf-8"?>
<w:hdr xmlns:wp14="http://schemas.microsoft.com/office/word/2010/wordprocessingDrawing" xmlns:w14="http://schemas.microsoft.com/office/word/2010/wordml" xmlns:w="http://schemas.openxmlformats.org/wordprocessingml/2006/main" xmlns:mc="http://schemas.openxmlformats.org/markup-compatibility/2006" mc:Ignorable="wp14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9015"/>
    </w:tblGrid>
    <w:tr xmlns:wp14="http://schemas.microsoft.com/office/word/2010/wordml" w:rsidR="099EB04D" w:rsidTr="099EB04D" w14:paraId="190944EC" wp14:textId="77777777">
      <w:trPr>
        <w:trHeight w:val="300"/>
      </w:trPr>
      <w:tc>
        <w:tcPr>
          <w:tcW w:w="9015" w:type="dxa"/>
          <w:shd w:val="clear" w:color="auto" w:fill="DAE8F8"/>
          <w:tcMar/>
        </w:tcPr>
        <w:p w:rsidR="099EB04D" w:rsidP="099EB04D" w:rsidRDefault="099EB04D" w14:paraId="205DE34E" w14:textId="450FD199">
          <w:pPr>
            <w:pStyle w:val="Header"/>
            <w:bidi w:val="0"/>
            <w:ind w:left="-115"/>
            <w:jc w:val="left"/>
          </w:pPr>
          <w:r w:rsidR="099EB04D">
            <w:rPr/>
            <w:t>Write an Object Biography of an artefact that you consider to be an example of Celtic</w:t>
          </w:r>
        </w:p>
        <w:p w:rsidR="099EB04D" w:rsidP="099EB04D" w:rsidRDefault="099EB04D" w14:paraId="493A58AC" w14:textId="7B16C9BB">
          <w:pPr>
            <w:pStyle w:val="Header"/>
            <w:bidi w:val="0"/>
            <w:ind w:left="-115"/>
            <w:jc w:val="left"/>
          </w:pPr>
          <w:r w:rsidR="099EB04D">
            <w:rPr/>
            <w:t>Art.</w:t>
          </w:r>
        </w:p>
      </w:tc>
    </w:tr>
  </w:tbl>
  <w:p w:rsidR="099EB04D" w:rsidP="099EB04D" w:rsidRDefault="099EB04D" w14:paraId="279FC72E" w14:textId="21BE8DDA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mRo9X4nQ" int2:invalidationBookmarkName="" int2:hashCode="0lXQ0GySJQ8tJA" int2:id="z2VmbOgY">
      <int2:state int2:type="style" int2:value="Rejected"/>
    </int2:bookmark>
    <int2:bookmark int2:bookmarkName="_Int_ZqjbQkMt" int2:invalidationBookmarkName="" int2:hashCode="NV8o8sDDh63WIx" int2:id="xKIW4in4">
      <int2:state int2:type="style" int2:value="Rejected"/>
    </int2:bookmark>
    <int2:bookmark int2:bookmarkName="_Int_IPHExjso" int2:invalidationBookmarkName="" int2:hashCode="0lXQ0GySJQ8tJA" int2:id="xXy4F1p5">
      <int2:state int2:type="style" int2:value="Rejected"/>
    </int2:bookmark>
    <int2:bookmark int2:bookmarkName="_Int_jg3C8sTO" int2:invalidationBookmarkName="" int2:hashCode="D4JDEQ/HN5+s4C" int2:id="Ek3TvcRR">
      <int2:state int2:type="style" int2:value="Rejected"/>
    </int2:bookmark>
    <int2:bookmark int2:bookmarkName="_Int_XwcNyaid" int2:invalidationBookmarkName="" int2:hashCode="pZGmU5Q5PUeaBE" int2:id="cH3lL32i">
      <int2:state int2:type="styl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footnotePr>
    <w:footnote w:id="-1"/>
    <w:footnote w:id="0"/>
  </w:foot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A9C08CC"/>
    <w:rsid w:val="0007C942"/>
    <w:rsid w:val="0040D40E"/>
    <w:rsid w:val="00F71B7A"/>
    <w:rsid w:val="00F76905"/>
    <w:rsid w:val="00FCAF85"/>
    <w:rsid w:val="00FD268C"/>
    <w:rsid w:val="0150B8FD"/>
    <w:rsid w:val="01935D08"/>
    <w:rsid w:val="0194B084"/>
    <w:rsid w:val="019B2B5F"/>
    <w:rsid w:val="0207F1D6"/>
    <w:rsid w:val="02C5688B"/>
    <w:rsid w:val="03056FEE"/>
    <w:rsid w:val="03BBB73D"/>
    <w:rsid w:val="03BD7C0E"/>
    <w:rsid w:val="04439CD6"/>
    <w:rsid w:val="04AC5E9E"/>
    <w:rsid w:val="04C6DB03"/>
    <w:rsid w:val="04D8602B"/>
    <w:rsid w:val="04E75945"/>
    <w:rsid w:val="05FDDEEE"/>
    <w:rsid w:val="05FEEFCA"/>
    <w:rsid w:val="06AD056C"/>
    <w:rsid w:val="06C895BF"/>
    <w:rsid w:val="06C9889E"/>
    <w:rsid w:val="0750AD3E"/>
    <w:rsid w:val="07A48C45"/>
    <w:rsid w:val="08D4DC7C"/>
    <w:rsid w:val="09076B11"/>
    <w:rsid w:val="099EB04D"/>
    <w:rsid w:val="09C77786"/>
    <w:rsid w:val="09D83F2F"/>
    <w:rsid w:val="0AC77C05"/>
    <w:rsid w:val="0AD262DF"/>
    <w:rsid w:val="0AD27DCA"/>
    <w:rsid w:val="0BB5E03E"/>
    <w:rsid w:val="0C0C88E5"/>
    <w:rsid w:val="0C4DE348"/>
    <w:rsid w:val="0D956236"/>
    <w:rsid w:val="0DEF7B38"/>
    <w:rsid w:val="0E33A28B"/>
    <w:rsid w:val="0E681403"/>
    <w:rsid w:val="0E926719"/>
    <w:rsid w:val="0EA643FC"/>
    <w:rsid w:val="0EB824A2"/>
    <w:rsid w:val="0ED93E3C"/>
    <w:rsid w:val="0F51C00C"/>
    <w:rsid w:val="0F9C1E8F"/>
    <w:rsid w:val="109A4542"/>
    <w:rsid w:val="10DFD641"/>
    <w:rsid w:val="115CB56B"/>
    <w:rsid w:val="115D73E2"/>
    <w:rsid w:val="11D33DB8"/>
    <w:rsid w:val="11FF681E"/>
    <w:rsid w:val="12026A5F"/>
    <w:rsid w:val="123525FF"/>
    <w:rsid w:val="129F3646"/>
    <w:rsid w:val="12D10864"/>
    <w:rsid w:val="13B0DA9B"/>
    <w:rsid w:val="14181F48"/>
    <w:rsid w:val="14A3DFBE"/>
    <w:rsid w:val="14E0C325"/>
    <w:rsid w:val="15544A2F"/>
    <w:rsid w:val="1585203D"/>
    <w:rsid w:val="159E5066"/>
    <w:rsid w:val="160E3228"/>
    <w:rsid w:val="161498CC"/>
    <w:rsid w:val="165677EC"/>
    <w:rsid w:val="173894B8"/>
    <w:rsid w:val="17884117"/>
    <w:rsid w:val="17B8EFCD"/>
    <w:rsid w:val="17BEB19A"/>
    <w:rsid w:val="18438857"/>
    <w:rsid w:val="18776E5B"/>
    <w:rsid w:val="18BB8516"/>
    <w:rsid w:val="19FF5C56"/>
    <w:rsid w:val="1A05F5D8"/>
    <w:rsid w:val="1A14D7BB"/>
    <w:rsid w:val="1A2DB76C"/>
    <w:rsid w:val="1A7BB988"/>
    <w:rsid w:val="1A7F168D"/>
    <w:rsid w:val="1AAC8307"/>
    <w:rsid w:val="1B1D6551"/>
    <w:rsid w:val="1B51D573"/>
    <w:rsid w:val="1B8D6078"/>
    <w:rsid w:val="1C46BAF1"/>
    <w:rsid w:val="1CA835B5"/>
    <w:rsid w:val="1CDCFB3B"/>
    <w:rsid w:val="1CECC577"/>
    <w:rsid w:val="1D4E2948"/>
    <w:rsid w:val="1DAFB566"/>
    <w:rsid w:val="1DDDC253"/>
    <w:rsid w:val="1E5F6412"/>
    <w:rsid w:val="1EA4060A"/>
    <w:rsid w:val="1F07F882"/>
    <w:rsid w:val="1F1CD604"/>
    <w:rsid w:val="1FCCE4E7"/>
    <w:rsid w:val="2091D460"/>
    <w:rsid w:val="20B27C6C"/>
    <w:rsid w:val="21128C8C"/>
    <w:rsid w:val="21A7F42A"/>
    <w:rsid w:val="21B91B96"/>
    <w:rsid w:val="222382A0"/>
    <w:rsid w:val="22444D17"/>
    <w:rsid w:val="22BAA328"/>
    <w:rsid w:val="22F745DB"/>
    <w:rsid w:val="231251C5"/>
    <w:rsid w:val="2314D850"/>
    <w:rsid w:val="233793C3"/>
    <w:rsid w:val="234DA12B"/>
    <w:rsid w:val="236804C6"/>
    <w:rsid w:val="23760C68"/>
    <w:rsid w:val="240CF931"/>
    <w:rsid w:val="2447BE2D"/>
    <w:rsid w:val="249A2AEF"/>
    <w:rsid w:val="24FFF946"/>
    <w:rsid w:val="257D1D5B"/>
    <w:rsid w:val="25E40C23"/>
    <w:rsid w:val="261F454D"/>
    <w:rsid w:val="263CAC70"/>
    <w:rsid w:val="265EBC7E"/>
    <w:rsid w:val="27817A33"/>
    <w:rsid w:val="27B1F943"/>
    <w:rsid w:val="281F9F73"/>
    <w:rsid w:val="282BF108"/>
    <w:rsid w:val="28639110"/>
    <w:rsid w:val="287439FB"/>
    <w:rsid w:val="2881A375"/>
    <w:rsid w:val="28CC0CBF"/>
    <w:rsid w:val="292C19AA"/>
    <w:rsid w:val="29725822"/>
    <w:rsid w:val="2A264AE8"/>
    <w:rsid w:val="2B9A829C"/>
    <w:rsid w:val="2C36CDF7"/>
    <w:rsid w:val="2C3A0F4F"/>
    <w:rsid w:val="2C4841A7"/>
    <w:rsid w:val="2C9740B2"/>
    <w:rsid w:val="2D3E85F2"/>
    <w:rsid w:val="2D4CA3C7"/>
    <w:rsid w:val="2D5741C5"/>
    <w:rsid w:val="2DA0CE17"/>
    <w:rsid w:val="2DF075A1"/>
    <w:rsid w:val="2E6E2E74"/>
    <w:rsid w:val="2EA4A89F"/>
    <w:rsid w:val="2ED02F9E"/>
    <w:rsid w:val="2EE99F92"/>
    <w:rsid w:val="2F3D4578"/>
    <w:rsid w:val="2F793EF8"/>
    <w:rsid w:val="2F81F0CB"/>
    <w:rsid w:val="2F882C72"/>
    <w:rsid w:val="30320D77"/>
    <w:rsid w:val="305B9033"/>
    <w:rsid w:val="306465A8"/>
    <w:rsid w:val="30B1360B"/>
    <w:rsid w:val="30C762BF"/>
    <w:rsid w:val="311C4497"/>
    <w:rsid w:val="314B8266"/>
    <w:rsid w:val="31739E48"/>
    <w:rsid w:val="3204136A"/>
    <w:rsid w:val="324951A4"/>
    <w:rsid w:val="3272ED6D"/>
    <w:rsid w:val="328682E9"/>
    <w:rsid w:val="32D6C841"/>
    <w:rsid w:val="32F77E41"/>
    <w:rsid w:val="32FF9A37"/>
    <w:rsid w:val="3308B063"/>
    <w:rsid w:val="33C0544B"/>
    <w:rsid w:val="33CF716A"/>
    <w:rsid w:val="3455A3CF"/>
    <w:rsid w:val="348D7FC9"/>
    <w:rsid w:val="35B8B266"/>
    <w:rsid w:val="36E8273E"/>
    <w:rsid w:val="37AF9002"/>
    <w:rsid w:val="3857A857"/>
    <w:rsid w:val="38CA9D2B"/>
    <w:rsid w:val="38EC45DA"/>
    <w:rsid w:val="3923AAB8"/>
    <w:rsid w:val="3A070A64"/>
    <w:rsid w:val="3A2C8CF7"/>
    <w:rsid w:val="3A6D7856"/>
    <w:rsid w:val="3A74C5F7"/>
    <w:rsid w:val="3B3AEF0C"/>
    <w:rsid w:val="3B7AB960"/>
    <w:rsid w:val="3B9FADC2"/>
    <w:rsid w:val="3BF8CBC7"/>
    <w:rsid w:val="3DC09ED7"/>
    <w:rsid w:val="3E38784F"/>
    <w:rsid w:val="3E7CA01E"/>
    <w:rsid w:val="3EDB4444"/>
    <w:rsid w:val="3EE3ADBD"/>
    <w:rsid w:val="3F034DE5"/>
    <w:rsid w:val="3F376034"/>
    <w:rsid w:val="3F70AFD3"/>
    <w:rsid w:val="3F9EEF1C"/>
    <w:rsid w:val="40A02B36"/>
    <w:rsid w:val="40B3CE13"/>
    <w:rsid w:val="40CCC885"/>
    <w:rsid w:val="40D1E2AD"/>
    <w:rsid w:val="41019D3F"/>
    <w:rsid w:val="410864BB"/>
    <w:rsid w:val="414FAF20"/>
    <w:rsid w:val="4189D8C8"/>
    <w:rsid w:val="42EA7F08"/>
    <w:rsid w:val="42F31FD7"/>
    <w:rsid w:val="44672328"/>
    <w:rsid w:val="44BCE677"/>
    <w:rsid w:val="4555D16B"/>
    <w:rsid w:val="456C99F0"/>
    <w:rsid w:val="45A46882"/>
    <w:rsid w:val="45C29D42"/>
    <w:rsid w:val="45CC2A85"/>
    <w:rsid w:val="462598E9"/>
    <w:rsid w:val="47A8CC6A"/>
    <w:rsid w:val="480EB40B"/>
    <w:rsid w:val="4837B7A1"/>
    <w:rsid w:val="485A4252"/>
    <w:rsid w:val="4874BA40"/>
    <w:rsid w:val="48985185"/>
    <w:rsid w:val="4A2F1CC6"/>
    <w:rsid w:val="4B2FDA8E"/>
    <w:rsid w:val="4B54444E"/>
    <w:rsid w:val="4B65682F"/>
    <w:rsid w:val="4B828A44"/>
    <w:rsid w:val="4BF77B27"/>
    <w:rsid w:val="4CFE90FC"/>
    <w:rsid w:val="4D2A0929"/>
    <w:rsid w:val="4EB01D11"/>
    <w:rsid w:val="4EC023CB"/>
    <w:rsid w:val="4EE516A1"/>
    <w:rsid w:val="4F07E6C0"/>
    <w:rsid w:val="4FA3DAE6"/>
    <w:rsid w:val="4FE9C7DB"/>
    <w:rsid w:val="501A5E6D"/>
    <w:rsid w:val="504CDF58"/>
    <w:rsid w:val="50BED796"/>
    <w:rsid w:val="5168B8E0"/>
    <w:rsid w:val="51D35ED9"/>
    <w:rsid w:val="529CE93B"/>
    <w:rsid w:val="52BC6C4B"/>
    <w:rsid w:val="535AABD1"/>
    <w:rsid w:val="539592F5"/>
    <w:rsid w:val="53C1F3F8"/>
    <w:rsid w:val="53C8A836"/>
    <w:rsid w:val="54CD4EF4"/>
    <w:rsid w:val="5589FD98"/>
    <w:rsid w:val="55B01488"/>
    <w:rsid w:val="55B2E046"/>
    <w:rsid w:val="5600DB0A"/>
    <w:rsid w:val="562CC56E"/>
    <w:rsid w:val="56373938"/>
    <w:rsid w:val="5641216B"/>
    <w:rsid w:val="576B7DBB"/>
    <w:rsid w:val="586D46F7"/>
    <w:rsid w:val="587ACF6E"/>
    <w:rsid w:val="58927CB2"/>
    <w:rsid w:val="589BD663"/>
    <w:rsid w:val="58A12F73"/>
    <w:rsid w:val="58F453F5"/>
    <w:rsid w:val="59391B1A"/>
    <w:rsid w:val="594BA0BB"/>
    <w:rsid w:val="594CBE16"/>
    <w:rsid w:val="5982CE66"/>
    <w:rsid w:val="59A75926"/>
    <w:rsid w:val="59C3FA7C"/>
    <w:rsid w:val="5A556F64"/>
    <w:rsid w:val="5A5A2FFD"/>
    <w:rsid w:val="5AC6C543"/>
    <w:rsid w:val="5B29C56C"/>
    <w:rsid w:val="5B2B4B0A"/>
    <w:rsid w:val="5B641407"/>
    <w:rsid w:val="5B7A5EA3"/>
    <w:rsid w:val="5BC8ABAF"/>
    <w:rsid w:val="5BE35F88"/>
    <w:rsid w:val="5CA2C941"/>
    <w:rsid w:val="5CCC68C2"/>
    <w:rsid w:val="5CDAE0DB"/>
    <w:rsid w:val="5CE6EA00"/>
    <w:rsid w:val="5CE7F506"/>
    <w:rsid w:val="5D050AD0"/>
    <w:rsid w:val="5D1545DA"/>
    <w:rsid w:val="5D56A0FC"/>
    <w:rsid w:val="5E326F14"/>
    <w:rsid w:val="5E4323DC"/>
    <w:rsid w:val="5E4C6E87"/>
    <w:rsid w:val="5F08B4B7"/>
    <w:rsid w:val="5F160094"/>
    <w:rsid w:val="5FD19A0D"/>
    <w:rsid w:val="5FF8B992"/>
    <w:rsid w:val="60008CD3"/>
    <w:rsid w:val="603EF1C6"/>
    <w:rsid w:val="60538383"/>
    <w:rsid w:val="607DCB52"/>
    <w:rsid w:val="60A0B141"/>
    <w:rsid w:val="60EB88BF"/>
    <w:rsid w:val="60EF2CED"/>
    <w:rsid w:val="61012AFE"/>
    <w:rsid w:val="6112E5CE"/>
    <w:rsid w:val="611CA050"/>
    <w:rsid w:val="617B81DB"/>
    <w:rsid w:val="622A2FF5"/>
    <w:rsid w:val="623B0CF4"/>
    <w:rsid w:val="627BF6B6"/>
    <w:rsid w:val="62D5D7E8"/>
    <w:rsid w:val="6410DF0D"/>
    <w:rsid w:val="643E2D36"/>
    <w:rsid w:val="64F7924F"/>
    <w:rsid w:val="659345B0"/>
    <w:rsid w:val="65A06440"/>
    <w:rsid w:val="660019A9"/>
    <w:rsid w:val="6683AB5D"/>
    <w:rsid w:val="66C41451"/>
    <w:rsid w:val="675A1C31"/>
    <w:rsid w:val="676173BD"/>
    <w:rsid w:val="67ADF066"/>
    <w:rsid w:val="67C9E781"/>
    <w:rsid w:val="67CEA82B"/>
    <w:rsid w:val="67F9BA9C"/>
    <w:rsid w:val="68A01224"/>
    <w:rsid w:val="68C55633"/>
    <w:rsid w:val="68CDB5BF"/>
    <w:rsid w:val="68D13E6E"/>
    <w:rsid w:val="68E9DED3"/>
    <w:rsid w:val="6A226B89"/>
    <w:rsid w:val="6A4A4BE1"/>
    <w:rsid w:val="6A938B20"/>
    <w:rsid w:val="6A9C08CC"/>
    <w:rsid w:val="6AE9F8A0"/>
    <w:rsid w:val="6B0567E1"/>
    <w:rsid w:val="6B379D70"/>
    <w:rsid w:val="6B9B7B14"/>
    <w:rsid w:val="6C52BEEE"/>
    <w:rsid w:val="6C743F82"/>
    <w:rsid w:val="6C7AB1D5"/>
    <w:rsid w:val="6CAE9583"/>
    <w:rsid w:val="6CD434AE"/>
    <w:rsid w:val="6CED1ADA"/>
    <w:rsid w:val="6D1DE197"/>
    <w:rsid w:val="6D2C5C20"/>
    <w:rsid w:val="6D2DE3E4"/>
    <w:rsid w:val="6D73339E"/>
    <w:rsid w:val="6DC4E13C"/>
    <w:rsid w:val="6E22EEF5"/>
    <w:rsid w:val="6E465097"/>
    <w:rsid w:val="6F646618"/>
    <w:rsid w:val="6F942612"/>
    <w:rsid w:val="6FDAFED1"/>
    <w:rsid w:val="70BC8643"/>
    <w:rsid w:val="70C1057C"/>
    <w:rsid w:val="70CC59D6"/>
    <w:rsid w:val="710559BB"/>
    <w:rsid w:val="7155F48E"/>
    <w:rsid w:val="715E807D"/>
    <w:rsid w:val="72264052"/>
    <w:rsid w:val="72501E2E"/>
    <w:rsid w:val="726A030B"/>
    <w:rsid w:val="72B9579F"/>
    <w:rsid w:val="7344AE33"/>
    <w:rsid w:val="737E3309"/>
    <w:rsid w:val="74360302"/>
    <w:rsid w:val="74AB394B"/>
    <w:rsid w:val="74D41504"/>
    <w:rsid w:val="75758B68"/>
    <w:rsid w:val="75FCC454"/>
    <w:rsid w:val="7628D14B"/>
    <w:rsid w:val="764A9A80"/>
    <w:rsid w:val="772AAA96"/>
    <w:rsid w:val="7744651F"/>
    <w:rsid w:val="7762FE50"/>
    <w:rsid w:val="77668D8F"/>
    <w:rsid w:val="776B7AA5"/>
    <w:rsid w:val="77847351"/>
    <w:rsid w:val="7793B804"/>
    <w:rsid w:val="7838FFBD"/>
    <w:rsid w:val="784CEA72"/>
    <w:rsid w:val="786A87F8"/>
    <w:rsid w:val="78D41A10"/>
    <w:rsid w:val="7910F7B9"/>
    <w:rsid w:val="791E6498"/>
    <w:rsid w:val="79279EBD"/>
    <w:rsid w:val="7930D525"/>
    <w:rsid w:val="7A3D4768"/>
    <w:rsid w:val="7A6600B7"/>
    <w:rsid w:val="7ADB553F"/>
    <w:rsid w:val="7B20DB5F"/>
    <w:rsid w:val="7B7C2B05"/>
    <w:rsid w:val="7D402A6F"/>
    <w:rsid w:val="7D7BC906"/>
    <w:rsid w:val="7D7E21F6"/>
    <w:rsid w:val="7EE669D9"/>
    <w:rsid w:val="7F6FA14B"/>
    <w:rsid w:val="7F814A8A"/>
    <w:rsid w:val="7FDC50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36A8D3"/>
  <w15:chartTrackingRefBased/>
  <w15:docId w15:val="{6663129F-C52F-40E5-B81A-BBD35E77EAB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099EB04D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099EB04D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FootnoteText">
    <w:uiPriority w:val="99"/>
    <w:name w:val="footnote text"/>
    <w:basedOn w:val="Normal"/>
    <w:semiHidden/>
    <w:unhideWhenUsed/>
    <w:rsid w:val="55B01488"/>
    <w:rPr>
      <w:sz w:val="20"/>
      <w:szCs w:val="20"/>
    </w:rPr>
    <w:pPr>
      <w:spacing w:after="0" w:line="240" w:lineRule="auto"/>
    </w:pPr>
  </w:style>
  <w:style w:type="character" w:styleId="FootnoteReference">
    <w:uiPriority w:val="99"/>
    <w:name w:val="footnote reference"/>
    <w:basedOn w:val="DefaultParagraphFont"/>
    <w:semiHidden/>
    <w:unhideWhenUsed/>
    <w:rsid w:val="55B01488"/>
    <w:rPr>
      <w:vertAlign w:val="superscript"/>
    </w:rPr>
  </w:style>
  <w:style w:type="character" w:styleId="Hyperlink">
    <w:uiPriority w:val="99"/>
    <w:name w:val="Hyperlink"/>
    <w:basedOn w:val="DefaultParagraphFont"/>
    <w:unhideWhenUsed/>
    <w:rsid w:val="55B01488"/>
    <w:rPr>
      <w:color w:val="467886"/>
      <w:u w:val="single"/>
    </w:rPr>
  </w:style>
  <w:style w:type="paragraph" w:styleId="Heading1">
    <w:uiPriority w:val="9"/>
    <w:name w:val="heading 1"/>
    <w:basedOn w:val="Normal"/>
    <w:next w:val="Normal"/>
    <w:qFormat/>
    <w:rsid w:val="70BC8643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103dcfa57c9d460f" /><Relationship Type="http://schemas.openxmlformats.org/officeDocument/2006/relationships/footer" Target="/word/footer.xml" Id="R57fa7352933d4ca4" /><Relationship Type="http://schemas.openxmlformats.org/officeDocument/2006/relationships/footnotes" Target="/word/footnotes.xml" Id="Rae8238fbac7e4e4b" /><Relationship Type="http://schemas.microsoft.com/office/2020/10/relationships/intelligence" Target="/word/intelligence2.xml" Id="R433848bbca5a456f" /><Relationship Type="http://schemas.openxmlformats.org/officeDocument/2006/relationships/image" Target="/media/image2.png" Id="rId2142440225" /><Relationship Type="http://schemas.openxmlformats.org/officeDocument/2006/relationships/image" Target="/media/image3.png" Id="rId223979535" /><Relationship Type="http://schemas.openxmlformats.org/officeDocument/2006/relationships/image" Target="/media/image4.png" Id="rId1143448679" /><Relationship Type="http://schemas.openxmlformats.org/officeDocument/2006/relationships/image" Target="/media/image5.png" Id="rId1976355828" /></Relationships>
</file>

<file path=word/_rels/footnotes.xml.rels>&#65279;<?xml version="1.0" encoding="utf-8"?><Relationships xmlns="http://schemas.openxmlformats.org/package/2006/relationships"><Relationship Type="http://schemas.openxmlformats.org/officeDocument/2006/relationships/hyperlink" Target="https://www.britannica.com/topic/Celt-people" TargetMode="External" Id="R3fcd389a4a5a498d" /><Relationship Type="http://schemas.openxmlformats.org/officeDocument/2006/relationships/hyperlink" Target="https://bigbookoftorcs.com/torc-faqs/" TargetMode="External" Id="R16f97fd3c3aa4ee1" /><Relationship Type="http://schemas.openxmlformats.org/officeDocument/2006/relationships/hyperlink" Target="https://web.archive.org/web/20151027020809/http://www.britishmuseum.org/explore/highlights/highlight_objects/pe_prb/t/the_great_torc_from_snettisham.aspx" TargetMode="External" Id="Rdd23c582d73e4a4d" /><Relationship Type="http://schemas.openxmlformats.org/officeDocument/2006/relationships/hyperlink" Target="https://web.archive.org/web/20151027020809/http://www.britishmuseum.org/explore/highlights/highlight_objects/pe_prb/t/the_great_torc_from_snettisham.aspx" TargetMode="External" Id="Rd64700ea4aab4f55" /><Relationship Type="http://schemas.openxmlformats.org/officeDocument/2006/relationships/hyperlink" Target="https://web.archive.org/web/20060509121039/http://www.cix.co.uk/~archaeology/hilites/snet.htm" TargetMode="External" Id="Rc9dc446ecfc84da8" /><Relationship Type="http://schemas.openxmlformats.org/officeDocument/2006/relationships/hyperlink" Target="https://www.britannica.com/topic/Iceni" TargetMode="External" Id="R74bc2accb20649d2" /><Relationship Type="http://schemas.openxmlformats.org/officeDocument/2006/relationships/hyperlink" Target="https://doi.org/10.2307/4423067" TargetMode="External" Id="R20e92776fb05435d" /><Relationship Type="http://schemas.openxmlformats.org/officeDocument/2006/relationships/hyperlink" Target="https://www.newarkguide.co.uk/thenewarktorc" TargetMode="External" Id="Rb758ef0fafe84615" /><Relationship Type="http://schemas.openxmlformats.org/officeDocument/2006/relationships/hyperlink" Target="https://www.britannica.com/place/La-Tene#ref111430" TargetMode="External" Id="Rf85079d1598a4e3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Ewan Adshead (2501199)</dc:creator>
  <keywords/>
  <dc:description/>
  <lastModifiedBy>Ewan Adshead (2501199)</lastModifiedBy>
  <revision>21</revision>
  <dcterms:created xsi:type="dcterms:W3CDTF">2026-04-15T16:29:09.7001657Z</dcterms:created>
  <dcterms:modified xsi:type="dcterms:W3CDTF">2026-04-16T23:24:10.9754038Z</dcterms:modified>
</coreProperties>
</file>