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0DC85" w14:textId="77777777" w:rsidR="00DC6FD9" w:rsidRPr="00DC6FD9" w:rsidRDefault="00DC6FD9" w:rsidP="00DC6FD9">
      <w:pPr>
        <w:spacing w:before="100" w:beforeAutospacing="1" w:after="100" w:afterAutospacing="1"/>
        <w:outlineLvl w:val="2"/>
        <w:rPr>
          <w:rFonts w:ascii="Calibri" w:eastAsia="Times New Roman" w:hAnsi="Calibri" w:cs="Calibri"/>
          <w:b/>
          <w:bCs/>
          <w:kern w:val="0"/>
          <w:lang w:eastAsia="en-GB"/>
          <w14:ligatures w14:val="none"/>
        </w:rPr>
      </w:pPr>
      <w:r w:rsidRPr="00DC6FD9">
        <w:rPr>
          <w:rFonts w:ascii="Calibri" w:eastAsia="Times New Roman" w:hAnsi="Calibri" w:cs="Calibri"/>
          <w:b/>
          <w:bCs/>
          <w:kern w:val="0"/>
          <w:lang w:eastAsia="en-GB"/>
          <w14:ligatures w14:val="none"/>
        </w:rPr>
        <w:t xml:space="preserve">Commentary on </w:t>
      </w:r>
      <w:r w:rsidRPr="00DC6FD9">
        <w:rPr>
          <w:rFonts w:ascii="Calibri" w:eastAsia="Times New Roman" w:hAnsi="Calibri" w:cs="Calibri"/>
          <w:b/>
          <w:bCs/>
          <w:i/>
          <w:iCs/>
          <w:kern w:val="0"/>
          <w:lang w:eastAsia="en-GB"/>
          <w14:ligatures w14:val="none"/>
        </w:rPr>
        <w:t>The Damascus Chronicle of the Crusades</w:t>
      </w:r>
    </w:p>
    <w:p w14:paraId="33389835" w14:textId="77777777"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The Damascus Chronicle of the Crusades, written by Ibn al-</w:t>
      </w:r>
      <w:proofErr w:type="spellStart"/>
      <w:r w:rsidRPr="00DC6FD9">
        <w:rPr>
          <w:rFonts w:ascii="Calibri" w:eastAsia="Times New Roman" w:hAnsi="Calibri" w:cs="Calibri"/>
          <w:kern w:val="0"/>
          <w:lang w:eastAsia="en-GB"/>
          <w14:ligatures w14:val="none"/>
        </w:rPr>
        <w:t>Qalanisi</w:t>
      </w:r>
      <w:proofErr w:type="spellEnd"/>
      <w:r w:rsidRPr="00DC6FD9">
        <w:rPr>
          <w:rFonts w:ascii="Calibri" w:eastAsia="Times New Roman" w:hAnsi="Calibri" w:cs="Calibri"/>
          <w:kern w:val="0"/>
          <w:lang w:eastAsia="en-GB"/>
          <w14:ligatures w14:val="none"/>
        </w:rPr>
        <w:t xml:space="preserve"> and translated by H. A. R. Gibb, is one of the most important contemporary Arabic sources documenting the First Crusade and its aftermath. Unlike the widely available Western Crusader chronicles, such as </w:t>
      </w:r>
      <w:proofErr w:type="spellStart"/>
      <w:r w:rsidRPr="00DC6FD9">
        <w:rPr>
          <w:rFonts w:ascii="Calibri" w:eastAsia="Times New Roman" w:hAnsi="Calibri" w:cs="Calibri"/>
          <w:i/>
          <w:iCs/>
          <w:kern w:val="0"/>
          <w:lang w:eastAsia="en-GB"/>
          <w14:ligatures w14:val="none"/>
        </w:rPr>
        <w:t>Gesta</w:t>
      </w:r>
      <w:proofErr w:type="spellEnd"/>
      <w:r w:rsidRPr="00DC6FD9">
        <w:rPr>
          <w:rFonts w:ascii="Calibri" w:eastAsia="Times New Roman" w:hAnsi="Calibri" w:cs="Calibri"/>
          <w:i/>
          <w:iCs/>
          <w:kern w:val="0"/>
          <w:lang w:eastAsia="en-GB"/>
          <w14:ligatures w14:val="none"/>
        </w:rPr>
        <w:t xml:space="preserve"> Francorum</w:t>
      </w:r>
      <w:r w:rsidRPr="00DC6FD9">
        <w:rPr>
          <w:rFonts w:ascii="Calibri" w:eastAsia="Times New Roman" w:hAnsi="Calibri" w:cs="Calibri"/>
          <w:kern w:val="0"/>
          <w:lang w:eastAsia="en-GB"/>
          <w14:ligatures w14:val="none"/>
        </w:rPr>
        <w:t xml:space="preserve"> and Fulcher of Chartres’ </w:t>
      </w:r>
      <w:r w:rsidRPr="00DC6FD9">
        <w:rPr>
          <w:rFonts w:ascii="Calibri" w:eastAsia="Times New Roman" w:hAnsi="Calibri" w:cs="Calibri"/>
          <w:i/>
          <w:iCs/>
          <w:kern w:val="0"/>
          <w:lang w:eastAsia="en-GB"/>
          <w14:ligatures w14:val="none"/>
        </w:rPr>
        <w:t xml:space="preserve">Historia </w:t>
      </w:r>
      <w:proofErr w:type="spellStart"/>
      <w:r w:rsidRPr="00DC6FD9">
        <w:rPr>
          <w:rFonts w:ascii="Calibri" w:eastAsia="Times New Roman" w:hAnsi="Calibri" w:cs="Calibri"/>
          <w:i/>
          <w:iCs/>
          <w:kern w:val="0"/>
          <w:lang w:eastAsia="en-GB"/>
          <w14:ligatures w14:val="none"/>
        </w:rPr>
        <w:t>Hierosolymitana</w:t>
      </w:r>
      <w:proofErr w:type="spellEnd"/>
      <w:r w:rsidRPr="00DC6FD9">
        <w:rPr>
          <w:rFonts w:ascii="Calibri" w:eastAsia="Times New Roman" w:hAnsi="Calibri" w:cs="Calibri"/>
          <w:kern w:val="0"/>
          <w:lang w:eastAsia="en-GB"/>
          <w14:ligatures w14:val="none"/>
        </w:rPr>
        <w:t>, Ibn al-</w:t>
      </w:r>
      <w:proofErr w:type="spellStart"/>
      <w:r w:rsidRPr="00DC6FD9">
        <w:rPr>
          <w:rFonts w:ascii="Calibri" w:eastAsia="Times New Roman" w:hAnsi="Calibri" w:cs="Calibri"/>
          <w:kern w:val="0"/>
          <w:lang w:eastAsia="en-GB"/>
          <w14:ligatures w14:val="none"/>
        </w:rPr>
        <w:t>Qalanisi’s</w:t>
      </w:r>
      <w:proofErr w:type="spellEnd"/>
      <w:r w:rsidRPr="00DC6FD9">
        <w:rPr>
          <w:rFonts w:ascii="Calibri" w:eastAsia="Times New Roman" w:hAnsi="Calibri" w:cs="Calibri"/>
          <w:kern w:val="0"/>
          <w:lang w:eastAsia="en-GB"/>
          <w14:ligatures w14:val="none"/>
        </w:rPr>
        <w:t xml:space="preserve"> work provides an invaluable perspective from within the Islamic world, particularly focusing on the city of Damascus. His chronicle offers insight into Muslim reactions to the Crusades, the internal political dynamics of the Islamic states, and the gradual emergence of a unified resistance to the Crusader states in the Levant.</w:t>
      </w:r>
    </w:p>
    <w:p w14:paraId="1D340472" w14:textId="258BC155"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This commentary will explore the themes of political fragmentation in the Muslim world, the evolving perception of the Crusaders, the role of Damascus as a </w:t>
      </w:r>
      <w:r w:rsidRPr="00DC6FD9">
        <w:rPr>
          <w:rFonts w:ascii="Calibri" w:eastAsia="Times New Roman" w:hAnsi="Calibri" w:cs="Calibri"/>
          <w:kern w:val="0"/>
          <w:lang w:eastAsia="en-GB"/>
          <w14:ligatures w14:val="none"/>
        </w:rPr>
        <w:t>centre</w:t>
      </w:r>
      <w:r w:rsidRPr="00DC6FD9">
        <w:rPr>
          <w:rFonts w:ascii="Calibri" w:eastAsia="Times New Roman" w:hAnsi="Calibri" w:cs="Calibri"/>
          <w:kern w:val="0"/>
          <w:lang w:eastAsia="en-GB"/>
          <w14:ligatures w14:val="none"/>
        </w:rPr>
        <w:t xml:space="preserve"> of power and resistance</w:t>
      </w:r>
      <w:r w:rsidRPr="00DC6FD9">
        <w:rPr>
          <w:rFonts w:ascii="Calibri" w:eastAsia="Times New Roman" w:hAnsi="Calibri" w:cs="Calibri"/>
          <w:kern w:val="0"/>
          <w:lang w:eastAsia="en-GB"/>
          <w14:ligatures w14:val="none"/>
        </w:rPr>
        <w:t>, and</w:t>
      </w:r>
      <w:r w:rsidRPr="00DC6FD9">
        <w:rPr>
          <w:rFonts w:ascii="Calibri" w:eastAsia="Times New Roman" w:hAnsi="Calibri" w:cs="Calibri"/>
          <w:kern w:val="0"/>
          <w:lang w:eastAsia="en-GB"/>
          <w14:ligatures w14:val="none"/>
        </w:rPr>
        <w:t xml:space="preserve"> compare </w:t>
      </w:r>
      <w:r w:rsidRPr="00DC6FD9">
        <w:rPr>
          <w:rFonts w:ascii="Calibri" w:eastAsia="Times New Roman" w:hAnsi="Calibri" w:cs="Calibri"/>
          <w:i/>
          <w:iCs/>
          <w:kern w:val="0"/>
          <w:lang w:eastAsia="en-GB"/>
          <w14:ligatures w14:val="none"/>
        </w:rPr>
        <w:t>The Damascus Chronicle</w:t>
      </w:r>
      <w:r w:rsidRPr="00DC6FD9">
        <w:rPr>
          <w:rFonts w:ascii="Calibri" w:eastAsia="Times New Roman" w:hAnsi="Calibri" w:cs="Calibri"/>
          <w:kern w:val="0"/>
          <w:lang w:eastAsia="en-GB"/>
          <w14:ligatures w14:val="none"/>
        </w:rPr>
        <w:t xml:space="preserve"> with contemporaneous primary sources, both from the Islamic world and from Western Crusader accounts</w:t>
      </w:r>
      <w:r w:rsidRPr="00DC6FD9">
        <w:rPr>
          <w:rFonts w:ascii="Calibri" w:eastAsia="Times New Roman" w:hAnsi="Calibri" w:cs="Calibri"/>
          <w:kern w:val="0"/>
          <w:lang w:eastAsia="en-GB"/>
          <w14:ligatures w14:val="none"/>
        </w:rPr>
        <w:t>.</w:t>
      </w:r>
    </w:p>
    <w:p w14:paraId="0B5B81CF" w14:textId="69DCD33A"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One of the most striking aspects of Ibn al-</w:t>
      </w:r>
      <w:proofErr w:type="spellStart"/>
      <w:r w:rsidRPr="00DC6FD9">
        <w:rPr>
          <w:rFonts w:ascii="Calibri" w:eastAsia="Times New Roman" w:hAnsi="Calibri" w:cs="Calibri"/>
          <w:kern w:val="0"/>
          <w:lang w:eastAsia="en-GB"/>
          <w14:ligatures w14:val="none"/>
        </w:rPr>
        <w:t>Qalanisi’s</w:t>
      </w:r>
      <w:proofErr w:type="spellEnd"/>
      <w:r w:rsidRPr="00DC6FD9">
        <w:rPr>
          <w:rFonts w:ascii="Calibri" w:eastAsia="Times New Roman" w:hAnsi="Calibri" w:cs="Calibri"/>
          <w:kern w:val="0"/>
          <w:lang w:eastAsia="en-GB"/>
          <w14:ligatures w14:val="none"/>
        </w:rPr>
        <w:t xml:space="preserve"> chronicle is its detailed account of the disunity among Muslim rulers during the early Crusades. This theme is a crucial factor</w:t>
      </w:r>
      <w:r w:rsidRPr="00DC6FD9">
        <w:rPr>
          <w:rFonts w:ascii="Calibri" w:eastAsia="Times New Roman" w:hAnsi="Calibri" w:cs="Calibri"/>
          <w:kern w:val="0"/>
          <w:lang w:eastAsia="en-GB"/>
          <w14:ligatures w14:val="none"/>
        </w:rPr>
        <w:t>,</w:t>
      </w:r>
      <w:r w:rsidRPr="00DC6FD9">
        <w:rPr>
          <w:rFonts w:ascii="Calibri" w:eastAsia="Times New Roman" w:hAnsi="Calibri" w:cs="Calibri"/>
          <w:kern w:val="0"/>
          <w:lang w:eastAsia="en-GB"/>
          <w14:ligatures w14:val="none"/>
        </w:rPr>
        <w:t xml:space="preserve"> in </w:t>
      </w:r>
      <w:r w:rsidRPr="00DC6FD9">
        <w:rPr>
          <w:rFonts w:ascii="Calibri" w:eastAsia="Times New Roman" w:hAnsi="Calibri" w:cs="Calibri"/>
          <w:kern w:val="0"/>
          <w:lang w:eastAsia="en-GB"/>
          <w14:ligatures w14:val="none"/>
        </w:rPr>
        <w:t>his perspective, in</w:t>
      </w:r>
      <w:r w:rsidRPr="00DC6FD9">
        <w:rPr>
          <w:rFonts w:ascii="Calibri" w:eastAsia="Times New Roman" w:hAnsi="Calibri" w:cs="Calibri"/>
          <w:kern w:val="0"/>
          <w:lang w:eastAsia="en-GB"/>
          <w14:ligatures w14:val="none"/>
        </w:rPr>
        <w:t xml:space="preserve"> the initial success of the Crusaders. The chronicle describes how the Muslim world was divided between the Fatimids of Egypt and the </w:t>
      </w:r>
      <w:proofErr w:type="spellStart"/>
      <w:r w:rsidRPr="00DC6FD9">
        <w:rPr>
          <w:rFonts w:ascii="Calibri" w:eastAsia="Times New Roman" w:hAnsi="Calibri" w:cs="Calibri"/>
          <w:kern w:val="0"/>
          <w:lang w:eastAsia="en-GB"/>
          <w14:ligatures w14:val="none"/>
        </w:rPr>
        <w:t>Saljuqids</w:t>
      </w:r>
      <w:proofErr w:type="spellEnd"/>
      <w:r w:rsidRPr="00DC6FD9">
        <w:rPr>
          <w:rFonts w:ascii="Calibri" w:eastAsia="Times New Roman" w:hAnsi="Calibri" w:cs="Calibri"/>
          <w:kern w:val="0"/>
          <w:lang w:eastAsia="en-GB"/>
          <w14:ligatures w14:val="none"/>
        </w:rPr>
        <w:t xml:space="preserve"> of Syria, both of whom were more focused on their rivalries than on the Crusader threat. </w:t>
      </w:r>
      <w:r w:rsidRPr="00DC6FD9">
        <w:rPr>
          <w:rFonts w:ascii="Calibri" w:eastAsia="Times New Roman" w:hAnsi="Calibri" w:cs="Calibri"/>
          <w:kern w:val="0"/>
          <w:lang w:eastAsia="en-GB"/>
          <w14:ligatures w14:val="none"/>
        </w:rPr>
        <w:t>Gibb notes in his introduction to the chronicle “</w:t>
      </w:r>
      <w:r w:rsidRPr="00DC6FD9">
        <w:rPr>
          <w:rFonts w:ascii="Calibri" w:eastAsia="Times New Roman" w:hAnsi="Calibri" w:cs="Calibri"/>
          <w:kern w:val="0"/>
          <w:lang w:eastAsia="en-GB"/>
          <w14:ligatures w14:val="none"/>
        </w:rPr>
        <w:t xml:space="preserve">The misrule of the first Turkmen general caused a general revulsion of popular feeling in </w:t>
      </w:r>
      <w:proofErr w:type="spellStart"/>
      <w:r w:rsidRPr="00DC6FD9">
        <w:rPr>
          <w:rFonts w:ascii="Calibri" w:eastAsia="Times New Roman" w:hAnsi="Calibri" w:cs="Calibri"/>
          <w:kern w:val="0"/>
          <w:lang w:eastAsia="en-GB"/>
          <w14:ligatures w14:val="none"/>
        </w:rPr>
        <w:t>favor</w:t>
      </w:r>
      <w:proofErr w:type="spellEnd"/>
      <w:r w:rsidRPr="00DC6FD9">
        <w:rPr>
          <w:rFonts w:ascii="Calibri" w:eastAsia="Times New Roman" w:hAnsi="Calibri" w:cs="Calibri"/>
          <w:kern w:val="0"/>
          <w:lang w:eastAsia="en-GB"/>
          <w14:ligatures w14:val="none"/>
        </w:rPr>
        <w:t xml:space="preserve"> of the Fatimids, but the opportunity was not followed up by effective military action.</w:t>
      </w:r>
      <w:r>
        <w:rPr>
          <w:rFonts w:ascii="Calibri" w:eastAsia="Times New Roman" w:hAnsi="Calibri" w:cs="Calibri"/>
          <w:kern w:val="0"/>
          <w:lang w:eastAsia="en-GB"/>
          <w14:ligatures w14:val="none"/>
        </w:rPr>
        <w:t>”</w:t>
      </w:r>
      <w:r w:rsidRPr="00DC6FD9">
        <w:rPr>
          <w:rStyle w:val="FootnoteReference"/>
          <w:rFonts w:ascii="Calibri" w:eastAsia="Times New Roman" w:hAnsi="Calibri" w:cs="Calibri"/>
          <w:kern w:val="0"/>
          <w:lang w:eastAsia="en-GB"/>
          <w14:ligatures w14:val="none"/>
        </w:rPr>
        <w:footnoteReference w:id="1"/>
      </w:r>
    </w:p>
    <w:p w14:paraId="2AA9AB54" w14:textId="3B638B2E"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This highlights the inefficiency of the Fatimid response to the </w:t>
      </w:r>
      <w:r w:rsidRPr="00DC6FD9">
        <w:rPr>
          <w:rFonts w:ascii="Calibri" w:eastAsia="Times New Roman" w:hAnsi="Calibri" w:cs="Calibri"/>
          <w:kern w:val="0"/>
          <w:lang w:eastAsia="en-GB"/>
          <w14:ligatures w14:val="none"/>
        </w:rPr>
        <w:t>changes undergoing the region ahead of the First Crusade, and the knowledge of these political divisions would be used by the incoming crusaders,</w:t>
      </w:r>
      <w:r w:rsidRPr="00DC6FD9">
        <w:rPr>
          <w:rStyle w:val="FootnoteReference"/>
          <w:rFonts w:ascii="Calibri" w:eastAsia="Times New Roman" w:hAnsi="Calibri" w:cs="Calibri"/>
          <w:kern w:val="0"/>
          <w:lang w:eastAsia="en-GB"/>
          <w14:ligatures w14:val="none"/>
        </w:rPr>
        <w:footnoteReference w:id="2"/>
      </w:r>
      <w:r w:rsidRPr="00DC6FD9">
        <w:rPr>
          <w:rFonts w:ascii="Calibri" w:eastAsia="Times New Roman" w:hAnsi="Calibri" w:cs="Calibri"/>
          <w:kern w:val="0"/>
          <w:lang w:eastAsia="en-GB"/>
          <w14:ligatures w14:val="none"/>
        </w:rPr>
        <w:t xml:space="preserve"> who were initially viewed as just another faction rather than an existential threat.</w:t>
      </w:r>
      <w:r w:rsidRPr="00DC6FD9">
        <w:rPr>
          <w:rFonts w:ascii="Calibri" w:eastAsia="Times New Roman" w:hAnsi="Calibri" w:cs="Calibri"/>
          <w:kern w:val="0"/>
          <w:lang w:eastAsia="en-GB"/>
          <w14:ligatures w14:val="none"/>
        </w:rPr>
        <w:t xml:space="preserve"> This can be explained in part by the defeat of the so-called Peasant’s Crusade by </w:t>
      </w:r>
      <w:proofErr w:type="spellStart"/>
      <w:r w:rsidRPr="00A82BD8">
        <w:rPr>
          <w:rFonts w:ascii="Calibri" w:eastAsia="Times New Roman" w:hAnsi="Calibri" w:cs="Calibri"/>
          <w:kern w:val="0"/>
          <w:lang w:eastAsia="en-GB"/>
          <w14:ligatures w14:val="none"/>
        </w:rPr>
        <w:t>Kilij</w:t>
      </w:r>
      <w:proofErr w:type="spellEnd"/>
      <w:r w:rsidRPr="00A82BD8">
        <w:rPr>
          <w:rFonts w:ascii="Calibri" w:eastAsia="Times New Roman" w:hAnsi="Calibri" w:cs="Calibri"/>
          <w:kern w:val="0"/>
          <w:lang w:eastAsia="en-GB"/>
          <w14:ligatures w14:val="none"/>
        </w:rPr>
        <w:t xml:space="preserve"> Arslan</w:t>
      </w:r>
      <w:r w:rsidRPr="00DC6FD9">
        <w:rPr>
          <w:rFonts w:ascii="Calibri" w:eastAsia="Times New Roman" w:hAnsi="Calibri" w:cs="Calibri"/>
          <w:kern w:val="0"/>
          <w:lang w:eastAsia="en-GB"/>
          <w14:ligatures w14:val="none"/>
        </w:rPr>
        <w:t xml:space="preserve">, the sultan of the </w:t>
      </w:r>
      <w:proofErr w:type="spellStart"/>
      <w:r w:rsidRPr="00A82BD8">
        <w:rPr>
          <w:rFonts w:ascii="Calibri" w:eastAsia="Times New Roman" w:hAnsi="Calibri" w:cs="Calibri"/>
          <w:kern w:val="0"/>
          <w:lang w:eastAsia="en-GB"/>
          <w14:ligatures w14:val="none"/>
        </w:rPr>
        <w:t>Saljuqs</w:t>
      </w:r>
      <w:proofErr w:type="spellEnd"/>
      <w:r w:rsidRPr="00A82BD8">
        <w:rPr>
          <w:rFonts w:ascii="Calibri" w:eastAsia="Times New Roman" w:hAnsi="Calibri" w:cs="Calibri"/>
          <w:kern w:val="0"/>
          <w:lang w:eastAsia="en-GB"/>
          <w14:ligatures w14:val="none"/>
        </w:rPr>
        <w:t xml:space="preserve"> of Rum</w:t>
      </w:r>
      <w:r w:rsidRPr="00DC6FD9">
        <w:rPr>
          <w:rFonts w:ascii="Calibri" w:eastAsia="Times New Roman" w:hAnsi="Calibri" w:cs="Calibri"/>
          <w:kern w:val="0"/>
          <w:lang w:eastAsia="en-GB"/>
          <w14:ligatures w14:val="none"/>
        </w:rPr>
        <w:t xml:space="preserve"> in </w:t>
      </w:r>
      <w:proofErr w:type="spellStart"/>
      <w:r w:rsidRPr="00DC6FD9">
        <w:rPr>
          <w:rFonts w:ascii="Calibri" w:eastAsia="Times New Roman" w:hAnsi="Calibri" w:cs="Calibri"/>
          <w:kern w:val="0"/>
          <w:lang w:eastAsia="en-GB"/>
          <w14:ligatures w14:val="none"/>
        </w:rPr>
        <w:t>Iznik</w:t>
      </w:r>
      <w:proofErr w:type="spellEnd"/>
      <w:r w:rsidRPr="00DC6FD9">
        <w:rPr>
          <w:rFonts w:ascii="Calibri" w:eastAsia="Times New Roman" w:hAnsi="Calibri" w:cs="Calibri"/>
          <w:kern w:val="0"/>
          <w:lang w:eastAsia="en-GB"/>
          <w14:ligatures w14:val="none"/>
        </w:rPr>
        <w:t xml:space="preserve"> in 1096.</w:t>
      </w:r>
      <w:r w:rsidRPr="00DC6FD9">
        <w:rPr>
          <w:rStyle w:val="FootnoteReference"/>
          <w:rFonts w:ascii="Calibri" w:eastAsia="Times New Roman" w:hAnsi="Calibri" w:cs="Calibri"/>
          <w:kern w:val="0"/>
          <w:lang w:eastAsia="en-GB"/>
          <w14:ligatures w14:val="none"/>
        </w:rPr>
        <w:footnoteReference w:id="3"/>
      </w:r>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 xml:space="preserve">This internal division stands in contrast to the narrative of Western Crusader sources, which present Muslim resistance as relatively weak and disorganized rather than strategically undermined by internal conflicts. Fulcher of Chartres, writing from the Crusader perspective, </w:t>
      </w:r>
      <w:r w:rsidRPr="00DC6FD9">
        <w:rPr>
          <w:rFonts w:ascii="Calibri" w:eastAsia="Times New Roman" w:hAnsi="Calibri" w:cs="Calibri"/>
          <w:kern w:val="0"/>
          <w:lang w:eastAsia="en-GB"/>
          <w14:ligatures w14:val="none"/>
        </w:rPr>
        <w:t>frequently discusses the ‘scattered’ and seemingly uncoordinated methods of the Turks</w:t>
      </w:r>
      <w:r w:rsidRPr="00DC6FD9">
        <w:rPr>
          <w:rStyle w:val="FootnoteReference"/>
          <w:rFonts w:ascii="Calibri" w:eastAsia="Times New Roman" w:hAnsi="Calibri" w:cs="Calibri"/>
          <w:kern w:val="0"/>
          <w:lang w:eastAsia="en-GB"/>
          <w14:ligatures w14:val="none"/>
        </w:rPr>
        <w:footnoteReference w:id="4"/>
      </w:r>
      <w:r w:rsidRPr="00DC6FD9">
        <w:rPr>
          <w:rFonts w:ascii="Calibri" w:eastAsia="Times New Roman" w:hAnsi="Calibri" w:cs="Calibri"/>
          <w:kern w:val="0"/>
          <w:lang w:eastAsia="en-GB"/>
          <w14:ligatures w14:val="none"/>
        </w:rPr>
        <w:t xml:space="preserve">, which he attributes many crusader successes to, </w:t>
      </w:r>
      <w:r w:rsidRPr="00DC6FD9">
        <w:rPr>
          <w:rFonts w:ascii="Calibri" w:eastAsia="Times New Roman" w:hAnsi="Calibri" w:cs="Calibri"/>
          <w:kern w:val="0"/>
          <w:lang w:eastAsia="en-GB"/>
          <w14:ligatures w14:val="none"/>
        </w:rPr>
        <w:t>show</w:t>
      </w:r>
      <w:r w:rsidRPr="00DC6FD9">
        <w:rPr>
          <w:rFonts w:ascii="Calibri" w:eastAsia="Times New Roman" w:hAnsi="Calibri" w:cs="Calibri"/>
          <w:kern w:val="0"/>
          <w:lang w:eastAsia="en-GB"/>
          <w14:ligatures w14:val="none"/>
        </w:rPr>
        <w:t>ing</w:t>
      </w:r>
      <w:r w:rsidRPr="00DC6FD9">
        <w:rPr>
          <w:rFonts w:ascii="Calibri" w:eastAsia="Times New Roman" w:hAnsi="Calibri" w:cs="Calibri"/>
          <w:kern w:val="0"/>
          <w:lang w:eastAsia="en-GB"/>
          <w14:ligatures w14:val="none"/>
        </w:rPr>
        <w:t xml:space="preserve"> a lack of understanding of the deeper political dynamics that Ibn al-</w:t>
      </w:r>
      <w:proofErr w:type="spellStart"/>
      <w:r w:rsidRPr="00DC6FD9">
        <w:rPr>
          <w:rFonts w:ascii="Calibri" w:eastAsia="Times New Roman" w:hAnsi="Calibri" w:cs="Calibri"/>
          <w:kern w:val="0"/>
          <w:lang w:eastAsia="en-GB"/>
          <w14:ligatures w14:val="none"/>
        </w:rPr>
        <w:t>Qalanisi</w:t>
      </w:r>
      <w:proofErr w:type="spellEnd"/>
      <w:r w:rsidRPr="00DC6FD9">
        <w:rPr>
          <w:rFonts w:ascii="Calibri" w:eastAsia="Times New Roman" w:hAnsi="Calibri" w:cs="Calibri"/>
          <w:kern w:val="0"/>
          <w:lang w:eastAsia="en-GB"/>
          <w14:ligatures w14:val="none"/>
        </w:rPr>
        <w:t xml:space="preserve"> carefully documents</w:t>
      </w:r>
      <w:r w:rsidRPr="00DC6FD9">
        <w:rPr>
          <w:rFonts w:ascii="Calibri" w:eastAsia="Times New Roman" w:hAnsi="Calibri" w:cs="Calibri"/>
          <w:kern w:val="0"/>
          <w:lang w:eastAsia="en-GB"/>
          <w14:ligatures w14:val="none"/>
        </w:rPr>
        <w:t>,</w:t>
      </w:r>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h</w:t>
      </w:r>
      <w:r w:rsidRPr="00DC6FD9">
        <w:rPr>
          <w:rFonts w:ascii="Calibri" w:eastAsia="Times New Roman" w:hAnsi="Calibri" w:cs="Calibri"/>
          <w:kern w:val="0"/>
          <w:lang w:eastAsia="en-GB"/>
          <w14:ligatures w14:val="none"/>
        </w:rPr>
        <w:t>is chronicle serv</w:t>
      </w:r>
      <w:r w:rsidRPr="00DC6FD9">
        <w:rPr>
          <w:rFonts w:ascii="Calibri" w:eastAsia="Times New Roman" w:hAnsi="Calibri" w:cs="Calibri"/>
          <w:kern w:val="0"/>
          <w:lang w:eastAsia="en-GB"/>
          <w14:ligatures w14:val="none"/>
        </w:rPr>
        <w:t>ing</w:t>
      </w:r>
      <w:r w:rsidRPr="00DC6FD9">
        <w:rPr>
          <w:rFonts w:ascii="Calibri" w:eastAsia="Times New Roman" w:hAnsi="Calibri" w:cs="Calibri"/>
          <w:kern w:val="0"/>
          <w:lang w:eastAsia="en-GB"/>
          <w14:ligatures w14:val="none"/>
        </w:rPr>
        <w:t xml:space="preserve"> as an essential corrective to the idea that Muslim military failures were due solely to a lack of courage or ability.</w:t>
      </w:r>
    </w:p>
    <w:p w14:paraId="02350EA3" w14:textId="77777777"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p>
    <w:p w14:paraId="50BB947F" w14:textId="77777777"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p>
    <w:p w14:paraId="4A1E8EFB" w14:textId="34DD0956" w:rsidR="00DC6FD9" w:rsidRPr="00DC6FD9" w:rsidRDefault="00DC6FD9" w:rsidP="00DC6FD9">
      <w:pPr>
        <w:rPr>
          <w:rFonts w:ascii="Calibri" w:eastAsia="Times New Roman" w:hAnsi="Calibri" w:cs="Calibri"/>
          <w:kern w:val="0"/>
          <w:lang w:eastAsia="en-GB"/>
          <w14:ligatures w14:val="none"/>
        </w:rPr>
      </w:pPr>
    </w:p>
    <w:p w14:paraId="04488F5E" w14:textId="5F5D6193"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Ibn al-</w:t>
      </w:r>
      <w:proofErr w:type="spellStart"/>
      <w:r w:rsidRPr="00DC6FD9">
        <w:rPr>
          <w:rFonts w:ascii="Calibri" w:eastAsia="Times New Roman" w:hAnsi="Calibri" w:cs="Calibri"/>
          <w:kern w:val="0"/>
          <w:lang w:eastAsia="en-GB"/>
          <w14:ligatures w14:val="none"/>
        </w:rPr>
        <w:t>Qalanisi's</w:t>
      </w:r>
      <w:proofErr w:type="spellEnd"/>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i/>
          <w:iCs/>
          <w:kern w:val="0"/>
          <w:lang w:eastAsia="en-GB"/>
          <w14:ligatures w14:val="none"/>
        </w:rPr>
        <w:t>Damascus Chronicle</w:t>
      </w:r>
      <w:r w:rsidRPr="00DC6FD9">
        <w:rPr>
          <w:rFonts w:ascii="Calibri" w:eastAsia="Times New Roman" w:hAnsi="Calibri" w:cs="Calibri"/>
          <w:kern w:val="0"/>
          <w:lang w:eastAsia="en-GB"/>
          <w14:ligatures w14:val="none"/>
        </w:rPr>
        <w:t xml:space="preserve"> also provides valuable insight into how the Muslim world initially perceived the Crusaders. Unlike later Muslim chroniclers, such as Ibn al-</w:t>
      </w:r>
      <w:proofErr w:type="spellStart"/>
      <w:r w:rsidRPr="00DC6FD9">
        <w:rPr>
          <w:rFonts w:ascii="Calibri" w:eastAsia="Times New Roman" w:hAnsi="Calibri" w:cs="Calibri"/>
          <w:kern w:val="0"/>
          <w:lang w:eastAsia="en-GB"/>
          <w14:ligatures w14:val="none"/>
        </w:rPr>
        <w:t>Athir</w:t>
      </w:r>
      <w:proofErr w:type="spellEnd"/>
      <w:r w:rsidRPr="00DC6FD9">
        <w:rPr>
          <w:rFonts w:ascii="Calibri" w:eastAsia="Times New Roman" w:hAnsi="Calibri" w:cs="Calibri"/>
          <w:kern w:val="0"/>
          <w:lang w:eastAsia="en-GB"/>
          <w14:ligatures w14:val="none"/>
        </w:rPr>
        <w:t>, who portrayed the Crusaders as existential enemies from the beginning, Ibn al-</w:t>
      </w:r>
      <w:proofErr w:type="spellStart"/>
      <w:r w:rsidRPr="00DC6FD9">
        <w:rPr>
          <w:rFonts w:ascii="Calibri" w:eastAsia="Times New Roman" w:hAnsi="Calibri" w:cs="Calibri"/>
          <w:kern w:val="0"/>
          <w:lang w:eastAsia="en-GB"/>
          <w14:ligatures w14:val="none"/>
        </w:rPr>
        <w:t>Qalanisi</w:t>
      </w:r>
      <w:proofErr w:type="spellEnd"/>
      <w:r w:rsidRPr="00DC6FD9">
        <w:rPr>
          <w:rFonts w:ascii="Calibri" w:eastAsia="Times New Roman" w:hAnsi="Calibri" w:cs="Calibri"/>
          <w:kern w:val="0"/>
          <w:lang w:eastAsia="en-GB"/>
          <w14:ligatures w14:val="none"/>
        </w:rPr>
        <w:t xml:space="preserve"> initially describes them in relatively neutral terms, emphasizing the shock and confusion of their arrival</w:t>
      </w:r>
      <w:r w:rsidRPr="00DC6FD9">
        <w:rPr>
          <w:rFonts w:ascii="Calibri" w:eastAsia="Times New Roman" w:hAnsi="Calibri" w:cs="Calibri"/>
          <w:kern w:val="0"/>
          <w:lang w:eastAsia="en-GB"/>
          <w14:ligatures w14:val="none"/>
        </w:rPr>
        <w:t xml:space="preserve"> – ‘</w:t>
      </w:r>
      <w:r w:rsidRPr="00DC6FD9">
        <w:rPr>
          <w:rFonts w:ascii="Calibri" w:eastAsia="Times New Roman" w:hAnsi="Calibri" w:cs="Calibri"/>
          <w:kern w:val="0"/>
          <w:lang w:eastAsia="en-GB"/>
          <w14:ligatures w14:val="none"/>
        </w:rPr>
        <w:t>The armies of the Franks appeared from the direction of the sea of Constantinople with forces not to be reckoned for multitude.</w:t>
      </w:r>
      <w:r w:rsidRPr="00DC6FD9">
        <w:rPr>
          <w:rFonts w:ascii="Calibri" w:eastAsia="Times New Roman" w:hAnsi="Calibri" w:cs="Calibri"/>
          <w:kern w:val="0"/>
          <w:lang w:eastAsia="en-GB"/>
          <w14:ligatures w14:val="none"/>
        </w:rPr>
        <w:t>’</w:t>
      </w:r>
      <w:r w:rsidRPr="00DC6FD9">
        <w:rPr>
          <w:rStyle w:val="FootnoteReference"/>
          <w:rFonts w:ascii="Calibri" w:eastAsia="Times New Roman" w:hAnsi="Calibri" w:cs="Calibri"/>
          <w:kern w:val="0"/>
          <w:lang w:eastAsia="en-GB"/>
          <w14:ligatures w14:val="none"/>
        </w:rPr>
        <w:footnoteReference w:id="5"/>
      </w:r>
    </w:p>
    <w:p w14:paraId="6EB0C025" w14:textId="23EE4EAF"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In contrast, </w:t>
      </w:r>
      <w:proofErr w:type="spellStart"/>
      <w:r w:rsidRPr="00DC6FD9">
        <w:rPr>
          <w:rFonts w:ascii="Calibri" w:eastAsia="Times New Roman" w:hAnsi="Calibri" w:cs="Calibri"/>
          <w:i/>
          <w:iCs/>
          <w:kern w:val="0"/>
          <w:lang w:eastAsia="en-GB"/>
          <w14:ligatures w14:val="none"/>
        </w:rPr>
        <w:t>Gesta</w:t>
      </w:r>
      <w:proofErr w:type="spellEnd"/>
      <w:r w:rsidRPr="00DC6FD9">
        <w:rPr>
          <w:rFonts w:ascii="Calibri" w:eastAsia="Times New Roman" w:hAnsi="Calibri" w:cs="Calibri"/>
          <w:i/>
          <w:iCs/>
          <w:kern w:val="0"/>
          <w:lang w:eastAsia="en-GB"/>
          <w14:ligatures w14:val="none"/>
        </w:rPr>
        <w:t xml:space="preserve"> Francorum</w:t>
      </w:r>
      <w:r w:rsidRPr="00DC6FD9">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depicts the First Crusade as an act of divine will:</w:t>
      </w:r>
    </w:p>
    <w:p w14:paraId="0C741FB2" w14:textId="5DF096ED" w:rsidR="00DC6FD9" w:rsidRPr="00DC6FD9" w:rsidRDefault="00DC6FD9" w:rsidP="00DC6FD9">
      <w:pPr>
        <w:spacing w:before="100" w:beforeAutospacing="1" w:after="100" w:afterAutospacing="1"/>
        <w:ind w:left="720"/>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there was a great stirring of heart throughout all the Frankish lands, so that if any man, with all his heart and all his mind, really wanted to follow God and faithfully to bear the cross after him, he could make no delay in taking the road to the Holy Sepulchre as quickly as possible.</w:t>
      </w:r>
      <w:r w:rsidRPr="00DC6FD9">
        <w:rPr>
          <w:rStyle w:val="FootnoteReference"/>
          <w:rFonts w:ascii="Calibri" w:eastAsia="Times New Roman" w:hAnsi="Calibri" w:cs="Calibri"/>
          <w:kern w:val="0"/>
          <w:lang w:eastAsia="en-GB"/>
          <w14:ligatures w14:val="none"/>
        </w:rPr>
        <w:footnoteReference w:id="6"/>
      </w:r>
      <w:r w:rsidRPr="00DC6FD9">
        <w:rPr>
          <w:rFonts w:ascii="Calibri" w:eastAsia="Times New Roman" w:hAnsi="Calibri" w:cs="Calibri"/>
          <w:kern w:val="0"/>
          <w:lang w:eastAsia="en-GB"/>
          <w14:ligatures w14:val="none"/>
        </w:rPr>
        <w:t xml:space="preserve"> </w:t>
      </w:r>
    </w:p>
    <w:p w14:paraId="25E38421" w14:textId="19879F13"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To the Latin Christians, the Crusades were a divine mission, a battle against a ‘barbaric’ Eastern enemy. To the Muslims, however, this invasion was at first an unrecognized storm, dismissed as just another incursion in the long history of border conflicts.</w:t>
      </w:r>
      <w:r w:rsidRPr="00DC6FD9">
        <w:rPr>
          <w:rFonts w:ascii="Calibri" w:eastAsia="Times New Roman" w:hAnsi="Calibri" w:cs="Calibri"/>
          <w:kern w:val="0"/>
          <w:lang w:eastAsia="en-GB"/>
          <w14:ligatures w14:val="none"/>
        </w:rPr>
        <w:t xml:space="preserve"> As </w:t>
      </w:r>
      <w:r w:rsidRPr="00DC6FD9">
        <w:rPr>
          <w:rFonts w:ascii="Calibri" w:eastAsia="Times New Roman" w:hAnsi="Calibri" w:cs="Calibri"/>
          <w:kern w:val="0"/>
          <w:lang w:eastAsia="en-GB"/>
          <w14:ligatures w14:val="none"/>
        </w:rPr>
        <w:t xml:space="preserve">Christopher Tyerman, in </w:t>
      </w:r>
      <w:r w:rsidRPr="00DC6FD9">
        <w:rPr>
          <w:rFonts w:ascii="Calibri" w:eastAsia="Times New Roman" w:hAnsi="Calibri" w:cs="Calibri"/>
          <w:i/>
          <w:iCs/>
          <w:kern w:val="0"/>
          <w:lang w:eastAsia="en-GB"/>
          <w14:ligatures w14:val="none"/>
        </w:rPr>
        <w:t>God’s War: A New History of the Crusades</w:t>
      </w:r>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 xml:space="preserve">discusses, the religiosity of the incoming franks could certainly be seen as decisive factor, and one the Muslims were unprepared for. </w:t>
      </w:r>
    </w:p>
    <w:p w14:paraId="42303D5A" w14:textId="26C042AB" w:rsidR="00DC6FD9" w:rsidRPr="00DC6FD9" w:rsidRDefault="00DC6FD9" w:rsidP="00DC6FD9">
      <w:pPr>
        <w:spacing w:beforeAutospacing="1" w:afterAutospacing="1"/>
        <w:ind w:left="720"/>
        <w:rPr>
          <w:rFonts w:ascii="Calibri" w:eastAsia="Times New Roman" w:hAnsi="Calibri" w:cs="Calibri"/>
          <w:kern w:val="0"/>
          <w:lang w:eastAsia="en-GB"/>
          <w14:ligatures w14:val="none"/>
        </w:rPr>
      </w:pPr>
      <w:r w:rsidRPr="00A82BD8">
        <w:rPr>
          <w:rFonts w:ascii="Calibri" w:eastAsia="Times New Roman" w:hAnsi="Calibri" w:cs="Calibri"/>
          <w:color w:val="101820"/>
          <w:kern w:val="0"/>
          <w:lang w:eastAsia="en-GB"/>
          <w14:ligatures w14:val="none"/>
        </w:rPr>
        <w:t>Although it is misleading to assume that all recruits and followers shared a similar intensity of religious motivation and zeal, without the element of ideology and spiritual exhilaration there would have been no march to Jerusalem, let alone a successful conquest</w:t>
      </w:r>
      <w:r w:rsidRPr="00DC6FD9">
        <w:rPr>
          <w:rFonts w:ascii="Calibri" w:eastAsia="Times New Roman" w:hAnsi="Calibri" w:cs="Calibri"/>
          <w:color w:val="101820"/>
          <w:kern w:val="0"/>
          <w:lang w:eastAsia="en-GB"/>
          <w14:ligatures w14:val="none"/>
        </w:rPr>
        <w:t>.</w:t>
      </w:r>
      <w:r w:rsidRPr="00DC6FD9">
        <w:rPr>
          <w:rStyle w:val="FootnoteReference"/>
          <w:rFonts w:ascii="Calibri" w:eastAsia="Times New Roman" w:hAnsi="Calibri" w:cs="Calibri"/>
          <w:color w:val="101820"/>
          <w:kern w:val="0"/>
          <w:lang w:eastAsia="en-GB"/>
          <w14:ligatures w14:val="none"/>
        </w:rPr>
        <w:footnoteReference w:id="7"/>
      </w:r>
    </w:p>
    <w:p w14:paraId="2450A18F" w14:textId="77777777"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This stark contrast in perspective underscores the fundamentally different ways in which the two civilizations viewed the same events. While Western Crusader chronicles frame the invasion as a sacred mission, Ibn al-</w:t>
      </w:r>
      <w:proofErr w:type="spellStart"/>
      <w:r w:rsidRPr="00DC6FD9">
        <w:rPr>
          <w:rFonts w:ascii="Calibri" w:eastAsia="Times New Roman" w:hAnsi="Calibri" w:cs="Calibri"/>
          <w:kern w:val="0"/>
          <w:lang w:eastAsia="en-GB"/>
          <w14:ligatures w14:val="none"/>
        </w:rPr>
        <w:t>Qalanisi</w:t>
      </w:r>
      <w:proofErr w:type="spellEnd"/>
      <w:r w:rsidRPr="00DC6FD9">
        <w:rPr>
          <w:rFonts w:ascii="Calibri" w:eastAsia="Times New Roman" w:hAnsi="Calibri" w:cs="Calibri"/>
          <w:kern w:val="0"/>
          <w:lang w:eastAsia="en-GB"/>
          <w14:ligatures w14:val="none"/>
        </w:rPr>
        <w:t xml:space="preserve"> presents it as an unexpected and initially underestimated incursion.</w:t>
      </w:r>
    </w:p>
    <w:p w14:paraId="32E79280" w14:textId="101D1B80"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Over time, however, the </w:t>
      </w:r>
      <w:r w:rsidRPr="00DC6FD9">
        <w:rPr>
          <w:rFonts w:ascii="Calibri" w:eastAsia="Times New Roman" w:hAnsi="Calibri" w:cs="Calibri"/>
          <w:i/>
          <w:iCs/>
          <w:kern w:val="0"/>
          <w:lang w:eastAsia="en-GB"/>
          <w14:ligatures w14:val="none"/>
        </w:rPr>
        <w:t>Damascus Chronicle</w:t>
      </w:r>
      <w:r w:rsidRPr="00DC6FD9">
        <w:rPr>
          <w:rFonts w:ascii="Calibri" w:eastAsia="Times New Roman" w:hAnsi="Calibri" w:cs="Calibri"/>
          <w:kern w:val="0"/>
          <w:lang w:eastAsia="en-GB"/>
          <w14:ligatures w14:val="none"/>
        </w:rPr>
        <w:t xml:space="preserve"> shows a shift in perception as Muslim rulers came to realize the full extent of the Crusader threat. By </w:t>
      </w:r>
      <w:r w:rsidRPr="00DC6FD9">
        <w:rPr>
          <w:rFonts w:ascii="Calibri" w:eastAsia="Times New Roman" w:hAnsi="Calibri" w:cs="Calibri"/>
          <w:kern w:val="0"/>
          <w:lang w:eastAsia="en-GB"/>
          <w14:ligatures w14:val="none"/>
        </w:rPr>
        <w:t>1118</w:t>
      </w:r>
      <w:r w:rsidRPr="00DC6FD9">
        <w:rPr>
          <w:rFonts w:ascii="Calibri" w:eastAsia="Times New Roman" w:hAnsi="Calibri" w:cs="Calibri"/>
          <w:kern w:val="0"/>
          <w:lang w:eastAsia="en-GB"/>
          <w14:ligatures w14:val="none"/>
        </w:rPr>
        <w:t>, Ibn al-</w:t>
      </w:r>
      <w:proofErr w:type="spellStart"/>
      <w:r w:rsidRPr="00DC6FD9">
        <w:rPr>
          <w:rFonts w:ascii="Calibri" w:eastAsia="Times New Roman" w:hAnsi="Calibri" w:cs="Calibri"/>
          <w:kern w:val="0"/>
          <w:lang w:eastAsia="en-GB"/>
          <w14:ligatures w14:val="none"/>
        </w:rPr>
        <w:t>Qalanisi</w:t>
      </w:r>
      <w:proofErr w:type="spellEnd"/>
      <w:r w:rsidRPr="00DC6FD9">
        <w:rPr>
          <w:rFonts w:ascii="Calibri" w:eastAsia="Times New Roman" w:hAnsi="Calibri" w:cs="Calibri"/>
          <w:kern w:val="0"/>
          <w:lang w:eastAsia="en-GB"/>
          <w14:ligatures w14:val="none"/>
        </w:rPr>
        <w:t xml:space="preserve"> emphasizes the growing sense of jihad as a unifying force</w:t>
      </w:r>
      <w:r w:rsidRPr="00DC6FD9">
        <w:rPr>
          <w:rFonts w:ascii="Calibri" w:eastAsia="Times New Roman" w:hAnsi="Calibri" w:cs="Calibri"/>
          <w:kern w:val="0"/>
          <w:lang w:eastAsia="en-GB"/>
          <w14:ligatures w14:val="none"/>
        </w:rPr>
        <w:t>, t</w:t>
      </w:r>
      <w:r w:rsidRPr="00DC6FD9">
        <w:rPr>
          <w:rFonts w:ascii="Calibri" w:eastAsia="Times New Roman" w:hAnsi="Calibri" w:cs="Calibri"/>
          <w:kern w:val="0"/>
          <w:lang w:eastAsia="en-GB"/>
          <w14:ligatures w14:val="none"/>
        </w:rPr>
        <w:t>he people beg</w:t>
      </w:r>
      <w:r w:rsidRPr="00DC6FD9">
        <w:rPr>
          <w:rFonts w:ascii="Calibri" w:eastAsia="Times New Roman" w:hAnsi="Calibri" w:cs="Calibri"/>
          <w:kern w:val="0"/>
          <w:lang w:eastAsia="en-GB"/>
          <w14:ligatures w14:val="none"/>
        </w:rPr>
        <w:t>i</w:t>
      </w:r>
      <w:r w:rsidRPr="00DC6FD9">
        <w:rPr>
          <w:rFonts w:ascii="Calibri" w:eastAsia="Times New Roman" w:hAnsi="Calibri" w:cs="Calibri"/>
          <w:kern w:val="0"/>
          <w:lang w:eastAsia="en-GB"/>
          <w14:ligatures w14:val="none"/>
        </w:rPr>
        <w:t>n to recogni</w:t>
      </w:r>
      <w:r w:rsidRPr="00DC6FD9">
        <w:rPr>
          <w:rFonts w:ascii="Calibri" w:eastAsia="Times New Roman" w:hAnsi="Calibri" w:cs="Calibri"/>
          <w:kern w:val="0"/>
          <w:lang w:eastAsia="en-GB"/>
          <w14:ligatures w14:val="none"/>
        </w:rPr>
        <w:t>s</w:t>
      </w:r>
      <w:r w:rsidRPr="00DC6FD9">
        <w:rPr>
          <w:rFonts w:ascii="Calibri" w:eastAsia="Times New Roman" w:hAnsi="Calibri" w:cs="Calibri"/>
          <w:kern w:val="0"/>
          <w:lang w:eastAsia="en-GB"/>
          <w14:ligatures w14:val="none"/>
        </w:rPr>
        <w:t>e that the Franks had not come for mere plunder, but to settle and rule, and so the call to Holy War grew louder.</w:t>
      </w:r>
    </w:p>
    <w:p w14:paraId="1B6C848E" w14:textId="748FEF11" w:rsidR="00DC6FD9" w:rsidRPr="00DC6FD9" w:rsidRDefault="00DC6FD9" w:rsidP="00DC6FD9">
      <w:pPr>
        <w:spacing w:beforeAutospacing="1" w:afterAutospacing="1"/>
        <w:ind w:left="720"/>
        <w:rPr>
          <w:rFonts w:ascii="Calibri" w:eastAsia="Times New Roman" w:hAnsi="Calibri" w:cs="Calibri"/>
          <w:kern w:val="0"/>
          <w:lang w:eastAsia="en-GB"/>
          <w14:ligatures w14:val="none"/>
        </w:rPr>
      </w:pPr>
      <w:r w:rsidRPr="00DC6FD9">
        <w:rPr>
          <w:rFonts w:ascii="Calibri" w:hAnsi="Calibri" w:cs="Calibri"/>
        </w:rPr>
        <w:lastRenderedPageBreak/>
        <w:t xml:space="preserve">In this year various reports and rumours from the land of the Franks gained wide currency, concerning their desire to possess themselves of </w:t>
      </w:r>
      <w:r w:rsidRPr="00DC6FD9">
        <w:rPr>
          <w:rFonts w:ascii="Calibri" w:hAnsi="Calibri" w:cs="Calibri"/>
        </w:rPr>
        <w:t>fortr</w:t>
      </w:r>
      <w:r w:rsidRPr="00DC6FD9">
        <w:rPr>
          <w:rFonts w:ascii="Calibri" w:hAnsi="Calibri" w:cs="Calibri"/>
        </w:rPr>
        <w:t xml:space="preserve">esses and cities and their decision to proceed </w:t>
      </w:r>
      <w:r w:rsidRPr="00DC6FD9">
        <w:rPr>
          <w:rFonts w:ascii="Calibri" w:hAnsi="Calibri" w:cs="Calibri"/>
        </w:rPr>
        <w:t>again</w:t>
      </w:r>
      <w:r w:rsidRPr="00DC6FD9">
        <w:rPr>
          <w:rFonts w:ascii="Calibri" w:hAnsi="Calibri" w:cs="Calibri"/>
        </w:rPr>
        <w:t>st them with destruction and devastation, owing to the neglect of Islam to make raids upon them and to prosecute the Holy War.</w:t>
      </w:r>
      <w:r w:rsidRPr="00DC6FD9">
        <w:rPr>
          <w:rStyle w:val="FootnoteReference"/>
          <w:rFonts w:ascii="Calibri" w:hAnsi="Calibri" w:cs="Calibri"/>
        </w:rPr>
        <w:footnoteReference w:id="8"/>
      </w:r>
    </w:p>
    <w:p w14:paraId="121B55B4" w14:textId="1632DB9C"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This shift in perception is also seen in later Muslim chroniclers such as Ibn al-</w:t>
      </w:r>
      <w:proofErr w:type="spellStart"/>
      <w:r w:rsidRPr="00DC6FD9">
        <w:rPr>
          <w:rFonts w:ascii="Calibri" w:eastAsia="Times New Roman" w:hAnsi="Calibri" w:cs="Calibri"/>
          <w:kern w:val="0"/>
          <w:lang w:eastAsia="en-GB"/>
          <w14:ligatures w14:val="none"/>
        </w:rPr>
        <w:t>Athir</w:t>
      </w:r>
      <w:proofErr w:type="spellEnd"/>
      <w:r w:rsidRPr="00DC6FD9">
        <w:rPr>
          <w:rFonts w:ascii="Calibri" w:eastAsia="Times New Roman" w:hAnsi="Calibri" w:cs="Calibri"/>
          <w:kern w:val="0"/>
          <w:lang w:eastAsia="en-GB"/>
          <w14:ligatures w14:val="none"/>
        </w:rPr>
        <w:t xml:space="preserve">, who </w:t>
      </w:r>
      <w:r w:rsidRPr="00DC6FD9">
        <w:rPr>
          <w:rFonts w:ascii="Calibri" w:eastAsia="Times New Roman" w:hAnsi="Calibri" w:cs="Calibri"/>
          <w:kern w:val="0"/>
          <w:lang w:eastAsia="en-GB"/>
          <w14:ligatures w14:val="none"/>
        </w:rPr>
        <w:t>makes it clear t</w:t>
      </w:r>
      <w:r w:rsidRPr="00DC6FD9">
        <w:rPr>
          <w:rFonts w:ascii="Calibri" w:eastAsia="Times New Roman" w:hAnsi="Calibri" w:cs="Calibri"/>
          <w:kern w:val="0"/>
          <w:lang w:eastAsia="en-GB"/>
          <w14:ligatures w14:val="none"/>
        </w:rPr>
        <w:t xml:space="preserve">he Franks came not as raiders but as settlers, </w:t>
      </w:r>
      <w:r w:rsidRPr="00DC6FD9">
        <w:rPr>
          <w:rFonts w:ascii="Calibri" w:eastAsia="Times New Roman" w:hAnsi="Calibri" w:cs="Calibri"/>
          <w:kern w:val="0"/>
          <w:lang w:eastAsia="en-GB"/>
          <w14:ligatures w14:val="none"/>
        </w:rPr>
        <w:t xml:space="preserve">confiscating land, taking </w:t>
      </w:r>
      <w:proofErr w:type="gramStart"/>
      <w:r w:rsidRPr="00DC6FD9">
        <w:rPr>
          <w:rFonts w:ascii="Calibri" w:eastAsia="Times New Roman" w:hAnsi="Calibri" w:cs="Calibri"/>
          <w:kern w:val="0"/>
          <w:lang w:eastAsia="en-GB"/>
          <w14:ligatures w14:val="none"/>
        </w:rPr>
        <w:t>revenues</w:t>
      </w:r>
      <w:proofErr w:type="gramEnd"/>
      <w:r w:rsidRPr="00DC6FD9">
        <w:rPr>
          <w:rFonts w:ascii="Calibri" w:eastAsia="Times New Roman" w:hAnsi="Calibri" w:cs="Calibri"/>
          <w:kern w:val="0"/>
          <w:lang w:eastAsia="en-GB"/>
          <w14:ligatures w14:val="none"/>
        </w:rPr>
        <w:t xml:space="preserve"> and generally looking to expand their dominance, </w:t>
      </w:r>
      <w:r w:rsidRPr="00DC6FD9">
        <w:rPr>
          <w:rFonts w:ascii="Calibri" w:eastAsia="Times New Roman" w:hAnsi="Calibri" w:cs="Calibri"/>
          <w:kern w:val="0"/>
          <w:lang w:eastAsia="en-GB"/>
          <w14:ligatures w14:val="none"/>
        </w:rPr>
        <w:t xml:space="preserve">and </w:t>
      </w:r>
      <w:r w:rsidRPr="00DC6FD9">
        <w:rPr>
          <w:rFonts w:ascii="Calibri" w:eastAsia="Times New Roman" w:hAnsi="Calibri" w:cs="Calibri"/>
          <w:kern w:val="0"/>
          <w:lang w:eastAsia="en-GB"/>
          <w14:ligatures w14:val="none"/>
        </w:rPr>
        <w:t>highlighting the</w:t>
      </w:r>
      <w:r w:rsidRPr="00DC6FD9">
        <w:rPr>
          <w:rFonts w:ascii="Calibri" w:eastAsia="Times New Roman" w:hAnsi="Calibri" w:cs="Calibri"/>
          <w:kern w:val="0"/>
          <w:lang w:eastAsia="en-GB"/>
          <w14:ligatures w14:val="none"/>
        </w:rPr>
        <w:t xml:space="preserve"> necess</w:t>
      </w:r>
      <w:r w:rsidRPr="00DC6FD9">
        <w:rPr>
          <w:rFonts w:ascii="Calibri" w:eastAsia="Times New Roman" w:hAnsi="Calibri" w:cs="Calibri"/>
          <w:kern w:val="0"/>
          <w:lang w:eastAsia="en-GB"/>
          <w14:ligatures w14:val="none"/>
        </w:rPr>
        <w:t>it</w:t>
      </w:r>
      <w:r w:rsidRPr="00DC6FD9">
        <w:rPr>
          <w:rFonts w:ascii="Calibri" w:eastAsia="Times New Roman" w:hAnsi="Calibri" w:cs="Calibri"/>
          <w:kern w:val="0"/>
          <w:lang w:eastAsia="en-GB"/>
          <w14:ligatures w14:val="none"/>
        </w:rPr>
        <w:t>y for Islam to unite against them</w:t>
      </w:r>
      <w:r w:rsidRPr="00DC6FD9">
        <w:rPr>
          <w:rFonts w:ascii="Calibri" w:eastAsia="Times New Roman" w:hAnsi="Calibri" w:cs="Calibri"/>
          <w:kern w:val="0"/>
          <w:lang w:eastAsia="en-GB"/>
          <w14:ligatures w14:val="none"/>
        </w:rPr>
        <w:t>.</w:t>
      </w:r>
      <w:r w:rsidRPr="00DC6FD9">
        <w:rPr>
          <w:rStyle w:val="FootnoteReference"/>
          <w:rFonts w:ascii="Calibri" w:eastAsia="Times New Roman" w:hAnsi="Calibri" w:cs="Calibri"/>
          <w:kern w:val="0"/>
          <w:lang w:eastAsia="en-GB"/>
          <w14:ligatures w14:val="none"/>
        </w:rPr>
        <w:footnoteReference w:id="9"/>
      </w:r>
    </w:p>
    <w:p w14:paraId="45160137" w14:textId="055E6DBA"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Throughout the </w:t>
      </w:r>
      <w:r w:rsidRPr="00DC6FD9">
        <w:rPr>
          <w:rFonts w:ascii="Calibri" w:eastAsia="Times New Roman" w:hAnsi="Calibri" w:cs="Calibri"/>
          <w:i/>
          <w:iCs/>
          <w:kern w:val="0"/>
          <w:lang w:eastAsia="en-GB"/>
          <w14:ligatures w14:val="none"/>
        </w:rPr>
        <w:t>Damascus Chronicle</w:t>
      </w:r>
      <w:r w:rsidRPr="00DC6FD9">
        <w:rPr>
          <w:rFonts w:ascii="Calibri" w:eastAsia="Times New Roman" w:hAnsi="Calibri" w:cs="Calibri"/>
          <w:kern w:val="0"/>
          <w:lang w:eastAsia="en-GB"/>
          <w14:ligatures w14:val="none"/>
        </w:rPr>
        <w:t xml:space="preserve">, the city emerges as a crucial </w:t>
      </w:r>
      <w:r w:rsidRPr="00DC6FD9">
        <w:rPr>
          <w:rFonts w:ascii="Calibri" w:eastAsia="Times New Roman" w:hAnsi="Calibri" w:cs="Calibri"/>
          <w:kern w:val="0"/>
          <w:lang w:eastAsia="en-GB"/>
          <w14:ligatures w14:val="none"/>
        </w:rPr>
        <w:t>centre</w:t>
      </w:r>
      <w:r w:rsidRPr="00DC6FD9">
        <w:rPr>
          <w:rFonts w:ascii="Calibri" w:eastAsia="Times New Roman" w:hAnsi="Calibri" w:cs="Calibri"/>
          <w:kern w:val="0"/>
          <w:lang w:eastAsia="en-GB"/>
          <w14:ligatures w14:val="none"/>
        </w:rPr>
        <w:t xml:space="preserve"> of both internal power struggles and resistance against the Crusaders. Ibn al-</w:t>
      </w:r>
      <w:proofErr w:type="spellStart"/>
      <w:r w:rsidRPr="00DC6FD9">
        <w:rPr>
          <w:rFonts w:ascii="Calibri" w:eastAsia="Times New Roman" w:hAnsi="Calibri" w:cs="Calibri"/>
          <w:kern w:val="0"/>
          <w:lang w:eastAsia="en-GB"/>
          <w14:ligatures w14:val="none"/>
        </w:rPr>
        <w:t>Qalanisi</w:t>
      </w:r>
      <w:proofErr w:type="spellEnd"/>
      <w:r w:rsidRPr="00DC6FD9">
        <w:rPr>
          <w:rFonts w:ascii="Calibri" w:eastAsia="Times New Roman" w:hAnsi="Calibri" w:cs="Calibri"/>
          <w:kern w:val="0"/>
          <w:lang w:eastAsia="en-GB"/>
          <w14:ligatures w14:val="none"/>
        </w:rPr>
        <w:t xml:space="preserve"> himself was a high-ranking official in Damascus, which allowed him to document its role in the conflict </w:t>
      </w:r>
      <w:proofErr w:type="spellStart"/>
      <w:r w:rsidRPr="00DC6FD9">
        <w:rPr>
          <w:rFonts w:ascii="Calibri" w:eastAsia="Times New Roman" w:hAnsi="Calibri" w:cs="Calibri"/>
          <w:kern w:val="0"/>
          <w:lang w:eastAsia="en-GB"/>
          <w14:ligatures w14:val="none"/>
        </w:rPr>
        <w:t>firsthand</w:t>
      </w:r>
      <w:proofErr w:type="spellEnd"/>
      <w:r w:rsidRPr="00DC6FD9">
        <w:rPr>
          <w:rFonts w:ascii="Calibri" w:eastAsia="Times New Roman" w:hAnsi="Calibri" w:cs="Calibri"/>
          <w:kern w:val="0"/>
          <w:lang w:eastAsia="en-GB"/>
          <w14:ligatures w14:val="none"/>
        </w:rPr>
        <w:t xml:space="preserve">. He writes about how different factions vied for control of the city, </w:t>
      </w:r>
      <w:r w:rsidRPr="00DC6FD9">
        <w:rPr>
          <w:rFonts w:ascii="Calibri" w:eastAsia="Times New Roman" w:hAnsi="Calibri" w:cs="Calibri"/>
          <w:kern w:val="0"/>
          <w:lang w:eastAsia="en-GB"/>
          <w14:ligatures w14:val="none"/>
        </w:rPr>
        <w:t xml:space="preserve">and throughout, the various </w:t>
      </w:r>
      <w:proofErr w:type="spellStart"/>
      <w:r w:rsidRPr="00DC6FD9">
        <w:rPr>
          <w:rFonts w:ascii="Calibri" w:eastAsia="Times New Roman" w:hAnsi="Calibri" w:cs="Calibri"/>
          <w:kern w:val="0"/>
          <w:lang w:eastAsia="en-GB"/>
          <w14:ligatures w14:val="none"/>
        </w:rPr>
        <w:t>amirs</w:t>
      </w:r>
      <w:proofErr w:type="spellEnd"/>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managed to maintain Damascus as a stronghold against Crusader expansion</w:t>
      </w:r>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 xml:space="preserve">This portrayal of Damascus as a key player in the resistance is echoed in the later work of Abu </w:t>
      </w:r>
      <w:proofErr w:type="spellStart"/>
      <w:r w:rsidRPr="00DC6FD9">
        <w:rPr>
          <w:rFonts w:ascii="Calibri" w:eastAsia="Times New Roman" w:hAnsi="Calibri" w:cs="Calibri"/>
          <w:kern w:val="0"/>
          <w:lang w:eastAsia="en-GB"/>
          <w14:ligatures w14:val="none"/>
        </w:rPr>
        <w:t>Shama</w:t>
      </w:r>
      <w:proofErr w:type="spellEnd"/>
      <w:r w:rsidRPr="00DC6FD9">
        <w:rPr>
          <w:rFonts w:ascii="Calibri" w:eastAsia="Times New Roman" w:hAnsi="Calibri" w:cs="Calibri"/>
          <w:kern w:val="0"/>
          <w:lang w:eastAsia="en-GB"/>
          <w14:ligatures w14:val="none"/>
        </w:rPr>
        <w:t>, who documented the efforts of Nur al-Din and Saladin in defending the city</w:t>
      </w:r>
      <w:r w:rsidRPr="00DC6FD9">
        <w:rPr>
          <w:rFonts w:ascii="Calibri" w:eastAsia="Times New Roman" w:hAnsi="Calibri" w:cs="Calibri"/>
          <w:kern w:val="0"/>
          <w:lang w:eastAsia="en-GB"/>
          <w14:ligatures w14:val="none"/>
        </w:rPr>
        <w:t xml:space="preserve">, describing </w:t>
      </w:r>
      <w:r w:rsidRPr="00DC6FD9">
        <w:rPr>
          <w:rFonts w:ascii="Calibri" w:eastAsia="Times New Roman" w:hAnsi="Calibri" w:cs="Calibri"/>
          <w:kern w:val="0"/>
          <w:lang w:eastAsia="en-GB"/>
          <w14:ligatures w14:val="none"/>
        </w:rPr>
        <w:t xml:space="preserve">Damascus </w:t>
      </w:r>
      <w:r w:rsidRPr="00DC6FD9">
        <w:rPr>
          <w:rFonts w:ascii="Calibri" w:eastAsia="Times New Roman" w:hAnsi="Calibri" w:cs="Calibri"/>
          <w:kern w:val="0"/>
          <w:lang w:eastAsia="en-GB"/>
          <w14:ligatures w14:val="none"/>
        </w:rPr>
        <w:t>as</w:t>
      </w:r>
      <w:r w:rsidRPr="00DC6FD9">
        <w:rPr>
          <w:rFonts w:ascii="Calibri" w:eastAsia="Times New Roman" w:hAnsi="Calibri" w:cs="Calibri"/>
          <w:kern w:val="0"/>
          <w:lang w:eastAsia="en-GB"/>
          <w14:ligatures w14:val="none"/>
        </w:rPr>
        <w:t xml:space="preserve"> the heart of the resistance, from which the </w:t>
      </w:r>
      <w:r w:rsidRPr="00DC6FD9">
        <w:rPr>
          <w:rFonts w:ascii="Calibri" w:eastAsia="Times New Roman" w:hAnsi="Calibri" w:cs="Calibri"/>
          <w:kern w:val="0"/>
          <w:lang w:eastAsia="en-GB"/>
          <w14:ligatures w14:val="none"/>
        </w:rPr>
        <w:t>‘</w:t>
      </w:r>
      <w:r w:rsidRPr="00DC6FD9">
        <w:rPr>
          <w:rFonts w:ascii="Calibri" w:eastAsia="Times New Roman" w:hAnsi="Calibri" w:cs="Calibri"/>
          <w:kern w:val="0"/>
          <w:lang w:eastAsia="en-GB"/>
          <w14:ligatures w14:val="none"/>
        </w:rPr>
        <w:t>great struggle against the infidels</w:t>
      </w:r>
      <w:r w:rsidRPr="00DC6FD9">
        <w:rPr>
          <w:rFonts w:ascii="Calibri" w:eastAsia="Times New Roman" w:hAnsi="Calibri" w:cs="Calibri"/>
          <w:kern w:val="0"/>
          <w:lang w:eastAsia="en-GB"/>
          <w14:ligatures w14:val="none"/>
        </w:rPr>
        <w:t>’</w:t>
      </w:r>
      <w:r w:rsidRPr="00DC6FD9">
        <w:rPr>
          <w:rFonts w:ascii="Calibri" w:eastAsia="Times New Roman" w:hAnsi="Calibri" w:cs="Calibri"/>
          <w:kern w:val="0"/>
          <w:lang w:eastAsia="en-GB"/>
          <w14:ligatures w14:val="none"/>
        </w:rPr>
        <w:t xml:space="preserve"> was waged.</w:t>
      </w:r>
      <w:r w:rsidRPr="00DC6FD9">
        <w:rPr>
          <w:rStyle w:val="FootnoteReference"/>
          <w:rFonts w:ascii="Calibri" w:eastAsia="Times New Roman" w:hAnsi="Calibri" w:cs="Calibri"/>
          <w:kern w:val="0"/>
          <w:lang w:eastAsia="en-GB"/>
          <w14:ligatures w14:val="none"/>
        </w:rPr>
        <w:footnoteReference w:id="10"/>
      </w:r>
    </w:p>
    <w:p w14:paraId="4F492DB4" w14:textId="675AD82F"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Jonathan Riley-Smith, in </w:t>
      </w:r>
      <w:r w:rsidRPr="00DC6FD9">
        <w:rPr>
          <w:rFonts w:ascii="Calibri" w:eastAsia="Times New Roman" w:hAnsi="Calibri" w:cs="Calibri"/>
          <w:i/>
          <w:iCs/>
          <w:kern w:val="0"/>
          <w:lang w:eastAsia="en-GB"/>
          <w14:ligatures w14:val="none"/>
        </w:rPr>
        <w:t>The Crusades: A History</w:t>
      </w:r>
      <w:r w:rsidRPr="00DC6FD9">
        <w:rPr>
          <w:rFonts w:ascii="Calibri" w:eastAsia="Times New Roman" w:hAnsi="Calibri" w:cs="Calibri"/>
          <w:kern w:val="0"/>
          <w:lang w:eastAsia="en-GB"/>
          <w14:ligatures w14:val="none"/>
        </w:rPr>
        <w:t>, underscores the importance of Damascus in later Crusader-Muslim conflicts</w:t>
      </w:r>
      <w:r w:rsidRPr="00DC6FD9">
        <w:rPr>
          <w:rFonts w:ascii="Calibri" w:eastAsia="Times New Roman" w:hAnsi="Calibri" w:cs="Calibri"/>
          <w:kern w:val="0"/>
          <w:lang w:eastAsia="en-GB"/>
          <w14:ligatures w14:val="none"/>
        </w:rPr>
        <w:t>, and highlights that u</w:t>
      </w:r>
      <w:r w:rsidRPr="00DC6FD9">
        <w:rPr>
          <w:rFonts w:ascii="Calibri" w:eastAsia="Times New Roman" w:hAnsi="Calibri" w:cs="Calibri"/>
          <w:kern w:val="0"/>
          <w:lang w:eastAsia="en-GB"/>
          <w14:ligatures w14:val="none"/>
        </w:rPr>
        <w:t>nlike Jerusalem, which was lost early, Damascus remained the ultimate prize in the Crusader-Muslim conflict, symboli</w:t>
      </w:r>
      <w:r w:rsidRPr="00DC6FD9">
        <w:rPr>
          <w:rFonts w:ascii="Calibri" w:eastAsia="Times New Roman" w:hAnsi="Calibri" w:cs="Calibri"/>
          <w:kern w:val="0"/>
          <w:lang w:eastAsia="en-GB"/>
          <w14:ligatures w14:val="none"/>
        </w:rPr>
        <w:t>s</w:t>
      </w:r>
      <w:r w:rsidRPr="00DC6FD9">
        <w:rPr>
          <w:rFonts w:ascii="Calibri" w:eastAsia="Times New Roman" w:hAnsi="Calibri" w:cs="Calibri"/>
          <w:kern w:val="0"/>
          <w:lang w:eastAsia="en-GB"/>
          <w14:ligatures w14:val="none"/>
        </w:rPr>
        <w:t>ing both resistance and political dominance in the region</w:t>
      </w:r>
      <w:r w:rsidRPr="00DC6FD9">
        <w:rPr>
          <w:rFonts w:ascii="Calibri" w:eastAsia="Times New Roman" w:hAnsi="Calibri" w:cs="Calibri"/>
          <w:kern w:val="0"/>
          <w:lang w:eastAsia="en-GB"/>
          <w14:ligatures w14:val="none"/>
        </w:rPr>
        <w:t>.</w:t>
      </w:r>
      <w:r w:rsidRPr="00DC6FD9">
        <w:rPr>
          <w:rStyle w:val="FootnoteReference"/>
          <w:rFonts w:ascii="Calibri" w:eastAsia="Times New Roman" w:hAnsi="Calibri" w:cs="Calibri"/>
          <w:kern w:val="0"/>
          <w:lang w:eastAsia="en-GB"/>
          <w14:ligatures w14:val="none"/>
        </w:rPr>
        <w:footnoteReference w:id="11"/>
      </w:r>
    </w:p>
    <w:p w14:paraId="456B238A" w14:textId="0E114F43"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In contrast, Western Crusader chronicles focus more on Jerusalem and Antioch as major </w:t>
      </w:r>
      <w:r w:rsidRPr="00DC6FD9">
        <w:rPr>
          <w:rFonts w:ascii="Calibri" w:eastAsia="Times New Roman" w:hAnsi="Calibri" w:cs="Calibri"/>
          <w:kern w:val="0"/>
          <w:lang w:eastAsia="en-GB"/>
          <w14:ligatures w14:val="none"/>
        </w:rPr>
        <w:t>centres</w:t>
      </w:r>
      <w:r w:rsidRPr="00DC6FD9">
        <w:rPr>
          <w:rFonts w:ascii="Calibri" w:eastAsia="Times New Roman" w:hAnsi="Calibri" w:cs="Calibri"/>
          <w:kern w:val="0"/>
          <w:lang w:eastAsia="en-GB"/>
          <w14:ligatures w14:val="none"/>
        </w:rPr>
        <w:t xml:space="preserve"> of power, often neglecting the significance of Damascus until the later campaigns of Saladin. For example, William of Tyre largely ignores the strategic importance of Damascus until the 12th century, when it became the focal point of Crusader campaigns.</w:t>
      </w:r>
      <w:r w:rsidRPr="00DC6FD9">
        <w:rPr>
          <w:rStyle w:val="FootnoteReference"/>
          <w:rFonts w:ascii="Calibri" w:eastAsia="Times New Roman" w:hAnsi="Calibri" w:cs="Calibri"/>
          <w:kern w:val="0"/>
          <w:lang w:eastAsia="en-GB"/>
          <w14:ligatures w14:val="none"/>
        </w:rPr>
        <w:footnoteReference w:id="12"/>
      </w:r>
    </w:p>
    <w:p w14:paraId="179D9111" w14:textId="5F87854D" w:rsidR="00DC6FD9" w:rsidRPr="00DC6FD9" w:rsidRDefault="00DC6FD9" w:rsidP="00DC6FD9">
      <w:pPr>
        <w:spacing w:before="100" w:beforeAutospacing="1" w:after="100" w:afterAutospacing="1"/>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Ibn al-</w:t>
      </w:r>
      <w:proofErr w:type="spellStart"/>
      <w:r w:rsidRPr="00DC6FD9">
        <w:rPr>
          <w:rFonts w:ascii="Calibri" w:eastAsia="Times New Roman" w:hAnsi="Calibri" w:cs="Calibri"/>
          <w:kern w:val="0"/>
          <w:lang w:eastAsia="en-GB"/>
          <w14:ligatures w14:val="none"/>
        </w:rPr>
        <w:t>Qalanisi’s</w:t>
      </w:r>
      <w:proofErr w:type="spellEnd"/>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i/>
          <w:iCs/>
          <w:kern w:val="0"/>
          <w:lang w:eastAsia="en-GB"/>
          <w14:ligatures w14:val="none"/>
        </w:rPr>
        <w:t>Damascus Chronicle of the Crusades</w:t>
      </w:r>
      <w:r w:rsidRPr="00DC6FD9">
        <w:rPr>
          <w:rFonts w:ascii="Calibri" w:eastAsia="Times New Roman" w:hAnsi="Calibri" w:cs="Calibri"/>
          <w:kern w:val="0"/>
          <w:lang w:eastAsia="en-GB"/>
          <w14:ligatures w14:val="none"/>
        </w:rPr>
        <w:t xml:space="preserve"> is a vital primary source that provides a rare Arabic perspective on the First Crusade and its aftermath. It highlights the internal divisions within the Muslim world, the shifting perception of the Crusaders from opportunistic raiders to long-term settlers, and the crucial role of Damascus as a </w:t>
      </w:r>
      <w:r w:rsidRPr="00DC6FD9">
        <w:rPr>
          <w:rFonts w:ascii="Calibri" w:eastAsia="Times New Roman" w:hAnsi="Calibri" w:cs="Calibri"/>
          <w:kern w:val="0"/>
          <w:lang w:eastAsia="en-GB"/>
          <w14:ligatures w14:val="none"/>
        </w:rPr>
        <w:t>centre</w:t>
      </w:r>
      <w:r w:rsidRPr="00DC6FD9">
        <w:rPr>
          <w:rFonts w:ascii="Calibri" w:eastAsia="Times New Roman" w:hAnsi="Calibri" w:cs="Calibri"/>
          <w:kern w:val="0"/>
          <w:lang w:eastAsia="en-GB"/>
          <w14:ligatures w14:val="none"/>
        </w:rPr>
        <w:t xml:space="preserve"> of resistance.</w:t>
      </w:r>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In contrast to Western Crusader accounts, which frame the Crusades as a divine mission, Ibn al-</w:t>
      </w:r>
      <w:proofErr w:type="spellStart"/>
      <w:r w:rsidRPr="00DC6FD9">
        <w:rPr>
          <w:rFonts w:ascii="Calibri" w:eastAsia="Times New Roman" w:hAnsi="Calibri" w:cs="Calibri"/>
          <w:kern w:val="0"/>
          <w:lang w:eastAsia="en-GB"/>
          <w14:ligatures w14:val="none"/>
        </w:rPr>
        <w:t>Qalanisi</w:t>
      </w:r>
      <w:proofErr w:type="spellEnd"/>
      <w:r w:rsidRPr="00DC6FD9">
        <w:rPr>
          <w:rFonts w:ascii="Calibri" w:eastAsia="Times New Roman" w:hAnsi="Calibri" w:cs="Calibri"/>
          <w:kern w:val="0"/>
          <w:lang w:eastAsia="en-GB"/>
          <w14:ligatures w14:val="none"/>
        </w:rPr>
        <w:t xml:space="preserve"> presents them as an unexpected invasion that Muslim rulers struggled to counter due to their own disunity. His chronicle serves as a key counterpoint to Latin sources, offering a more nuanced understanding of the period.</w:t>
      </w:r>
    </w:p>
    <w:p w14:paraId="12D2EA7B" w14:textId="55ED98FD" w:rsidR="00DC6FD9" w:rsidRPr="00DC6FD9" w:rsidRDefault="00DC6FD9" w:rsidP="00DC6FD9">
      <w:pPr>
        <w:rPr>
          <w:rFonts w:ascii="Calibri" w:eastAsia="Times New Roman" w:hAnsi="Calibri" w:cs="Calibri"/>
          <w:kern w:val="0"/>
          <w:lang w:eastAsia="en-GB"/>
          <w14:ligatures w14:val="none"/>
        </w:rPr>
      </w:pPr>
    </w:p>
    <w:p w14:paraId="320CF1C7" w14:textId="1713148E" w:rsidR="00DC6FD9" w:rsidRPr="00DC6FD9" w:rsidRDefault="00DC6FD9" w:rsidP="00DC6FD9">
      <w:pPr>
        <w:rPr>
          <w:rFonts w:ascii="Calibri" w:eastAsia="Times New Roman" w:hAnsi="Calibri" w:cs="Calibri"/>
          <w:kern w:val="0"/>
          <w:lang w:eastAsia="en-GB"/>
          <w14:ligatures w14:val="none"/>
        </w:rPr>
      </w:pPr>
    </w:p>
    <w:p w14:paraId="35A438C2" w14:textId="77777777" w:rsidR="00DC6FD9" w:rsidRPr="00DC6FD9" w:rsidRDefault="00DC6FD9" w:rsidP="00DC6FD9">
      <w:pPr>
        <w:spacing w:before="100" w:beforeAutospacing="1" w:after="100" w:afterAutospacing="1"/>
        <w:outlineLvl w:val="2"/>
        <w:rPr>
          <w:rFonts w:ascii="Calibri" w:eastAsia="Times New Roman" w:hAnsi="Calibri" w:cs="Calibri"/>
          <w:b/>
          <w:bCs/>
          <w:kern w:val="0"/>
          <w:lang w:eastAsia="en-GB"/>
          <w14:ligatures w14:val="none"/>
        </w:rPr>
      </w:pPr>
      <w:r w:rsidRPr="00DC6FD9">
        <w:rPr>
          <w:rFonts w:ascii="Calibri" w:eastAsia="Times New Roman" w:hAnsi="Calibri" w:cs="Calibri"/>
          <w:b/>
          <w:bCs/>
          <w:kern w:val="0"/>
          <w:lang w:eastAsia="en-GB"/>
          <w14:ligatures w14:val="none"/>
        </w:rPr>
        <w:lastRenderedPageBreak/>
        <w:t>Bibliography</w:t>
      </w:r>
    </w:p>
    <w:p w14:paraId="5B31DA16" w14:textId="77777777" w:rsidR="00DC6FD9" w:rsidRPr="00DC6FD9" w:rsidRDefault="00DC6FD9" w:rsidP="00DC6FD9">
      <w:pPr>
        <w:spacing w:before="100" w:beforeAutospacing="1" w:after="100" w:afterAutospacing="1"/>
        <w:ind w:left="360"/>
        <w:rPr>
          <w:rFonts w:ascii="Calibri" w:hAnsi="Calibri" w:cs="Calibri"/>
        </w:rPr>
      </w:pPr>
      <w:r w:rsidRPr="00DC6FD9">
        <w:rPr>
          <w:rFonts w:ascii="Calibri" w:hAnsi="Calibri" w:cs="Calibri"/>
        </w:rPr>
        <w:t>al-</w:t>
      </w:r>
      <w:proofErr w:type="spellStart"/>
      <w:r w:rsidRPr="00DC6FD9">
        <w:rPr>
          <w:rFonts w:ascii="Calibri" w:hAnsi="Calibri" w:cs="Calibri"/>
        </w:rPr>
        <w:t>Athir</w:t>
      </w:r>
      <w:proofErr w:type="spellEnd"/>
      <w:r>
        <w:rPr>
          <w:rFonts w:ascii="Calibri" w:hAnsi="Calibri" w:cs="Calibri"/>
        </w:rPr>
        <w:t>,</w:t>
      </w:r>
      <w:r w:rsidRPr="00DC6FD9">
        <w:rPr>
          <w:rFonts w:ascii="Calibri" w:hAnsi="Calibri" w:cs="Calibri"/>
        </w:rPr>
        <w:t xml:space="preserve"> Ibn</w:t>
      </w:r>
      <w:r>
        <w:rPr>
          <w:rFonts w:ascii="Calibri" w:hAnsi="Calibri" w:cs="Calibri"/>
        </w:rPr>
        <w:t>,</w:t>
      </w:r>
      <w:r w:rsidRPr="00DC6FD9">
        <w:rPr>
          <w:rFonts w:ascii="Calibri" w:hAnsi="Calibri" w:cs="Calibri"/>
        </w:rPr>
        <w:t> </w:t>
      </w:r>
      <w:r w:rsidRPr="00DC6FD9">
        <w:rPr>
          <w:rFonts w:ascii="Calibri" w:hAnsi="Calibri" w:cs="Calibri"/>
          <w:i/>
          <w:iCs/>
        </w:rPr>
        <w:t xml:space="preserve">Al-Kamil </w:t>
      </w:r>
      <w:proofErr w:type="spellStart"/>
      <w:r w:rsidRPr="00DC6FD9">
        <w:rPr>
          <w:rFonts w:ascii="Calibri" w:hAnsi="Calibri" w:cs="Calibri"/>
          <w:i/>
          <w:iCs/>
        </w:rPr>
        <w:t>fi’l-Ta’rikh</w:t>
      </w:r>
      <w:proofErr w:type="spellEnd"/>
      <w:r w:rsidRPr="00DC6FD9">
        <w:rPr>
          <w:rFonts w:ascii="Calibri" w:hAnsi="Calibri" w:cs="Calibri"/>
          <w:i/>
          <w:iCs/>
        </w:rPr>
        <w:t>. </w:t>
      </w:r>
      <w:r w:rsidRPr="00DC6FD9">
        <w:rPr>
          <w:rFonts w:ascii="Calibri" w:hAnsi="Calibri" w:cs="Calibri"/>
        </w:rPr>
        <w:t>Trans. D. S. Richards. (London: Routledge, 2005),</w:t>
      </w:r>
    </w:p>
    <w:p w14:paraId="3FF8FB6C" w14:textId="71CCCAB2" w:rsidR="00DC6FD9" w:rsidRDefault="00DC6FD9" w:rsidP="00DC6FD9">
      <w:pPr>
        <w:spacing w:before="100" w:beforeAutospacing="1" w:after="100" w:afterAutospacing="1"/>
        <w:ind w:left="360"/>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al-Din</w:t>
      </w:r>
      <w:r>
        <w:rPr>
          <w:rFonts w:ascii="Calibri" w:eastAsia="Times New Roman" w:hAnsi="Calibri" w:cs="Calibri"/>
          <w:kern w:val="0"/>
          <w:lang w:eastAsia="en-GB"/>
          <w14:ligatures w14:val="none"/>
        </w:rPr>
        <w:t>,</w:t>
      </w:r>
      <w:r w:rsidRPr="00DC6FD9">
        <w:rPr>
          <w:rFonts w:ascii="Calibri" w:eastAsia="Times New Roman" w:hAnsi="Calibri" w:cs="Calibri"/>
          <w:kern w:val="0"/>
          <w:lang w:eastAsia="en-GB"/>
          <w14:ligatures w14:val="none"/>
        </w:rPr>
        <w:t xml:space="preserve"> Kamal, </w:t>
      </w:r>
      <w:r w:rsidRPr="00DC6FD9">
        <w:rPr>
          <w:rFonts w:ascii="Calibri" w:eastAsia="Times New Roman" w:hAnsi="Calibri" w:cs="Calibri"/>
          <w:i/>
          <w:iCs/>
          <w:kern w:val="0"/>
          <w:lang w:eastAsia="en-GB"/>
          <w14:ligatures w14:val="none"/>
        </w:rPr>
        <w:t>The Aleppo Chronicle</w:t>
      </w:r>
      <w:r w:rsidRPr="00DC6FD9">
        <w:rPr>
          <w:rFonts w:ascii="Calibri" w:eastAsia="Times New Roman" w:hAnsi="Calibri" w:cs="Calibri"/>
          <w:kern w:val="0"/>
          <w:lang w:eastAsia="en-GB"/>
          <w14:ligatures w14:val="none"/>
        </w:rPr>
        <w:t xml:space="preserve">, trans. Francesco </w:t>
      </w:r>
      <w:proofErr w:type="spellStart"/>
      <w:r w:rsidRPr="00DC6FD9">
        <w:rPr>
          <w:rFonts w:ascii="Calibri" w:eastAsia="Times New Roman" w:hAnsi="Calibri" w:cs="Calibri"/>
          <w:kern w:val="0"/>
          <w:lang w:eastAsia="en-GB"/>
          <w14:ligatures w14:val="none"/>
        </w:rPr>
        <w:t>Gabrieli</w:t>
      </w:r>
      <w:proofErr w:type="spellEnd"/>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i/>
          <w:iCs/>
          <w:kern w:val="0"/>
          <w:lang w:eastAsia="en-GB"/>
          <w14:ligatures w14:val="none"/>
        </w:rPr>
        <w:t>Arab Historians of the Crusades</w:t>
      </w:r>
      <w:r w:rsidRPr="00DC6FD9">
        <w:rPr>
          <w:rFonts w:ascii="Calibri" w:eastAsia="Times New Roman" w:hAnsi="Calibri" w:cs="Calibri"/>
          <w:kern w:val="0"/>
          <w:lang w:eastAsia="en-GB"/>
          <w14:ligatures w14:val="none"/>
        </w:rPr>
        <w:t xml:space="preserve"> (Berkeley: University of California Press, 1969).</w:t>
      </w:r>
    </w:p>
    <w:p w14:paraId="54F1711D" w14:textId="7C54100F" w:rsidR="00DC6FD9" w:rsidRPr="00DC6FD9" w:rsidRDefault="00DC6FD9" w:rsidP="00DC6FD9">
      <w:pPr>
        <w:spacing w:before="100" w:beforeAutospacing="1" w:after="100" w:afterAutospacing="1"/>
        <w:ind w:left="360"/>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al-</w:t>
      </w:r>
      <w:proofErr w:type="spellStart"/>
      <w:r w:rsidRPr="00DC6FD9">
        <w:rPr>
          <w:rFonts w:ascii="Calibri" w:eastAsia="Times New Roman" w:hAnsi="Calibri" w:cs="Calibri"/>
          <w:kern w:val="0"/>
          <w:lang w:eastAsia="en-GB"/>
          <w14:ligatures w14:val="none"/>
        </w:rPr>
        <w:t>Qalanisi</w:t>
      </w:r>
      <w:proofErr w:type="spellEnd"/>
      <w:r>
        <w:rPr>
          <w:rFonts w:ascii="Calibri" w:eastAsia="Times New Roman" w:hAnsi="Calibri" w:cs="Calibri"/>
          <w:kern w:val="0"/>
          <w:lang w:eastAsia="en-GB"/>
          <w14:ligatures w14:val="none"/>
        </w:rPr>
        <w:t>,</w:t>
      </w:r>
      <w:r w:rsidRPr="00DC6FD9">
        <w:rPr>
          <w:rFonts w:ascii="Calibri" w:eastAsia="Times New Roman" w:hAnsi="Calibri" w:cs="Calibri"/>
          <w:kern w:val="0"/>
          <w:lang w:eastAsia="en-GB"/>
          <w14:ligatures w14:val="none"/>
        </w:rPr>
        <w:t xml:space="preserve"> </w:t>
      </w:r>
      <w:r w:rsidRPr="00DC6FD9">
        <w:rPr>
          <w:rFonts w:ascii="Calibri" w:eastAsia="Times New Roman" w:hAnsi="Calibri" w:cs="Calibri"/>
          <w:kern w:val="0"/>
          <w:lang w:eastAsia="en-GB"/>
          <w14:ligatures w14:val="none"/>
        </w:rPr>
        <w:t xml:space="preserve">Ibn, </w:t>
      </w:r>
      <w:r w:rsidRPr="00DC6FD9">
        <w:rPr>
          <w:rFonts w:ascii="Calibri" w:eastAsia="Times New Roman" w:hAnsi="Calibri" w:cs="Calibri"/>
          <w:i/>
          <w:iCs/>
          <w:kern w:val="0"/>
          <w:lang w:eastAsia="en-GB"/>
          <w14:ligatures w14:val="none"/>
        </w:rPr>
        <w:t>The Damascus Chronicle of the Crusades</w:t>
      </w:r>
      <w:r w:rsidRPr="00DC6FD9">
        <w:rPr>
          <w:rFonts w:ascii="Calibri" w:eastAsia="Times New Roman" w:hAnsi="Calibri" w:cs="Calibri"/>
          <w:kern w:val="0"/>
          <w:lang w:eastAsia="en-GB"/>
          <w14:ligatures w14:val="none"/>
        </w:rPr>
        <w:t xml:space="preserve">, trans. H. A. R. Gibb (London: </w:t>
      </w:r>
      <w:proofErr w:type="spellStart"/>
      <w:r w:rsidRPr="00DC6FD9">
        <w:rPr>
          <w:rFonts w:ascii="Calibri" w:eastAsia="Times New Roman" w:hAnsi="Calibri" w:cs="Calibri"/>
          <w:kern w:val="0"/>
          <w:lang w:eastAsia="en-GB"/>
          <w14:ligatures w14:val="none"/>
        </w:rPr>
        <w:t>Luzac</w:t>
      </w:r>
      <w:proofErr w:type="spellEnd"/>
      <w:r w:rsidRPr="00DC6FD9">
        <w:rPr>
          <w:rFonts w:ascii="Calibri" w:eastAsia="Times New Roman" w:hAnsi="Calibri" w:cs="Calibri"/>
          <w:kern w:val="0"/>
          <w:lang w:eastAsia="en-GB"/>
          <w14:ligatures w14:val="none"/>
        </w:rPr>
        <w:t xml:space="preserve"> &amp; Co., 1932).</w:t>
      </w:r>
    </w:p>
    <w:p w14:paraId="427F6C9C" w14:textId="77777777" w:rsidR="00DC6FD9" w:rsidRPr="00DC6FD9" w:rsidRDefault="00DC6FD9" w:rsidP="00DC6FD9">
      <w:pPr>
        <w:spacing w:before="100" w:beforeAutospacing="1" w:after="100" w:afterAutospacing="1"/>
        <w:ind w:left="360"/>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Fulcher of Chartres, </w:t>
      </w:r>
      <w:r w:rsidRPr="00DC6FD9">
        <w:rPr>
          <w:rFonts w:ascii="Calibri" w:eastAsia="Times New Roman" w:hAnsi="Calibri" w:cs="Calibri"/>
          <w:i/>
          <w:iCs/>
          <w:kern w:val="0"/>
          <w:lang w:eastAsia="en-GB"/>
          <w14:ligatures w14:val="none"/>
        </w:rPr>
        <w:t xml:space="preserve">Historia </w:t>
      </w:r>
      <w:proofErr w:type="spellStart"/>
      <w:r w:rsidRPr="00DC6FD9">
        <w:rPr>
          <w:rFonts w:ascii="Calibri" w:eastAsia="Times New Roman" w:hAnsi="Calibri" w:cs="Calibri"/>
          <w:i/>
          <w:iCs/>
          <w:kern w:val="0"/>
          <w:lang w:eastAsia="en-GB"/>
          <w14:ligatures w14:val="none"/>
        </w:rPr>
        <w:t>Hierosolymitana</w:t>
      </w:r>
      <w:proofErr w:type="spellEnd"/>
      <w:r w:rsidRPr="00DC6FD9">
        <w:rPr>
          <w:rFonts w:ascii="Calibri" w:eastAsia="Times New Roman" w:hAnsi="Calibri" w:cs="Calibri"/>
          <w:kern w:val="0"/>
          <w:lang w:eastAsia="en-GB"/>
          <w14:ligatures w14:val="none"/>
        </w:rPr>
        <w:t>, trans. Martha McGinty (New York: Norton, 1973).</w:t>
      </w:r>
    </w:p>
    <w:p w14:paraId="2D7682F3" w14:textId="77777777" w:rsidR="00DC6FD9" w:rsidRPr="00DC6FD9" w:rsidRDefault="00DC6FD9" w:rsidP="00DC6FD9">
      <w:pPr>
        <w:spacing w:before="100" w:beforeAutospacing="1" w:after="100" w:afterAutospacing="1"/>
        <w:ind w:left="360"/>
        <w:rPr>
          <w:rFonts w:ascii="Calibri" w:eastAsia="Times New Roman" w:hAnsi="Calibri" w:cs="Calibri"/>
          <w:kern w:val="0"/>
          <w:lang w:eastAsia="en-GB"/>
          <w14:ligatures w14:val="none"/>
        </w:rPr>
      </w:pPr>
      <w:proofErr w:type="spellStart"/>
      <w:r w:rsidRPr="00DC6FD9">
        <w:rPr>
          <w:rFonts w:ascii="Calibri" w:eastAsia="Times New Roman" w:hAnsi="Calibri" w:cs="Calibri"/>
          <w:i/>
          <w:iCs/>
          <w:kern w:val="0"/>
          <w:lang w:eastAsia="en-GB"/>
          <w14:ligatures w14:val="none"/>
        </w:rPr>
        <w:t>Gesta</w:t>
      </w:r>
      <w:proofErr w:type="spellEnd"/>
      <w:r w:rsidRPr="00DC6FD9">
        <w:rPr>
          <w:rFonts w:ascii="Calibri" w:eastAsia="Times New Roman" w:hAnsi="Calibri" w:cs="Calibri"/>
          <w:i/>
          <w:iCs/>
          <w:kern w:val="0"/>
          <w:lang w:eastAsia="en-GB"/>
          <w14:ligatures w14:val="none"/>
        </w:rPr>
        <w:t xml:space="preserve"> Francorum</w:t>
      </w:r>
      <w:r w:rsidRPr="00DC6FD9">
        <w:rPr>
          <w:rFonts w:ascii="Calibri" w:eastAsia="Times New Roman" w:hAnsi="Calibri" w:cs="Calibri"/>
          <w:kern w:val="0"/>
          <w:lang w:eastAsia="en-GB"/>
          <w14:ligatures w14:val="none"/>
        </w:rPr>
        <w:t>, trans. Rosalind Hill (London: Oxford University Press, 1962).</w:t>
      </w:r>
    </w:p>
    <w:p w14:paraId="3B88E5D2" w14:textId="77777777" w:rsidR="00DC6FD9" w:rsidRDefault="00DC6FD9" w:rsidP="00DC6FD9">
      <w:pPr>
        <w:spacing w:before="100" w:beforeAutospacing="1" w:after="100" w:afterAutospacing="1"/>
        <w:ind w:left="360"/>
        <w:rPr>
          <w:rFonts w:ascii="Calibri" w:eastAsia="Times New Roman" w:hAnsi="Calibri" w:cs="Calibri"/>
          <w:kern w:val="0"/>
          <w:lang w:eastAsia="en-GB"/>
          <w14:ligatures w14:val="none"/>
        </w:rPr>
      </w:pPr>
      <w:proofErr w:type="spellStart"/>
      <w:r w:rsidRPr="00DC6FD9">
        <w:rPr>
          <w:rFonts w:ascii="Calibri" w:eastAsia="Times New Roman" w:hAnsi="Calibri" w:cs="Calibri"/>
          <w:kern w:val="0"/>
          <w:lang w:eastAsia="en-GB"/>
          <w14:ligatures w14:val="none"/>
        </w:rPr>
        <w:t>Gabrieli</w:t>
      </w:r>
      <w:proofErr w:type="spellEnd"/>
      <w:r w:rsidRPr="00DC6FD9">
        <w:rPr>
          <w:rFonts w:ascii="Calibri" w:eastAsia="Times New Roman" w:hAnsi="Calibri" w:cs="Calibri"/>
          <w:kern w:val="0"/>
          <w:lang w:eastAsia="en-GB"/>
          <w14:ligatures w14:val="none"/>
        </w:rPr>
        <w:t xml:space="preserve">, Francesco. </w:t>
      </w:r>
      <w:r w:rsidRPr="00DC6FD9">
        <w:rPr>
          <w:rFonts w:ascii="Calibri" w:eastAsia="Times New Roman" w:hAnsi="Calibri" w:cs="Calibri"/>
          <w:i/>
          <w:iCs/>
          <w:kern w:val="0"/>
          <w:lang w:eastAsia="en-GB"/>
          <w14:ligatures w14:val="none"/>
        </w:rPr>
        <w:t>Arab Historians of the Crusades</w:t>
      </w:r>
      <w:r w:rsidRPr="00DC6FD9">
        <w:rPr>
          <w:rFonts w:ascii="Calibri" w:eastAsia="Times New Roman" w:hAnsi="Calibri" w:cs="Calibri"/>
          <w:kern w:val="0"/>
          <w:lang w:eastAsia="en-GB"/>
          <w14:ligatures w14:val="none"/>
        </w:rPr>
        <w:t xml:space="preserve"> (Berkeley: University of California Press, 1969).</w:t>
      </w:r>
    </w:p>
    <w:p w14:paraId="6F8B75B5" w14:textId="3B7E517F" w:rsidR="00DC6FD9" w:rsidRDefault="00DC6FD9" w:rsidP="00DC6FD9">
      <w:pPr>
        <w:spacing w:before="100" w:beforeAutospacing="1" w:after="100" w:afterAutospacing="1"/>
        <w:ind w:left="360"/>
        <w:rPr>
          <w:rFonts w:ascii="Calibri" w:eastAsia="Times New Roman" w:hAnsi="Calibri" w:cs="Calibri"/>
          <w:kern w:val="0"/>
          <w:lang w:eastAsia="en-GB"/>
          <w14:ligatures w14:val="none"/>
        </w:rPr>
      </w:pPr>
      <w:proofErr w:type="spellStart"/>
      <w:r w:rsidRPr="00DC6FD9">
        <w:rPr>
          <w:rFonts w:ascii="Calibri" w:hAnsi="Calibri" w:cs="Calibri"/>
        </w:rPr>
        <w:t>Maalouf</w:t>
      </w:r>
      <w:proofErr w:type="spellEnd"/>
      <w:r w:rsidRPr="00DC6FD9">
        <w:rPr>
          <w:rFonts w:ascii="Calibri" w:hAnsi="Calibri" w:cs="Calibri"/>
        </w:rPr>
        <w:t>, Amin</w:t>
      </w:r>
      <w:r>
        <w:rPr>
          <w:rFonts w:ascii="Calibri" w:hAnsi="Calibri" w:cs="Calibri"/>
        </w:rPr>
        <w:t>,</w:t>
      </w:r>
      <w:r w:rsidRPr="00DC6FD9">
        <w:rPr>
          <w:rFonts w:ascii="Calibri" w:hAnsi="Calibri" w:cs="Calibri"/>
        </w:rPr>
        <w:t> </w:t>
      </w:r>
      <w:r w:rsidRPr="00DC6FD9">
        <w:rPr>
          <w:rFonts w:ascii="Calibri" w:hAnsi="Calibri" w:cs="Calibri"/>
          <w:i/>
          <w:iCs/>
        </w:rPr>
        <w:t>The Crusades Through Arab Eyes. </w:t>
      </w:r>
      <w:r w:rsidRPr="00DC6FD9">
        <w:rPr>
          <w:rFonts w:ascii="Calibri" w:hAnsi="Calibri" w:cs="Calibri"/>
        </w:rPr>
        <w:t>(New York: Knopf Doubleday Publishing Group, 1989).</w:t>
      </w:r>
    </w:p>
    <w:p w14:paraId="51A3F987" w14:textId="177F8AC9" w:rsidR="00DC6FD9" w:rsidRPr="00DC6FD9" w:rsidRDefault="00DC6FD9" w:rsidP="00DC6FD9">
      <w:pPr>
        <w:spacing w:before="100" w:beforeAutospacing="1" w:after="100" w:afterAutospacing="1"/>
        <w:ind w:left="360"/>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Riley-Smith, Jonathan. </w:t>
      </w:r>
      <w:r w:rsidRPr="00DC6FD9">
        <w:rPr>
          <w:rFonts w:ascii="Calibri" w:eastAsia="Times New Roman" w:hAnsi="Calibri" w:cs="Calibri"/>
          <w:i/>
          <w:iCs/>
          <w:kern w:val="0"/>
          <w:lang w:eastAsia="en-GB"/>
          <w14:ligatures w14:val="none"/>
        </w:rPr>
        <w:t>The Crusades: A History,</w:t>
      </w:r>
      <w:r w:rsidRPr="00DC6FD9">
        <w:rPr>
          <w:rFonts w:ascii="Calibri" w:eastAsia="Times New Roman" w:hAnsi="Calibri" w:cs="Calibri"/>
          <w:kern w:val="0"/>
          <w:lang w:eastAsia="en-GB"/>
          <w14:ligatures w14:val="none"/>
        </w:rPr>
        <w:t xml:space="preserve"> (New Haven: Yale University Press, 2005).</w:t>
      </w:r>
    </w:p>
    <w:p w14:paraId="0DE56BE7" w14:textId="77777777" w:rsidR="00DC6FD9" w:rsidRDefault="00DC6FD9" w:rsidP="00DC6FD9">
      <w:pPr>
        <w:spacing w:before="100" w:beforeAutospacing="1" w:after="100" w:afterAutospacing="1"/>
        <w:ind w:left="360"/>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Runciman, Steven. </w:t>
      </w:r>
      <w:r w:rsidRPr="00DC6FD9">
        <w:rPr>
          <w:rFonts w:ascii="Calibri" w:eastAsia="Times New Roman" w:hAnsi="Calibri" w:cs="Calibri"/>
          <w:i/>
          <w:iCs/>
          <w:kern w:val="0"/>
          <w:lang w:eastAsia="en-GB"/>
          <w14:ligatures w14:val="none"/>
        </w:rPr>
        <w:t>A History of the Crusades</w:t>
      </w:r>
      <w:r w:rsidRPr="00DC6FD9">
        <w:rPr>
          <w:rFonts w:ascii="Calibri" w:eastAsia="Times New Roman" w:hAnsi="Calibri" w:cs="Calibri"/>
          <w:kern w:val="0"/>
          <w:lang w:eastAsia="en-GB"/>
          <w14:ligatures w14:val="none"/>
        </w:rPr>
        <w:t xml:space="preserve"> (Cambridge: Cambridge University Press, 1951).</w:t>
      </w:r>
    </w:p>
    <w:p w14:paraId="03BF3200" w14:textId="622F1DA3" w:rsidR="00DC6FD9" w:rsidRPr="00DC6FD9" w:rsidRDefault="00DC6FD9" w:rsidP="00DC6FD9">
      <w:pPr>
        <w:spacing w:before="100" w:beforeAutospacing="1" w:after="100" w:afterAutospacing="1"/>
        <w:ind w:left="360"/>
        <w:rPr>
          <w:rFonts w:ascii="Calibri" w:eastAsia="Times New Roman" w:hAnsi="Calibri" w:cs="Calibri"/>
          <w:kern w:val="0"/>
          <w:lang w:eastAsia="en-GB"/>
          <w14:ligatures w14:val="none"/>
        </w:rPr>
      </w:pPr>
      <w:proofErr w:type="spellStart"/>
      <w:r w:rsidRPr="00DC6FD9">
        <w:rPr>
          <w:rFonts w:ascii="Calibri" w:hAnsi="Calibri" w:cs="Calibri"/>
        </w:rPr>
        <w:t>Sarayrah</w:t>
      </w:r>
      <w:proofErr w:type="spellEnd"/>
      <w:r w:rsidRPr="00DC6FD9">
        <w:rPr>
          <w:rFonts w:ascii="Calibri" w:hAnsi="Calibri" w:cs="Calibri"/>
        </w:rPr>
        <w:t xml:space="preserve">, B. M. and Al </w:t>
      </w:r>
      <w:proofErr w:type="spellStart"/>
      <w:r w:rsidRPr="00DC6FD9">
        <w:rPr>
          <w:rFonts w:ascii="Calibri" w:hAnsi="Calibri" w:cs="Calibri"/>
        </w:rPr>
        <w:t>Rwaidi</w:t>
      </w:r>
      <w:proofErr w:type="spellEnd"/>
      <w:r w:rsidRPr="00DC6FD9">
        <w:rPr>
          <w:rFonts w:ascii="Calibri" w:hAnsi="Calibri" w:cs="Calibri"/>
        </w:rPr>
        <w:t xml:space="preserve">, M. M. (2023) “Abu </w:t>
      </w:r>
      <w:proofErr w:type="spellStart"/>
      <w:r w:rsidRPr="00DC6FD9">
        <w:rPr>
          <w:rFonts w:ascii="Calibri" w:hAnsi="Calibri" w:cs="Calibri"/>
        </w:rPr>
        <w:t>Shamah</w:t>
      </w:r>
      <w:proofErr w:type="spellEnd"/>
      <w:r w:rsidRPr="00DC6FD9">
        <w:rPr>
          <w:rFonts w:ascii="Calibri" w:hAnsi="Calibri" w:cs="Calibri"/>
        </w:rPr>
        <w:t>, Historian of the Crusades 599-665 AH / 1202-1267 AD”, </w:t>
      </w:r>
      <w:r w:rsidRPr="00DC6FD9">
        <w:rPr>
          <w:rFonts w:ascii="Calibri" w:hAnsi="Calibri" w:cs="Calibri"/>
          <w:i/>
          <w:iCs/>
        </w:rPr>
        <w:t>Jordan Journal for History and Archaeology</w:t>
      </w:r>
      <w:r w:rsidRPr="00DC6FD9">
        <w:rPr>
          <w:rFonts w:ascii="Calibri" w:hAnsi="Calibri" w:cs="Calibri"/>
        </w:rPr>
        <w:t xml:space="preserve">, 17(3), pp. 1–43. </w:t>
      </w:r>
      <w:proofErr w:type="spellStart"/>
      <w:r w:rsidRPr="00DC6FD9">
        <w:rPr>
          <w:rFonts w:ascii="Calibri" w:hAnsi="Calibri" w:cs="Calibri"/>
        </w:rPr>
        <w:t>doi</w:t>
      </w:r>
      <w:proofErr w:type="spellEnd"/>
      <w:r w:rsidRPr="00DC6FD9">
        <w:rPr>
          <w:rFonts w:ascii="Calibri" w:hAnsi="Calibri" w:cs="Calibri"/>
        </w:rPr>
        <w:t>: 10.35516/</w:t>
      </w:r>
      <w:proofErr w:type="gramStart"/>
      <w:r w:rsidRPr="00DC6FD9">
        <w:rPr>
          <w:rFonts w:ascii="Calibri" w:hAnsi="Calibri" w:cs="Calibri"/>
        </w:rPr>
        <w:t>jjha.v</w:t>
      </w:r>
      <w:proofErr w:type="gramEnd"/>
      <w:r w:rsidRPr="00DC6FD9">
        <w:rPr>
          <w:rFonts w:ascii="Calibri" w:hAnsi="Calibri" w:cs="Calibri"/>
        </w:rPr>
        <w:t>17i3.1814.</w:t>
      </w:r>
    </w:p>
    <w:p w14:paraId="356942C1" w14:textId="77777777" w:rsidR="00DC6FD9" w:rsidRPr="00DC6FD9" w:rsidRDefault="00DC6FD9" w:rsidP="00DC6FD9">
      <w:pPr>
        <w:spacing w:before="100" w:beforeAutospacing="1" w:after="100" w:afterAutospacing="1"/>
        <w:ind w:left="360"/>
        <w:rPr>
          <w:rFonts w:ascii="Calibri" w:eastAsia="Times New Roman" w:hAnsi="Calibri" w:cs="Calibri"/>
          <w:kern w:val="0"/>
          <w:lang w:eastAsia="en-GB"/>
          <w14:ligatures w14:val="none"/>
        </w:rPr>
      </w:pPr>
      <w:r w:rsidRPr="00DC6FD9">
        <w:rPr>
          <w:rFonts w:ascii="Calibri" w:eastAsia="Times New Roman" w:hAnsi="Calibri" w:cs="Calibri"/>
          <w:kern w:val="0"/>
          <w:lang w:eastAsia="en-GB"/>
          <w14:ligatures w14:val="none"/>
        </w:rPr>
        <w:t xml:space="preserve">Tyerman, Christopher. </w:t>
      </w:r>
      <w:r w:rsidRPr="00DC6FD9">
        <w:rPr>
          <w:rFonts w:ascii="Calibri" w:eastAsia="Times New Roman" w:hAnsi="Calibri" w:cs="Calibri"/>
          <w:i/>
          <w:iCs/>
          <w:kern w:val="0"/>
          <w:lang w:eastAsia="en-GB"/>
          <w14:ligatures w14:val="none"/>
        </w:rPr>
        <w:t>God’s War: A New History of the Crusades</w:t>
      </w:r>
      <w:r w:rsidRPr="00DC6FD9">
        <w:rPr>
          <w:rFonts w:ascii="Calibri" w:eastAsia="Times New Roman" w:hAnsi="Calibri" w:cs="Calibri"/>
          <w:kern w:val="0"/>
          <w:lang w:eastAsia="en-GB"/>
          <w14:ligatures w14:val="none"/>
        </w:rPr>
        <w:t xml:space="preserve"> (London: Penguin Books, 2006).</w:t>
      </w:r>
    </w:p>
    <w:p w14:paraId="26200A93" w14:textId="0C715323" w:rsidR="00FA55EE" w:rsidRDefault="00DC6FD9" w:rsidP="00DC6FD9">
      <w:pPr>
        <w:spacing w:before="100" w:beforeAutospacing="1" w:after="100" w:afterAutospacing="1"/>
        <w:ind w:left="360"/>
        <w:outlineLvl w:val="2"/>
        <w:rPr>
          <w:rFonts w:ascii="Calibri" w:hAnsi="Calibri" w:cs="Calibri"/>
        </w:rPr>
      </w:pPr>
      <w:r w:rsidRPr="00DC6FD9">
        <w:rPr>
          <w:rFonts w:ascii="Calibri" w:hAnsi="Calibri" w:cs="Calibri"/>
        </w:rPr>
        <w:t xml:space="preserve">Watt, W. M. </w:t>
      </w:r>
      <w:r w:rsidRPr="00DC6FD9">
        <w:rPr>
          <w:rFonts w:ascii="Calibri" w:hAnsi="Calibri" w:cs="Calibri"/>
          <w:i/>
          <w:iCs/>
        </w:rPr>
        <w:t xml:space="preserve">The Influence of Islam on Medieval Europe </w:t>
      </w:r>
      <w:r w:rsidRPr="00DC6FD9">
        <w:rPr>
          <w:rFonts w:ascii="Calibri" w:hAnsi="Calibri" w:cs="Calibri"/>
        </w:rPr>
        <w:t>(Edinburgh: Edinburgh University Press, 1972).</w:t>
      </w:r>
    </w:p>
    <w:p w14:paraId="6281ECC7" w14:textId="77777777" w:rsidR="00DC6FD9" w:rsidRPr="00DC6FD9" w:rsidRDefault="00DC6FD9" w:rsidP="00DC6FD9">
      <w:pPr>
        <w:pStyle w:val="FootnoteText"/>
        <w:ind w:left="360"/>
        <w:rPr>
          <w:rFonts w:ascii="Calibri" w:hAnsi="Calibri" w:cs="Calibri"/>
          <w:sz w:val="24"/>
          <w:szCs w:val="24"/>
        </w:rPr>
      </w:pPr>
      <w:r w:rsidRPr="00DC6FD9">
        <w:rPr>
          <w:rFonts w:ascii="Calibri" w:hAnsi="Calibri" w:cs="Calibri"/>
          <w:sz w:val="24"/>
          <w:szCs w:val="24"/>
        </w:rPr>
        <w:t xml:space="preserve">William of Tyre, </w:t>
      </w:r>
      <w:r w:rsidRPr="00DC6FD9">
        <w:rPr>
          <w:rFonts w:ascii="Calibri" w:hAnsi="Calibri" w:cs="Calibri"/>
          <w:i/>
          <w:iCs/>
          <w:sz w:val="24"/>
          <w:szCs w:val="24"/>
        </w:rPr>
        <w:t>A History of Deeds Done Beyond the Sea</w:t>
      </w:r>
      <w:r w:rsidRPr="00DC6FD9">
        <w:rPr>
          <w:rFonts w:ascii="Calibri" w:hAnsi="Calibri" w:cs="Calibri"/>
          <w:sz w:val="24"/>
          <w:szCs w:val="24"/>
        </w:rPr>
        <w:t xml:space="preserve">, trans. August Charles </w:t>
      </w:r>
      <w:proofErr w:type="spellStart"/>
      <w:r w:rsidRPr="00DC6FD9">
        <w:rPr>
          <w:rFonts w:ascii="Calibri" w:hAnsi="Calibri" w:cs="Calibri"/>
          <w:sz w:val="24"/>
          <w:szCs w:val="24"/>
        </w:rPr>
        <w:t>Krey</w:t>
      </w:r>
      <w:proofErr w:type="spellEnd"/>
      <w:r w:rsidRPr="00DC6FD9">
        <w:rPr>
          <w:rFonts w:ascii="Calibri" w:hAnsi="Calibri" w:cs="Calibri"/>
          <w:sz w:val="24"/>
          <w:szCs w:val="24"/>
        </w:rPr>
        <w:t xml:space="preserve">, Emily Atwater Babcock (New York, Columbia University Press, 1943). </w:t>
      </w:r>
    </w:p>
    <w:p w14:paraId="15898E13" w14:textId="77777777" w:rsidR="00DC6FD9" w:rsidRPr="00DC6FD9" w:rsidRDefault="00DC6FD9" w:rsidP="00DC6FD9">
      <w:pPr>
        <w:spacing w:before="100" w:beforeAutospacing="1" w:after="100" w:afterAutospacing="1"/>
        <w:ind w:left="360"/>
        <w:outlineLvl w:val="2"/>
        <w:rPr>
          <w:rFonts w:ascii="Calibri" w:hAnsi="Calibri" w:cs="Calibri"/>
        </w:rPr>
      </w:pPr>
    </w:p>
    <w:sectPr w:rsidR="00DC6FD9" w:rsidRPr="00DC6F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5E5AB" w14:textId="77777777" w:rsidR="0041363E" w:rsidRDefault="0041363E" w:rsidP="00DC6FD9">
      <w:r>
        <w:separator/>
      </w:r>
    </w:p>
  </w:endnote>
  <w:endnote w:type="continuationSeparator" w:id="0">
    <w:p w14:paraId="3E18FF32" w14:textId="77777777" w:rsidR="0041363E" w:rsidRDefault="0041363E" w:rsidP="00DC6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9085" w14:textId="77777777" w:rsidR="0041363E" w:rsidRDefault="0041363E" w:rsidP="00DC6FD9">
      <w:r>
        <w:separator/>
      </w:r>
    </w:p>
  </w:footnote>
  <w:footnote w:type="continuationSeparator" w:id="0">
    <w:p w14:paraId="6A1E0ED0" w14:textId="77777777" w:rsidR="0041363E" w:rsidRDefault="0041363E" w:rsidP="00DC6FD9">
      <w:r>
        <w:continuationSeparator/>
      </w:r>
    </w:p>
  </w:footnote>
  <w:footnote w:id="1">
    <w:p w14:paraId="043E3453" w14:textId="5EF8BF24" w:rsidR="00DC6FD9" w:rsidRDefault="00DC6FD9">
      <w:pPr>
        <w:pStyle w:val="FootnoteText"/>
      </w:pPr>
      <w:r>
        <w:rPr>
          <w:rStyle w:val="FootnoteReference"/>
        </w:rPr>
        <w:footnoteRef/>
      </w:r>
      <w:r>
        <w:t xml:space="preserve"> </w:t>
      </w:r>
      <w:r w:rsidRPr="00DC6FD9">
        <w:t>Ibn al-</w:t>
      </w:r>
      <w:proofErr w:type="spellStart"/>
      <w:r w:rsidRPr="00DC6FD9">
        <w:t>Qalanisi</w:t>
      </w:r>
      <w:proofErr w:type="spellEnd"/>
      <w:r w:rsidRPr="00DC6FD9">
        <w:t xml:space="preserve">, </w:t>
      </w:r>
      <w:r w:rsidRPr="00DC6FD9">
        <w:rPr>
          <w:i/>
          <w:iCs/>
        </w:rPr>
        <w:t>The Damascus Chronicle of the Crusades</w:t>
      </w:r>
      <w:r w:rsidRPr="00DC6FD9">
        <w:t xml:space="preserve">, trans. H. A. R. Gibb (London: </w:t>
      </w:r>
      <w:proofErr w:type="spellStart"/>
      <w:r w:rsidRPr="00DC6FD9">
        <w:t>Luzac</w:t>
      </w:r>
      <w:proofErr w:type="spellEnd"/>
      <w:r w:rsidRPr="00DC6FD9">
        <w:t xml:space="preserve"> &amp; Co., 1932)</w:t>
      </w:r>
      <w:r>
        <w:t>, p. 16</w:t>
      </w:r>
    </w:p>
  </w:footnote>
  <w:footnote w:id="2">
    <w:p w14:paraId="274AC244" w14:textId="0276B538" w:rsidR="00DC6FD9" w:rsidRDefault="00DC6FD9">
      <w:pPr>
        <w:pStyle w:val="FootnoteText"/>
      </w:pPr>
      <w:r>
        <w:rPr>
          <w:rStyle w:val="FootnoteReference"/>
        </w:rPr>
        <w:footnoteRef/>
      </w:r>
      <w:r>
        <w:t xml:space="preserve"> </w:t>
      </w:r>
      <w:r w:rsidRPr="00DC6FD9">
        <w:t>Christopher Tyerman, </w:t>
      </w:r>
      <w:r w:rsidRPr="00DC6FD9">
        <w:rPr>
          <w:i/>
          <w:iCs/>
        </w:rPr>
        <w:t>God’s War: A New History of the Crusades </w:t>
      </w:r>
      <w:r w:rsidRPr="00DC6FD9">
        <w:t xml:space="preserve">(Cambridge, MA: Harvard University Press, 2006), </w:t>
      </w:r>
      <w:r>
        <w:t>pp.</w:t>
      </w:r>
      <w:r w:rsidRPr="00DC6FD9">
        <w:t>1</w:t>
      </w:r>
      <w:r>
        <w:t>18-119</w:t>
      </w:r>
    </w:p>
  </w:footnote>
  <w:footnote w:id="3">
    <w:p w14:paraId="0F6C2702" w14:textId="6692316A" w:rsidR="00DC6FD9" w:rsidRDefault="00DC6FD9">
      <w:pPr>
        <w:pStyle w:val="FootnoteText"/>
      </w:pPr>
      <w:r>
        <w:rPr>
          <w:rStyle w:val="FootnoteReference"/>
        </w:rPr>
        <w:footnoteRef/>
      </w:r>
      <w:r>
        <w:t xml:space="preserve"> </w:t>
      </w:r>
      <w:r w:rsidRPr="00DC6FD9">
        <w:t>Amin</w:t>
      </w:r>
      <w:r w:rsidRPr="00DC6FD9">
        <w:t xml:space="preserve"> </w:t>
      </w:r>
      <w:proofErr w:type="spellStart"/>
      <w:r w:rsidRPr="00DC6FD9">
        <w:t>Maalouf</w:t>
      </w:r>
      <w:proofErr w:type="spellEnd"/>
      <w:r w:rsidRPr="00DC6FD9">
        <w:t>, </w:t>
      </w:r>
      <w:r w:rsidRPr="00DC6FD9">
        <w:rPr>
          <w:i/>
          <w:iCs/>
        </w:rPr>
        <w:t>The Crusades Through Arab Eyes. </w:t>
      </w:r>
      <w:r>
        <w:t>(</w:t>
      </w:r>
      <w:r w:rsidRPr="00DC6FD9">
        <w:t>New York, NY: Knopf Doubleday Publishing Group, 1989</w:t>
      </w:r>
      <w:r>
        <w:t>), pp. 6-8</w:t>
      </w:r>
    </w:p>
  </w:footnote>
  <w:footnote w:id="4">
    <w:p w14:paraId="74DF371A" w14:textId="15561EF5" w:rsidR="00DC6FD9" w:rsidRDefault="00DC6FD9">
      <w:pPr>
        <w:pStyle w:val="FootnoteText"/>
      </w:pPr>
      <w:r>
        <w:rPr>
          <w:rStyle w:val="FootnoteReference"/>
        </w:rPr>
        <w:footnoteRef/>
      </w:r>
      <w:r w:rsidRPr="00DC6FD9">
        <w:t xml:space="preserve"> Fulcher of Chartres</w:t>
      </w:r>
      <w:r>
        <w:rPr>
          <w:i/>
          <w:iCs/>
        </w:rPr>
        <w:t>,</w:t>
      </w:r>
      <w:r w:rsidRPr="00DC6FD9">
        <w:rPr>
          <w:i/>
          <w:iCs/>
        </w:rPr>
        <w:t xml:space="preserve"> Chronicle of the First Crusade</w:t>
      </w:r>
      <w:r>
        <w:rPr>
          <w:i/>
          <w:iCs/>
        </w:rPr>
        <w:t>,</w:t>
      </w:r>
      <w:r>
        <w:t xml:space="preserve"> trans. </w:t>
      </w:r>
      <w:r w:rsidRPr="00DC6FD9">
        <w:t>Martha Evelyn</w:t>
      </w:r>
      <w:r>
        <w:t xml:space="preserve"> </w:t>
      </w:r>
      <w:r w:rsidRPr="00DC6FD9">
        <w:t>McGinty (Baltimore, MD: University of Pennsylvania Press</w:t>
      </w:r>
      <w:r>
        <w:t xml:space="preserve">, </w:t>
      </w:r>
      <w:r w:rsidRPr="00DC6FD9">
        <w:t>1941)</w:t>
      </w:r>
      <w:r>
        <w:t>, p. 54</w:t>
      </w:r>
    </w:p>
  </w:footnote>
  <w:footnote w:id="5">
    <w:p w14:paraId="1C75249D" w14:textId="5CA28ED4" w:rsidR="00DC6FD9" w:rsidRDefault="00DC6FD9">
      <w:pPr>
        <w:pStyle w:val="FootnoteText"/>
      </w:pPr>
      <w:r>
        <w:rPr>
          <w:rStyle w:val="FootnoteReference"/>
        </w:rPr>
        <w:footnoteRef/>
      </w:r>
      <w:r>
        <w:t xml:space="preserve"> </w:t>
      </w:r>
      <w:r w:rsidRPr="00DC6FD9">
        <w:t>Ibn al-</w:t>
      </w:r>
      <w:proofErr w:type="spellStart"/>
      <w:r w:rsidRPr="00DC6FD9">
        <w:t>Qalanisi</w:t>
      </w:r>
      <w:proofErr w:type="spellEnd"/>
      <w:r w:rsidRPr="00DC6FD9">
        <w:t xml:space="preserve">, </w:t>
      </w:r>
      <w:r w:rsidRPr="00DC6FD9">
        <w:rPr>
          <w:i/>
          <w:iCs/>
        </w:rPr>
        <w:t>The Damascus Chronicle of the Crusades</w:t>
      </w:r>
      <w:r>
        <w:rPr>
          <w:i/>
          <w:iCs/>
        </w:rPr>
        <w:t>,</w:t>
      </w:r>
      <w:r>
        <w:t xml:space="preserve"> p41</w:t>
      </w:r>
    </w:p>
  </w:footnote>
  <w:footnote w:id="6">
    <w:p w14:paraId="71DAE2D4" w14:textId="185EEDD8" w:rsidR="00DC6FD9" w:rsidRDefault="00DC6FD9">
      <w:pPr>
        <w:pStyle w:val="FootnoteText"/>
      </w:pPr>
      <w:r>
        <w:rPr>
          <w:rStyle w:val="FootnoteReference"/>
        </w:rPr>
        <w:footnoteRef/>
      </w:r>
      <w:proofErr w:type="spellStart"/>
      <w:r w:rsidRPr="00DC6FD9">
        <w:rPr>
          <w:i/>
          <w:iCs/>
        </w:rPr>
        <w:t>Gesta</w:t>
      </w:r>
      <w:proofErr w:type="spellEnd"/>
      <w:r w:rsidRPr="00DC6FD9">
        <w:rPr>
          <w:i/>
          <w:iCs/>
        </w:rPr>
        <w:t xml:space="preserve"> Francorum et </w:t>
      </w:r>
      <w:proofErr w:type="spellStart"/>
      <w:r w:rsidRPr="00DC6FD9">
        <w:rPr>
          <w:i/>
          <w:iCs/>
        </w:rPr>
        <w:t>aliorum</w:t>
      </w:r>
      <w:proofErr w:type="spellEnd"/>
      <w:r w:rsidRPr="00DC6FD9">
        <w:rPr>
          <w:i/>
          <w:iCs/>
        </w:rPr>
        <w:t xml:space="preserve"> </w:t>
      </w:r>
      <w:proofErr w:type="spellStart"/>
      <w:r w:rsidRPr="00DC6FD9">
        <w:rPr>
          <w:i/>
          <w:iCs/>
        </w:rPr>
        <w:t>Hierosolimitanorum</w:t>
      </w:r>
      <w:proofErr w:type="spellEnd"/>
      <w:r w:rsidRPr="00DC6FD9">
        <w:rPr>
          <w:i/>
          <w:iCs/>
        </w:rPr>
        <w:t>: The Deeds of the Franks and the Other Pilgrims to Jerusalem,</w:t>
      </w:r>
      <w:r w:rsidRPr="00DC6FD9">
        <w:t> </w:t>
      </w:r>
      <w:r>
        <w:t xml:space="preserve">trans. </w:t>
      </w:r>
      <w:r w:rsidRPr="00DC6FD9">
        <w:t xml:space="preserve">Rosalind Hill </w:t>
      </w:r>
      <w:r>
        <w:t>(</w:t>
      </w:r>
      <w:r w:rsidRPr="00DC6FD9">
        <w:t>Oxford</w:t>
      </w:r>
      <w:r>
        <w:t>:</w:t>
      </w:r>
      <w:r w:rsidRPr="00DC6FD9">
        <w:rPr>
          <w:rFonts w:ascii="Helvetica Neue" w:eastAsia="Times New Roman" w:hAnsi="Helvetica Neue" w:cs="Times New Roman"/>
          <w:color w:val="111111"/>
          <w:kern w:val="36"/>
          <w:sz w:val="30"/>
          <w:szCs w:val="30"/>
          <w:bdr w:val="none" w:sz="0" w:space="0" w:color="auto" w:frame="1"/>
          <w:lang w:eastAsia="en-GB"/>
          <w14:ligatures w14:val="none"/>
        </w:rPr>
        <w:t xml:space="preserve"> </w:t>
      </w:r>
      <w:r w:rsidRPr="00DC6FD9">
        <w:t>Oxford Medieval Texts</w:t>
      </w:r>
      <w:r>
        <w:t xml:space="preserve">, </w:t>
      </w:r>
      <w:r w:rsidRPr="00DC6FD9">
        <w:t>1967</w:t>
      </w:r>
      <w:r>
        <w:t>),</w:t>
      </w:r>
      <w:r w:rsidRPr="00DC6FD9">
        <w:t xml:space="preserve"> </w:t>
      </w:r>
      <w:r>
        <w:t>p. 1</w:t>
      </w:r>
    </w:p>
  </w:footnote>
  <w:footnote w:id="7">
    <w:p w14:paraId="38CA4F9F" w14:textId="1ACA3F85" w:rsidR="00DC6FD9" w:rsidRDefault="00DC6FD9">
      <w:pPr>
        <w:pStyle w:val="FootnoteText"/>
      </w:pPr>
      <w:r>
        <w:rPr>
          <w:rStyle w:val="FootnoteReference"/>
        </w:rPr>
        <w:footnoteRef/>
      </w:r>
      <w:r>
        <w:t xml:space="preserve"> Tyerman, </w:t>
      </w:r>
      <w:r w:rsidRPr="00DC6FD9">
        <w:rPr>
          <w:i/>
          <w:iCs/>
        </w:rPr>
        <w:t>God’s War</w:t>
      </w:r>
      <w:r>
        <w:rPr>
          <w:i/>
          <w:iCs/>
        </w:rPr>
        <w:t>,</w:t>
      </w:r>
      <w:r>
        <w:t xml:space="preserve"> p. 163</w:t>
      </w:r>
    </w:p>
  </w:footnote>
  <w:footnote w:id="8">
    <w:p w14:paraId="3B805BF6" w14:textId="2677D2E6" w:rsidR="00DC6FD9" w:rsidRDefault="00DC6FD9">
      <w:pPr>
        <w:pStyle w:val="FootnoteText"/>
      </w:pPr>
      <w:r>
        <w:rPr>
          <w:rStyle w:val="FootnoteReference"/>
        </w:rPr>
        <w:footnoteRef/>
      </w:r>
      <w:r>
        <w:t xml:space="preserve"> </w:t>
      </w:r>
      <w:r w:rsidRPr="00DC6FD9">
        <w:t>Ibn al-</w:t>
      </w:r>
      <w:proofErr w:type="spellStart"/>
      <w:r w:rsidRPr="00DC6FD9">
        <w:t>Qalanisi</w:t>
      </w:r>
      <w:proofErr w:type="spellEnd"/>
      <w:r w:rsidRPr="00DC6FD9">
        <w:t xml:space="preserve">, </w:t>
      </w:r>
      <w:r w:rsidRPr="00DC6FD9">
        <w:rPr>
          <w:i/>
          <w:iCs/>
        </w:rPr>
        <w:t>The Damascus Chronicle of the Crusades</w:t>
      </w:r>
      <w:r>
        <w:rPr>
          <w:i/>
          <w:iCs/>
        </w:rPr>
        <w:t>,</w:t>
      </w:r>
      <w:r>
        <w:t xml:space="preserve"> p. 157</w:t>
      </w:r>
    </w:p>
  </w:footnote>
  <w:footnote w:id="9">
    <w:p w14:paraId="381F9B0E" w14:textId="11801EED" w:rsidR="00DC6FD9" w:rsidRDefault="00DC6FD9">
      <w:pPr>
        <w:pStyle w:val="FootnoteText"/>
      </w:pPr>
      <w:r>
        <w:rPr>
          <w:rStyle w:val="FootnoteReference"/>
        </w:rPr>
        <w:footnoteRef/>
      </w:r>
      <w:r>
        <w:t xml:space="preserve"> </w:t>
      </w:r>
      <w:r w:rsidRPr="00DC6FD9">
        <w:t>Ibn al-</w:t>
      </w:r>
      <w:proofErr w:type="spellStart"/>
      <w:r w:rsidRPr="00DC6FD9">
        <w:t>Athir</w:t>
      </w:r>
      <w:proofErr w:type="spellEnd"/>
      <w:r w:rsidRPr="00DC6FD9">
        <w:t>. </w:t>
      </w:r>
      <w:r w:rsidRPr="00DC6FD9">
        <w:rPr>
          <w:i/>
          <w:iCs/>
        </w:rPr>
        <w:t xml:space="preserve">Al-Kamil </w:t>
      </w:r>
      <w:proofErr w:type="spellStart"/>
      <w:r w:rsidRPr="00DC6FD9">
        <w:rPr>
          <w:i/>
          <w:iCs/>
        </w:rPr>
        <w:t>fi’l-Ta’rikh</w:t>
      </w:r>
      <w:proofErr w:type="spellEnd"/>
      <w:r w:rsidRPr="00DC6FD9">
        <w:rPr>
          <w:i/>
          <w:iCs/>
        </w:rPr>
        <w:t>. </w:t>
      </w:r>
      <w:r w:rsidRPr="00DC6FD9">
        <w:t>Trans</w:t>
      </w:r>
      <w:r>
        <w:t>.</w:t>
      </w:r>
      <w:r w:rsidRPr="00DC6FD9">
        <w:t xml:space="preserve"> D. S. Richards. </w:t>
      </w:r>
      <w:r>
        <w:t>(</w:t>
      </w:r>
      <w:r w:rsidRPr="00DC6FD9">
        <w:t>London: Routledge, 2005</w:t>
      </w:r>
      <w:r>
        <w:t>), p. 282</w:t>
      </w:r>
    </w:p>
  </w:footnote>
  <w:footnote w:id="10">
    <w:p w14:paraId="12A43903" w14:textId="151DC4EE" w:rsidR="00DC6FD9" w:rsidRDefault="00DC6FD9">
      <w:pPr>
        <w:pStyle w:val="FootnoteText"/>
      </w:pPr>
      <w:r>
        <w:rPr>
          <w:rStyle w:val="FootnoteReference"/>
        </w:rPr>
        <w:footnoteRef/>
      </w:r>
      <w:r>
        <w:t xml:space="preserve"> </w:t>
      </w:r>
      <w:r w:rsidRPr="00DC6FD9">
        <w:t xml:space="preserve">B. M. </w:t>
      </w:r>
      <w:proofErr w:type="spellStart"/>
      <w:r w:rsidRPr="00DC6FD9">
        <w:t>Sarayrah</w:t>
      </w:r>
      <w:proofErr w:type="spellEnd"/>
      <w:r w:rsidRPr="00DC6FD9">
        <w:t>, and A</w:t>
      </w:r>
      <w:r>
        <w:t>l</w:t>
      </w:r>
      <w:r w:rsidRPr="00DC6FD9">
        <w:t xml:space="preserve"> </w:t>
      </w:r>
      <w:proofErr w:type="spellStart"/>
      <w:r w:rsidRPr="00DC6FD9">
        <w:t>Rwaidi</w:t>
      </w:r>
      <w:proofErr w:type="spellEnd"/>
      <w:r w:rsidRPr="00DC6FD9">
        <w:t xml:space="preserve">, M. M. (2023) “Abu </w:t>
      </w:r>
      <w:proofErr w:type="spellStart"/>
      <w:r w:rsidRPr="00DC6FD9">
        <w:t>Shamah</w:t>
      </w:r>
      <w:proofErr w:type="spellEnd"/>
      <w:r w:rsidRPr="00DC6FD9">
        <w:t>, Historian of the Crusades 599-665 AH / 1202-1267 AD”, </w:t>
      </w:r>
      <w:r w:rsidRPr="00DC6FD9">
        <w:rPr>
          <w:i/>
          <w:iCs/>
        </w:rPr>
        <w:t>Jordan Journal for History and Archaeology</w:t>
      </w:r>
      <w:r w:rsidRPr="00DC6FD9">
        <w:t xml:space="preserve">, 17(3), pp. 1–43. </w:t>
      </w:r>
      <w:proofErr w:type="spellStart"/>
      <w:r w:rsidRPr="00DC6FD9">
        <w:t>doi</w:t>
      </w:r>
      <w:proofErr w:type="spellEnd"/>
      <w:r w:rsidRPr="00DC6FD9">
        <w:t>: 10.35516/</w:t>
      </w:r>
      <w:proofErr w:type="gramStart"/>
      <w:r w:rsidRPr="00DC6FD9">
        <w:t>jjha.v</w:t>
      </w:r>
      <w:proofErr w:type="gramEnd"/>
      <w:r w:rsidRPr="00DC6FD9">
        <w:t>17i3.1814.</w:t>
      </w:r>
    </w:p>
  </w:footnote>
  <w:footnote w:id="11">
    <w:p w14:paraId="23246528" w14:textId="72E096C9" w:rsidR="00DC6FD9" w:rsidRDefault="00DC6FD9">
      <w:pPr>
        <w:pStyle w:val="FootnoteText"/>
      </w:pPr>
      <w:r>
        <w:rPr>
          <w:rStyle w:val="FootnoteReference"/>
        </w:rPr>
        <w:footnoteRef/>
      </w:r>
      <w:r>
        <w:t xml:space="preserve"> </w:t>
      </w:r>
      <w:r w:rsidRPr="00DC6FD9">
        <w:t>Riley-Smith, Johnathan. </w:t>
      </w:r>
      <w:r w:rsidRPr="00DC6FD9">
        <w:rPr>
          <w:i/>
          <w:iCs/>
        </w:rPr>
        <w:t xml:space="preserve">The </w:t>
      </w:r>
      <w:r>
        <w:rPr>
          <w:i/>
          <w:iCs/>
        </w:rPr>
        <w:t>Crusades: A History,</w:t>
      </w:r>
      <w:r w:rsidRPr="00DC6FD9">
        <w:rPr>
          <w:i/>
          <w:iCs/>
        </w:rPr>
        <w:t> </w:t>
      </w:r>
      <w:r>
        <w:t>(</w:t>
      </w:r>
      <w:r w:rsidRPr="00DC6FD9">
        <w:t>New Haven: Yale University Press, 2005</w:t>
      </w:r>
      <w:r>
        <w:t>),</w:t>
      </w:r>
    </w:p>
  </w:footnote>
  <w:footnote w:id="12">
    <w:p w14:paraId="4F577DE2" w14:textId="107F8784" w:rsidR="00DC6FD9" w:rsidRDefault="00DC6FD9">
      <w:pPr>
        <w:pStyle w:val="FootnoteText"/>
      </w:pPr>
      <w:r>
        <w:rPr>
          <w:rStyle w:val="FootnoteReference"/>
        </w:rPr>
        <w:footnoteRef/>
      </w:r>
      <w:r>
        <w:t xml:space="preserve"> </w:t>
      </w:r>
      <w:r w:rsidRPr="00DC6FD9">
        <w:t xml:space="preserve">William of Tyre, </w:t>
      </w:r>
      <w:r w:rsidRPr="00DC6FD9">
        <w:rPr>
          <w:i/>
          <w:iCs/>
        </w:rPr>
        <w:t>A History of Deeds Done Beyond the Sea</w:t>
      </w:r>
      <w:r>
        <w:t xml:space="preserve">, trans. </w:t>
      </w:r>
      <w:r w:rsidRPr="00DC6FD9">
        <w:t xml:space="preserve">August Charles </w:t>
      </w:r>
      <w:proofErr w:type="spellStart"/>
      <w:r w:rsidRPr="00DC6FD9">
        <w:t>Krey</w:t>
      </w:r>
      <w:proofErr w:type="spellEnd"/>
      <w:r w:rsidRPr="00DC6FD9">
        <w:t>, Emily Atwater Babcock </w:t>
      </w:r>
      <w:r>
        <w:t>(New York</w:t>
      </w:r>
      <w:r w:rsidRPr="00DC6FD9">
        <w:t>, Columbia University Press, 1943</w:t>
      </w:r>
      <w:r>
        <w:t>)</w:t>
      </w:r>
      <w:r w:rsidRPr="00DC6FD9">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4415C"/>
    <w:multiLevelType w:val="multilevel"/>
    <w:tmpl w:val="533CA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314BF8"/>
    <w:multiLevelType w:val="multilevel"/>
    <w:tmpl w:val="453A4A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7B7160"/>
    <w:multiLevelType w:val="multilevel"/>
    <w:tmpl w:val="9ED8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E52BB3"/>
    <w:multiLevelType w:val="multilevel"/>
    <w:tmpl w:val="795E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8B6B71"/>
    <w:multiLevelType w:val="hybridMultilevel"/>
    <w:tmpl w:val="2F02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799275">
    <w:abstractNumId w:val="0"/>
  </w:num>
  <w:num w:numId="2" w16cid:durableId="858742157">
    <w:abstractNumId w:val="1"/>
  </w:num>
  <w:num w:numId="3" w16cid:durableId="1995143220">
    <w:abstractNumId w:val="2"/>
  </w:num>
  <w:num w:numId="4" w16cid:durableId="1177576124">
    <w:abstractNumId w:val="3"/>
  </w:num>
  <w:num w:numId="5" w16cid:durableId="18475487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D9"/>
    <w:rsid w:val="0041363E"/>
    <w:rsid w:val="004F7216"/>
    <w:rsid w:val="009116FB"/>
    <w:rsid w:val="00DC6FD9"/>
    <w:rsid w:val="00FA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13257"/>
  <w15:chartTrackingRefBased/>
  <w15:docId w15:val="{E051A6BD-6F8F-3B44-A350-7688FD1A4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6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6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C6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F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F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F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F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6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6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C6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FD9"/>
    <w:rPr>
      <w:rFonts w:eastAsiaTheme="majorEastAsia" w:cstheme="majorBidi"/>
      <w:color w:val="272727" w:themeColor="text1" w:themeTint="D8"/>
    </w:rPr>
  </w:style>
  <w:style w:type="paragraph" w:styleId="Title">
    <w:name w:val="Title"/>
    <w:basedOn w:val="Normal"/>
    <w:next w:val="Normal"/>
    <w:link w:val="TitleChar"/>
    <w:uiPriority w:val="10"/>
    <w:qFormat/>
    <w:rsid w:val="00DC6F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F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FD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F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F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6FD9"/>
    <w:rPr>
      <w:i/>
      <w:iCs/>
      <w:color w:val="404040" w:themeColor="text1" w:themeTint="BF"/>
    </w:rPr>
  </w:style>
  <w:style w:type="paragraph" w:styleId="ListParagraph">
    <w:name w:val="List Paragraph"/>
    <w:basedOn w:val="Normal"/>
    <w:uiPriority w:val="34"/>
    <w:qFormat/>
    <w:rsid w:val="00DC6FD9"/>
    <w:pPr>
      <w:ind w:left="720"/>
      <w:contextualSpacing/>
    </w:pPr>
  </w:style>
  <w:style w:type="character" w:styleId="IntenseEmphasis">
    <w:name w:val="Intense Emphasis"/>
    <w:basedOn w:val="DefaultParagraphFont"/>
    <w:uiPriority w:val="21"/>
    <w:qFormat/>
    <w:rsid w:val="00DC6FD9"/>
    <w:rPr>
      <w:i/>
      <w:iCs/>
      <w:color w:val="0F4761" w:themeColor="accent1" w:themeShade="BF"/>
    </w:rPr>
  </w:style>
  <w:style w:type="paragraph" w:styleId="IntenseQuote">
    <w:name w:val="Intense Quote"/>
    <w:basedOn w:val="Normal"/>
    <w:next w:val="Normal"/>
    <w:link w:val="IntenseQuoteChar"/>
    <w:uiPriority w:val="30"/>
    <w:qFormat/>
    <w:rsid w:val="00DC6F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FD9"/>
    <w:rPr>
      <w:i/>
      <w:iCs/>
      <w:color w:val="0F4761" w:themeColor="accent1" w:themeShade="BF"/>
    </w:rPr>
  </w:style>
  <w:style w:type="character" w:styleId="IntenseReference">
    <w:name w:val="Intense Reference"/>
    <w:basedOn w:val="DefaultParagraphFont"/>
    <w:uiPriority w:val="32"/>
    <w:qFormat/>
    <w:rsid w:val="00DC6FD9"/>
    <w:rPr>
      <w:b/>
      <w:bCs/>
      <w:smallCaps/>
      <w:color w:val="0F4761" w:themeColor="accent1" w:themeShade="BF"/>
      <w:spacing w:val="5"/>
    </w:rPr>
  </w:style>
  <w:style w:type="character" w:styleId="Strong">
    <w:name w:val="Strong"/>
    <w:basedOn w:val="DefaultParagraphFont"/>
    <w:uiPriority w:val="22"/>
    <w:qFormat/>
    <w:rsid w:val="00DC6FD9"/>
    <w:rPr>
      <w:b/>
      <w:bCs/>
    </w:rPr>
  </w:style>
  <w:style w:type="character" w:styleId="Emphasis">
    <w:name w:val="Emphasis"/>
    <w:basedOn w:val="DefaultParagraphFont"/>
    <w:uiPriority w:val="20"/>
    <w:qFormat/>
    <w:rsid w:val="00DC6FD9"/>
    <w:rPr>
      <w:i/>
      <w:iCs/>
    </w:rPr>
  </w:style>
  <w:style w:type="paragraph" w:styleId="NormalWeb">
    <w:name w:val="Normal (Web)"/>
    <w:basedOn w:val="Normal"/>
    <w:uiPriority w:val="99"/>
    <w:unhideWhenUsed/>
    <w:rsid w:val="00DC6FD9"/>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DC6FD9"/>
    <w:rPr>
      <w:sz w:val="20"/>
      <w:szCs w:val="20"/>
    </w:rPr>
  </w:style>
  <w:style w:type="character" w:customStyle="1" w:styleId="FootnoteTextChar">
    <w:name w:val="Footnote Text Char"/>
    <w:basedOn w:val="DefaultParagraphFont"/>
    <w:link w:val="FootnoteText"/>
    <w:uiPriority w:val="99"/>
    <w:semiHidden/>
    <w:rsid w:val="00DC6FD9"/>
    <w:rPr>
      <w:sz w:val="20"/>
      <w:szCs w:val="20"/>
    </w:rPr>
  </w:style>
  <w:style w:type="character" w:styleId="FootnoteReference">
    <w:name w:val="footnote reference"/>
    <w:basedOn w:val="DefaultParagraphFont"/>
    <w:uiPriority w:val="99"/>
    <w:semiHidden/>
    <w:unhideWhenUsed/>
    <w:rsid w:val="00DC6FD9"/>
    <w:rPr>
      <w:vertAlign w:val="superscript"/>
    </w:rPr>
  </w:style>
  <w:style w:type="character" w:styleId="Hyperlink">
    <w:name w:val="Hyperlink"/>
    <w:basedOn w:val="DefaultParagraphFont"/>
    <w:uiPriority w:val="99"/>
    <w:unhideWhenUsed/>
    <w:rsid w:val="00DC6FD9"/>
    <w:rPr>
      <w:color w:val="467886" w:themeColor="hyperlink"/>
      <w:u w:val="single"/>
    </w:rPr>
  </w:style>
  <w:style w:type="character" w:styleId="UnresolvedMention">
    <w:name w:val="Unresolved Mention"/>
    <w:basedOn w:val="DefaultParagraphFont"/>
    <w:uiPriority w:val="99"/>
    <w:semiHidden/>
    <w:unhideWhenUsed/>
    <w:rsid w:val="00DC6F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0034">
      <w:bodyDiv w:val="1"/>
      <w:marLeft w:val="0"/>
      <w:marRight w:val="0"/>
      <w:marTop w:val="0"/>
      <w:marBottom w:val="0"/>
      <w:divBdr>
        <w:top w:val="none" w:sz="0" w:space="0" w:color="auto"/>
        <w:left w:val="none" w:sz="0" w:space="0" w:color="auto"/>
        <w:bottom w:val="none" w:sz="0" w:space="0" w:color="auto"/>
        <w:right w:val="none" w:sz="0" w:space="0" w:color="auto"/>
      </w:divBdr>
    </w:div>
    <w:div w:id="224267040">
      <w:bodyDiv w:val="1"/>
      <w:marLeft w:val="0"/>
      <w:marRight w:val="0"/>
      <w:marTop w:val="0"/>
      <w:marBottom w:val="0"/>
      <w:divBdr>
        <w:top w:val="none" w:sz="0" w:space="0" w:color="auto"/>
        <w:left w:val="none" w:sz="0" w:space="0" w:color="auto"/>
        <w:bottom w:val="none" w:sz="0" w:space="0" w:color="auto"/>
        <w:right w:val="none" w:sz="0" w:space="0" w:color="auto"/>
      </w:divBdr>
    </w:div>
    <w:div w:id="255947554">
      <w:bodyDiv w:val="1"/>
      <w:marLeft w:val="0"/>
      <w:marRight w:val="0"/>
      <w:marTop w:val="0"/>
      <w:marBottom w:val="0"/>
      <w:divBdr>
        <w:top w:val="none" w:sz="0" w:space="0" w:color="auto"/>
        <w:left w:val="none" w:sz="0" w:space="0" w:color="auto"/>
        <w:bottom w:val="none" w:sz="0" w:space="0" w:color="auto"/>
        <w:right w:val="none" w:sz="0" w:space="0" w:color="auto"/>
      </w:divBdr>
      <w:divsChild>
        <w:div w:id="850920018">
          <w:marLeft w:val="0"/>
          <w:marRight w:val="0"/>
          <w:marTop w:val="0"/>
          <w:marBottom w:val="0"/>
          <w:divBdr>
            <w:top w:val="none" w:sz="0" w:space="0" w:color="auto"/>
            <w:left w:val="none" w:sz="0" w:space="0" w:color="auto"/>
            <w:bottom w:val="none" w:sz="0" w:space="0" w:color="auto"/>
            <w:right w:val="none" w:sz="0" w:space="0" w:color="auto"/>
          </w:divBdr>
        </w:div>
      </w:divsChild>
    </w:div>
    <w:div w:id="361397204">
      <w:bodyDiv w:val="1"/>
      <w:marLeft w:val="0"/>
      <w:marRight w:val="0"/>
      <w:marTop w:val="0"/>
      <w:marBottom w:val="0"/>
      <w:divBdr>
        <w:top w:val="none" w:sz="0" w:space="0" w:color="auto"/>
        <w:left w:val="none" w:sz="0" w:space="0" w:color="auto"/>
        <w:bottom w:val="none" w:sz="0" w:space="0" w:color="auto"/>
        <w:right w:val="none" w:sz="0" w:space="0" w:color="auto"/>
      </w:divBdr>
    </w:div>
    <w:div w:id="440151366">
      <w:bodyDiv w:val="1"/>
      <w:marLeft w:val="0"/>
      <w:marRight w:val="0"/>
      <w:marTop w:val="0"/>
      <w:marBottom w:val="0"/>
      <w:divBdr>
        <w:top w:val="none" w:sz="0" w:space="0" w:color="auto"/>
        <w:left w:val="none" w:sz="0" w:space="0" w:color="auto"/>
        <w:bottom w:val="none" w:sz="0" w:space="0" w:color="auto"/>
        <w:right w:val="none" w:sz="0" w:space="0" w:color="auto"/>
      </w:divBdr>
      <w:divsChild>
        <w:div w:id="1950355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349296">
          <w:blockQuote w:val="1"/>
          <w:marLeft w:val="720"/>
          <w:marRight w:val="720"/>
          <w:marTop w:val="100"/>
          <w:marBottom w:val="100"/>
          <w:divBdr>
            <w:top w:val="none" w:sz="0" w:space="0" w:color="auto"/>
            <w:left w:val="none" w:sz="0" w:space="0" w:color="auto"/>
            <w:bottom w:val="none" w:sz="0" w:space="0" w:color="auto"/>
            <w:right w:val="none" w:sz="0" w:space="0" w:color="auto"/>
          </w:divBdr>
        </w:div>
        <w:div w:id="1493571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17165138">
          <w:blockQuote w:val="1"/>
          <w:marLeft w:val="720"/>
          <w:marRight w:val="720"/>
          <w:marTop w:val="100"/>
          <w:marBottom w:val="100"/>
          <w:divBdr>
            <w:top w:val="none" w:sz="0" w:space="0" w:color="auto"/>
            <w:left w:val="none" w:sz="0" w:space="0" w:color="auto"/>
            <w:bottom w:val="none" w:sz="0" w:space="0" w:color="auto"/>
            <w:right w:val="none" w:sz="0" w:space="0" w:color="auto"/>
          </w:divBdr>
        </w:div>
        <w:div w:id="509562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043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76269">
          <w:blockQuote w:val="1"/>
          <w:marLeft w:val="720"/>
          <w:marRight w:val="720"/>
          <w:marTop w:val="100"/>
          <w:marBottom w:val="100"/>
          <w:divBdr>
            <w:top w:val="none" w:sz="0" w:space="0" w:color="auto"/>
            <w:left w:val="none" w:sz="0" w:space="0" w:color="auto"/>
            <w:bottom w:val="none" w:sz="0" w:space="0" w:color="auto"/>
            <w:right w:val="none" w:sz="0" w:space="0" w:color="auto"/>
          </w:divBdr>
        </w:div>
        <w:div w:id="71384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56196">
          <w:blockQuote w:val="1"/>
          <w:marLeft w:val="720"/>
          <w:marRight w:val="720"/>
          <w:marTop w:val="100"/>
          <w:marBottom w:val="100"/>
          <w:divBdr>
            <w:top w:val="none" w:sz="0" w:space="0" w:color="auto"/>
            <w:left w:val="none" w:sz="0" w:space="0" w:color="auto"/>
            <w:bottom w:val="none" w:sz="0" w:space="0" w:color="auto"/>
            <w:right w:val="none" w:sz="0" w:space="0" w:color="auto"/>
          </w:divBdr>
        </w:div>
        <w:div w:id="49198828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873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2892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7095443">
      <w:bodyDiv w:val="1"/>
      <w:marLeft w:val="0"/>
      <w:marRight w:val="0"/>
      <w:marTop w:val="0"/>
      <w:marBottom w:val="0"/>
      <w:divBdr>
        <w:top w:val="none" w:sz="0" w:space="0" w:color="auto"/>
        <w:left w:val="none" w:sz="0" w:space="0" w:color="auto"/>
        <w:bottom w:val="none" w:sz="0" w:space="0" w:color="auto"/>
        <w:right w:val="none" w:sz="0" w:space="0" w:color="auto"/>
      </w:divBdr>
    </w:div>
    <w:div w:id="637033384">
      <w:bodyDiv w:val="1"/>
      <w:marLeft w:val="0"/>
      <w:marRight w:val="0"/>
      <w:marTop w:val="0"/>
      <w:marBottom w:val="0"/>
      <w:divBdr>
        <w:top w:val="none" w:sz="0" w:space="0" w:color="auto"/>
        <w:left w:val="none" w:sz="0" w:space="0" w:color="auto"/>
        <w:bottom w:val="none" w:sz="0" w:space="0" w:color="auto"/>
        <w:right w:val="none" w:sz="0" w:space="0" w:color="auto"/>
      </w:divBdr>
      <w:divsChild>
        <w:div w:id="1492135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162336">
          <w:blockQuote w:val="1"/>
          <w:marLeft w:val="720"/>
          <w:marRight w:val="720"/>
          <w:marTop w:val="100"/>
          <w:marBottom w:val="100"/>
          <w:divBdr>
            <w:top w:val="none" w:sz="0" w:space="0" w:color="auto"/>
            <w:left w:val="none" w:sz="0" w:space="0" w:color="auto"/>
            <w:bottom w:val="none" w:sz="0" w:space="0" w:color="auto"/>
            <w:right w:val="none" w:sz="0" w:space="0" w:color="auto"/>
          </w:divBdr>
        </w:div>
        <w:div w:id="429206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13307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116926">
          <w:blockQuote w:val="1"/>
          <w:marLeft w:val="720"/>
          <w:marRight w:val="720"/>
          <w:marTop w:val="100"/>
          <w:marBottom w:val="100"/>
          <w:divBdr>
            <w:top w:val="none" w:sz="0" w:space="0" w:color="auto"/>
            <w:left w:val="none" w:sz="0" w:space="0" w:color="auto"/>
            <w:bottom w:val="none" w:sz="0" w:space="0" w:color="auto"/>
            <w:right w:val="none" w:sz="0" w:space="0" w:color="auto"/>
          </w:divBdr>
        </w:div>
        <w:div w:id="80087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541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38003720">
          <w:blockQuote w:val="1"/>
          <w:marLeft w:val="720"/>
          <w:marRight w:val="720"/>
          <w:marTop w:val="100"/>
          <w:marBottom w:val="100"/>
          <w:divBdr>
            <w:top w:val="none" w:sz="0" w:space="0" w:color="auto"/>
            <w:left w:val="none" w:sz="0" w:space="0" w:color="auto"/>
            <w:bottom w:val="none" w:sz="0" w:space="0" w:color="auto"/>
            <w:right w:val="none" w:sz="0" w:space="0" w:color="auto"/>
          </w:divBdr>
        </w:div>
        <w:div w:id="488837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3881366">
      <w:bodyDiv w:val="1"/>
      <w:marLeft w:val="0"/>
      <w:marRight w:val="0"/>
      <w:marTop w:val="0"/>
      <w:marBottom w:val="0"/>
      <w:divBdr>
        <w:top w:val="none" w:sz="0" w:space="0" w:color="auto"/>
        <w:left w:val="none" w:sz="0" w:space="0" w:color="auto"/>
        <w:bottom w:val="none" w:sz="0" w:space="0" w:color="auto"/>
        <w:right w:val="none" w:sz="0" w:space="0" w:color="auto"/>
      </w:divBdr>
      <w:divsChild>
        <w:div w:id="1762683399">
          <w:marLeft w:val="0"/>
          <w:marRight w:val="0"/>
          <w:marTop w:val="0"/>
          <w:marBottom w:val="0"/>
          <w:divBdr>
            <w:top w:val="none" w:sz="0" w:space="0" w:color="auto"/>
            <w:left w:val="none" w:sz="0" w:space="0" w:color="auto"/>
            <w:bottom w:val="none" w:sz="0" w:space="0" w:color="auto"/>
            <w:right w:val="none" w:sz="0" w:space="0" w:color="auto"/>
          </w:divBdr>
        </w:div>
      </w:divsChild>
    </w:div>
    <w:div w:id="1121149600">
      <w:bodyDiv w:val="1"/>
      <w:marLeft w:val="0"/>
      <w:marRight w:val="0"/>
      <w:marTop w:val="0"/>
      <w:marBottom w:val="0"/>
      <w:divBdr>
        <w:top w:val="none" w:sz="0" w:space="0" w:color="auto"/>
        <w:left w:val="none" w:sz="0" w:space="0" w:color="auto"/>
        <w:bottom w:val="none" w:sz="0" w:space="0" w:color="auto"/>
        <w:right w:val="none" w:sz="0" w:space="0" w:color="auto"/>
      </w:divBdr>
    </w:div>
    <w:div w:id="1196426877">
      <w:bodyDiv w:val="1"/>
      <w:marLeft w:val="0"/>
      <w:marRight w:val="0"/>
      <w:marTop w:val="0"/>
      <w:marBottom w:val="0"/>
      <w:divBdr>
        <w:top w:val="none" w:sz="0" w:space="0" w:color="auto"/>
        <w:left w:val="none" w:sz="0" w:space="0" w:color="auto"/>
        <w:bottom w:val="none" w:sz="0" w:space="0" w:color="auto"/>
        <w:right w:val="none" w:sz="0" w:space="0" w:color="auto"/>
      </w:divBdr>
    </w:div>
    <w:div w:id="1324553727">
      <w:bodyDiv w:val="1"/>
      <w:marLeft w:val="0"/>
      <w:marRight w:val="0"/>
      <w:marTop w:val="0"/>
      <w:marBottom w:val="0"/>
      <w:divBdr>
        <w:top w:val="none" w:sz="0" w:space="0" w:color="auto"/>
        <w:left w:val="none" w:sz="0" w:space="0" w:color="auto"/>
        <w:bottom w:val="none" w:sz="0" w:space="0" w:color="auto"/>
        <w:right w:val="none" w:sz="0" w:space="0" w:color="auto"/>
      </w:divBdr>
      <w:divsChild>
        <w:div w:id="1484277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A2D7A-E4E1-1B49-9D16-CEF075AF2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1455</Words>
  <Characters>7873</Characters>
  <Application>Microsoft Office Word</Application>
  <DocSecurity>0</DocSecurity>
  <Lines>119</Lines>
  <Paragraphs>32</Paragraphs>
  <ScaleCrop>false</ScaleCrop>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 (2321358)</dc:creator>
  <cp:keywords/>
  <dc:description/>
  <cp:lastModifiedBy>Kate Love (2321358)</cp:lastModifiedBy>
  <cp:revision>1</cp:revision>
  <dcterms:created xsi:type="dcterms:W3CDTF">2025-03-15T19:53:00Z</dcterms:created>
  <dcterms:modified xsi:type="dcterms:W3CDTF">2025-03-15T23:29:00Z</dcterms:modified>
</cp:coreProperties>
</file>