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CBD948" w14:textId="64C5F3EF" w:rsidR="00724F2D" w:rsidRDefault="004667CB">
      <w:r>
        <w:rPr>
          <w:noProof/>
        </w:rPr>
        <w:drawing>
          <wp:inline distT="0" distB="0" distL="0" distR="0" wp14:anchorId="2E95DF6B" wp14:editId="692C5501">
            <wp:extent cx="1701165" cy="939165"/>
            <wp:effectExtent l="0" t="0" r="0" b="0"/>
            <wp:docPr id="1117063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01165" cy="939165"/>
                    </a:xfrm>
                    <a:prstGeom prst="rect">
                      <a:avLst/>
                    </a:prstGeom>
                    <a:noFill/>
                  </pic:spPr>
                </pic:pic>
              </a:graphicData>
            </a:graphic>
          </wp:inline>
        </w:drawing>
      </w:r>
    </w:p>
    <w:p w14:paraId="525B7732" w14:textId="77777777" w:rsidR="00724F2D" w:rsidRDefault="00724F2D"/>
    <w:p w14:paraId="19F8A36A" w14:textId="77777777" w:rsidR="00724F2D" w:rsidRDefault="00724F2D"/>
    <w:p w14:paraId="72A1E2B6" w14:textId="77777777" w:rsidR="00724F2D" w:rsidRDefault="00724F2D"/>
    <w:p w14:paraId="47834BB7" w14:textId="77777777" w:rsidR="00724F2D" w:rsidRDefault="00000000">
      <w:pPr>
        <w:jc w:val="center"/>
      </w:pPr>
      <w:r>
        <w:rPr>
          <w:b/>
          <w:sz w:val="40"/>
        </w:rPr>
        <w:t>Artificial Intelligence, Consumer Trust and Risk Management at Tesco</w:t>
      </w:r>
    </w:p>
    <w:p w14:paraId="12FC7F07" w14:textId="77777777" w:rsidR="00724F2D" w:rsidRPr="004667CB" w:rsidRDefault="00000000">
      <w:pPr>
        <w:jc w:val="center"/>
        <w:rPr>
          <w:iCs/>
        </w:rPr>
      </w:pPr>
      <w:r w:rsidRPr="004667CB">
        <w:rPr>
          <w:iCs/>
          <w:sz w:val="28"/>
        </w:rPr>
        <w:t>A Comparative Assessment of the United Kingdom and the Republic of Ireland</w:t>
      </w:r>
    </w:p>
    <w:p w14:paraId="7BA1F752" w14:textId="77777777" w:rsidR="00724F2D" w:rsidRDefault="00724F2D"/>
    <w:p w14:paraId="5E4501CE" w14:textId="2F7F3A46" w:rsidR="004667CB" w:rsidRPr="004667CB" w:rsidRDefault="004667CB" w:rsidP="004667CB">
      <w:pPr>
        <w:jc w:val="center"/>
        <w:rPr>
          <w:rFonts w:cs="Times New Roman"/>
          <w:b/>
          <w:bCs/>
          <w:sz w:val="32"/>
          <w:szCs w:val="32"/>
        </w:rPr>
      </w:pPr>
      <w:r w:rsidRPr="004667CB">
        <w:rPr>
          <w:rFonts w:cs="Times New Roman"/>
          <w:b/>
          <w:bCs/>
          <w:sz w:val="32"/>
          <w:szCs w:val="32"/>
        </w:rPr>
        <w:t xml:space="preserve">Name: </w:t>
      </w:r>
      <w:proofErr w:type="spellStart"/>
      <w:r w:rsidRPr="004667CB">
        <w:rPr>
          <w:rFonts w:cs="Times New Roman"/>
          <w:b/>
          <w:bCs/>
          <w:sz w:val="32"/>
          <w:szCs w:val="32"/>
        </w:rPr>
        <w:t>Ronok</w:t>
      </w:r>
      <w:proofErr w:type="spellEnd"/>
      <w:r w:rsidRPr="004667CB">
        <w:rPr>
          <w:rFonts w:cs="Times New Roman"/>
          <w:b/>
          <w:bCs/>
          <w:sz w:val="32"/>
          <w:szCs w:val="32"/>
        </w:rPr>
        <w:t xml:space="preserve"> Ahmed Shihab</w:t>
      </w:r>
    </w:p>
    <w:p w14:paraId="0F9A0572" w14:textId="18632B42" w:rsidR="00724F2D" w:rsidRPr="004667CB" w:rsidRDefault="004667CB" w:rsidP="004667CB">
      <w:pPr>
        <w:jc w:val="center"/>
        <w:rPr>
          <w:rFonts w:cs="Times New Roman"/>
          <w:b/>
          <w:bCs/>
          <w:sz w:val="32"/>
          <w:szCs w:val="32"/>
        </w:rPr>
      </w:pPr>
      <w:r w:rsidRPr="004667CB">
        <w:rPr>
          <w:rFonts w:cs="Times New Roman"/>
          <w:b/>
          <w:bCs/>
          <w:sz w:val="32"/>
          <w:szCs w:val="32"/>
        </w:rPr>
        <w:t>ID: 2506432</w:t>
      </w:r>
    </w:p>
    <w:p w14:paraId="22CF953F" w14:textId="77777777" w:rsidR="00724F2D" w:rsidRDefault="00724F2D"/>
    <w:p w14:paraId="109D5985" w14:textId="77777777" w:rsidR="00724F2D" w:rsidRDefault="00000000">
      <w:pPr>
        <w:jc w:val="center"/>
      </w:pPr>
      <w:r>
        <w:t>Module: Global Business Challenges (BMMB7006)</w:t>
      </w:r>
    </w:p>
    <w:p w14:paraId="6EE5F07B" w14:textId="77777777" w:rsidR="00724F2D" w:rsidRDefault="00000000">
      <w:pPr>
        <w:jc w:val="center"/>
      </w:pPr>
      <w:r>
        <w:t>University of Wales Trinity Saint David</w:t>
      </w:r>
    </w:p>
    <w:p w14:paraId="0647851D" w14:textId="77777777" w:rsidR="00724F2D" w:rsidRDefault="00000000">
      <w:r>
        <w:br w:type="page"/>
      </w:r>
    </w:p>
    <w:p w14:paraId="00CA68B4" w14:textId="77777777" w:rsidR="00724F2D" w:rsidRDefault="00000000">
      <w:pPr>
        <w:pStyle w:val="Heading1"/>
      </w:pPr>
      <w:bookmarkStart w:id="0" w:name="_Toc235760482"/>
      <w:bookmarkStart w:id="1" w:name="_Toc235760976"/>
      <w:r>
        <w:lastRenderedPageBreak/>
        <w:t>Executive Summary</w:t>
      </w:r>
      <w:bookmarkEnd w:id="0"/>
      <w:bookmarkEnd w:id="1"/>
    </w:p>
    <w:p w14:paraId="3C88EE62" w14:textId="3FD3E712" w:rsidR="009244F5" w:rsidRDefault="009244F5">
      <w:pPr>
        <w:jc w:val="both"/>
      </w:pPr>
      <w:r w:rsidRPr="009244F5">
        <w:t xml:space="preserve">The report suggests Tesco's growing adoption of artificial intelligence for customer-facing </w:t>
      </w:r>
      <w:proofErr w:type="spellStart"/>
      <w:r w:rsidRPr="009244F5">
        <w:t>personalisation</w:t>
      </w:r>
      <w:proofErr w:type="spellEnd"/>
      <w:r w:rsidRPr="009244F5">
        <w:t xml:space="preserve"> could pose a risk or opportunity, depending on the country, in the United Kingdom and in the Republic of Ireland, its two biggest home markets. The analysis is based on three complementary frameworks, each of which answers a different question: PESTLE captures the regulatory landscape that influences Tesco's AI strategy; Five Forces provides an explanation for why AI is now a competitive need; and the Diamond provides an explanation of why the UK and Ireland is different in terms of AI capability. According to Porter's Five Forces framework, the grocery retail market in the United Kingdom and Ireland is highly competitive, suggesting that AI adoption is no longer a differentiator but rather a standard expectation (Rahman, 2023; Pangarkar and </w:t>
      </w:r>
      <w:proofErr w:type="spellStart"/>
      <w:r w:rsidRPr="009244F5">
        <w:t>Prabhudesai</w:t>
      </w:r>
      <w:proofErr w:type="spellEnd"/>
      <w:r w:rsidRPr="009244F5">
        <w:t xml:space="preserve">, 2024). Porter's Diamond model helps explain why Tesco's AI capability currently looks more advanced in the UK than in Ireland, reflecting differences in factor conditions and domestic demand between the two markets (Porter, 1990; Öz, 2002). PESTLE analysis then frames this competitive landscape in a broader regulatory context of the UK's Digital Markets, Competition and Consumers Act 2024 and the European Union's AI Act, which classifies all AI systems that profile natural persons as automatically high-risk, including Tesco's Clubcard </w:t>
      </w:r>
      <w:proofErr w:type="spellStart"/>
      <w:r w:rsidRPr="009244F5">
        <w:t>personalisation</w:t>
      </w:r>
      <w:proofErr w:type="spellEnd"/>
      <w:r w:rsidRPr="009244F5">
        <w:t xml:space="preserve"> engine (European Union, 2024; UK Government, 2024). The report concludes that there was a definite data advantage for Tesco with its Clubcard </w:t>
      </w:r>
      <w:proofErr w:type="spellStart"/>
      <w:r w:rsidRPr="009244F5">
        <w:t>programme</w:t>
      </w:r>
      <w:proofErr w:type="spellEnd"/>
      <w:r w:rsidRPr="009244F5">
        <w:t xml:space="preserve">, but this benefit hinges on its ability to retain consumer confidence and to manage the vastly different compliance requirements in the UK and Ireland. It concludes with a phased, costed implementation plan that covers data governance and algorithmic transparency and regulatory alignment across both markets, which is treated here as the mechanism by which the analysis in the report is translated into a defensible, board-level </w:t>
      </w:r>
      <w:proofErr w:type="spellStart"/>
      <w:r w:rsidRPr="009244F5">
        <w:t>programme</w:t>
      </w:r>
      <w:proofErr w:type="spellEnd"/>
      <w:r w:rsidRPr="009244F5">
        <w:t xml:space="preserve"> of work.</w:t>
      </w:r>
    </w:p>
    <w:p w14:paraId="60C3AD07" w14:textId="7ED3FB43" w:rsidR="004667CB" w:rsidRDefault="00000000" w:rsidP="004667CB">
      <w:r>
        <w:br w:type="page"/>
      </w:r>
    </w:p>
    <w:sdt>
      <w:sdtPr>
        <w:rPr>
          <w:rFonts w:ascii="Times New Roman" w:eastAsiaTheme="minorEastAsia" w:hAnsi="Times New Roman" w:cstheme="minorBidi"/>
          <w:b w:val="0"/>
          <w:bCs w:val="0"/>
          <w:color w:val="auto"/>
          <w:sz w:val="24"/>
          <w:szCs w:val="22"/>
        </w:rPr>
        <w:id w:val="1387450944"/>
        <w:docPartObj>
          <w:docPartGallery w:val="Table of Contents"/>
          <w:docPartUnique/>
        </w:docPartObj>
      </w:sdtPr>
      <w:sdtEndPr>
        <w:rPr>
          <w:noProof/>
        </w:rPr>
      </w:sdtEndPr>
      <w:sdtContent>
        <w:p w14:paraId="7921E255" w14:textId="3411C904" w:rsidR="00AA419E" w:rsidRDefault="00AA419E">
          <w:pPr>
            <w:pStyle w:val="TOCHeading"/>
          </w:pPr>
          <w:r>
            <w:t>Table of Contents</w:t>
          </w:r>
        </w:p>
        <w:p w14:paraId="23776793" w14:textId="1261DAC0" w:rsidR="00AA419E" w:rsidRDefault="00AA419E">
          <w:pPr>
            <w:pStyle w:val="TOC1"/>
            <w:tabs>
              <w:tab w:val="right" w:leader="dot" w:pos="8630"/>
            </w:tabs>
            <w:rPr>
              <w:rFonts w:asciiTheme="minorHAnsi" w:hAnsiTheme="minorHAnsi"/>
              <w:noProof/>
              <w:kern w:val="2"/>
              <w:szCs w:val="24"/>
              <w14:ligatures w14:val="standardContextual"/>
            </w:rPr>
          </w:pPr>
          <w:r>
            <w:fldChar w:fldCharType="begin"/>
          </w:r>
          <w:r>
            <w:instrText xml:space="preserve"> TOC \o "1-3" \h \z \u </w:instrText>
          </w:r>
          <w:r>
            <w:fldChar w:fldCharType="separate"/>
          </w:r>
          <w:hyperlink w:anchor="_Toc235760976" w:history="1">
            <w:r w:rsidRPr="0024180A">
              <w:rPr>
                <w:rStyle w:val="Hyperlink"/>
                <w:noProof/>
              </w:rPr>
              <w:t>Executive Summary</w:t>
            </w:r>
            <w:r>
              <w:rPr>
                <w:noProof/>
                <w:webHidden/>
              </w:rPr>
              <w:tab/>
            </w:r>
            <w:r>
              <w:rPr>
                <w:noProof/>
                <w:webHidden/>
              </w:rPr>
              <w:fldChar w:fldCharType="begin"/>
            </w:r>
            <w:r>
              <w:rPr>
                <w:noProof/>
                <w:webHidden/>
              </w:rPr>
              <w:instrText xml:space="preserve"> PAGEREF _Toc235760976 \h </w:instrText>
            </w:r>
            <w:r>
              <w:rPr>
                <w:noProof/>
                <w:webHidden/>
              </w:rPr>
            </w:r>
            <w:r>
              <w:rPr>
                <w:noProof/>
                <w:webHidden/>
              </w:rPr>
              <w:fldChar w:fldCharType="separate"/>
            </w:r>
            <w:r>
              <w:rPr>
                <w:noProof/>
                <w:webHidden/>
              </w:rPr>
              <w:t>2</w:t>
            </w:r>
            <w:r>
              <w:rPr>
                <w:noProof/>
                <w:webHidden/>
              </w:rPr>
              <w:fldChar w:fldCharType="end"/>
            </w:r>
          </w:hyperlink>
        </w:p>
        <w:p w14:paraId="36CD25CE" w14:textId="7560F08A" w:rsidR="00AA419E" w:rsidRDefault="00AA419E">
          <w:pPr>
            <w:pStyle w:val="TOC1"/>
            <w:tabs>
              <w:tab w:val="right" w:leader="dot" w:pos="8630"/>
            </w:tabs>
            <w:rPr>
              <w:rFonts w:asciiTheme="minorHAnsi" w:hAnsiTheme="minorHAnsi"/>
              <w:noProof/>
              <w:kern w:val="2"/>
              <w:szCs w:val="24"/>
              <w14:ligatures w14:val="standardContextual"/>
            </w:rPr>
          </w:pPr>
          <w:hyperlink w:anchor="_Toc235760977" w:history="1">
            <w:r w:rsidRPr="0024180A">
              <w:rPr>
                <w:rStyle w:val="Hyperlink"/>
                <w:noProof/>
              </w:rPr>
              <w:t>1. Introduction</w:t>
            </w:r>
            <w:r>
              <w:rPr>
                <w:noProof/>
                <w:webHidden/>
              </w:rPr>
              <w:tab/>
            </w:r>
            <w:r>
              <w:rPr>
                <w:noProof/>
                <w:webHidden/>
              </w:rPr>
              <w:fldChar w:fldCharType="begin"/>
            </w:r>
            <w:r>
              <w:rPr>
                <w:noProof/>
                <w:webHidden/>
              </w:rPr>
              <w:instrText xml:space="preserve"> PAGEREF _Toc235760977 \h </w:instrText>
            </w:r>
            <w:r>
              <w:rPr>
                <w:noProof/>
                <w:webHidden/>
              </w:rPr>
            </w:r>
            <w:r>
              <w:rPr>
                <w:noProof/>
                <w:webHidden/>
              </w:rPr>
              <w:fldChar w:fldCharType="separate"/>
            </w:r>
            <w:r>
              <w:rPr>
                <w:noProof/>
                <w:webHidden/>
              </w:rPr>
              <w:t>4</w:t>
            </w:r>
            <w:r>
              <w:rPr>
                <w:noProof/>
                <w:webHidden/>
              </w:rPr>
              <w:fldChar w:fldCharType="end"/>
            </w:r>
          </w:hyperlink>
        </w:p>
        <w:p w14:paraId="77301A89" w14:textId="3EBE8EDA" w:rsidR="00AA419E" w:rsidRDefault="00AA419E">
          <w:pPr>
            <w:pStyle w:val="TOC1"/>
            <w:tabs>
              <w:tab w:val="right" w:leader="dot" w:pos="8630"/>
            </w:tabs>
            <w:rPr>
              <w:rFonts w:asciiTheme="minorHAnsi" w:hAnsiTheme="minorHAnsi"/>
              <w:noProof/>
              <w:kern w:val="2"/>
              <w:szCs w:val="24"/>
              <w14:ligatures w14:val="standardContextual"/>
            </w:rPr>
          </w:pPr>
          <w:hyperlink w:anchor="_Toc235760978" w:history="1">
            <w:r w:rsidRPr="0024180A">
              <w:rPr>
                <w:rStyle w:val="Hyperlink"/>
                <w:noProof/>
              </w:rPr>
              <w:t>2. Main Findings</w:t>
            </w:r>
            <w:r>
              <w:rPr>
                <w:noProof/>
                <w:webHidden/>
              </w:rPr>
              <w:tab/>
            </w:r>
            <w:r>
              <w:rPr>
                <w:noProof/>
                <w:webHidden/>
              </w:rPr>
              <w:fldChar w:fldCharType="begin"/>
            </w:r>
            <w:r>
              <w:rPr>
                <w:noProof/>
                <w:webHidden/>
              </w:rPr>
              <w:instrText xml:space="preserve"> PAGEREF _Toc235760978 \h </w:instrText>
            </w:r>
            <w:r>
              <w:rPr>
                <w:noProof/>
                <w:webHidden/>
              </w:rPr>
            </w:r>
            <w:r>
              <w:rPr>
                <w:noProof/>
                <w:webHidden/>
              </w:rPr>
              <w:fldChar w:fldCharType="separate"/>
            </w:r>
            <w:r>
              <w:rPr>
                <w:noProof/>
                <w:webHidden/>
              </w:rPr>
              <w:t>5</w:t>
            </w:r>
            <w:r>
              <w:rPr>
                <w:noProof/>
                <w:webHidden/>
              </w:rPr>
              <w:fldChar w:fldCharType="end"/>
            </w:r>
          </w:hyperlink>
        </w:p>
        <w:p w14:paraId="0B76FDA6" w14:textId="1F8FA80A" w:rsidR="00AA419E" w:rsidRDefault="00AA419E">
          <w:pPr>
            <w:pStyle w:val="TOC2"/>
            <w:tabs>
              <w:tab w:val="right" w:leader="dot" w:pos="8630"/>
            </w:tabs>
            <w:rPr>
              <w:rFonts w:asciiTheme="minorHAnsi" w:hAnsiTheme="minorHAnsi"/>
              <w:noProof/>
              <w:kern w:val="2"/>
              <w:szCs w:val="24"/>
              <w14:ligatures w14:val="standardContextual"/>
            </w:rPr>
          </w:pPr>
          <w:hyperlink w:anchor="_Toc235760979" w:history="1">
            <w:r w:rsidRPr="0024180A">
              <w:rPr>
                <w:rStyle w:val="Hyperlink"/>
                <w:noProof/>
              </w:rPr>
              <w:t>2.1 Company and AI Context</w:t>
            </w:r>
            <w:r>
              <w:rPr>
                <w:noProof/>
                <w:webHidden/>
              </w:rPr>
              <w:tab/>
            </w:r>
            <w:r>
              <w:rPr>
                <w:noProof/>
                <w:webHidden/>
              </w:rPr>
              <w:fldChar w:fldCharType="begin"/>
            </w:r>
            <w:r>
              <w:rPr>
                <w:noProof/>
                <w:webHidden/>
              </w:rPr>
              <w:instrText xml:space="preserve"> PAGEREF _Toc235760979 \h </w:instrText>
            </w:r>
            <w:r>
              <w:rPr>
                <w:noProof/>
                <w:webHidden/>
              </w:rPr>
            </w:r>
            <w:r>
              <w:rPr>
                <w:noProof/>
                <w:webHidden/>
              </w:rPr>
              <w:fldChar w:fldCharType="separate"/>
            </w:r>
            <w:r>
              <w:rPr>
                <w:noProof/>
                <w:webHidden/>
              </w:rPr>
              <w:t>5</w:t>
            </w:r>
            <w:r>
              <w:rPr>
                <w:noProof/>
                <w:webHidden/>
              </w:rPr>
              <w:fldChar w:fldCharType="end"/>
            </w:r>
          </w:hyperlink>
        </w:p>
        <w:p w14:paraId="6EED70CA" w14:textId="3DA0A4AD" w:rsidR="00AA419E" w:rsidRDefault="00AA419E">
          <w:pPr>
            <w:pStyle w:val="TOC2"/>
            <w:tabs>
              <w:tab w:val="right" w:leader="dot" w:pos="8630"/>
            </w:tabs>
            <w:rPr>
              <w:rFonts w:asciiTheme="minorHAnsi" w:hAnsiTheme="minorHAnsi"/>
              <w:noProof/>
              <w:kern w:val="2"/>
              <w:szCs w:val="24"/>
              <w14:ligatures w14:val="standardContextual"/>
            </w:rPr>
          </w:pPr>
          <w:hyperlink w:anchor="_Toc235760980" w:history="1">
            <w:r w:rsidRPr="0024180A">
              <w:rPr>
                <w:rStyle w:val="Hyperlink"/>
                <w:noProof/>
              </w:rPr>
              <w:t>2.2 Porter's 5 Forces: Competitive analysis in AI-backed Grocery Retail</w:t>
            </w:r>
            <w:r>
              <w:rPr>
                <w:noProof/>
                <w:webHidden/>
              </w:rPr>
              <w:tab/>
            </w:r>
            <w:r>
              <w:rPr>
                <w:noProof/>
                <w:webHidden/>
              </w:rPr>
              <w:fldChar w:fldCharType="begin"/>
            </w:r>
            <w:r>
              <w:rPr>
                <w:noProof/>
                <w:webHidden/>
              </w:rPr>
              <w:instrText xml:space="preserve"> PAGEREF _Toc235760980 \h </w:instrText>
            </w:r>
            <w:r>
              <w:rPr>
                <w:noProof/>
                <w:webHidden/>
              </w:rPr>
            </w:r>
            <w:r>
              <w:rPr>
                <w:noProof/>
                <w:webHidden/>
              </w:rPr>
              <w:fldChar w:fldCharType="separate"/>
            </w:r>
            <w:r>
              <w:rPr>
                <w:noProof/>
                <w:webHidden/>
              </w:rPr>
              <w:t>6</w:t>
            </w:r>
            <w:r>
              <w:rPr>
                <w:noProof/>
                <w:webHidden/>
              </w:rPr>
              <w:fldChar w:fldCharType="end"/>
            </w:r>
          </w:hyperlink>
        </w:p>
        <w:p w14:paraId="260CEB06" w14:textId="0FC21B8A" w:rsidR="00AA419E" w:rsidRDefault="00AA419E">
          <w:pPr>
            <w:pStyle w:val="TOC2"/>
            <w:tabs>
              <w:tab w:val="right" w:leader="dot" w:pos="8630"/>
            </w:tabs>
            <w:rPr>
              <w:rFonts w:asciiTheme="minorHAnsi" w:hAnsiTheme="minorHAnsi"/>
              <w:noProof/>
              <w:kern w:val="2"/>
              <w:szCs w:val="24"/>
              <w14:ligatures w14:val="standardContextual"/>
            </w:rPr>
          </w:pPr>
          <w:hyperlink w:anchor="_Toc235760981" w:history="1">
            <w:r w:rsidRPr="0024180A">
              <w:rPr>
                <w:rStyle w:val="Hyperlink"/>
                <w:noProof/>
              </w:rPr>
              <w:t>2.3 Porter's Diamond: National Competitive Advantage in AI-Enabled Retail</w:t>
            </w:r>
            <w:r>
              <w:rPr>
                <w:noProof/>
                <w:webHidden/>
              </w:rPr>
              <w:tab/>
            </w:r>
            <w:r>
              <w:rPr>
                <w:noProof/>
                <w:webHidden/>
              </w:rPr>
              <w:fldChar w:fldCharType="begin"/>
            </w:r>
            <w:r>
              <w:rPr>
                <w:noProof/>
                <w:webHidden/>
              </w:rPr>
              <w:instrText xml:space="preserve"> PAGEREF _Toc235760981 \h </w:instrText>
            </w:r>
            <w:r>
              <w:rPr>
                <w:noProof/>
                <w:webHidden/>
              </w:rPr>
            </w:r>
            <w:r>
              <w:rPr>
                <w:noProof/>
                <w:webHidden/>
              </w:rPr>
              <w:fldChar w:fldCharType="separate"/>
            </w:r>
            <w:r>
              <w:rPr>
                <w:noProof/>
                <w:webHidden/>
              </w:rPr>
              <w:t>8</w:t>
            </w:r>
            <w:r>
              <w:rPr>
                <w:noProof/>
                <w:webHidden/>
              </w:rPr>
              <w:fldChar w:fldCharType="end"/>
            </w:r>
          </w:hyperlink>
        </w:p>
        <w:p w14:paraId="58A0FF8C" w14:textId="3C348B87" w:rsidR="00AA419E" w:rsidRDefault="00AA419E">
          <w:pPr>
            <w:pStyle w:val="TOC2"/>
            <w:tabs>
              <w:tab w:val="right" w:leader="dot" w:pos="8630"/>
            </w:tabs>
            <w:rPr>
              <w:rFonts w:asciiTheme="minorHAnsi" w:hAnsiTheme="minorHAnsi"/>
              <w:noProof/>
              <w:kern w:val="2"/>
              <w:szCs w:val="24"/>
              <w14:ligatures w14:val="standardContextual"/>
            </w:rPr>
          </w:pPr>
          <w:hyperlink w:anchor="_Toc235760982" w:history="1">
            <w:r w:rsidRPr="0024180A">
              <w:rPr>
                <w:rStyle w:val="Hyperlink"/>
                <w:noProof/>
              </w:rPr>
              <w:t>2.4 PESTLE Analysis: United Kingdom and Republic of Ireland Comparative Assessment</w:t>
            </w:r>
            <w:r>
              <w:rPr>
                <w:noProof/>
                <w:webHidden/>
              </w:rPr>
              <w:tab/>
            </w:r>
            <w:r>
              <w:rPr>
                <w:noProof/>
                <w:webHidden/>
              </w:rPr>
              <w:fldChar w:fldCharType="begin"/>
            </w:r>
            <w:r>
              <w:rPr>
                <w:noProof/>
                <w:webHidden/>
              </w:rPr>
              <w:instrText xml:space="preserve"> PAGEREF _Toc235760982 \h </w:instrText>
            </w:r>
            <w:r>
              <w:rPr>
                <w:noProof/>
                <w:webHidden/>
              </w:rPr>
            </w:r>
            <w:r>
              <w:rPr>
                <w:noProof/>
                <w:webHidden/>
              </w:rPr>
              <w:fldChar w:fldCharType="separate"/>
            </w:r>
            <w:r>
              <w:rPr>
                <w:noProof/>
                <w:webHidden/>
              </w:rPr>
              <w:t>10</w:t>
            </w:r>
            <w:r>
              <w:rPr>
                <w:noProof/>
                <w:webHidden/>
              </w:rPr>
              <w:fldChar w:fldCharType="end"/>
            </w:r>
          </w:hyperlink>
        </w:p>
        <w:p w14:paraId="33788ACE" w14:textId="21D4D041" w:rsidR="00AA419E" w:rsidRDefault="00AA419E">
          <w:pPr>
            <w:pStyle w:val="TOC2"/>
            <w:tabs>
              <w:tab w:val="right" w:leader="dot" w:pos="8630"/>
            </w:tabs>
            <w:rPr>
              <w:rFonts w:asciiTheme="minorHAnsi" w:hAnsiTheme="minorHAnsi"/>
              <w:noProof/>
              <w:kern w:val="2"/>
              <w:szCs w:val="24"/>
              <w14:ligatures w14:val="standardContextual"/>
            </w:rPr>
          </w:pPr>
          <w:hyperlink w:anchor="_Toc235760983" w:history="1">
            <w:r w:rsidRPr="0024180A">
              <w:rPr>
                <w:rStyle w:val="Hyperlink"/>
                <w:noProof/>
              </w:rPr>
              <w:t>2.5 The impact of AI on Data Governance and Regulatory Compliance</w:t>
            </w:r>
            <w:r>
              <w:rPr>
                <w:noProof/>
                <w:webHidden/>
              </w:rPr>
              <w:tab/>
            </w:r>
            <w:r>
              <w:rPr>
                <w:noProof/>
                <w:webHidden/>
              </w:rPr>
              <w:fldChar w:fldCharType="begin"/>
            </w:r>
            <w:r>
              <w:rPr>
                <w:noProof/>
                <w:webHidden/>
              </w:rPr>
              <w:instrText xml:space="preserve"> PAGEREF _Toc235760983 \h </w:instrText>
            </w:r>
            <w:r>
              <w:rPr>
                <w:noProof/>
                <w:webHidden/>
              </w:rPr>
            </w:r>
            <w:r>
              <w:rPr>
                <w:noProof/>
                <w:webHidden/>
              </w:rPr>
              <w:fldChar w:fldCharType="separate"/>
            </w:r>
            <w:r>
              <w:rPr>
                <w:noProof/>
                <w:webHidden/>
              </w:rPr>
              <w:t>13</w:t>
            </w:r>
            <w:r>
              <w:rPr>
                <w:noProof/>
                <w:webHidden/>
              </w:rPr>
              <w:fldChar w:fldCharType="end"/>
            </w:r>
          </w:hyperlink>
        </w:p>
        <w:p w14:paraId="3271DEB9" w14:textId="2581F712" w:rsidR="00AA419E" w:rsidRDefault="00AA419E">
          <w:pPr>
            <w:pStyle w:val="TOC2"/>
            <w:tabs>
              <w:tab w:val="right" w:leader="dot" w:pos="8630"/>
            </w:tabs>
            <w:rPr>
              <w:rFonts w:asciiTheme="minorHAnsi" w:hAnsiTheme="minorHAnsi"/>
              <w:noProof/>
              <w:kern w:val="2"/>
              <w:szCs w:val="24"/>
              <w14:ligatures w14:val="standardContextual"/>
            </w:rPr>
          </w:pPr>
          <w:hyperlink w:anchor="_Toc235760984" w:history="1">
            <w:r w:rsidRPr="0024180A">
              <w:rPr>
                <w:rStyle w:val="Hyperlink"/>
                <w:noProof/>
              </w:rPr>
              <w:t>2.6 Ethical AI, Personalisation and Consumer Trust</w:t>
            </w:r>
            <w:r>
              <w:rPr>
                <w:noProof/>
                <w:webHidden/>
              </w:rPr>
              <w:tab/>
            </w:r>
            <w:r>
              <w:rPr>
                <w:noProof/>
                <w:webHidden/>
              </w:rPr>
              <w:fldChar w:fldCharType="begin"/>
            </w:r>
            <w:r>
              <w:rPr>
                <w:noProof/>
                <w:webHidden/>
              </w:rPr>
              <w:instrText xml:space="preserve"> PAGEREF _Toc235760984 \h </w:instrText>
            </w:r>
            <w:r>
              <w:rPr>
                <w:noProof/>
                <w:webHidden/>
              </w:rPr>
            </w:r>
            <w:r>
              <w:rPr>
                <w:noProof/>
                <w:webHidden/>
              </w:rPr>
              <w:fldChar w:fldCharType="separate"/>
            </w:r>
            <w:r>
              <w:rPr>
                <w:noProof/>
                <w:webHidden/>
              </w:rPr>
              <w:t>15</w:t>
            </w:r>
            <w:r>
              <w:rPr>
                <w:noProof/>
                <w:webHidden/>
              </w:rPr>
              <w:fldChar w:fldCharType="end"/>
            </w:r>
          </w:hyperlink>
        </w:p>
        <w:p w14:paraId="557A2989" w14:textId="6C513888" w:rsidR="00AA419E" w:rsidRDefault="00AA419E">
          <w:pPr>
            <w:pStyle w:val="TOC2"/>
            <w:tabs>
              <w:tab w:val="right" w:leader="dot" w:pos="8630"/>
            </w:tabs>
            <w:rPr>
              <w:rFonts w:asciiTheme="minorHAnsi" w:hAnsiTheme="minorHAnsi"/>
              <w:noProof/>
              <w:kern w:val="2"/>
              <w:szCs w:val="24"/>
              <w14:ligatures w14:val="standardContextual"/>
            </w:rPr>
          </w:pPr>
          <w:hyperlink w:anchor="_Toc235760985" w:history="1">
            <w:r w:rsidRPr="0024180A">
              <w:rPr>
                <w:rStyle w:val="Hyperlink"/>
                <w:noProof/>
              </w:rPr>
              <w:t>2.7 Critical Evaluation of the Frameworks Used</w:t>
            </w:r>
            <w:r>
              <w:rPr>
                <w:noProof/>
                <w:webHidden/>
              </w:rPr>
              <w:tab/>
            </w:r>
            <w:r>
              <w:rPr>
                <w:noProof/>
                <w:webHidden/>
              </w:rPr>
              <w:fldChar w:fldCharType="begin"/>
            </w:r>
            <w:r>
              <w:rPr>
                <w:noProof/>
                <w:webHidden/>
              </w:rPr>
              <w:instrText xml:space="preserve"> PAGEREF _Toc235760985 \h </w:instrText>
            </w:r>
            <w:r>
              <w:rPr>
                <w:noProof/>
                <w:webHidden/>
              </w:rPr>
            </w:r>
            <w:r>
              <w:rPr>
                <w:noProof/>
                <w:webHidden/>
              </w:rPr>
              <w:fldChar w:fldCharType="separate"/>
            </w:r>
            <w:r>
              <w:rPr>
                <w:noProof/>
                <w:webHidden/>
              </w:rPr>
              <w:t>16</w:t>
            </w:r>
            <w:r>
              <w:rPr>
                <w:noProof/>
                <w:webHidden/>
              </w:rPr>
              <w:fldChar w:fldCharType="end"/>
            </w:r>
          </w:hyperlink>
        </w:p>
        <w:p w14:paraId="4A984DCD" w14:textId="31A84B5F" w:rsidR="00AA419E" w:rsidRDefault="00AA419E">
          <w:pPr>
            <w:pStyle w:val="TOC1"/>
            <w:tabs>
              <w:tab w:val="right" w:leader="dot" w:pos="8630"/>
            </w:tabs>
            <w:rPr>
              <w:rFonts w:asciiTheme="minorHAnsi" w:hAnsiTheme="minorHAnsi"/>
              <w:noProof/>
              <w:kern w:val="2"/>
              <w:szCs w:val="24"/>
              <w14:ligatures w14:val="standardContextual"/>
            </w:rPr>
          </w:pPr>
          <w:hyperlink w:anchor="_Toc235760986" w:history="1">
            <w:r w:rsidRPr="0024180A">
              <w:rPr>
                <w:rStyle w:val="Hyperlink"/>
                <w:noProof/>
              </w:rPr>
              <w:t>3. Implementation Plan</w:t>
            </w:r>
            <w:r>
              <w:rPr>
                <w:noProof/>
                <w:webHidden/>
              </w:rPr>
              <w:tab/>
            </w:r>
            <w:r>
              <w:rPr>
                <w:noProof/>
                <w:webHidden/>
              </w:rPr>
              <w:fldChar w:fldCharType="begin"/>
            </w:r>
            <w:r>
              <w:rPr>
                <w:noProof/>
                <w:webHidden/>
              </w:rPr>
              <w:instrText xml:space="preserve"> PAGEREF _Toc235760986 \h </w:instrText>
            </w:r>
            <w:r>
              <w:rPr>
                <w:noProof/>
                <w:webHidden/>
              </w:rPr>
            </w:r>
            <w:r>
              <w:rPr>
                <w:noProof/>
                <w:webHidden/>
              </w:rPr>
              <w:fldChar w:fldCharType="separate"/>
            </w:r>
            <w:r>
              <w:rPr>
                <w:noProof/>
                <w:webHidden/>
              </w:rPr>
              <w:t>18</w:t>
            </w:r>
            <w:r>
              <w:rPr>
                <w:noProof/>
                <w:webHidden/>
              </w:rPr>
              <w:fldChar w:fldCharType="end"/>
            </w:r>
          </w:hyperlink>
        </w:p>
        <w:p w14:paraId="4FED93EE" w14:textId="2AE8242C" w:rsidR="00AA419E" w:rsidRDefault="00AA419E">
          <w:pPr>
            <w:pStyle w:val="TOC1"/>
            <w:tabs>
              <w:tab w:val="right" w:leader="dot" w:pos="8630"/>
            </w:tabs>
            <w:rPr>
              <w:rFonts w:asciiTheme="minorHAnsi" w:hAnsiTheme="minorHAnsi"/>
              <w:noProof/>
              <w:kern w:val="2"/>
              <w:szCs w:val="24"/>
              <w14:ligatures w14:val="standardContextual"/>
            </w:rPr>
          </w:pPr>
          <w:hyperlink w:anchor="_Toc235760987" w:history="1">
            <w:r w:rsidRPr="0024180A">
              <w:rPr>
                <w:rStyle w:val="Hyperlink"/>
                <w:noProof/>
              </w:rPr>
              <w:t>4. Conclusion</w:t>
            </w:r>
            <w:r>
              <w:rPr>
                <w:noProof/>
                <w:webHidden/>
              </w:rPr>
              <w:tab/>
            </w:r>
            <w:r>
              <w:rPr>
                <w:noProof/>
                <w:webHidden/>
              </w:rPr>
              <w:fldChar w:fldCharType="begin"/>
            </w:r>
            <w:r>
              <w:rPr>
                <w:noProof/>
                <w:webHidden/>
              </w:rPr>
              <w:instrText xml:space="preserve"> PAGEREF _Toc235760987 \h </w:instrText>
            </w:r>
            <w:r>
              <w:rPr>
                <w:noProof/>
                <w:webHidden/>
              </w:rPr>
            </w:r>
            <w:r>
              <w:rPr>
                <w:noProof/>
                <w:webHidden/>
              </w:rPr>
              <w:fldChar w:fldCharType="separate"/>
            </w:r>
            <w:r>
              <w:rPr>
                <w:noProof/>
                <w:webHidden/>
              </w:rPr>
              <w:t>20</w:t>
            </w:r>
            <w:r>
              <w:rPr>
                <w:noProof/>
                <w:webHidden/>
              </w:rPr>
              <w:fldChar w:fldCharType="end"/>
            </w:r>
          </w:hyperlink>
        </w:p>
        <w:p w14:paraId="6850DEDC" w14:textId="426D863D" w:rsidR="00AA419E" w:rsidRDefault="00AA419E">
          <w:pPr>
            <w:pStyle w:val="TOC1"/>
            <w:tabs>
              <w:tab w:val="right" w:leader="dot" w:pos="8630"/>
            </w:tabs>
            <w:rPr>
              <w:rFonts w:asciiTheme="minorHAnsi" w:hAnsiTheme="minorHAnsi"/>
              <w:noProof/>
              <w:kern w:val="2"/>
              <w:szCs w:val="24"/>
              <w14:ligatures w14:val="standardContextual"/>
            </w:rPr>
          </w:pPr>
          <w:hyperlink w:anchor="_Toc235760988" w:history="1">
            <w:r w:rsidRPr="0024180A">
              <w:rPr>
                <w:rStyle w:val="Hyperlink"/>
                <w:noProof/>
              </w:rPr>
              <w:t>References</w:t>
            </w:r>
            <w:r>
              <w:rPr>
                <w:noProof/>
                <w:webHidden/>
              </w:rPr>
              <w:tab/>
            </w:r>
            <w:r>
              <w:rPr>
                <w:noProof/>
                <w:webHidden/>
              </w:rPr>
              <w:fldChar w:fldCharType="begin"/>
            </w:r>
            <w:r>
              <w:rPr>
                <w:noProof/>
                <w:webHidden/>
              </w:rPr>
              <w:instrText xml:space="preserve"> PAGEREF _Toc235760988 \h </w:instrText>
            </w:r>
            <w:r>
              <w:rPr>
                <w:noProof/>
                <w:webHidden/>
              </w:rPr>
            </w:r>
            <w:r>
              <w:rPr>
                <w:noProof/>
                <w:webHidden/>
              </w:rPr>
              <w:fldChar w:fldCharType="separate"/>
            </w:r>
            <w:r>
              <w:rPr>
                <w:noProof/>
                <w:webHidden/>
              </w:rPr>
              <w:t>22</w:t>
            </w:r>
            <w:r>
              <w:rPr>
                <w:noProof/>
                <w:webHidden/>
              </w:rPr>
              <w:fldChar w:fldCharType="end"/>
            </w:r>
          </w:hyperlink>
        </w:p>
        <w:p w14:paraId="23F4DFB3" w14:textId="7EC3AEB1" w:rsidR="00AA419E" w:rsidRDefault="00AA419E">
          <w:r>
            <w:rPr>
              <w:b/>
              <w:bCs/>
              <w:noProof/>
            </w:rPr>
            <w:fldChar w:fldCharType="end"/>
          </w:r>
        </w:p>
      </w:sdtContent>
    </w:sdt>
    <w:p w14:paraId="06007DBD" w14:textId="0950A053" w:rsidR="004667CB" w:rsidRDefault="004667CB"/>
    <w:p w14:paraId="7521F7C8" w14:textId="332B9DC1" w:rsidR="00724F2D" w:rsidRDefault="004667CB" w:rsidP="004667CB">
      <w:pPr>
        <w:spacing w:line="276" w:lineRule="auto"/>
      </w:pPr>
      <w:r>
        <w:br w:type="page"/>
      </w:r>
    </w:p>
    <w:p w14:paraId="591E7E48" w14:textId="77777777" w:rsidR="00724F2D" w:rsidRDefault="00000000">
      <w:pPr>
        <w:pStyle w:val="Heading1"/>
      </w:pPr>
      <w:bookmarkStart w:id="2" w:name="_Toc235760483"/>
      <w:bookmarkStart w:id="3" w:name="_Toc235760977"/>
      <w:r>
        <w:lastRenderedPageBreak/>
        <w:t>1. Introduction</w:t>
      </w:r>
      <w:bookmarkEnd w:id="2"/>
      <w:bookmarkEnd w:id="3"/>
    </w:p>
    <w:p w14:paraId="6AF1A9AD" w14:textId="1B8B3E84" w:rsidR="007C482D" w:rsidRDefault="007C482D">
      <w:pPr>
        <w:jc w:val="both"/>
      </w:pPr>
      <w:r w:rsidRPr="007C482D">
        <w:t>Tesco is the UK's largest grocery retailer, representing nearly one-third of the UK grocery market (Tesco PLC, 2026)</w:t>
      </w:r>
      <w:r w:rsidR="00490F58">
        <w:t>, and is present in the UK, the Republic of Ireland, the Czech Republic, Slovakia,</w:t>
      </w:r>
      <w:r w:rsidRPr="007C482D">
        <w:t xml:space="preserve"> and Hungary. Group sales for the year to February 2025 stood around £63.6 billion, comprising UK online sales, which rose by eleven per cent to more than £7 billion, and preliminary data for the first half of 2025/26 showed further growth of 5.1 per cent (Tesco Plc, 2025; Tesco PLC, 2026; </w:t>
      </w:r>
      <w:proofErr w:type="spellStart"/>
      <w:r w:rsidRPr="007C482D">
        <w:t>Investegate</w:t>
      </w:r>
      <w:proofErr w:type="spellEnd"/>
      <w:r w:rsidRPr="007C482D">
        <w:t xml:space="preserve">, 2025). At its </w:t>
      </w:r>
      <w:r>
        <w:t>core</w:t>
      </w:r>
      <w:r w:rsidRPr="007C482D">
        <w:t xml:space="preserve">, Tesco's business model is built on Clubcard, a loyalty program that has been in existence since the C-store was established more than three decades </w:t>
      </w:r>
      <w:proofErr w:type="gramStart"/>
      <w:r w:rsidRPr="007C482D">
        <w:t>ago, and</w:t>
      </w:r>
      <w:proofErr w:type="gramEnd"/>
      <w:r w:rsidRPr="007C482D">
        <w:t xml:space="preserve"> now serves over </w:t>
      </w:r>
      <w:proofErr w:type="gramStart"/>
      <w:r w:rsidRPr="007C482D">
        <w:t>twenty four</w:t>
      </w:r>
      <w:proofErr w:type="gramEnd"/>
      <w:r w:rsidRPr="007C482D">
        <w:t xml:space="preserve"> million households in the UK and </w:t>
      </w:r>
      <w:proofErr w:type="spellStart"/>
      <w:r w:rsidRPr="007C482D">
        <w:t>eightysix</w:t>
      </w:r>
      <w:proofErr w:type="spellEnd"/>
      <w:r w:rsidRPr="007C482D">
        <w:t xml:space="preserve"> per cent of households in the Republic of Ireland (Tesco Plc, 2025). This report has been prepared to give Tesco advice on the risks and opportunities </w:t>
      </w:r>
      <w:r w:rsidR="00490F58">
        <w:t>it will face as it increasingly integrates artificial intelligence into the Clubcard ecosystem and extends its reach to both markets, the United Kingdom and the Republic of Ireland, where</w:t>
      </w:r>
      <w:r w:rsidRPr="007C482D">
        <w:t xml:space="preserve"> Clubcard is most prevalent.</w:t>
      </w:r>
    </w:p>
    <w:p w14:paraId="4496A621" w14:textId="5EBEDF30" w:rsidR="007C482D" w:rsidRDefault="007C482D" w:rsidP="007C482D">
      <w:pPr>
        <w:jc w:val="both"/>
      </w:pPr>
      <w:r>
        <w:t xml:space="preserve">Artificial intelligence is not an extension of this strategy. In April 2026, Tesco announced a collaboration with Adobe </w:t>
      </w:r>
      <w:r w:rsidR="00490F58">
        <w:t xml:space="preserve">to enhance the business's </w:t>
      </w:r>
      <w:proofErr w:type="spellStart"/>
      <w:r w:rsidR="00490F58">
        <w:t>personalisation</w:t>
      </w:r>
      <w:proofErr w:type="spellEnd"/>
      <w:r w:rsidR="00490F58">
        <w:t xml:space="preserve"> capabilities using artificial intelligence for the Clubcard estate, which chief executive Ken Murphy said would help the business </w:t>
      </w:r>
      <w:r>
        <w:t xml:space="preserve">"deliver even quicker </w:t>
      </w:r>
      <w:proofErr w:type="spellStart"/>
      <w:r>
        <w:t>personalised</w:t>
      </w:r>
      <w:proofErr w:type="spellEnd"/>
      <w:r>
        <w:t xml:space="preserve"> offers" (Reuters and Sinha, 2026; Muhammad Zulhusni, 2026). Tesco is already employing an AI decisioning engine, built in collaboration with technology partner Eagle Eye, to run its Clubcard Challenges, which </w:t>
      </w:r>
      <w:proofErr w:type="spellStart"/>
      <w:r>
        <w:t>personalise</w:t>
      </w:r>
      <w:proofErr w:type="spellEnd"/>
      <w:r>
        <w:t xml:space="preserve"> spending targets for up to 7 million customers, whilst </w:t>
      </w:r>
      <w:proofErr w:type="spellStart"/>
      <w:r>
        <w:t>personalised</w:t>
      </w:r>
      <w:proofErr w:type="spellEnd"/>
      <w:r>
        <w:t xml:space="preserve"> digital coupons are reaching over 9 million customers on a regular basis (Eagle Eye, 2025; Clark, 2026). The numbers suggest that AI-driven </w:t>
      </w:r>
      <w:proofErr w:type="spellStart"/>
      <w:r>
        <w:t>personalisation</w:t>
      </w:r>
      <w:proofErr w:type="spellEnd"/>
      <w:r>
        <w:t xml:space="preserve"> has progressed far past a pilot phase, underscoring the need to pay close attention to the governance and regulatory aspects of this expansion.</w:t>
      </w:r>
    </w:p>
    <w:p w14:paraId="6FC94004" w14:textId="62700CF0" w:rsidR="007C482D" w:rsidRDefault="007C482D" w:rsidP="007C482D">
      <w:pPr>
        <w:jc w:val="both"/>
      </w:pPr>
      <w:r>
        <w:t xml:space="preserve">The report </w:t>
      </w:r>
      <w:proofErr w:type="gramStart"/>
      <w:r>
        <w:t xml:space="preserve">is </w:t>
      </w:r>
      <w:proofErr w:type="spellStart"/>
      <w:r>
        <w:t>organised</w:t>
      </w:r>
      <w:proofErr w:type="spellEnd"/>
      <w:proofErr w:type="gramEnd"/>
      <w:r>
        <w:t xml:space="preserve"> based on three analytical frameworks prior to risk management. The Tesco Clubcard and AI context is introduced in section two, which is followed by an analysis of competitive intensity through Five Forces, national context through the Diamond, and the wider regulatory context through PESTLE, before an analysis of data governance, ethical AI and consumer trust, and a critical evaluation of the three </w:t>
      </w:r>
      <w:r>
        <w:lastRenderedPageBreak/>
        <w:t xml:space="preserve">frameworks. The </w:t>
      </w:r>
      <w:proofErr w:type="gramStart"/>
      <w:r>
        <w:t>costed</w:t>
      </w:r>
      <w:proofErr w:type="gramEnd"/>
      <w:r>
        <w:t xml:space="preserve"> implementation plan is set out in section three, and section four ends.</w:t>
      </w:r>
    </w:p>
    <w:p w14:paraId="4B0D845D" w14:textId="77777777" w:rsidR="00724F2D" w:rsidRDefault="00000000">
      <w:pPr>
        <w:pStyle w:val="Heading1"/>
      </w:pPr>
      <w:bookmarkStart w:id="4" w:name="_Toc235760484"/>
      <w:bookmarkStart w:id="5" w:name="_Toc235760978"/>
      <w:r>
        <w:t>2. Main Findings</w:t>
      </w:r>
      <w:bookmarkEnd w:id="4"/>
      <w:bookmarkEnd w:id="5"/>
    </w:p>
    <w:p w14:paraId="609BB9CD" w14:textId="77777777" w:rsidR="00724F2D" w:rsidRDefault="00000000">
      <w:pPr>
        <w:pStyle w:val="Heading2"/>
      </w:pPr>
      <w:bookmarkStart w:id="6" w:name="_Toc235760485"/>
      <w:bookmarkStart w:id="7" w:name="_Toc235760979"/>
      <w:r>
        <w:t>2.1 Company and AI Context</w:t>
      </w:r>
      <w:bookmarkEnd w:id="6"/>
      <w:bookmarkEnd w:id="7"/>
    </w:p>
    <w:p w14:paraId="706EA36E" w14:textId="2714B0DE" w:rsidR="007C482D" w:rsidRDefault="007C482D" w:rsidP="007C482D">
      <w:pPr>
        <w:jc w:val="both"/>
      </w:pPr>
      <w:r>
        <w:t xml:space="preserve">Tesco's role in AI </w:t>
      </w:r>
      <w:proofErr w:type="spellStart"/>
      <w:r>
        <w:t>personalisation</w:t>
      </w:r>
      <w:proofErr w:type="spellEnd"/>
      <w:r>
        <w:t xml:space="preserve"> can best be understood through the resource-based view of the firm (Barney, 1991), which suggests that a firm's successful and enduring competitive advantage is likely to depend on resources that possess value, rarity, and imitability. What is special about the technology, the Adobe partnership, and the </w:t>
      </w:r>
      <w:proofErr w:type="spellStart"/>
      <w:r>
        <w:t>EagleAI</w:t>
      </w:r>
      <w:proofErr w:type="spellEnd"/>
      <w:r>
        <w:t xml:space="preserve"> decisioning engine, is that similar AI technologies exist for any large retailer (Reuters and Sinha, 2026; Eagle Eye, 2025). The data set for the Clubcard is more difficult to </w:t>
      </w:r>
      <w:proofErr w:type="gramStart"/>
      <w:r>
        <w:t>replicate:</w:t>
      </w:r>
      <w:proofErr w:type="gramEnd"/>
      <w:r>
        <w:t xml:space="preserve"> established over 30 years and now covering the vast majority of Tesco's UK and Irish customer base, the company has </w:t>
      </w:r>
      <w:r w:rsidR="00490F58">
        <w:t xml:space="preserve">a </w:t>
      </w:r>
      <w:r>
        <w:t>depth of first-party purchase history which a newer loyalty scheme could not easily match (</w:t>
      </w:r>
      <w:proofErr w:type="spellStart"/>
      <w:r>
        <w:t>Shelper</w:t>
      </w:r>
      <w:proofErr w:type="spellEnd"/>
      <w:r>
        <w:t>, 2024; Tesco Plc, 2025).</w:t>
      </w:r>
    </w:p>
    <w:p w14:paraId="5F809B2F" w14:textId="3DCAC213" w:rsidR="007C482D" w:rsidRDefault="007C482D" w:rsidP="007C482D">
      <w:pPr>
        <w:jc w:val="both"/>
      </w:pPr>
      <w:r>
        <w:t xml:space="preserve">This benefit is evident in practice. Each Clubcard Challenge turns purchases into </w:t>
      </w:r>
      <w:proofErr w:type="spellStart"/>
      <w:r>
        <w:t>personalised</w:t>
      </w:r>
      <w:proofErr w:type="spellEnd"/>
      <w:r>
        <w:t xml:space="preserve">, gamified spending goals and will be extended to 7 million customers, while </w:t>
      </w:r>
      <w:proofErr w:type="spellStart"/>
      <w:r>
        <w:t>personalised</w:t>
      </w:r>
      <w:proofErr w:type="spellEnd"/>
      <w:r>
        <w:t xml:space="preserve"> digital coupons now reach over 9 million customers on a regular basis (Eagle Eye, 2025; Muhammad Zulhusni, 2026). The roll-out, together with an increase in sales online in the UK of 11 per cent and a share of the market of 35.7 per cent, shows that the data advantage is yielding returns in the form of commercial results and not an ambition alone (Tesco PLC, 2026).</w:t>
      </w:r>
    </w:p>
    <w:p w14:paraId="63CE4D63" w14:textId="42AA58C4" w:rsidR="007C482D" w:rsidRDefault="007C482D" w:rsidP="007C482D">
      <w:pPr>
        <w:jc w:val="both"/>
      </w:pPr>
      <w:proofErr w:type="gramStart"/>
      <w:r>
        <w:t>But,</w:t>
      </w:r>
      <w:proofErr w:type="gramEnd"/>
      <w:r>
        <w:t xml:space="preserve"> this kind of </w:t>
      </w:r>
      <w:proofErr w:type="gramStart"/>
      <w:r>
        <w:t>resource based</w:t>
      </w:r>
      <w:proofErr w:type="gramEnd"/>
      <w:r>
        <w:t xml:space="preserve"> advantage is not self-perpetuating. The data infrastructure and customer-facing technology </w:t>
      </w:r>
      <w:r w:rsidR="00490F58">
        <w:t>Tesco uses create a flywheel effect, with McKinsey stating that the company needs to invest in this technology to stay ahead of competitors that</w:t>
      </w:r>
      <w:r>
        <w:t xml:space="preserve"> may develop similar loyalty models. To Tesco, this implies that the Clubcard data resource must be vigilantly safeguarded via the governance and compliance process outlined later in this report, as a failure in this process, particularly </w:t>
      </w:r>
      <w:proofErr w:type="gramStart"/>
      <w:r>
        <w:t>with regard to</w:t>
      </w:r>
      <w:proofErr w:type="gramEnd"/>
      <w:r>
        <w:t xml:space="preserve"> the data, could </w:t>
      </w:r>
      <w:proofErr w:type="spellStart"/>
      <w:r>
        <w:t>jeopardise</w:t>
      </w:r>
      <w:proofErr w:type="spellEnd"/>
      <w:r>
        <w:t xml:space="preserve"> the success of the </w:t>
      </w:r>
      <w:proofErr w:type="spellStart"/>
      <w:r>
        <w:t>personalisation</w:t>
      </w:r>
      <w:proofErr w:type="spellEnd"/>
      <w:r>
        <w:t xml:space="preserve"> strategy's competitive edge.</w:t>
      </w:r>
    </w:p>
    <w:p w14:paraId="34C73322" w14:textId="6024DE48" w:rsidR="007C482D" w:rsidRDefault="007C482D" w:rsidP="007C482D">
      <w:pPr>
        <w:jc w:val="both"/>
      </w:pPr>
      <w:r>
        <w:lastRenderedPageBreak/>
        <w:t xml:space="preserve">This </w:t>
      </w:r>
      <w:r w:rsidR="00490F58">
        <w:t>advantage is also not equally distributed across</w:t>
      </w:r>
      <w:r>
        <w:t xml:space="preserve"> Tesco's geographical reach. Both the Adobe partnership and the Eagle Eye decisioning engine were trialed in the UK and then extended internationally, whilst Tesco's own investor communications provide greater detail around penetration in the UK and online growth as compared to its Central European operations (Tesco PLC, 2026; </w:t>
      </w:r>
      <w:proofErr w:type="spellStart"/>
      <w:r>
        <w:t>Investegate</w:t>
      </w:r>
      <w:proofErr w:type="spellEnd"/>
      <w:r>
        <w:t xml:space="preserve">, 2025). This pattern of disclosure leads to the conclusion that, although there is no definitive evidence, </w:t>
      </w:r>
      <w:r w:rsidR="00490F58">
        <w:t xml:space="preserve">Tesco's artificial intelligence-driven </w:t>
      </w:r>
      <w:proofErr w:type="spellStart"/>
      <w:r w:rsidR="00490F58">
        <w:t>personalisation</w:t>
      </w:r>
      <w:proofErr w:type="spellEnd"/>
      <w:r w:rsidR="00490F58">
        <w:t xml:space="preserve"> is predominantly found in the United Kingdom and the Republic of Ireland, which</w:t>
      </w:r>
      <w:r>
        <w:t xml:space="preserve"> is why this is the comparative focus of this report.</w:t>
      </w:r>
    </w:p>
    <w:p w14:paraId="432CADE7" w14:textId="0E7DE626" w:rsidR="00724F2D" w:rsidRDefault="00000000">
      <w:pPr>
        <w:pStyle w:val="Heading2"/>
      </w:pPr>
      <w:bookmarkStart w:id="8" w:name="_Toc235760486"/>
      <w:bookmarkStart w:id="9" w:name="_Toc235760980"/>
      <w:r>
        <w:t xml:space="preserve">2.2 </w:t>
      </w:r>
      <w:bookmarkEnd w:id="8"/>
      <w:r w:rsidR="00052293" w:rsidRPr="00052293">
        <w:t xml:space="preserve">Porter's 5 Forces: Competitive </w:t>
      </w:r>
      <w:r w:rsidR="00052293">
        <w:t>analysis</w:t>
      </w:r>
      <w:r w:rsidR="00052293" w:rsidRPr="00052293">
        <w:t xml:space="preserve"> in AI-backed Grocery Retail</w:t>
      </w:r>
      <w:bookmarkEnd w:id="9"/>
    </w:p>
    <w:p w14:paraId="54005E0E" w14:textId="1CD12450" w:rsidR="0096747D" w:rsidRDefault="0096747D">
      <w:pPr>
        <w:jc w:val="both"/>
      </w:pPr>
      <w:r w:rsidRPr="0096747D">
        <w:t xml:space="preserve">The above resource-based analysis of the grocery retail industry in the United Kingdom and Ireland is complemented by Porter's Five Forces, which </w:t>
      </w:r>
      <w:r>
        <w:t>indicate the degree of competition facing the</w:t>
      </w:r>
      <w:r w:rsidRPr="0096747D">
        <w:t xml:space="preserve"> sector. Table 1 below outlines the various forces and how they relate to Tesco's AI </w:t>
      </w:r>
      <w:proofErr w:type="spellStart"/>
      <w:r w:rsidRPr="0096747D">
        <w:t>personalisation</w:t>
      </w:r>
      <w:proofErr w:type="spellEnd"/>
      <w:r w:rsidRPr="0096747D">
        <w:t xml:space="preserve"> initiative.</w:t>
      </w:r>
    </w:p>
    <w:p w14:paraId="521BA874" w14:textId="6B29C3AE" w:rsidR="00724F2D" w:rsidRDefault="00000000">
      <w:pPr>
        <w:spacing w:after="120"/>
        <w:jc w:val="both"/>
      </w:pPr>
      <w:r>
        <w:rPr>
          <w:i/>
          <w:sz w:val="22"/>
        </w:rPr>
        <w:t xml:space="preserve">Table 1: Porter's Five Forces Applied to Tesco's AI-Enabled </w:t>
      </w:r>
      <w:proofErr w:type="spellStart"/>
      <w:r>
        <w:rPr>
          <w:i/>
          <w:sz w:val="22"/>
        </w:rPr>
        <w:t>Personalisation</w:t>
      </w:r>
      <w:proofErr w:type="spellEnd"/>
      <w:r>
        <w:rPr>
          <w:i/>
          <w:sz w:val="22"/>
        </w:rPr>
        <w:t xml:space="preserve"> (</w:t>
      </w:r>
      <w:proofErr w:type="spellStart"/>
      <w:r w:rsidR="00F36834">
        <w:rPr>
          <w:i/>
          <w:sz w:val="22"/>
        </w:rPr>
        <w:t>Self made</w:t>
      </w:r>
      <w:proofErr w:type="spellEnd"/>
      <w:r w:rsidR="00F36834">
        <w:rPr>
          <w:i/>
          <w:sz w:val="22"/>
        </w:rPr>
        <w:t>)</w:t>
      </w:r>
      <w:r>
        <w:rPr>
          <w:i/>
          <w:sz w:val="22"/>
        </w:rPr>
        <w:t>)</w:t>
      </w:r>
    </w:p>
    <w:tbl>
      <w:tblPr>
        <w:tblStyle w:val="TableGrid"/>
        <w:tblW w:w="5000" w:type="pct"/>
        <w:tblLook w:val="04A0" w:firstRow="1" w:lastRow="0" w:firstColumn="1" w:lastColumn="0" w:noHBand="0" w:noVBand="1"/>
      </w:tblPr>
      <w:tblGrid>
        <w:gridCol w:w="2114"/>
        <w:gridCol w:w="1587"/>
        <w:gridCol w:w="4929"/>
      </w:tblGrid>
      <w:tr w:rsidR="00F36834" w:rsidRPr="00F36834" w14:paraId="25CBCF1F" w14:textId="77777777" w:rsidTr="00F36834">
        <w:trPr>
          <w:tblHeader/>
        </w:trPr>
        <w:tc>
          <w:tcPr>
            <w:tcW w:w="0" w:type="auto"/>
            <w:hideMark/>
          </w:tcPr>
          <w:p w14:paraId="7D5D9211" w14:textId="77777777" w:rsidR="00F36834" w:rsidRPr="00F36834" w:rsidRDefault="00F36834" w:rsidP="00F36834">
            <w:pPr>
              <w:spacing w:after="200"/>
              <w:rPr>
                <w:b/>
                <w:bCs/>
              </w:rPr>
            </w:pPr>
            <w:r w:rsidRPr="00F36834">
              <w:rPr>
                <w:b/>
                <w:bCs/>
              </w:rPr>
              <w:t>Competitive Dimension</w:t>
            </w:r>
          </w:p>
        </w:tc>
        <w:tc>
          <w:tcPr>
            <w:tcW w:w="0" w:type="auto"/>
            <w:hideMark/>
          </w:tcPr>
          <w:p w14:paraId="09B99170" w14:textId="77777777" w:rsidR="00F36834" w:rsidRPr="00F36834" w:rsidRDefault="00F36834" w:rsidP="00F36834">
            <w:pPr>
              <w:spacing w:after="200"/>
              <w:rPr>
                <w:b/>
                <w:bCs/>
              </w:rPr>
            </w:pPr>
            <w:r w:rsidRPr="00F36834">
              <w:rPr>
                <w:b/>
                <w:bCs/>
              </w:rPr>
              <w:t>Pressure Level</w:t>
            </w:r>
          </w:p>
        </w:tc>
        <w:tc>
          <w:tcPr>
            <w:tcW w:w="0" w:type="auto"/>
            <w:hideMark/>
          </w:tcPr>
          <w:p w14:paraId="2F0D2186" w14:textId="77777777" w:rsidR="00F36834" w:rsidRPr="00F36834" w:rsidRDefault="00F36834" w:rsidP="00F36834">
            <w:pPr>
              <w:spacing w:after="200"/>
              <w:rPr>
                <w:b/>
                <w:bCs/>
              </w:rPr>
            </w:pPr>
            <w:r w:rsidRPr="00F36834">
              <w:rPr>
                <w:b/>
                <w:bCs/>
              </w:rPr>
              <w:t>How It Plays Out for Tesco</w:t>
            </w:r>
          </w:p>
        </w:tc>
      </w:tr>
      <w:tr w:rsidR="00F36834" w:rsidRPr="00F36834" w14:paraId="6293406E" w14:textId="77777777" w:rsidTr="00F36834">
        <w:tc>
          <w:tcPr>
            <w:tcW w:w="0" w:type="auto"/>
            <w:hideMark/>
          </w:tcPr>
          <w:p w14:paraId="16D5B001" w14:textId="77777777" w:rsidR="00F36834" w:rsidRPr="00F36834" w:rsidRDefault="00F36834" w:rsidP="00F36834">
            <w:pPr>
              <w:spacing w:after="200"/>
            </w:pPr>
            <w:r w:rsidRPr="00F36834">
              <w:t>Rivalry between existing players</w:t>
            </w:r>
          </w:p>
        </w:tc>
        <w:tc>
          <w:tcPr>
            <w:tcW w:w="0" w:type="auto"/>
            <w:hideMark/>
          </w:tcPr>
          <w:p w14:paraId="1ECDE4BE" w14:textId="77777777" w:rsidR="00F36834" w:rsidRPr="00F36834" w:rsidRDefault="00F36834" w:rsidP="00F36834">
            <w:pPr>
              <w:spacing w:after="200"/>
            </w:pPr>
            <w:r w:rsidRPr="00F36834">
              <w:t>Intense</w:t>
            </w:r>
          </w:p>
        </w:tc>
        <w:tc>
          <w:tcPr>
            <w:tcW w:w="0" w:type="auto"/>
            <w:hideMark/>
          </w:tcPr>
          <w:p w14:paraId="5BCD0059" w14:textId="51FF8D75" w:rsidR="00F36834" w:rsidRPr="00F36834" w:rsidRDefault="00F36834" w:rsidP="00F36834">
            <w:pPr>
              <w:spacing w:after="200"/>
            </w:pPr>
            <w:r w:rsidRPr="00F36834">
              <w:t xml:space="preserve">Tesco battles Sainsbury's, Asda, Aldi and Lidl, with AI-driven </w:t>
            </w:r>
            <w:proofErr w:type="spellStart"/>
            <w:r w:rsidRPr="00F36834">
              <w:t>personalisation</w:t>
            </w:r>
            <w:proofErr w:type="spellEnd"/>
            <w:r w:rsidRPr="00F36834">
              <w:t xml:space="preserve"> becoming a key differentiator beyond pricing alone </w:t>
            </w:r>
          </w:p>
        </w:tc>
      </w:tr>
      <w:tr w:rsidR="00F36834" w:rsidRPr="00F36834" w14:paraId="2CB6E5B1" w14:textId="77777777" w:rsidTr="00F36834">
        <w:tc>
          <w:tcPr>
            <w:tcW w:w="0" w:type="auto"/>
            <w:hideMark/>
          </w:tcPr>
          <w:p w14:paraId="461B9D98" w14:textId="77777777" w:rsidR="00F36834" w:rsidRPr="00F36834" w:rsidRDefault="00F36834" w:rsidP="00F36834">
            <w:pPr>
              <w:spacing w:after="200"/>
            </w:pPr>
            <w:r w:rsidRPr="00F36834">
              <w:t>Barriers facing new market entrants</w:t>
            </w:r>
          </w:p>
        </w:tc>
        <w:tc>
          <w:tcPr>
            <w:tcW w:w="0" w:type="auto"/>
            <w:hideMark/>
          </w:tcPr>
          <w:p w14:paraId="2C799DB2" w14:textId="77777777" w:rsidR="00F36834" w:rsidRPr="00F36834" w:rsidRDefault="00F36834" w:rsidP="00F36834">
            <w:pPr>
              <w:spacing w:after="200"/>
            </w:pPr>
            <w:r w:rsidRPr="00F36834">
              <w:t>Weak</w:t>
            </w:r>
          </w:p>
        </w:tc>
        <w:tc>
          <w:tcPr>
            <w:tcW w:w="0" w:type="auto"/>
            <w:hideMark/>
          </w:tcPr>
          <w:p w14:paraId="50A38876" w14:textId="53E29666" w:rsidR="00F36834" w:rsidRPr="00F36834" w:rsidRDefault="00F36834" w:rsidP="00F36834">
            <w:pPr>
              <w:spacing w:after="200"/>
            </w:pPr>
            <w:r w:rsidRPr="00F36834">
              <w:t xml:space="preserve">Heavy capital demands for stores, logistics networks and data systems keep newcomers out </w:t>
            </w:r>
          </w:p>
        </w:tc>
      </w:tr>
      <w:tr w:rsidR="00F36834" w:rsidRPr="00F36834" w14:paraId="5751B9F7" w14:textId="77777777" w:rsidTr="00F36834">
        <w:tc>
          <w:tcPr>
            <w:tcW w:w="0" w:type="auto"/>
            <w:hideMark/>
          </w:tcPr>
          <w:p w14:paraId="7F96946F" w14:textId="77777777" w:rsidR="00F36834" w:rsidRPr="00F36834" w:rsidRDefault="00F36834" w:rsidP="00F36834">
            <w:pPr>
              <w:spacing w:after="200"/>
            </w:pPr>
            <w:r w:rsidRPr="00F36834">
              <w:t>Negotiating leverage of shoppers</w:t>
            </w:r>
          </w:p>
        </w:tc>
        <w:tc>
          <w:tcPr>
            <w:tcW w:w="0" w:type="auto"/>
            <w:hideMark/>
          </w:tcPr>
          <w:p w14:paraId="4EC95E0F" w14:textId="77777777" w:rsidR="00F36834" w:rsidRPr="00F36834" w:rsidRDefault="00F36834" w:rsidP="00F36834">
            <w:pPr>
              <w:spacing w:after="200"/>
            </w:pPr>
            <w:r w:rsidRPr="00F36834">
              <w:t>Medium</w:t>
            </w:r>
          </w:p>
        </w:tc>
        <w:tc>
          <w:tcPr>
            <w:tcW w:w="0" w:type="auto"/>
            <w:hideMark/>
          </w:tcPr>
          <w:p w14:paraId="1E2A497B" w14:textId="74B244FB" w:rsidR="00F36834" w:rsidRPr="00F36834" w:rsidRDefault="00F36834" w:rsidP="00F36834">
            <w:pPr>
              <w:spacing w:after="200"/>
            </w:pPr>
            <w:r w:rsidRPr="00F36834">
              <w:t xml:space="preserve">Easy store-switching is offset by Clubcard's discount structure, which locks customers into scheme membership </w:t>
            </w:r>
          </w:p>
        </w:tc>
      </w:tr>
      <w:tr w:rsidR="00F36834" w:rsidRPr="00F36834" w14:paraId="15926FCB" w14:textId="77777777" w:rsidTr="00F36834">
        <w:tc>
          <w:tcPr>
            <w:tcW w:w="0" w:type="auto"/>
            <w:hideMark/>
          </w:tcPr>
          <w:p w14:paraId="7558211A" w14:textId="77777777" w:rsidR="00F36834" w:rsidRPr="00F36834" w:rsidRDefault="00F36834" w:rsidP="00F36834">
            <w:pPr>
              <w:spacing w:after="200"/>
            </w:pPr>
            <w:r w:rsidRPr="00F36834">
              <w:t>Negotiating leverage of vendors</w:t>
            </w:r>
          </w:p>
        </w:tc>
        <w:tc>
          <w:tcPr>
            <w:tcW w:w="0" w:type="auto"/>
            <w:hideMark/>
          </w:tcPr>
          <w:p w14:paraId="50FAE39F" w14:textId="77777777" w:rsidR="00F36834" w:rsidRPr="00F36834" w:rsidRDefault="00F36834" w:rsidP="00F36834">
            <w:pPr>
              <w:spacing w:after="200"/>
            </w:pPr>
            <w:r w:rsidRPr="00F36834">
              <w:t>Medium, trending upward</w:t>
            </w:r>
          </w:p>
        </w:tc>
        <w:tc>
          <w:tcPr>
            <w:tcW w:w="0" w:type="auto"/>
            <w:hideMark/>
          </w:tcPr>
          <w:p w14:paraId="43FB2A4C" w14:textId="760D5222" w:rsidR="00F36834" w:rsidRPr="00F36834" w:rsidRDefault="00F36834" w:rsidP="00F36834">
            <w:pPr>
              <w:spacing w:after="200"/>
            </w:pPr>
            <w:r w:rsidRPr="00F36834">
              <w:t xml:space="preserve">Growing dependence on outside AI vendors like Adobe and Eagle Eye creates a fresh layer of supplier reliance </w:t>
            </w:r>
          </w:p>
        </w:tc>
      </w:tr>
      <w:tr w:rsidR="00F36834" w:rsidRPr="00F36834" w14:paraId="34C5CC77" w14:textId="77777777" w:rsidTr="00F36834">
        <w:tc>
          <w:tcPr>
            <w:tcW w:w="0" w:type="auto"/>
            <w:hideMark/>
          </w:tcPr>
          <w:p w14:paraId="2DD76B7B" w14:textId="77777777" w:rsidR="00F36834" w:rsidRPr="00F36834" w:rsidRDefault="00F36834" w:rsidP="00F36834">
            <w:pPr>
              <w:spacing w:after="200"/>
            </w:pPr>
            <w:proofErr w:type="gramStart"/>
            <w:r w:rsidRPr="00F36834">
              <w:lastRenderedPageBreak/>
              <w:t>Risk</w:t>
            </w:r>
            <w:proofErr w:type="gramEnd"/>
            <w:r w:rsidRPr="00F36834">
              <w:t xml:space="preserve"> from alternative options</w:t>
            </w:r>
          </w:p>
        </w:tc>
        <w:tc>
          <w:tcPr>
            <w:tcW w:w="0" w:type="auto"/>
            <w:hideMark/>
          </w:tcPr>
          <w:p w14:paraId="3C431205" w14:textId="77777777" w:rsidR="00F36834" w:rsidRPr="00F36834" w:rsidRDefault="00F36834" w:rsidP="00F36834">
            <w:pPr>
              <w:spacing w:after="200"/>
            </w:pPr>
            <w:r w:rsidRPr="00F36834">
              <w:t>Medium</w:t>
            </w:r>
          </w:p>
        </w:tc>
        <w:tc>
          <w:tcPr>
            <w:tcW w:w="0" w:type="auto"/>
            <w:hideMark/>
          </w:tcPr>
          <w:p w14:paraId="74171677" w14:textId="7814D36A" w:rsidR="00F36834" w:rsidRPr="00F36834" w:rsidRDefault="00F36834" w:rsidP="00F36834">
            <w:pPr>
              <w:spacing w:after="200"/>
            </w:pPr>
            <w:r w:rsidRPr="00F36834">
              <w:t xml:space="preserve">Discount chains and privacy-conscious shoppers who avoid loyalty-app engagement both represent substitution risk </w:t>
            </w:r>
          </w:p>
        </w:tc>
      </w:tr>
    </w:tbl>
    <w:p w14:paraId="0A11578E" w14:textId="77777777" w:rsidR="00724F2D" w:rsidRDefault="00724F2D"/>
    <w:p w14:paraId="6EEDEF64" w14:textId="4CB6996B" w:rsidR="0096747D" w:rsidRDefault="0096747D" w:rsidP="0096747D">
      <w:pPr>
        <w:jc w:val="both"/>
      </w:pPr>
      <w:r>
        <w:t>Competition for the business among the business owners is high. The UK supermarket market is highly concentrated, with a small number of large chains</w:t>
      </w:r>
      <w:r w:rsidR="00490F58">
        <w:t>, and Tesco's success and market leadership hinge on its ability to stand out from Sainsbury's, Asda, and the discount supermarket chains Aldi and Lidl, which are all price-competitive</w:t>
      </w:r>
      <w:r>
        <w:t xml:space="preserve"> and increasingly </w:t>
      </w:r>
      <w:proofErr w:type="spellStart"/>
      <w:r>
        <w:t>personalised</w:t>
      </w:r>
      <w:proofErr w:type="spellEnd"/>
      <w:r>
        <w:t xml:space="preserve"> (Rahman, 2023). This competition is more </w:t>
      </w:r>
      <w:proofErr w:type="gramStart"/>
      <w:r>
        <w:t>often being</w:t>
      </w:r>
      <w:proofErr w:type="gramEnd"/>
      <w:r>
        <w:t xml:space="preserve"> driven by data and technology capability than by price, particularly in </w:t>
      </w:r>
      <w:proofErr w:type="gramStart"/>
      <w:r>
        <w:t>digitally-intensive</w:t>
      </w:r>
      <w:proofErr w:type="gramEnd"/>
      <w:r>
        <w:t xml:space="preserve"> industries, as Pangarkar and </w:t>
      </w:r>
      <w:proofErr w:type="spellStart"/>
      <w:r>
        <w:t>Prabhudesai</w:t>
      </w:r>
      <w:proofErr w:type="spellEnd"/>
      <w:r>
        <w:t xml:space="preserve"> (2024) suggest, with Tesco using AI </w:t>
      </w:r>
      <w:proofErr w:type="spellStart"/>
      <w:r>
        <w:t>personalisation</w:t>
      </w:r>
      <w:proofErr w:type="spellEnd"/>
      <w:r>
        <w:t xml:space="preserve"> as a differentiator, not just a cost-saving measure.</w:t>
      </w:r>
    </w:p>
    <w:p w14:paraId="3905BF32" w14:textId="4CC5329B" w:rsidR="0096747D" w:rsidRDefault="0096747D" w:rsidP="0096747D">
      <w:pPr>
        <w:jc w:val="both"/>
      </w:pPr>
      <w:r>
        <w:t xml:space="preserve">Competition from new entrants is relatively low as the capital requirements of stores, supply chains and, importantly, data infrastructure to get in the door are high (Rahman, 2023). The bargaining power of buyers is moderate. Switching costs are far more likely to be raised for consumers switching </w:t>
      </w:r>
      <w:proofErr w:type="gramStart"/>
      <w:r>
        <w:t>supermarkets, but</w:t>
      </w:r>
      <w:proofErr w:type="gramEnd"/>
      <w:r>
        <w:t xml:space="preserve"> can be raised for consumers switching from one supermarket to another</w:t>
      </w:r>
      <w:r w:rsidR="00490F58">
        <w:t>,</w:t>
      </w:r>
      <w:r>
        <w:t xml:space="preserve"> for Clubcard pricing and offers, where the discounts are dependent on consumers being a member of the Clubcard scheme (</w:t>
      </w:r>
      <w:proofErr w:type="spellStart"/>
      <w:r>
        <w:t>Shelper</w:t>
      </w:r>
      <w:proofErr w:type="spellEnd"/>
      <w:r>
        <w:t>, 2024).</w:t>
      </w:r>
    </w:p>
    <w:p w14:paraId="2C84C259" w14:textId="77777777" w:rsidR="0096747D" w:rsidRDefault="0096747D" w:rsidP="0096747D">
      <w:pPr>
        <w:jc w:val="both"/>
      </w:pPr>
      <w:r>
        <w:t xml:space="preserve">Supplier power is a more dynamic force in the AI context. Assad et al. (2024) demonstrate, in the context of algorithmic pricing tools in general, that reliance on commonly shared third-party technology may be a competitive and regulatory exposure risk if multiple retailers rely on the same underlying algorithms. Competition from other supermarkets, discount stores and more recently consumers who opt-out of AI </w:t>
      </w:r>
      <w:proofErr w:type="spellStart"/>
      <w:r>
        <w:t>personalisation</w:t>
      </w:r>
      <w:proofErr w:type="spellEnd"/>
      <w:r>
        <w:t xml:space="preserve"> for privacy concerns all pose a threat to the business.</w:t>
      </w:r>
    </w:p>
    <w:p w14:paraId="4BC3D3A7" w14:textId="7C209A5C" w:rsidR="0096747D" w:rsidRDefault="0096747D" w:rsidP="0096747D">
      <w:pPr>
        <w:jc w:val="both"/>
      </w:pPr>
      <w:r>
        <w:t xml:space="preserve">Competitive rivalry and supplier dependency are now more tightly coupled than the original model (pre-AI era) would imply, for Tesco. Pangarkar and </w:t>
      </w:r>
      <w:proofErr w:type="spellStart"/>
      <w:r>
        <w:t>Prabhudesai</w:t>
      </w:r>
      <w:proofErr w:type="spellEnd"/>
      <w:r>
        <w:t xml:space="preserve"> (2024) </w:t>
      </w:r>
      <w:r>
        <w:lastRenderedPageBreak/>
        <w:t xml:space="preserve">state this when discussing how technology partnerships have begun to create the impression that you're working with a partner rather than an external supplier. The industry-level view however is a competitive market for the UK and the Irish </w:t>
      </w:r>
      <w:proofErr w:type="gramStart"/>
      <w:r>
        <w:t>market, and</w:t>
      </w:r>
      <w:proofErr w:type="gramEnd"/>
      <w:r>
        <w:t xml:space="preserve"> cannot explain why Tesco's AI capability appears to be more developed in one market than the other; this is what the Diamond model explains next.</w:t>
      </w:r>
    </w:p>
    <w:p w14:paraId="71A24D7A" w14:textId="77777777" w:rsidR="00724F2D" w:rsidRDefault="00000000">
      <w:pPr>
        <w:pStyle w:val="Heading2"/>
      </w:pPr>
      <w:bookmarkStart w:id="10" w:name="_Toc235760487"/>
      <w:bookmarkStart w:id="11" w:name="_Toc235760981"/>
      <w:r>
        <w:t>2.3 Porter's Diamond: National Competitive Advantage in AI-Enabled Retail</w:t>
      </w:r>
      <w:bookmarkEnd w:id="10"/>
      <w:bookmarkEnd w:id="11"/>
    </w:p>
    <w:p w14:paraId="54D60160" w14:textId="30FFB238" w:rsidR="00FD54E8" w:rsidRDefault="00FD54E8" w:rsidP="00FD54E8">
      <w:pPr>
        <w:keepNext/>
        <w:jc w:val="center"/>
      </w:pPr>
      <w:r>
        <w:rPr>
          <w:noProof/>
        </w:rPr>
        <w:drawing>
          <wp:inline distT="0" distB="0" distL="0" distR="0" wp14:anchorId="4F76AEED" wp14:editId="4B863470">
            <wp:extent cx="5013932" cy="2329313"/>
            <wp:effectExtent l="19050" t="19050" r="15875" b="13970"/>
            <wp:docPr id="667041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041494" name=""/>
                    <pic:cNvPicPr/>
                  </pic:nvPicPr>
                  <pic:blipFill rotWithShape="1">
                    <a:blip r:embed="rId9"/>
                    <a:srcRect t="14834"/>
                    <a:stretch>
                      <a:fillRect/>
                    </a:stretch>
                  </pic:blipFill>
                  <pic:spPr bwMode="auto">
                    <a:xfrm>
                      <a:off x="0" y="0"/>
                      <a:ext cx="5028402" cy="233603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E301DC3" w14:textId="071F65C3" w:rsidR="00724F2D" w:rsidRPr="00FD54E8" w:rsidRDefault="00FD54E8" w:rsidP="00FD54E8">
      <w:pPr>
        <w:pStyle w:val="Caption"/>
        <w:jc w:val="center"/>
        <w:rPr>
          <w:i/>
          <w:iCs/>
          <w:color w:val="auto"/>
          <w:sz w:val="20"/>
          <w:szCs w:val="20"/>
        </w:rPr>
      </w:pPr>
      <w:r w:rsidRPr="00FD54E8">
        <w:rPr>
          <w:i/>
          <w:iCs/>
          <w:color w:val="auto"/>
          <w:sz w:val="20"/>
          <w:szCs w:val="20"/>
        </w:rPr>
        <w:t xml:space="preserve">Figure </w:t>
      </w:r>
      <w:r w:rsidRPr="00FD54E8">
        <w:rPr>
          <w:i/>
          <w:iCs/>
          <w:color w:val="auto"/>
          <w:sz w:val="20"/>
          <w:szCs w:val="20"/>
        </w:rPr>
        <w:fldChar w:fldCharType="begin"/>
      </w:r>
      <w:r w:rsidRPr="00FD54E8">
        <w:rPr>
          <w:i/>
          <w:iCs/>
          <w:color w:val="auto"/>
          <w:sz w:val="20"/>
          <w:szCs w:val="20"/>
        </w:rPr>
        <w:instrText xml:space="preserve"> SEQ Figure \* ARABIC </w:instrText>
      </w:r>
      <w:r w:rsidRPr="00FD54E8">
        <w:rPr>
          <w:i/>
          <w:iCs/>
          <w:color w:val="auto"/>
          <w:sz w:val="20"/>
          <w:szCs w:val="20"/>
        </w:rPr>
        <w:fldChar w:fldCharType="separate"/>
      </w:r>
      <w:r w:rsidR="00094B29">
        <w:rPr>
          <w:i/>
          <w:iCs/>
          <w:noProof/>
          <w:color w:val="auto"/>
          <w:sz w:val="20"/>
          <w:szCs w:val="20"/>
        </w:rPr>
        <w:t>1</w:t>
      </w:r>
      <w:r w:rsidRPr="00FD54E8">
        <w:rPr>
          <w:i/>
          <w:iCs/>
          <w:color w:val="auto"/>
          <w:sz w:val="20"/>
          <w:szCs w:val="20"/>
        </w:rPr>
        <w:fldChar w:fldCharType="end"/>
      </w:r>
      <w:r w:rsidRPr="00FD54E8">
        <w:rPr>
          <w:i/>
          <w:iCs/>
          <w:color w:val="auto"/>
          <w:sz w:val="20"/>
          <w:szCs w:val="20"/>
        </w:rPr>
        <w:t>: Porter's Diamond Applied to Tesco's AI Capability, United Kingdom vs Republic of Ireland (Source: Author)</w:t>
      </w:r>
    </w:p>
    <w:p w14:paraId="65B3855D" w14:textId="77777777" w:rsidR="00465786" w:rsidRDefault="00465786" w:rsidP="00465786">
      <w:pPr>
        <w:jc w:val="both"/>
      </w:pPr>
      <w:r>
        <w:t xml:space="preserve">The Five Forces framework shows that the competitive intensity is high in UK and Irish grocery retail, treating both markets as one competitive market. Why </w:t>
      </w:r>
      <w:proofErr w:type="gramStart"/>
      <w:r>
        <w:t>is Tesco's AI capability</w:t>
      </w:r>
      <w:proofErr w:type="gramEnd"/>
      <w:r>
        <w:t xml:space="preserve"> not equally developed across its two core markets is explained here with the aid of Porter's Diamond, a concept developed to understand why industries can be competitive in specific national settings, which Five Forces is not able to explain (Porter, 1990).</w:t>
      </w:r>
    </w:p>
    <w:p w14:paraId="3310318E" w14:textId="77777777" w:rsidR="00465786" w:rsidRDefault="00465786" w:rsidP="00465786">
      <w:pPr>
        <w:jc w:val="both"/>
      </w:pPr>
      <w:r>
        <w:t xml:space="preserve">The United Kingdom provides Tesco with a significantly greater supply of data science and digital marketing skills than Ireland, with a greater focus on London and other UK technology hubs, and a stronger capital markets access to listing in London. Demand conditions are also working in the </w:t>
      </w:r>
      <w:proofErr w:type="spellStart"/>
      <w:r>
        <w:t>favour</w:t>
      </w:r>
      <w:proofErr w:type="spellEnd"/>
      <w:r>
        <w:t xml:space="preserve"> of the UK, with Clubcard penetration in the UK at eighty four per cent, compared with eighty seven per cent in Ireland; indicating that the demand for loyalty based </w:t>
      </w:r>
      <w:proofErr w:type="spellStart"/>
      <w:r>
        <w:t>personalisation</w:t>
      </w:r>
      <w:proofErr w:type="spellEnd"/>
      <w:r>
        <w:t xml:space="preserve"> in Ireland, if anything, is more concentrated when market size is considered (Tesco Plc, 2025).</w:t>
      </w:r>
    </w:p>
    <w:p w14:paraId="0F49D63A" w14:textId="77777777" w:rsidR="00465786" w:rsidRDefault="00465786" w:rsidP="00465786">
      <w:pPr>
        <w:jc w:val="both"/>
      </w:pPr>
      <w:r>
        <w:lastRenderedPageBreak/>
        <w:t xml:space="preserve">The differences between related and supporting industries are more pronounced. The UK has a strong retail tech innovation ecosystem, and Adobe is part of this, not to mention an established fintech and payments industry. While the supporting industry base is narrower for retail specifically, Ireland is also home to many technology platforms which are based in Europe, and so Irish regulatory arrangements </w:t>
      </w:r>
      <w:proofErr w:type="gramStart"/>
      <w:r>
        <w:t>in the area of</w:t>
      </w:r>
      <w:proofErr w:type="gramEnd"/>
      <w:r>
        <w:t xml:space="preserve"> data protection are arguably more developed, for the retail </w:t>
      </w:r>
      <w:proofErr w:type="gramStart"/>
      <w:r>
        <w:t>sector in particular, as</w:t>
      </w:r>
      <w:proofErr w:type="gramEnd"/>
      <w:r>
        <w:t xml:space="preserve"> a result. (Data Protection Commission, 2024)</w:t>
      </w:r>
    </w:p>
    <w:p w14:paraId="1EAC270B" w14:textId="77777777" w:rsidR="00465786" w:rsidRDefault="00465786" w:rsidP="00465786">
      <w:pPr>
        <w:jc w:val="both"/>
      </w:pPr>
      <w:r>
        <w:t xml:space="preserve">UK grocery is more competitive in terms of strategy, structure and rivalry, and </w:t>
      </w:r>
      <w:proofErr w:type="spellStart"/>
      <w:r>
        <w:t>Chikán</w:t>
      </w:r>
      <w:proofErr w:type="spellEnd"/>
      <w:r>
        <w:t xml:space="preserve"> et al. (2022) suggest this makes for faster uptake of competitive tools like AI </w:t>
      </w:r>
      <w:proofErr w:type="spellStart"/>
      <w:r>
        <w:t>personalisation</w:t>
      </w:r>
      <w:proofErr w:type="spellEnd"/>
      <w:r>
        <w:t>, with companies facing more competitive markets being forced to innovate faster to retain market share. This is the same pattern as Tesco's rollout of the partnership with Adobe and the Clubcard Challenges, which were introduced in the UK first and then rolled out globally.</w:t>
      </w:r>
    </w:p>
    <w:p w14:paraId="0BE628C4" w14:textId="76363A9B" w:rsidR="00465786" w:rsidRDefault="00465786" w:rsidP="00465786">
      <w:pPr>
        <w:jc w:val="both"/>
      </w:pPr>
      <w:r>
        <w:t>Chang Moon, Rugman</w:t>
      </w:r>
      <w:r w:rsidR="00D067B4">
        <w:t>,</w:t>
      </w:r>
      <w:r>
        <w:t xml:space="preserve"> and Verbeke (1998) argue that Porter's initial idea of the single country diamond fails to account for the ability of multinationals like Tesco to transfer capabilities built in one home market to a second, smaller market. This </w:t>
      </w:r>
      <w:proofErr w:type="spellStart"/>
      <w:r>
        <w:t>generalised</w:t>
      </w:r>
      <w:proofErr w:type="spellEnd"/>
      <w:r>
        <w:t xml:space="preserve"> double diamond effect seems to apply well to Tesco's </w:t>
      </w:r>
      <w:r w:rsidR="00D067B4">
        <w:t>UK-to-Ireland rollout – albeit with some caveats regarding policy and path dependency,</w:t>
      </w:r>
      <w:r>
        <w:t xml:space="preserve"> as noted by Öz (2002), who applied it in her analysis of how the model could be used in Turkey. The UK to Ireland regulatory divergence – discussed further below – is another potential reason why the model may be affected over time. In high technology/high velocity industries, the Diamond model is still found to be informative if factors are used specifically and not generically, as was done here (Tsai, Chen and Yang, 2021). While not among the four main factors, the </w:t>
      </w:r>
      <w:r w:rsidR="00D067B4">
        <w:t>roles of government and chance are present, as can be seen in the regulatory choices of the UK and Ireland already beginning</w:t>
      </w:r>
      <w:r>
        <w:t xml:space="preserve"> to </w:t>
      </w:r>
      <w:proofErr w:type="spellStart"/>
      <w:proofErr w:type="gramStart"/>
      <w:r>
        <w:t>differ.Government</w:t>
      </w:r>
      <w:proofErr w:type="spellEnd"/>
      <w:proofErr w:type="gramEnd"/>
      <w:r>
        <w:t xml:space="preserve"> and chance are not </w:t>
      </w:r>
      <w:r w:rsidR="00D067B4">
        <w:t xml:space="preserve">significant among the four factors, but they are still relevant, as evidenced by the UK and Ireland having already made </w:t>
      </w:r>
      <w:r>
        <w:t>regulatory choices that diverge.</w:t>
      </w:r>
    </w:p>
    <w:p w14:paraId="345EAF9B" w14:textId="57076EA2" w:rsidR="00052293" w:rsidRPr="00052293" w:rsidRDefault="00000000" w:rsidP="00052293">
      <w:pPr>
        <w:pStyle w:val="Heading2"/>
      </w:pPr>
      <w:bookmarkStart w:id="12" w:name="_Toc235760488"/>
      <w:bookmarkStart w:id="13" w:name="_Toc235760982"/>
      <w:r>
        <w:lastRenderedPageBreak/>
        <w:t>2.4 PESTLE Analysis: United Kingdom and Republic of Ireland Comparative Assessment</w:t>
      </w:r>
      <w:bookmarkEnd w:id="12"/>
      <w:bookmarkEnd w:id="13"/>
    </w:p>
    <w:p w14:paraId="39CE1480" w14:textId="368DC16B" w:rsidR="00465786" w:rsidRDefault="00465786">
      <w:pPr>
        <w:jc w:val="both"/>
      </w:pPr>
      <w:r w:rsidRPr="00465786">
        <w:t xml:space="preserve">The PESTLE framework is applied to compare the external environment of Tesco's AI-based </w:t>
      </w:r>
      <w:proofErr w:type="spellStart"/>
      <w:r w:rsidRPr="00465786">
        <w:t>personalisation</w:t>
      </w:r>
      <w:proofErr w:type="spellEnd"/>
      <w:r w:rsidRPr="00465786">
        <w:t xml:space="preserve"> in the United Kingdom and the Republic of Ireland. The comparison is </w:t>
      </w:r>
      <w:proofErr w:type="spellStart"/>
      <w:r w:rsidRPr="00465786">
        <w:t>summarised</w:t>
      </w:r>
      <w:proofErr w:type="spellEnd"/>
      <w:r w:rsidRPr="00465786">
        <w:t xml:space="preserve"> in Table 2, </w:t>
      </w:r>
      <w:proofErr w:type="gramStart"/>
      <w:r w:rsidRPr="00465786">
        <w:t>and  highlight</w:t>
      </w:r>
      <w:proofErr w:type="gramEnd"/>
      <w:r w:rsidRPr="00465786">
        <w:t xml:space="preserve"> each of the factors individually.</w:t>
      </w:r>
    </w:p>
    <w:p w14:paraId="76E3F654" w14:textId="77777777" w:rsidR="00724F2D" w:rsidRDefault="00000000">
      <w:pPr>
        <w:spacing w:after="120"/>
        <w:jc w:val="both"/>
        <w:rPr>
          <w:i/>
          <w:sz w:val="22"/>
        </w:rPr>
      </w:pPr>
      <w:r>
        <w:rPr>
          <w:i/>
          <w:sz w:val="22"/>
        </w:rPr>
        <w:t>Table 2: PESTLE Comparative Analysis, Tesco United Kingdom vs Republic of Ireland (Author's own construction)</w:t>
      </w:r>
    </w:p>
    <w:tbl>
      <w:tblPr>
        <w:tblStyle w:val="TableGridLight"/>
        <w:tblW w:w="5057" w:type="pct"/>
        <w:tblLook w:val="04A0" w:firstRow="1" w:lastRow="0" w:firstColumn="1" w:lastColumn="0" w:noHBand="0" w:noVBand="1"/>
      </w:tblPr>
      <w:tblGrid>
        <w:gridCol w:w="2316"/>
        <w:gridCol w:w="2512"/>
        <w:gridCol w:w="2391"/>
        <w:gridCol w:w="1509"/>
      </w:tblGrid>
      <w:tr w:rsidR="00F36834" w:rsidRPr="00F36834" w14:paraId="4D44BC93" w14:textId="77777777" w:rsidTr="00F36834">
        <w:trPr>
          <w:tblHeader/>
        </w:trPr>
        <w:tc>
          <w:tcPr>
            <w:tcW w:w="1132" w:type="pct"/>
            <w:hideMark/>
          </w:tcPr>
          <w:p w14:paraId="34F8BEE9" w14:textId="77777777" w:rsidR="00F36834" w:rsidRPr="00F36834" w:rsidRDefault="00F36834" w:rsidP="00F36834">
            <w:pPr>
              <w:spacing w:after="120"/>
              <w:jc w:val="both"/>
              <w:rPr>
                <w:b/>
                <w:bCs/>
              </w:rPr>
            </w:pPr>
            <w:r w:rsidRPr="00F36834">
              <w:rPr>
                <w:b/>
                <w:bCs/>
              </w:rPr>
              <w:t>Dimension</w:t>
            </w:r>
          </w:p>
        </w:tc>
        <w:tc>
          <w:tcPr>
            <w:tcW w:w="1610" w:type="pct"/>
            <w:hideMark/>
          </w:tcPr>
          <w:p w14:paraId="45C0C936" w14:textId="77777777" w:rsidR="00F36834" w:rsidRPr="00F36834" w:rsidRDefault="00F36834" w:rsidP="00F36834">
            <w:pPr>
              <w:spacing w:after="120"/>
              <w:jc w:val="both"/>
              <w:rPr>
                <w:b/>
                <w:bCs/>
              </w:rPr>
            </w:pPr>
            <w:r w:rsidRPr="00F36834">
              <w:rPr>
                <w:b/>
                <w:bCs/>
              </w:rPr>
              <w:t>UK Position</w:t>
            </w:r>
          </w:p>
        </w:tc>
        <w:tc>
          <w:tcPr>
            <w:tcW w:w="1540" w:type="pct"/>
            <w:hideMark/>
          </w:tcPr>
          <w:p w14:paraId="0FF3EAEC" w14:textId="77777777" w:rsidR="00F36834" w:rsidRPr="00F36834" w:rsidRDefault="00F36834" w:rsidP="00F36834">
            <w:pPr>
              <w:spacing w:after="120"/>
              <w:jc w:val="both"/>
              <w:rPr>
                <w:b/>
                <w:bCs/>
              </w:rPr>
            </w:pPr>
            <w:r w:rsidRPr="00F36834">
              <w:rPr>
                <w:b/>
                <w:bCs/>
              </w:rPr>
              <w:t>Irish Position</w:t>
            </w:r>
          </w:p>
        </w:tc>
        <w:tc>
          <w:tcPr>
            <w:tcW w:w="718" w:type="pct"/>
            <w:hideMark/>
          </w:tcPr>
          <w:p w14:paraId="1B880C18" w14:textId="77777777" w:rsidR="00F36834" w:rsidRPr="00F36834" w:rsidRDefault="00F36834" w:rsidP="00F36834">
            <w:pPr>
              <w:spacing w:after="120"/>
              <w:jc w:val="both"/>
              <w:rPr>
                <w:b/>
                <w:bCs/>
              </w:rPr>
            </w:pPr>
            <w:r w:rsidRPr="00F36834">
              <w:rPr>
                <w:b/>
                <w:bCs/>
              </w:rPr>
              <w:t>What It Means Strategically</w:t>
            </w:r>
          </w:p>
        </w:tc>
      </w:tr>
      <w:tr w:rsidR="00F36834" w:rsidRPr="00F36834" w14:paraId="421379EC" w14:textId="77777777" w:rsidTr="00F36834">
        <w:tc>
          <w:tcPr>
            <w:tcW w:w="1132" w:type="pct"/>
            <w:hideMark/>
          </w:tcPr>
          <w:p w14:paraId="610334A8" w14:textId="77777777" w:rsidR="00F36834" w:rsidRPr="00F36834" w:rsidRDefault="00F36834" w:rsidP="00F36834">
            <w:pPr>
              <w:spacing w:after="120" w:line="276" w:lineRule="auto"/>
              <w:jc w:val="both"/>
              <w:rPr>
                <w:sz w:val="20"/>
                <w:szCs w:val="20"/>
              </w:rPr>
            </w:pPr>
            <w:r w:rsidRPr="00F36834">
              <w:rPr>
                <w:sz w:val="20"/>
                <w:szCs w:val="20"/>
              </w:rPr>
              <w:t>Governmental/Political</w:t>
            </w:r>
          </w:p>
        </w:tc>
        <w:tc>
          <w:tcPr>
            <w:tcW w:w="1610" w:type="pct"/>
            <w:hideMark/>
          </w:tcPr>
          <w:p w14:paraId="53080864" w14:textId="6C214438" w:rsidR="00F36834" w:rsidRPr="00F36834" w:rsidRDefault="00F36834" w:rsidP="00F36834">
            <w:pPr>
              <w:spacing w:after="120" w:line="276" w:lineRule="auto"/>
              <w:jc w:val="both"/>
              <w:rPr>
                <w:sz w:val="20"/>
                <w:szCs w:val="20"/>
              </w:rPr>
            </w:pPr>
            <w:r w:rsidRPr="00F36834">
              <w:rPr>
                <w:sz w:val="20"/>
                <w:szCs w:val="20"/>
              </w:rPr>
              <w:t xml:space="preserve">DMCC Act 2024 hands the CMA direct fining authority for consumer-law violations </w:t>
            </w:r>
            <w:r w:rsidRPr="00F36834">
              <w:rPr>
                <w:sz w:val="20"/>
                <w:szCs w:val="20"/>
              </w:rPr>
              <w:t xml:space="preserve">    </w:t>
            </w:r>
          </w:p>
        </w:tc>
        <w:tc>
          <w:tcPr>
            <w:tcW w:w="1540" w:type="pct"/>
            <w:hideMark/>
          </w:tcPr>
          <w:p w14:paraId="7636CBBA" w14:textId="53430C55" w:rsidR="00F36834" w:rsidRPr="00F36834" w:rsidRDefault="00F36834" w:rsidP="00F36834">
            <w:pPr>
              <w:spacing w:after="120" w:line="276" w:lineRule="auto"/>
              <w:jc w:val="both"/>
              <w:rPr>
                <w:sz w:val="20"/>
                <w:szCs w:val="20"/>
              </w:rPr>
            </w:pPr>
            <w:r w:rsidRPr="00F36834">
              <w:rPr>
                <w:sz w:val="20"/>
                <w:szCs w:val="20"/>
              </w:rPr>
              <w:t xml:space="preserve">Governed by the EU AI Act, where profiling of individuals is automatically deemed high-risk </w:t>
            </w:r>
          </w:p>
        </w:tc>
        <w:tc>
          <w:tcPr>
            <w:tcW w:w="718" w:type="pct"/>
            <w:hideMark/>
          </w:tcPr>
          <w:p w14:paraId="2F3291E3" w14:textId="77777777" w:rsidR="00F36834" w:rsidRPr="00F36834" w:rsidRDefault="00F36834" w:rsidP="00F36834">
            <w:pPr>
              <w:spacing w:after="120" w:line="276" w:lineRule="auto"/>
              <w:jc w:val="both"/>
              <w:rPr>
                <w:sz w:val="20"/>
                <w:szCs w:val="20"/>
              </w:rPr>
            </w:pPr>
            <w:r w:rsidRPr="00F36834">
              <w:rPr>
                <w:sz w:val="20"/>
                <w:szCs w:val="20"/>
              </w:rPr>
              <w:t>One AI tool, two entirely separate compliance obligations</w:t>
            </w:r>
          </w:p>
        </w:tc>
      </w:tr>
      <w:tr w:rsidR="00F36834" w:rsidRPr="00F36834" w14:paraId="46407917" w14:textId="77777777" w:rsidTr="00F36834">
        <w:tc>
          <w:tcPr>
            <w:tcW w:w="1132" w:type="pct"/>
            <w:hideMark/>
          </w:tcPr>
          <w:p w14:paraId="00391F04" w14:textId="77777777" w:rsidR="00F36834" w:rsidRPr="00F36834" w:rsidRDefault="00F36834" w:rsidP="00F36834">
            <w:pPr>
              <w:spacing w:after="120" w:line="276" w:lineRule="auto"/>
              <w:jc w:val="both"/>
              <w:rPr>
                <w:sz w:val="20"/>
                <w:szCs w:val="20"/>
              </w:rPr>
            </w:pPr>
            <w:r w:rsidRPr="00F36834">
              <w:rPr>
                <w:sz w:val="20"/>
                <w:szCs w:val="20"/>
              </w:rPr>
              <w:t>Financial/Economic</w:t>
            </w:r>
          </w:p>
        </w:tc>
        <w:tc>
          <w:tcPr>
            <w:tcW w:w="1610" w:type="pct"/>
            <w:hideMark/>
          </w:tcPr>
          <w:p w14:paraId="2A678C7C" w14:textId="4B997F3E" w:rsidR="00F36834" w:rsidRPr="00F36834" w:rsidRDefault="00F36834" w:rsidP="00F36834">
            <w:pPr>
              <w:spacing w:after="120" w:line="276" w:lineRule="auto"/>
              <w:jc w:val="both"/>
              <w:rPr>
                <w:sz w:val="20"/>
                <w:szCs w:val="20"/>
              </w:rPr>
            </w:pPr>
            <w:r w:rsidRPr="00F36834">
              <w:rPr>
                <w:sz w:val="20"/>
                <w:szCs w:val="20"/>
              </w:rPr>
              <w:t xml:space="preserve">Group turnover near £63.6bn; UK digital sales climbed 11% to £7bn </w:t>
            </w:r>
          </w:p>
        </w:tc>
        <w:tc>
          <w:tcPr>
            <w:tcW w:w="1540" w:type="pct"/>
            <w:hideMark/>
          </w:tcPr>
          <w:p w14:paraId="61853515" w14:textId="06E99F86" w:rsidR="00F36834" w:rsidRPr="00F36834" w:rsidRDefault="00F36834" w:rsidP="00F36834">
            <w:pPr>
              <w:spacing w:after="120" w:line="276" w:lineRule="auto"/>
              <w:jc w:val="both"/>
              <w:rPr>
                <w:sz w:val="20"/>
                <w:szCs w:val="20"/>
              </w:rPr>
            </w:pPr>
            <w:r w:rsidRPr="00F36834">
              <w:rPr>
                <w:sz w:val="20"/>
                <w:szCs w:val="20"/>
              </w:rPr>
              <w:t xml:space="preserve">Smaller overall market but Clubcard penetration reaches 87% versus 84% in the UK </w:t>
            </w:r>
          </w:p>
        </w:tc>
        <w:tc>
          <w:tcPr>
            <w:tcW w:w="718" w:type="pct"/>
            <w:hideMark/>
          </w:tcPr>
          <w:p w14:paraId="4E524C28" w14:textId="77777777" w:rsidR="00F36834" w:rsidRPr="00F36834" w:rsidRDefault="00F36834" w:rsidP="00F36834">
            <w:pPr>
              <w:spacing w:after="120" w:line="276" w:lineRule="auto"/>
              <w:jc w:val="both"/>
              <w:rPr>
                <w:sz w:val="20"/>
                <w:szCs w:val="20"/>
              </w:rPr>
            </w:pPr>
            <w:r w:rsidRPr="00F36834">
              <w:rPr>
                <w:sz w:val="20"/>
                <w:szCs w:val="20"/>
              </w:rPr>
              <w:t>Ample investment capacity, though EU-side compliance spending is set to climb</w:t>
            </w:r>
          </w:p>
        </w:tc>
      </w:tr>
      <w:tr w:rsidR="00F36834" w:rsidRPr="00F36834" w14:paraId="4539EC0F" w14:textId="77777777" w:rsidTr="00F36834">
        <w:tc>
          <w:tcPr>
            <w:tcW w:w="1132" w:type="pct"/>
            <w:hideMark/>
          </w:tcPr>
          <w:p w14:paraId="32724A0A" w14:textId="77777777" w:rsidR="00F36834" w:rsidRPr="00F36834" w:rsidRDefault="00F36834" w:rsidP="00F36834">
            <w:pPr>
              <w:spacing w:after="120" w:line="276" w:lineRule="auto"/>
              <w:jc w:val="both"/>
              <w:rPr>
                <w:sz w:val="20"/>
                <w:szCs w:val="20"/>
              </w:rPr>
            </w:pPr>
            <w:r w:rsidRPr="00F36834">
              <w:rPr>
                <w:sz w:val="20"/>
                <w:szCs w:val="20"/>
              </w:rPr>
              <w:t>Cultural/Social</w:t>
            </w:r>
          </w:p>
        </w:tc>
        <w:tc>
          <w:tcPr>
            <w:tcW w:w="1610" w:type="pct"/>
            <w:hideMark/>
          </w:tcPr>
          <w:p w14:paraId="658F1D93" w14:textId="2A3B92AB" w:rsidR="00F36834" w:rsidRPr="00F36834" w:rsidRDefault="00F36834" w:rsidP="00F36834">
            <w:pPr>
              <w:spacing w:after="120" w:line="276" w:lineRule="auto"/>
              <w:jc w:val="both"/>
              <w:rPr>
                <w:sz w:val="20"/>
                <w:szCs w:val="20"/>
              </w:rPr>
            </w:pPr>
            <w:r w:rsidRPr="00F36834">
              <w:rPr>
                <w:sz w:val="20"/>
                <w:szCs w:val="20"/>
              </w:rPr>
              <w:t xml:space="preserve">Customer confidence hinges on data-use transparency </w:t>
            </w:r>
          </w:p>
        </w:tc>
        <w:tc>
          <w:tcPr>
            <w:tcW w:w="1540" w:type="pct"/>
            <w:hideMark/>
          </w:tcPr>
          <w:p w14:paraId="3E6E763B" w14:textId="5AB343C4" w:rsidR="00F36834" w:rsidRPr="00F36834" w:rsidRDefault="00F36834" w:rsidP="00F36834">
            <w:pPr>
              <w:spacing w:after="120" w:line="276" w:lineRule="auto"/>
              <w:jc w:val="both"/>
              <w:rPr>
                <w:sz w:val="20"/>
                <w:szCs w:val="20"/>
              </w:rPr>
            </w:pPr>
            <w:r w:rsidRPr="00F36834">
              <w:rPr>
                <w:sz w:val="20"/>
                <w:szCs w:val="20"/>
              </w:rPr>
              <w:t xml:space="preserve">Comparable dynamic, amplified by a stronger EU privacy culture </w:t>
            </w:r>
          </w:p>
        </w:tc>
        <w:tc>
          <w:tcPr>
            <w:tcW w:w="718" w:type="pct"/>
            <w:hideMark/>
          </w:tcPr>
          <w:p w14:paraId="2EBA8981" w14:textId="77777777" w:rsidR="00F36834" w:rsidRPr="00F36834" w:rsidRDefault="00F36834" w:rsidP="00F36834">
            <w:pPr>
              <w:spacing w:after="120" w:line="276" w:lineRule="auto"/>
              <w:jc w:val="both"/>
              <w:rPr>
                <w:sz w:val="20"/>
                <w:szCs w:val="20"/>
              </w:rPr>
            </w:pPr>
            <w:r w:rsidRPr="00F36834">
              <w:rPr>
                <w:sz w:val="20"/>
                <w:szCs w:val="20"/>
              </w:rPr>
              <w:t>Messaging strategy must be tailored separately for each market</w:t>
            </w:r>
          </w:p>
        </w:tc>
      </w:tr>
      <w:tr w:rsidR="00F36834" w:rsidRPr="00F36834" w14:paraId="02941A44" w14:textId="77777777" w:rsidTr="00F36834">
        <w:tc>
          <w:tcPr>
            <w:tcW w:w="1132" w:type="pct"/>
            <w:hideMark/>
          </w:tcPr>
          <w:p w14:paraId="5A21DF41" w14:textId="77777777" w:rsidR="00F36834" w:rsidRPr="00F36834" w:rsidRDefault="00F36834" w:rsidP="00F36834">
            <w:pPr>
              <w:spacing w:after="120" w:line="276" w:lineRule="auto"/>
              <w:jc w:val="both"/>
              <w:rPr>
                <w:sz w:val="20"/>
                <w:szCs w:val="20"/>
              </w:rPr>
            </w:pPr>
            <w:r w:rsidRPr="00F36834">
              <w:rPr>
                <w:sz w:val="20"/>
                <w:szCs w:val="20"/>
              </w:rPr>
              <w:t>Tech Landscape</w:t>
            </w:r>
          </w:p>
        </w:tc>
        <w:tc>
          <w:tcPr>
            <w:tcW w:w="1610" w:type="pct"/>
            <w:hideMark/>
          </w:tcPr>
          <w:p w14:paraId="607E985A" w14:textId="4A766324" w:rsidR="00F36834" w:rsidRPr="00F36834" w:rsidRDefault="00F36834" w:rsidP="00F36834">
            <w:pPr>
              <w:spacing w:after="120" w:line="276" w:lineRule="auto"/>
              <w:jc w:val="both"/>
              <w:rPr>
                <w:sz w:val="20"/>
                <w:szCs w:val="20"/>
              </w:rPr>
            </w:pPr>
            <w:r w:rsidRPr="00F36834">
              <w:rPr>
                <w:sz w:val="20"/>
                <w:szCs w:val="20"/>
              </w:rPr>
              <w:t xml:space="preserve">Eagle Eye and Adobe tools are accessible to rival retailers too </w:t>
            </w:r>
          </w:p>
        </w:tc>
        <w:tc>
          <w:tcPr>
            <w:tcW w:w="1540" w:type="pct"/>
            <w:hideMark/>
          </w:tcPr>
          <w:p w14:paraId="73A7A96E" w14:textId="3AC63EAF" w:rsidR="00F36834" w:rsidRPr="00F36834" w:rsidRDefault="00F36834" w:rsidP="00F36834">
            <w:pPr>
              <w:spacing w:after="120" w:line="276" w:lineRule="auto"/>
              <w:jc w:val="both"/>
              <w:rPr>
                <w:sz w:val="20"/>
                <w:szCs w:val="20"/>
              </w:rPr>
            </w:pPr>
            <w:r w:rsidRPr="00F36834">
              <w:rPr>
                <w:sz w:val="20"/>
                <w:szCs w:val="20"/>
              </w:rPr>
              <w:t xml:space="preserve">Same underlying tools face tighter scrutiny over profiling practices </w:t>
            </w:r>
          </w:p>
        </w:tc>
        <w:tc>
          <w:tcPr>
            <w:tcW w:w="718" w:type="pct"/>
            <w:hideMark/>
          </w:tcPr>
          <w:p w14:paraId="021BE104" w14:textId="77777777" w:rsidR="00F36834" w:rsidRPr="00F36834" w:rsidRDefault="00F36834" w:rsidP="00F36834">
            <w:pPr>
              <w:spacing w:after="120" w:line="276" w:lineRule="auto"/>
              <w:jc w:val="both"/>
              <w:rPr>
                <w:sz w:val="20"/>
                <w:szCs w:val="20"/>
              </w:rPr>
            </w:pPr>
            <w:r w:rsidRPr="00F36834">
              <w:rPr>
                <w:sz w:val="20"/>
                <w:szCs w:val="20"/>
              </w:rPr>
              <w:t>Since tech is level, governance quality becomes the true edge</w:t>
            </w:r>
          </w:p>
        </w:tc>
      </w:tr>
      <w:tr w:rsidR="00F36834" w:rsidRPr="00F36834" w14:paraId="5FBFFFD5" w14:textId="77777777" w:rsidTr="00F36834">
        <w:tc>
          <w:tcPr>
            <w:tcW w:w="1132" w:type="pct"/>
            <w:hideMark/>
          </w:tcPr>
          <w:p w14:paraId="06C064F2" w14:textId="77777777" w:rsidR="00F36834" w:rsidRPr="00F36834" w:rsidRDefault="00F36834" w:rsidP="00F36834">
            <w:pPr>
              <w:spacing w:after="120" w:line="276" w:lineRule="auto"/>
              <w:jc w:val="both"/>
              <w:rPr>
                <w:sz w:val="20"/>
                <w:szCs w:val="20"/>
              </w:rPr>
            </w:pPr>
            <w:r w:rsidRPr="00F36834">
              <w:rPr>
                <w:sz w:val="20"/>
                <w:szCs w:val="20"/>
              </w:rPr>
              <w:t>Legal/Regulatory</w:t>
            </w:r>
          </w:p>
        </w:tc>
        <w:tc>
          <w:tcPr>
            <w:tcW w:w="1610" w:type="pct"/>
            <w:hideMark/>
          </w:tcPr>
          <w:p w14:paraId="1DED51E8" w14:textId="625F9AE9" w:rsidR="00F36834" w:rsidRPr="00F36834" w:rsidRDefault="00F36834" w:rsidP="00F36834">
            <w:pPr>
              <w:spacing w:after="120" w:line="276" w:lineRule="auto"/>
              <w:jc w:val="both"/>
              <w:rPr>
                <w:sz w:val="20"/>
                <w:szCs w:val="20"/>
              </w:rPr>
            </w:pPr>
            <w:r w:rsidRPr="00F36834">
              <w:rPr>
                <w:sz w:val="20"/>
                <w:szCs w:val="20"/>
              </w:rPr>
              <w:t xml:space="preserve">ICO and CMA rely on existing law with no dedicated AI statute </w:t>
            </w:r>
          </w:p>
        </w:tc>
        <w:tc>
          <w:tcPr>
            <w:tcW w:w="1540" w:type="pct"/>
            <w:hideMark/>
          </w:tcPr>
          <w:p w14:paraId="346BF3C3" w14:textId="08C6C699" w:rsidR="00F36834" w:rsidRPr="00F36834" w:rsidRDefault="00F36834" w:rsidP="00F36834">
            <w:pPr>
              <w:spacing w:after="120" w:line="276" w:lineRule="auto"/>
              <w:jc w:val="both"/>
              <w:rPr>
                <w:sz w:val="20"/>
                <w:szCs w:val="20"/>
              </w:rPr>
            </w:pPr>
            <w:r w:rsidRPr="00F36834">
              <w:rPr>
                <w:sz w:val="20"/>
                <w:szCs w:val="20"/>
              </w:rPr>
              <w:t xml:space="preserve">DPC enforces GDPR alongside AI Act duties; issued €652m in fines in 2024 </w:t>
            </w:r>
          </w:p>
        </w:tc>
        <w:tc>
          <w:tcPr>
            <w:tcW w:w="718" w:type="pct"/>
            <w:hideMark/>
          </w:tcPr>
          <w:p w14:paraId="2C73563C" w14:textId="77777777" w:rsidR="00F36834" w:rsidRPr="00F36834" w:rsidRDefault="00F36834" w:rsidP="00F36834">
            <w:pPr>
              <w:spacing w:after="120" w:line="276" w:lineRule="auto"/>
              <w:jc w:val="both"/>
              <w:rPr>
                <w:sz w:val="20"/>
                <w:szCs w:val="20"/>
              </w:rPr>
            </w:pPr>
            <w:r w:rsidRPr="00F36834">
              <w:rPr>
                <w:sz w:val="20"/>
                <w:szCs w:val="20"/>
              </w:rPr>
              <w:t>Ireland carries substantially steeper enforcement exposure</w:t>
            </w:r>
          </w:p>
        </w:tc>
      </w:tr>
      <w:tr w:rsidR="00F36834" w:rsidRPr="00F36834" w14:paraId="5D9FA322" w14:textId="77777777" w:rsidTr="00F36834">
        <w:tc>
          <w:tcPr>
            <w:tcW w:w="1132" w:type="pct"/>
            <w:hideMark/>
          </w:tcPr>
          <w:p w14:paraId="63C66585" w14:textId="77777777" w:rsidR="00F36834" w:rsidRPr="00F36834" w:rsidRDefault="00F36834" w:rsidP="00F36834">
            <w:pPr>
              <w:spacing w:after="120" w:line="276" w:lineRule="auto"/>
              <w:jc w:val="both"/>
              <w:rPr>
                <w:sz w:val="20"/>
                <w:szCs w:val="20"/>
              </w:rPr>
            </w:pPr>
            <w:r w:rsidRPr="00F36834">
              <w:rPr>
                <w:sz w:val="20"/>
                <w:szCs w:val="20"/>
              </w:rPr>
              <w:lastRenderedPageBreak/>
              <w:t>Ecological/Environmental</w:t>
            </w:r>
          </w:p>
        </w:tc>
        <w:tc>
          <w:tcPr>
            <w:tcW w:w="1610" w:type="pct"/>
            <w:hideMark/>
          </w:tcPr>
          <w:p w14:paraId="4D3182AC" w14:textId="4CBD88EA" w:rsidR="00F36834" w:rsidRPr="00F36834" w:rsidRDefault="00F36834" w:rsidP="00F36834">
            <w:pPr>
              <w:spacing w:after="120" w:line="276" w:lineRule="auto"/>
              <w:jc w:val="both"/>
              <w:rPr>
                <w:sz w:val="20"/>
                <w:szCs w:val="20"/>
              </w:rPr>
            </w:pPr>
            <w:r w:rsidRPr="00F36834">
              <w:rPr>
                <w:sz w:val="20"/>
                <w:szCs w:val="20"/>
              </w:rPr>
              <w:t xml:space="preserve">AI-based demand forecasting supports food-waste reduction </w:t>
            </w:r>
          </w:p>
        </w:tc>
        <w:tc>
          <w:tcPr>
            <w:tcW w:w="1540" w:type="pct"/>
            <w:hideMark/>
          </w:tcPr>
          <w:p w14:paraId="7F6ED4C6" w14:textId="1E3A4EBA" w:rsidR="00F36834" w:rsidRPr="00F36834" w:rsidRDefault="00F36834" w:rsidP="00F36834">
            <w:pPr>
              <w:spacing w:after="120" w:line="276" w:lineRule="auto"/>
              <w:jc w:val="both"/>
              <w:rPr>
                <w:sz w:val="20"/>
                <w:szCs w:val="20"/>
              </w:rPr>
            </w:pPr>
            <w:r w:rsidRPr="00F36834">
              <w:rPr>
                <w:sz w:val="20"/>
                <w:szCs w:val="20"/>
              </w:rPr>
              <w:t xml:space="preserve">Same systems apply, plus an added EU sustainability-reporting layer </w:t>
            </w:r>
          </w:p>
        </w:tc>
        <w:tc>
          <w:tcPr>
            <w:tcW w:w="718" w:type="pct"/>
            <w:hideMark/>
          </w:tcPr>
          <w:p w14:paraId="59E5BD65" w14:textId="77777777" w:rsidR="00F36834" w:rsidRPr="00F36834" w:rsidRDefault="00F36834" w:rsidP="00F36834">
            <w:pPr>
              <w:spacing w:after="120" w:line="276" w:lineRule="auto"/>
              <w:jc w:val="both"/>
              <w:rPr>
                <w:sz w:val="20"/>
                <w:szCs w:val="20"/>
              </w:rPr>
            </w:pPr>
            <w:r w:rsidRPr="00F36834">
              <w:rPr>
                <w:sz w:val="20"/>
                <w:szCs w:val="20"/>
              </w:rPr>
              <w:t>A minor upside rather than a core risk factor</w:t>
            </w:r>
          </w:p>
        </w:tc>
      </w:tr>
    </w:tbl>
    <w:p w14:paraId="3912EB27" w14:textId="77777777" w:rsidR="00F36834" w:rsidRDefault="00F36834">
      <w:pPr>
        <w:spacing w:after="120"/>
        <w:jc w:val="both"/>
      </w:pPr>
    </w:p>
    <w:p w14:paraId="74CA7CE4" w14:textId="5426CA01" w:rsidR="00465786" w:rsidRDefault="00465786" w:rsidP="00465786">
      <w:pPr>
        <w:jc w:val="both"/>
      </w:pPr>
      <w:r>
        <w:t xml:space="preserve">Politically, the United Kingdom has adopted a </w:t>
      </w:r>
      <w:r w:rsidR="00D067B4">
        <w:t>consumer-protection strategy rather than an AI-specific one</w:t>
      </w:r>
      <w:r>
        <w:t xml:space="preserve">. The Digital Markets, Competition and Consumers Act 2024, which was given royal assent in May 2024, grants the CMA new powers to fine for consumer law breaches without litigious proceedings (UK Government, 2024; Hill Dickinson, 2024; Slaughter and </w:t>
      </w:r>
      <w:proofErr w:type="gramStart"/>
      <w:r>
        <w:t>May,</w:t>
      </w:r>
      <w:proofErr w:type="gramEnd"/>
      <w:r>
        <w:t xml:space="preserve"> 2024; Sidley, 2024), with core protections taking effect in April 2025. The CMA has already investigated algorithmic and dynamic pricing and announced its own project on the subject in late </w:t>
      </w:r>
      <w:proofErr w:type="gramStart"/>
      <w:r>
        <w:t>2024, and</w:t>
      </w:r>
      <w:proofErr w:type="gramEnd"/>
      <w:r>
        <w:t xml:space="preserve"> released guidance in mid-2025 (Bret and </w:t>
      </w:r>
      <w:proofErr w:type="spellStart"/>
      <w:r>
        <w:t>Gielas</w:t>
      </w:r>
      <w:proofErr w:type="spellEnd"/>
      <w:r>
        <w:t>, 2025; King, 2024). In contrast, Ireland is under the more formal EU framework where any AI system that profiles natural persons will be deemed high-risk by default, regardless of the purpose claimed (European Union, 2024; Hickman et al., 2024). Ireland's Data Protection Commission, which is the regulator for many global technology platforms due to its base in the EU, imposed fines of €652 million in 2024 alone, representing over half of the EU total (Colleary, 2025; 'Ireland imposes half of all EU GDPR fines in 2024', 2025).</w:t>
      </w:r>
    </w:p>
    <w:p w14:paraId="17261A1C" w14:textId="083B15A7" w:rsidR="00465786" w:rsidRDefault="00465786" w:rsidP="00465786">
      <w:pPr>
        <w:jc w:val="both"/>
      </w:pPr>
      <w:r>
        <w:t xml:space="preserve">Economically, the scale advantage is also evident for Tesco, as group sales are around £63.6bn, with further growth projected for 2025/26 (Tesco Plc 2025; Tesco PLC 2026). The total value of online sales in the UK increased by 11% to more than £7 billion, </w:t>
      </w:r>
      <w:r w:rsidR="00D067B4">
        <w:t xml:space="preserve">with market share </w:t>
      </w:r>
      <w:r>
        <w:t>at 35.7% (Tesco PLC, 2026). UK and EU regulators see algorithmic pricing as an enforcement priority and compliance costs will likely increase, notes Morgan Lewis (2025).</w:t>
      </w:r>
    </w:p>
    <w:p w14:paraId="2BC47193" w14:textId="3E4F72A9" w:rsidR="00465786" w:rsidRDefault="00465786" w:rsidP="00465786">
      <w:pPr>
        <w:jc w:val="both"/>
      </w:pPr>
      <w:r>
        <w:t xml:space="preserve">From a social perspective, </w:t>
      </w:r>
      <w:r w:rsidR="00D067B4">
        <w:t xml:space="preserve">consumers' reactions to AI </w:t>
      </w:r>
      <w:proofErr w:type="spellStart"/>
      <w:r w:rsidR="00D067B4">
        <w:t>personalisation</w:t>
      </w:r>
      <w:proofErr w:type="spellEnd"/>
      <w:r w:rsidR="00D067B4">
        <w:t xml:space="preserve"> are largely positive</w:t>
      </w:r>
      <w:r>
        <w:t xml:space="preserve"> but contingent. Transparent data use is more likely to lead to trust than the sophistication of </w:t>
      </w:r>
      <w:proofErr w:type="spellStart"/>
      <w:r>
        <w:t>personalisation</w:t>
      </w:r>
      <w:proofErr w:type="spellEnd"/>
      <w:r>
        <w:t xml:space="preserve">, as demonstrated by Aris Wuryantini (2025). Chen, Sun and Liu (2021) </w:t>
      </w:r>
      <w:r>
        <w:lastRenderedPageBreak/>
        <w:t xml:space="preserve">also reveal that </w:t>
      </w:r>
      <w:proofErr w:type="spellStart"/>
      <w:r>
        <w:t>personalisation</w:t>
      </w:r>
      <w:proofErr w:type="spellEnd"/>
      <w:r>
        <w:t xml:space="preserve"> can provoke reactance when consumers perceive their personal information as having been used without explicit benefit. It's an issue that directly affects Clubcard, as it relies on consumers forgoing regular data collection to earn savings.</w:t>
      </w:r>
    </w:p>
    <w:p w14:paraId="2A45E03B" w14:textId="3A61F368" w:rsidR="00465786" w:rsidRDefault="00D067B4" w:rsidP="00465786">
      <w:pPr>
        <w:jc w:val="both"/>
      </w:pPr>
      <w:r>
        <w:t xml:space="preserve">At a technological level, both markets are undergoing significant evolution, albeit with similar approaches being used by Tesco and Eagle Eye (Ameen, Hosany and Paul, 2022) and by </w:t>
      </w:r>
      <w:r w:rsidR="00465786">
        <w:t xml:space="preserve">Adobe. In a now timeless discussion, Awad and Krishnan (2006) argue that the degree of </w:t>
      </w:r>
      <w:proofErr w:type="spellStart"/>
      <w:r w:rsidR="00465786">
        <w:t>personalisation</w:t>
      </w:r>
      <w:proofErr w:type="spellEnd"/>
      <w:r w:rsidR="00465786">
        <w:t xml:space="preserve"> and sophistication of the </w:t>
      </w:r>
      <w:proofErr w:type="spellStart"/>
      <w:r w:rsidR="00465786">
        <w:t>personalisation</w:t>
      </w:r>
      <w:proofErr w:type="spellEnd"/>
      <w:r w:rsidR="00465786">
        <w:t xml:space="preserve"> system does not necessarily determine consumer acceptance, but rather the level of perceived transparency.</w:t>
      </w:r>
    </w:p>
    <w:p w14:paraId="55B80A61" w14:textId="1912AFC9" w:rsidR="00465786" w:rsidRDefault="00465786" w:rsidP="00465786">
      <w:pPr>
        <w:jc w:val="both"/>
      </w:pPr>
      <w:r>
        <w:t xml:space="preserve">From a legal perspective, the split described above continues to grow. The EU AI Act has introduced a new, more comprehensive framework for the </w:t>
      </w:r>
      <w:r w:rsidR="00D067B4">
        <w:t xml:space="preserve">DPC's role that extends beyond data protection to address AI-specific obligations, whereas the UK still relies on the ICO and CMA to enforce the Act under current laws </w:t>
      </w:r>
      <w:r>
        <w:t>(ICLG, 2025; Sharma, 2026).</w:t>
      </w:r>
    </w:p>
    <w:p w14:paraId="368F023C" w14:textId="10730801" w:rsidR="00465786" w:rsidRDefault="00465786" w:rsidP="00465786">
      <w:pPr>
        <w:jc w:val="both"/>
      </w:pPr>
      <w:r>
        <w:t>Environmentally, this is the least developed of the six, but it is a true co-benefit which any governance investment based on compliance risk would understate to Tesco's board; data-driven demand forecasting is a way of reducing food waste (Tesco Plc, 2025).</w:t>
      </w:r>
    </w:p>
    <w:p w14:paraId="7B68FFF9" w14:textId="072345EF" w:rsidR="00724F2D" w:rsidRDefault="00000000">
      <w:pPr>
        <w:pStyle w:val="Heading2"/>
      </w:pPr>
      <w:bookmarkStart w:id="14" w:name="_Toc235760489"/>
      <w:bookmarkStart w:id="15" w:name="_Toc235760983"/>
      <w:r>
        <w:t xml:space="preserve">2.5 </w:t>
      </w:r>
      <w:bookmarkEnd w:id="14"/>
      <w:r w:rsidR="00AA419E" w:rsidRPr="00AA419E">
        <w:t>The impact of AI on Data Governance and Regulatory Compliance</w:t>
      </w:r>
      <w:bookmarkEnd w:id="15"/>
    </w:p>
    <w:p w14:paraId="3596839B" w14:textId="08430766" w:rsidR="00A22A02" w:rsidRDefault="00A22A02">
      <w:pPr>
        <w:jc w:val="both"/>
      </w:pPr>
      <w:r w:rsidRPr="00A22A02">
        <w:t>This section covers the specific risks related to Tesco's own applications of AI in data governance and regulatory compliance, as well as algorithmic decision making. Table 3 provides a summary of the main exposures identified as a risk register.</w:t>
      </w:r>
    </w:p>
    <w:p w14:paraId="20311E6F" w14:textId="77777777" w:rsidR="00724F2D" w:rsidRDefault="00000000">
      <w:pPr>
        <w:spacing w:after="120"/>
        <w:jc w:val="both"/>
      </w:pPr>
      <w:r>
        <w:rPr>
          <w:i/>
          <w:sz w:val="22"/>
        </w:rPr>
        <w:t>Table 3: AI Risk Register, Data Governance and Regulatory Exposure (Author's own construction)</w:t>
      </w:r>
    </w:p>
    <w:tbl>
      <w:tblPr>
        <w:tblStyle w:val="PlainTable1"/>
        <w:tblW w:w="5000" w:type="pct"/>
        <w:tblLook w:val="04A0" w:firstRow="1" w:lastRow="0" w:firstColumn="1" w:lastColumn="0" w:noHBand="0" w:noVBand="1"/>
      </w:tblPr>
      <w:tblGrid>
        <w:gridCol w:w="1609"/>
        <w:gridCol w:w="2618"/>
        <w:gridCol w:w="1183"/>
        <w:gridCol w:w="916"/>
        <w:gridCol w:w="2304"/>
      </w:tblGrid>
      <w:tr w:rsidR="005E28E9" w:rsidRPr="005E28E9" w14:paraId="6C105EE5" w14:textId="77777777" w:rsidTr="005E28E9">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0EFB73BD" w14:textId="77777777" w:rsidR="005E28E9" w:rsidRPr="005E28E9" w:rsidRDefault="005E28E9" w:rsidP="005E28E9">
            <w:pPr>
              <w:spacing w:after="200" w:line="276" w:lineRule="auto"/>
              <w:rPr>
                <w:sz w:val="20"/>
                <w:szCs w:val="20"/>
              </w:rPr>
            </w:pPr>
            <w:r w:rsidRPr="005E28E9">
              <w:rPr>
                <w:sz w:val="20"/>
                <w:szCs w:val="20"/>
              </w:rPr>
              <w:t>Exposure Area</w:t>
            </w:r>
          </w:p>
        </w:tc>
        <w:tc>
          <w:tcPr>
            <w:tcW w:w="0" w:type="auto"/>
            <w:hideMark/>
          </w:tcPr>
          <w:p w14:paraId="5F93C557" w14:textId="77777777" w:rsidR="005E28E9" w:rsidRPr="005E28E9" w:rsidRDefault="005E28E9" w:rsidP="005E28E9">
            <w:pPr>
              <w:spacing w:after="200" w:line="276" w:lineRule="auto"/>
              <w:cnfStyle w:val="100000000000" w:firstRow="1" w:lastRow="0" w:firstColumn="0" w:lastColumn="0" w:oddVBand="0" w:evenVBand="0" w:oddHBand="0" w:evenHBand="0" w:firstRowFirstColumn="0" w:firstRowLastColumn="0" w:lastRowFirstColumn="0" w:lastRowLastColumn="0"/>
              <w:rPr>
                <w:sz w:val="20"/>
                <w:szCs w:val="20"/>
              </w:rPr>
            </w:pPr>
            <w:r w:rsidRPr="005E28E9">
              <w:rPr>
                <w:sz w:val="20"/>
                <w:szCs w:val="20"/>
              </w:rPr>
              <w:t>What's at Stake</w:t>
            </w:r>
          </w:p>
        </w:tc>
        <w:tc>
          <w:tcPr>
            <w:tcW w:w="0" w:type="auto"/>
            <w:hideMark/>
          </w:tcPr>
          <w:p w14:paraId="430696D6" w14:textId="77777777" w:rsidR="005E28E9" w:rsidRPr="005E28E9" w:rsidRDefault="005E28E9" w:rsidP="005E28E9">
            <w:pPr>
              <w:spacing w:after="200" w:line="276" w:lineRule="auto"/>
              <w:cnfStyle w:val="100000000000" w:firstRow="1" w:lastRow="0" w:firstColumn="0" w:lastColumn="0" w:oddVBand="0" w:evenVBand="0" w:oddHBand="0" w:evenHBand="0" w:firstRowFirstColumn="0" w:firstRowLastColumn="0" w:lastRowFirstColumn="0" w:lastRowLastColumn="0"/>
              <w:rPr>
                <w:sz w:val="20"/>
                <w:szCs w:val="20"/>
              </w:rPr>
            </w:pPr>
            <w:r w:rsidRPr="005E28E9">
              <w:rPr>
                <w:sz w:val="20"/>
                <w:szCs w:val="20"/>
              </w:rPr>
              <w:t>Probability</w:t>
            </w:r>
          </w:p>
        </w:tc>
        <w:tc>
          <w:tcPr>
            <w:tcW w:w="0" w:type="auto"/>
            <w:hideMark/>
          </w:tcPr>
          <w:p w14:paraId="6ED56FB9" w14:textId="77777777" w:rsidR="005E28E9" w:rsidRPr="005E28E9" w:rsidRDefault="005E28E9" w:rsidP="005E28E9">
            <w:pPr>
              <w:spacing w:after="200" w:line="276" w:lineRule="auto"/>
              <w:cnfStyle w:val="100000000000" w:firstRow="1" w:lastRow="0" w:firstColumn="0" w:lastColumn="0" w:oddVBand="0" w:evenVBand="0" w:oddHBand="0" w:evenHBand="0" w:firstRowFirstColumn="0" w:firstRowLastColumn="0" w:lastRowFirstColumn="0" w:lastRowLastColumn="0"/>
              <w:rPr>
                <w:sz w:val="20"/>
                <w:szCs w:val="20"/>
              </w:rPr>
            </w:pPr>
            <w:r w:rsidRPr="005E28E9">
              <w:rPr>
                <w:sz w:val="20"/>
                <w:szCs w:val="20"/>
              </w:rPr>
              <w:t>Severity</w:t>
            </w:r>
          </w:p>
        </w:tc>
        <w:tc>
          <w:tcPr>
            <w:tcW w:w="0" w:type="auto"/>
            <w:hideMark/>
          </w:tcPr>
          <w:p w14:paraId="0D2C0033" w14:textId="77777777" w:rsidR="005E28E9" w:rsidRPr="005E28E9" w:rsidRDefault="005E28E9" w:rsidP="005E28E9">
            <w:pPr>
              <w:spacing w:after="200" w:line="276" w:lineRule="auto"/>
              <w:cnfStyle w:val="100000000000" w:firstRow="1" w:lastRow="0" w:firstColumn="0" w:lastColumn="0" w:oddVBand="0" w:evenVBand="0" w:oddHBand="0" w:evenHBand="0" w:firstRowFirstColumn="0" w:firstRowLastColumn="0" w:lastRowFirstColumn="0" w:lastRowLastColumn="0"/>
              <w:rPr>
                <w:sz w:val="20"/>
                <w:szCs w:val="20"/>
              </w:rPr>
            </w:pPr>
            <w:r w:rsidRPr="005E28E9">
              <w:rPr>
                <w:sz w:val="20"/>
                <w:szCs w:val="20"/>
              </w:rPr>
              <w:t>Suggested Safeguard</w:t>
            </w:r>
          </w:p>
        </w:tc>
      </w:tr>
      <w:tr w:rsidR="005E28E9" w:rsidRPr="005E28E9" w14:paraId="4E2B0D29" w14:textId="77777777" w:rsidTr="005E2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156423" w14:textId="77777777" w:rsidR="005E28E9" w:rsidRPr="005E28E9" w:rsidRDefault="005E28E9" w:rsidP="005E28E9">
            <w:pPr>
              <w:spacing w:after="200" w:line="276" w:lineRule="auto"/>
              <w:rPr>
                <w:sz w:val="20"/>
                <w:szCs w:val="20"/>
              </w:rPr>
            </w:pPr>
            <w:r w:rsidRPr="005E28E9">
              <w:rPr>
                <w:sz w:val="20"/>
                <w:szCs w:val="20"/>
              </w:rPr>
              <w:t>Data pipeline integrity</w:t>
            </w:r>
          </w:p>
        </w:tc>
        <w:tc>
          <w:tcPr>
            <w:tcW w:w="0" w:type="auto"/>
            <w:hideMark/>
          </w:tcPr>
          <w:p w14:paraId="0EAF70C1" w14:textId="4CD66294" w:rsidR="005E28E9" w:rsidRPr="005E28E9" w:rsidRDefault="005E28E9" w:rsidP="005E28E9">
            <w:pPr>
              <w:spacing w:after="200" w:line="276" w:lineRule="auto"/>
              <w:cnfStyle w:val="000000100000" w:firstRow="0" w:lastRow="0" w:firstColumn="0" w:lastColumn="0" w:oddVBand="0" w:evenVBand="0" w:oddHBand="1" w:evenHBand="0" w:firstRowFirstColumn="0" w:firstRowLastColumn="0" w:lastRowFirstColumn="0" w:lastRowLastColumn="0"/>
              <w:rPr>
                <w:sz w:val="20"/>
                <w:szCs w:val="20"/>
              </w:rPr>
            </w:pPr>
            <w:r w:rsidRPr="005E28E9">
              <w:rPr>
                <w:sz w:val="20"/>
                <w:szCs w:val="20"/>
              </w:rPr>
              <w:t xml:space="preserve">Weak data quality damages forecasting accuracy and </w:t>
            </w:r>
            <w:proofErr w:type="spellStart"/>
            <w:r w:rsidRPr="005E28E9">
              <w:rPr>
                <w:sz w:val="20"/>
                <w:szCs w:val="20"/>
              </w:rPr>
              <w:t>personalisation</w:t>
            </w:r>
            <w:proofErr w:type="spellEnd"/>
            <w:r w:rsidRPr="005E28E9">
              <w:rPr>
                <w:sz w:val="20"/>
                <w:szCs w:val="20"/>
              </w:rPr>
              <w:t xml:space="preserve"> precision </w:t>
            </w:r>
          </w:p>
        </w:tc>
        <w:tc>
          <w:tcPr>
            <w:tcW w:w="0" w:type="auto"/>
            <w:hideMark/>
          </w:tcPr>
          <w:p w14:paraId="7B854E03" w14:textId="77777777" w:rsidR="005E28E9" w:rsidRPr="005E28E9" w:rsidRDefault="005E28E9" w:rsidP="005E28E9">
            <w:pPr>
              <w:spacing w:after="200" w:line="276" w:lineRule="auto"/>
              <w:cnfStyle w:val="000000100000" w:firstRow="0" w:lastRow="0" w:firstColumn="0" w:lastColumn="0" w:oddVBand="0" w:evenVBand="0" w:oddHBand="1" w:evenHBand="0" w:firstRowFirstColumn="0" w:firstRowLastColumn="0" w:lastRowFirstColumn="0" w:lastRowLastColumn="0"/>
              <w:rPr>
                <w:sz w:val="20"/>
                <w:szCs w:val="20"/>
              </w:rPr>
            </w:pPr>
            <w:r w:rsidRPr="005E28E9">
              <w:rPr>
                <w:sz w:val="20"/>
                <w:szCs w:val="20"/>
              </w:rPr>
              <w:t>Medium</w:t>
            </w:r>
          </w:p>
        </w:tc>
        <w:tc>
          <w:tcPr>
            <w:tcW w:w="0" w:type="auto"/>
            <w:hideMark/>
          </w:tcPr>
          <w:p w14:paraId="440EC83E" w14:textId="77777777" w:rsidR="005E28E9" w:rsidRPr="005E28E9" w:rsidRDefault="005E28E9" w:rsidP="005E28E9">
            <w:pPr>
              <w:spacing w:after="200" w:line="276" w:lineRule="auto"/>
              <w:cnfStyle w:val="000000100000" w:firstRow="0" w:lastRow="0" w:firstColumn="0" w:lastColumn="0" w:oddVBand="0" w:evenVBand="0" w:oddHBand="1" w:evenHBand="0" w:firstRowFirstColumn="0" w:firstRowLastColumn="0" w:lastRowFirstColumn="0" w:lastRowLastColumn="0"/>
              <w:rPr>
                <w:sz w:val="20"/>
                <w:szCs w:val="20"/>
              </w:rPr>
            </w:pPr>
            <w:r w:rsidRPr="005E28E9">
              <w:rPr>
                <w:sz w:val="20"/>
                <w:szCs w:val="20"/>
              </w:rPr>
              <w:t>High</w:t>
            </w:r>
          </w:p>
        </w:tc>
        <w:tc>
          <w:tcPr>
            <w:tcW w:w="0" w:type="auto"/>
            <w:hideMark/>
          </w:tcPr>
          <w:p w14:paraId="0624D5CF" w14:textId="5298D955" w:rsidR="005E28E9" w:rsidRPr="005E28E9" w:rsidRDefault="005E28E9" w:rsidP="005E28E9">
            <w:pPr>
              <w:spacing w:after="200" w:line="276" w:lineRule="auto"/>
              <w:cnfStyle w:val="000000100000" w:firstRow="0" w:lastRow="0" w:firstColumn="0" w:lastColumn="0" w:oddVBand="0" w:evenVBand="0" w:oddHBand="1" w:evenHBand="0" w:firstRowFirstColumn="0" w:firstRowLastColumn="0" w:lastRowFirstColumn="0" w:lastRowLastColumn="0"/>
              <w:rPr>
                <w:sz w:val="20"/>
                <w:szCs w:val="20"/>
              </w:rPr>
            </w:pPr>
            <w:r w:rsidRPr="005E28E9">
              <w:rPr>
                <w:sz w:val="20"/>
                <w:szCs w:val="20"/>
              </w:rPr>
              <w:t xml:space="preserve">Establish a formal governance structure with clear data-stewardship roles </w:t>
            </w:r>
          </w:p>
        </w:tc>
      </w:tr>
      <w:tr w:rsidR="005E28E9" w:rsidRPr="005E28E9" w14:paraId="3B3CC059" w14:textId="77777777" w:rsidTr="005E28E9">
        <w:tc>
          <w:tcPr>
            <w:cnfStyle w:val="001000000000" w:firstRow="0" w:lastRow="0" w:firstColumn="1" w:lastColumn="0" w:oddVBand="0" w:evenVBand="0" w:oddHBand="0" w:evenHBand="0" w:firstRowFirstColumn="0" w:firstRowLastColumn="0" w:lastRowFirstColumn="0" w:lastRowLastColumn="0"/>
            <w:tcW w:w="0" w:type="auto"/>
            <w:hideMark/>
          </w:tcPr>
          <w:p w14:paraId="64A4C91D" w14:textId="77777777" w:rsidR="005E28E9" w:rsidRPr="005E28E9" w:rsidRDefault="005E28E9" w:rsidP="005E28E9">
            <w:pPr>
              <w:spacing w:after="200" w:line="276" w:lineRule="auto"/>
              <w:rPr>
                <w:sz w:val="20"/>
                <w:szCs w:val="20"/>
              </w:rPr>
            </w:pPr>
            <w:r w:rsidRPr="005E28E9">
              <w:rPr>
                <w:sz w:val="20"/>
                <w:szCs w:val="20"/>
              </w:rPr>
              <w:t>Irish high-risk profiling status</w:t>
            </w:r>
          </w:p>
        </w:tc>
        <w:tc>
          <w:tcPr>
            <w:tcW w:w="0" w:type="auto"/>
            <w:hideMark/>
          </w:tcPr>
          <w:p w14:paraId="20C45AF8" w14:textId="4AFB3B8B" w:rsidR="005E28E9" w:rsidRPr="005E28E9" w:rsidRDefault="005E28E9" w:rsidP="005E28E9">
            <w:pPr>
              <w:spacing w:after="200" w:line="276" w:lineRule="auto"/>
              <w:cnfStyle w:val="000000000000" w:firstRow="0" w:lastRow="0" w:firstColumn="0" w:lastColumn="0" w:oddVBand="0" w:evenVBand="0" w:oddHBand="0" w:evenHBand="0" w:firstRowFirstColumn="0" w:firstRowLastColumn="0" w:lastRowFirstColumn="0" w:lastRowLastColumn="0"/>
              <w:rPr>
                <w:sz w:val="20"/>
                <w:szCs w:val="20"/>
              </w:rPr>
            </w:pPr>
            <w:r w:rsidRPr="005E28E9">
              <w:rPr>
                <w:sz w:val="20"/>
                <w:szCs w:val="20"/>
              </w:rPr>
              <w:t xml:space="preserve">Clubcard's </w:t>
            </w:r>
            <w:proofErr w:type="spellStart"/>
            <w:r w:rsidRPr="005E28E9">
              <w:rPr>
                <w:sz w:val="20"/>
                <w:szCs w:val="20"/>
              </w:rPr>
              <w:t>personalisation</w:t>
            </w:r>
            <w:proofErr w:type="spellEnd"/>
            <w:r w:rsidRPr="005E28E9">
              <w:rPr>
                <w:sz w:val="20"/>
                <w:szCs w:val="20"/>
              </w:rPr>
              <w:t xml:space="preserve"> falls automatically under Article 6 high-risk rules in the EU AI Act </w:t>
            </w:r>
          </w:p>
        </w:tc>
        <w:tc>
          <w:tcPr>
            <w:tcW w:w="0" w:type="auto"/>
            <w:hideMark/>
          </w:tcPr>
          <w:p w14:paraId="27E2921E" w14:textId="77777777" w:rsidR="005E28E9" w:rsidRPr="005E28E9" w:rsidRDefault="005E28E9" w:rsidP="005E28E9">
            <w:pPr>
              <w:spacing w:after="200" w:line="276" w:lineRule="auto"/>
              <w:cnfStyle w:val="000000000000" w:firstRow="0" w:lastRow="0" w:firstColumn="0" w:lastColumn="0" w:oddVBand="0" w:evenVBand="0" w:oddHBand="0" w:evenHBand="0" w:firstRowFirstColumn="0" w:firstRowLastColumn="0" w:lastRowFirstColumn="0" w:lastRowLastColumn="0"/>
              <w:rPr>
                <w:sz w:val="20"/>
                <w:szCs w:val="20"/>
              </w:rPr>
            </w:pPr>
            <w:r w:rsidRPr="005E28E9">
              <w:rPr>
                <w:sz w:val="20"/>
                <w:szCs w:val="20"/>
              </w:rPr>
              <w:t>High</w:t>
            </w:r>
          </w:p>
        </w:tc>
        <w:tc>
          <w:tcPr>
            <w:tcW w:w="0" w:type="auto"/>
            <w:hideMark/>
          </w:tcPr>
          <w:p w14:paraId="3A0C6151" w14:textId="77777777" w:rsidR="005E28E9" w:rsidRPr="005E28E9" w:rsidRDefault="005E28E9" w:rsidP="005E28E9">
            <w:pPr>
              <w:spacing w:after="200" w:line="276" w:lineRule="auto"/>
              <w:cnfStyle w:val="000000000000" w:firstRow="0" w:lastRow="0" w:firstColumn="0" w:lastColumn="0" w:oddVBand="0" w:evenVBand="0" w:oddHBand="0" w:evenHBand="0" w:firstRowFirstColumn="0" w:firstRowLastColumn="0" w:lastRowFirstColumn="0" w:lastRowLastColumn="0"/>
              <w:rPr>
                <w:sz w:val="20"/>
                <w:szCs w:val="20"/>
              </w:rPr>
            </w:pPr>
            <w:r w:rsidRPr="005E28E9">
              <w:rPr>
                <w:sz w:val="20"/>
                <w:szCs w:val="20"/>
              </w:rPr>
              <w:t>High</w:t>
            </w:r>
          </w:p>
        </w:tc>
        <w:tc>
          <w:tcPr>
            <w:tcW w:w="0" w:type="auto"/>
            <w:hideMark/>
          </w:tcPr>
          <w:p w14:paraId="07FE20CB" w14:textId="23280D74" w:rsidR="005E28E9" w:rsidRPr="005E28E9" w:rsidRDefault="005E28E9" w:rsidP="005E28E9">
            <w:pPr>
              <w:spacing w:after="200" w:line="276" w:lineRule="auto"/>
              <w:cnfStyle w:val="000000000000" w:firstRow="0" w:lastRow="0" w:firstColumn="0" w:lastColumn="0" w:oddVBand="0" w:evenVBand="0" w:oddHBand="0" w:evenHBand="0" w:firstRowFirstColumn="0" w:firstRowLastColumn="0" w:lastRowFirstColumn="0" w:lastRowLastColumn="0"/>
              <w:rPr>
                <w:sz w:val="20"/>
                <w:szCs w:val="20"/>
              </w:rPr>
            </w:pPr>
            <w:r w:rsidRPr="005E28E9">
              <w:rPr>
                <w:sz w:val="20"/>
                <w:szCs w:val="20"/>
              </w:rPr>
              <w:t xml:space="preserve">Build a documentation, transparency and human-oversight </w:t>
            </w:r>
            <w:proofErr w:type="spellStart"/>
            <w:r w:rsidRPr="005E28E9">
              <w:rPr>
                <w:sz w:val="20"/>
                <w:szCs w:val="20"/>
              </w:rPr>
              <w:t>programme</w:t>
            </w:r>
            <w:proofErr w:type="spellEnd"/>
            <w:r w:rsidRPr="005E28E9">
              <w:rPr>
                <w:sz w:val="20"/>
                <w:szCs w:val="20"/>
              </w:rPr>
              <w:t xml:space="preserve"> specific to Irish operations </w:t>
            </w:r>
          </w:p>
        </w:tc>
      </w:tr>
      <w:tr w:rsidR="005E28E9" w:rsidRPr="005E28E9" w14:paraId="393D90E4" w14:textId="77777777" w:rsidTr="005E2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ABDD71" w14:textId="77777777" w:rsidR="005E28E9" w:rsidRPr="005E28E9" w:rsidRDefault="005E28E9" w:rsidP="005E28E9">
            <w:pPr>
              <w:spacing w:after="200" w:line="276" w:lineRule="auto"/>
              <w:rPr>
                <w:sz w:val="20"/>
                <w:szCs w:val="20"/>
              </w:rPr>
            </w:pPr>
            <w:r w:rsidRPr="005E28E9">
              <w:rPr>
                <w:sz w:val="20"/>
                <w:szCs w:val="20"/>
              </w:rPr>
              <w:lastRenderedPageBreak/>
              <w:t>Pricing-algorithm collusion concerns</w:t>
            </w:r>
          </w:p>
        </w:tc>
        <w:tc>
          <w:tcPr>
            <w:tcW w:w="0" w:type="auto"/>
            <w:hideMark/>
          </w:tcPr>
          <w:p w14:paraId="705AF9FC" w14:textId="13BA9894" w:rsidR="005E28E9" w:rsidRPr="005E28E9" w:rsidRDefault="005E28E9" w:rsidP="005E28E9">
            <w:pPr>
              <w:spacing w:after="200" w:line="276" w:lineRule="auto"/>
              <w:cnfStyle w:val="000000100000" w:firstRow="0" w:lastRow="0" w:firstColumn="0" w:lastColumn="0" w:oddVBand="0" w:evenVBand="0" w:oddHBand="1" w:evenHBand="0" w:firstRowFirstColumn="0" w:firstRowLastColumn="0" w:lastRowFirstColumn="0" w:lastRowLastColumn="0"/>
              <w:rPr>
                <w:sz w:val="20"/>
                <w:szCs w:val="20"/>
              </w:rPr>
            </w:pPr>
            <w:r w:rsidRPr="005E28E9">
              <w:rPr>
                <w:sz w:val="20"/>
                <w:szCs w:val="20"/>
              </w:rPr>
              <w:t xml:space="preserve">Shared AI pricing tools can lift margins without any explicit coordination </w:t>
            </w:r>
          </w:p>
        </w:tc>
        <w:tc>
          <w:tcPr>
            <w:tcW w:w="0" w:type="auto"/>
            <w:hideMark/>
          </w:tcPr>
          <w:p w14:paraId="6D3532C1" w14:textId="77777777" w:rsidR="005E28E9" w:rsidRPr="005E28E9" w:rsidRDefault="005E28E9" w:rsidP="005E28E9">
            <w:pPr>
              <w:spacing w:after="200" w:line="276" w:lineRule="auto"/>
              <w:cnfStyle w:val="000000100000" w:firstRow="0" w:lastRow="0" w:firstColumn="0" w:lastColumn="0" w:oddVBand="0" w:evenVBand="0" w:oddHBand="1" w:evenHBand="0" w:firstRowFirstColumn="0" w:firstRowLastColumn="0" w:lastRowFirstColumn="0" w:lastRowLastColumn="0"/>
              <w:rPr>
                <w:sz w:val="20"/>
                <w:szCs w:val="20"/>
              </w:rPr>
            </w:pPr>
            <w:r w:rsidRPr="005E28E9">
              <w:rPr>
                <w:sz w:val="20"/>
                <w:szCs w:val="20"/>
              </w:rPr>
              <w:t>Low</w:t>
            </w:r>
          </w:p>
        </w:tc>
        <w:tc>
          <w:tcPr>
            <w:tcW w:w="0" w:type="auto"/>
            <w:hideMark/>
          </w:tcPr>
          <w:p w14:paraId="2CE8F9D8" w14:textId="77777777" w:rsidR="005E28E9" w:rsidRPr="005E28E9" w:rsidRDefault="005E28E9" w:rsidP="005E28E9">
            <w:pPr>
              <w:spacing w:after="200" w:line="276" w:lineRule="auto"/>
              <w:cnfStyle w:val="000000100000" w:firstRow="0" w:lastRow="0" w:firstColumn="0" w:lastColumn="0" w:oddVBand="0" w:evenVBand="0" w:oddHBand="1" w:evenHBand="0" w:firstRowFirstColumn="0" w:firstRowLastColumn="0" w:lastRowFirstColumn="0" w:lastRowLastColumn="0"/>
              <w:rPr>
                <w:sz w:val="20"/>
                <w:szCs w:val="20"/>
              </w:rPr>
            </w:pPr>
            <w:r w:rsidRPr="005E28E9">
              <w:rPr>
                <w:sz w:val="20"/>
                <w:szCs w:val="20"/>
              </w:rPr>
              <w:t>High</w:t>
            </w:r>
          </w:p>
        </w:tc>
        <w:tc>
          <w:tcPr>
            <w:tcW w:w="0" w:type="auto"/>
            <w:hideMark/>
          </w:tcPr>
          <w:p w14:paraId="00C5A452" w14:textId="787C133E" w:rsidR="005E28E9" w:rsidRPr="005E28E9" w:rsidRDefault="005E28E9" w:rsidP="005E28E9">
            <w:pPr>
              <w:spacing w:after="200" w:line="276" w:lineRule="auto"/>
              <w:cnfStyle w:val="000000100000" w:firstRow="0" w:lastRow="0" w:firstColumn="0" w:lastColumn="0" w:oddVBand="0" w:evenVBand="0" w:oddHBand="1" w:evenHBand="0" w:firstRowFirstColumn="0" w:firstRowLastColumn="0" w:lastRowFirstColumn="0" w:lastRowLastColumn="0"/>
              <w:rPr>
                <w:sz w:val="20"/>
                <w:szCs w:val="20"/>
              </w:rPr>
            </w:pPr>
            <w:r w:rsidRPr="005E28E9">
              <w:rPr>
                <w:sz w:val="20"/>
                <w:szCs w:val="20"/>
              </w:rPr>
              <w:t xml:space="preserve">Conduct a pre-launch review before adopting any AI pricing capability </w:t>
            </w:r>
          </w:p>
        </w:tc>
      </w:tr>
      <w:tr w:rsidR="005E28E9" w:rsidRPr="005E28E9" w14:paraId="7FEA6E91" w14:textId="77777777" w:rsidTr="005E28E9">
        <w:tc>
          <w:tcPr>
            <w:cnfStyle w:val="001000000000" w:firstRow="0" w:lastRow="0" w:firstColumn="1" w:lastColumn="0" w:oddVBand="0" w:evenVBand="0" w:oddHBand="0" w:evenHBand="0" w:firstRowFirstColumn="0" w:firstRowLastColumn="0" w:lastRowFirstColumn="0" w:lastRowLastColumn="0"/>
            <w:tcW w:w="0" w:type="auto"/>
            <w:hideMark/>
          </w:tcPr>
          <w:p w14:paraId="09EC5007" w14:textId="77777777" w:rsidR="005E28E9" w:rsidRPr="005E28E9" w:rsidRDefault="005E28E9" w:rsidP="005E28E9">
            <w:pPr>
              <w:spacing w:after="200" w:line="276" w:lineRule="auto"/>
              <w:rPr>
                <w:sz w:val="20"/>
                <w:szCs w:val="20"/>
              </w:rPr>
            </w:pPr>
            <w:r w:rsidRPr="005E28E9">
              <w:rPr>
                <w:sz w:val="20"/>
                <w:szCs w:val="20"/>
              </w:rPr>
              <w:t>Irish regulatory penalty risk</w:t>
            </w:r>
          </w:p>
        </w:tc>
        <w:tc>
          <w:tcPr>
            <w:tcW w:w="0" w:type="auto"/>
            <w:hideMark/>
          </w:tcPr>
          <w:p w14:paraId="49C6C946" w14:textId="0EEC20FF" w:rsidR="005E28E9" w:rsidRPr="005E28E9" w:rsidRDefault="005E28E9" w:rsidP="005E28E9">
            <w:pPr>
              <w:spacing w:after="200" w:line="276" w:lineRule="auto"/>
              <w:cnfStyle w:val="000000000000" w:firstRow="0" w:lastRow="0" w:firstColumn="0" w:lastColumn="0" w:oddVBand="0" w:evenVBand="0" w:oddHBand="0" w:evenHBand="0" w:firstRowFirstColumn="0" w:firstRowLastColumn="0" w:lastRowFirstColumn="0" w:lastRowLastColumn="0"/>
              <w:rPr>
                <w:sz w:val="20"/>
                <w:szCs w:val="20"/>
              </w:rPr>
            </w:pPr>
            <w:r w:rsidRPr="005E28E9">
              <w:rPr>
                <w:sz w:val="20"/>
                <w:szCs w:val="20"/>
              </w:rPr>
              <w:t xml:space="preserve">The DPC has levied fines as high as €310m for similar profiling/advertising activity </w:t>
            </w:r>
          </w:p>
        </w:tc>
        <w:tc>
          <w:tcPr>
            <w:tcW w:w="0" w:type="auto"/>
            <w:hideMark/>
          </w:tcPr>
          <w:p w14:paraId="6A246D20" w14:textId="77777777" w:rsidR="005E28E9" w:rsidRPr="005E28E9" w:rsidRDefault="005E28E9" w:rsidP="005E28E9">
            <w:pPr>
              <w:spacing w:after="200" w:line="276" w:lineRule="auto"/>
              <w:cnfStyle w:val="000000000000" w:firstRow="0" w:lastRow="0" w:firstColumn="0" w:lastColumn="0" w:oddVBand="0" w:evenVBand="0" w:oddHBand="0" w:evenHBand="0" w:firstRowFirstColumn="0" w:firstRowLastColumn="0" w:lastRowFirstColumn="0" w:lastRowLastColumn="0"/>
              <w:rPr>
                <w:sz w:val="20"/>
                <w:szCs w:val="20"/>
              </w:rPr>
            </w:pPr>
            <w:r w:rsidRPr="005E28E9">
              <w:rPr>
                <w:sz w:val="20"/>
                <w:szCs w:val="20"/>
              </w:rPr>
              <w:t>Medium</w:t>
            </w:r>
          </w:p>
        </w:tc>
        <w:tc>
          <w:tcPr>
            <w:tcW w:w="0" w:type="auto"/>
            <w:hideMark/>
          </w:tcPr>
          <w:p w14:paraId="127B57A5" w14:textId="77777777" w:rsidR="005E28E9" w:rsidRPr="005E28E9" w:rsidRDefault="005E28E9" w:rsidP="005E28E9">
            <w:pPr>
              <w:spacing w:after="200" w:line="276" w:lineRule="auto"/>
              <w:cnfStyle w:val="000000000000" w:firstRow="0" w:lastRow="0" w:firstColumn="0" w:lastColumn="0" w:oddVBand="0" w:evenVBand="0" w:oddHBand="0" w:evenHBand="0" w:firstRowFirstColumn="0" w:firstRowLastColumn="0" w:lastRowFirstColumn="0" w:lastRowLastColumn="0"/>
              <w:rPr>
                <w:sz w:val="20"/>
                <w:szCs w:val="20"/>
              </w:rPr>
            </w:pPr>
            <w:r w:rsidRPr="005E28E9">
              <w:rPr>
                <w:sz w:val="20"/>
                <w:szCs w:val="20"/>
              </w:rPr>
              <w:t>High</w:t>
            </w:r>
          </w:p>
        </w:tc>
        <w:tc>
          <w:tcPr>
            <w:tcW w:w="0" w:type="auto"/>
            <w:hideMark/>
          </w:tcPr>
          <w:p w14:paraId="20DE0173" w14:textId="4EDCFD3E" w:rsidR="005E28E9" w:rsidRPr="005E28E9" w:rsidRDefault="005E28E9" w:rsidP="005E28E9">
            <w:pPr>
              <w:spacing w:after="200" w:line="276" w:lineRule="auto"/>
              <w:cnfStyle w:val="000000000000" w:firstRow="0" w:lastRow="0" w:firstColumn="0" w:lastColumn="0" w:oddVBand="0" w:evenVBand="0" w:oddHBand="0" w:evenHBand="0" w:firstRowFirstColumn="0" w:firstRowLastColumn="0" w:lastRowFirstColumn="0" w:lastRowLastColumn="0"/>
              <w:rPr>
                <w:sz w:val="20"/>
                <w:szCs w:val="20"/>
              </w:rPr>
            </w:pPr>
            <w:r w:rsidRPr="005E28E9">
              <w:rPr>
                <w:sz w:val="20"/>
                <w:szCs w:val="20"/>
              </w:rPr>
              <w:t xml:space="preserve">Run a dedicated compliance check for Ireland ahead of UK equivalents </w:t>
            </w:r>
          </w:p>
        </w:tc>
      </w:tr>
      <w:tr w:rsidR="005E28E9" w:rsidRPr="005E28E9" w14:paraId="248E1156" w14:textId="77777777" w:rsidTr="005E28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A0B00D" w14:textId="77777777" w:rsidR="005E28E9" w:rsidRPr="005E28E9" w:rsidRDefault="005E28E9" w:rsidP="005E28E9">
            <w:pPr>
              <w:spacing w:after="200" w:line="276" w:lineRule="auto"/>
              <w:rPr>
                <w:sz w:val="20"/>
                <w:szCs w:val="20"/>
              </w:rPr>
            </w:pPr>
            <w:r w:rsidRPr="005E28E9">
              <w:rPr>
                <w:sz w:val="20"/>
                <w:szCs w:val="20"/>
              </w:rPr>
              <w:t>UK algorithmic oversight</w:t>
            </w:r>
          </w:p>
        </w:tc>
        <w:tc>
          <w:tcPr>
            <w:tcW w:w="0" w:type="auto"/>
            <w:hideMark/>
          </w:tcPr>
          <w:p w14:paraId="328EDAD5" w14:textId="3266C8FD" w:rsidR="005E28E9" w:rsidRPr="005E28E9" w:rsidRDefault="005E28E9" w:rsidP="005E28E9">
            <w:pPr>
              <w:spacing w:after="200" w:line="276" w:lineRule="auto"/>
              <w:cnfStyle w:val="000000100000" w:firstRow="0" w:lastRow="0" w:firstColumn="0" w:lastColumn="0" w:oddVBand="0" w:evenVBand="0" w:oddHBand="1" w:evenHBand="0" w:firstRowFirstColumn="0" w:firstRowLastColumn="0" w:lastRowFirstColumn="0" w:lastRowLastColumn="0"/>
              <w:rPr>
                <w:sz w:val="20"/>
                <w:szCs w:val="20"/>
              </w:rPr>
            </w:pPr>
            <w:r w:rsidRPr="005E28E9">
              <w:rPr>
                <w:sz w:val="20"/>
                <w:szCs w:val="20"/>
              </w:rPr>
              <w:t xml:space="preserve">The CMA is actively probing data-analytics and dynamic-pricing tools </w:t>
            </w:r>
          </w:p>
        </w:tc>
        <w:tc>
          <w:tcPr>
            <w:tcW w:w="0" w:type="auto"/>
            <w:hideMark/>
          </w:tcPr>
          <w:p w14:paraId="2D6DFDBD" w14:textId="77777777" w:rsidR="005E28E9" w:rsidRPr="005E28E9" w:rsidRDefault="005E28E9" w:rsidP="005E28E9">
            <w:pPr>
              <w:spacing w:after="200" w:line="276" w:lineRule="auto"/>
              <w:cnfStyle w:val="000000100000" w:firstRow="0" w:lastRow="0" w:firstColumn="0" w:lastColumn="0" w:oddVBand="0" w:evenVBand="0" w:oddHBand="1" w:evenHBand="0" w:firstRowFirstColumn="0" w:firstRowLastColumn="0" w:lastRowFirstColumn="0" w:lastRowLastColumn="0"/>
              <w:rPr>
                <w:sz w:val="20"/>
                <w:szCs w:val="20"/>
              </w:rPr>
            </w:pPr>
            <w:r w:rsidRPr="005E28E9">
              <w:rPr>
                <w:sz w:val="20"/>
                <w:szCs w:val="20"/>
              </w:rPr>
              <w:t>Medium</w:t>
            </w:r>
          </w:p>
        </w:tc>
        <w:tc>
          <w:tcPr>
            <w:tcW w:w="0" w:type="auto"/>
            <w:hideMark/>
          </w:tcPr>
          <w:p w14:paraId="6FAC05C3" w14:textId="77777777" w:rsidR="005E28E9" w:rsidRPr="005E28E9" w:rsidRDefault="005E28E9" w:rsidP="005E28E9">
            <w:pPr>
              <w:spacing w:after="200" w:line="276" w:lineRule="auto"/>
              <w:cnfStyle w:val="000000100000" w:firstRow="0" w:lastRow="0" w:firstColumn="0" w:lastColumn="0" w:oddVBand="0" w:evenVBand="0" w:oddHBand="1" w:evenHBand="0" w:firstRowFirstColumn="0" w:firstRowLastColumn="0" w:lastRowFirstColumn="0" w:lastRowLastColumn="0"/>
              <w:rPr>
                <w:sz w:val="20"/>
                <w:szCs w:val="20"/>
              </w:rPr>
            </w:pPr>
            <w:r w:rsidRPr="005E28E9">
              <w:rPr>
                <w:sz w:val="20"/>
                <w:szCs w:val="20"/>
              </w:rPr>
              <w:t>Medium</w:t>
            </w:r>
          </w:p>
        </w:tc>
        <w:tc>
          <w:tcPr>
            <w:tcW w:w="0" w:type="auto"/>
            <w:hideMark/>
          </w:tcPr>
          <w:p w14:paraId="3565FC55" w14:textId="2C396E4C" w:rsidR="005E28E9" w:rsidRPr="005E28E9" w:rsidRDefault="005E28E9" w:rsidP="005E28E9">
            <w:pPr>
              <w:spacing w:after="200" w:line="276" w:lineRule="auto"/>
              <w:cnfStyle w:val="000000100000" w:firstRow="0" w:lastRow="0" w:firstColumn="0" w:lastColumn="0" w:oddVBand="0" w:evenVBand="0" w:oddHBand="1" w:evenHBand="0" w:firstRowFirstColumn="0" w:firstRowLastColumn="0" w:lastRowFirstColumn="0" w:lastRowLastColumn="0"/>
              <w:rPr>
                <w:sz w:val="20"/>
                <w:szCs w:val="20"/>
              </w:rPr>
            </w:pPr>
            <w:r w:rsidRPr="005E28E9">
              <w:rPr>
                <w:sz w:val="20"/>
                <w:szCs w:val="20"/>
              </w:rPr>
              <w:t xml:space="preserve">Engage early with CMA guidance before enforcement occurs </w:t>
            </w:r>
          </w:p>
        </w:tc>
      </w:tr>
      <w:tr w:rsidR="005E28E9" w:rsidRPr="005E28E9" w14:paraId="5C001895" w14:textId="77777777" w:rsidTr="005E28E9">
        <w:tc>
          <w:tcPr>
            <w:cnfStyle w:val="001000000000" w:firstRow="0" w:lastRow="0" w:firstColumn="1" w:lastColumn="0" w:oddVBand="0" w:evenVBand="0" w:oddHBand="0" w:evenHBand="0" w:firstRowFirstColumn="0" w:firstRowLastColumn="0" w:lastRowFirstColumn="0" w:lastRowLastColumn="0"/>
            <w:tcW w:w="0" w:type="auto"/>
            <w:hideMark/>
          </w:tcPr>
          <w:p w14:paraId="793BDC84" w14:textId="77777777" w:rsidR="005E28E9" w:rsidRPr="005E28E9" w:rsidRDefault="005E28E9" w:rsidP="005E28E9">
            <w:pPr>
              <w:spacing w:after="200" w:line="276" w:lineRule="auto"/>
              <w:rPr>
                <w:sz w:val="20"/>
                <w:szCs w:val="20"/>
              </w:rPr>
            </w:pPr>
            <w:r w:rsidRPr="005E28E9">
              <w:rPr>
                <w:sz w:val="20"/>
                <w:szCs w:val="20"/>
              </w:rPr>
              <w:t>Disclosure transparency shortfall</w:t>
            </w:r>
          </w:p>
        </w:tc>
        <w:tc>
          <w:tcPr>
            <w:tcW w:w="0" w:type="auto"/>
            <w:hideMark/>
          </w:tcPr>
          <w:p w14:paraId="0887B0B6" w14:textId="32493207" w:rsidR="005E28E9" w:rsidRPr="005E28E9" w:rsidRDefault="005E28E9" w:rsidP="005E28E9">
            <w:pPr>
              <w:spacing w:after="200" w:line="276" w:lineRule="auto"/>
              <w:cnfStyle w:val="000000000000" w:firstRow="0" w:lastRow="0" w:firstColumn="0" w:lastColumn="0" w:oddVBand="0" w:evenVBand="0" w:oddHBand="0" w:evenHBand="0" w:firstRowFirstColumn="0" w:firstRowLastColumn="0" w:lastRowFirstColumn="0" w:lastRowLastColumn="0"/>
              <w:rPr>
                <w:sz w:val="20"/>
                <w:szCs w:val="20"/>
              </w:rPr>
            </w:pPr>
            <w:r w:rsidRPr="005E28E9">
              <w:rPr>
                <w:sz w:val="20"/>
                <w:szCs w:val="20"/>
              </w:rPr>
              <w:t xml:space="preserve">AI risk currently lacks its own category in existing risk reporting </w:t>
            </w:r>
          </w:p>
        </w:tc>
        <w:tc>
          <w:tcPr>
            <w:tcW w:w="0" w:type="auto"/>
            <w:hideMark/>
          </w:tcPr>
          <w:p w14:paraId="5892FA3A" w14:textId="77777777" w:rsidR="005E28E9" w:rsidRPr="005E28E9" w:rsidRDefault="005E28E9" w:rsidP="005E28E9">
            <w:pPr>
              <w:spacing w:after="200" w:line="276" w:lineRule="auto"/>
              <w:cnfStyle w:val="000000000000" w:firstRow="0" w:lastRow="0" w:firstColumn="0" w:lastColumn="0" w:oddVBand="0" w:evenVBand="0" w:oddHBand="0" w:evenHBand="0" w:firstRowFirstColumn="0" w:firstRowLastColumn="0" w:lastRowFirstColumn="0" w:lastRowLastColumn="0"/>
              <w:rPr>
                <w:sz w:val="20"/>
                <w:szCs w:val="20"/>
              </w:rPr>
            </w:pPr>
            <w:r w:rsidRPr="005E28E9">
              <w:rPr>
                <w:sz w:val="20"/>
                <w:szCs w:val="20"/>
              </w:rPr>
              <w:t>Medium</w:t>
            </w:r>
          </w:p>
        </w:tc>
        <w:tc>
          <w:tcPr>
            <w:tcW w:w="0" w:type="auto"/>
            <w:hideMark/>
          </w:tcPr>
          <w:p w14:paraId="1996612F" w14:textId="77777777" w:rsidR="005E28E9" w:rsidRPr="005E28E9" w:rsidRDefault="005E28E9" w:rsidP="005E28E9">
            <w:pPr>
              <w:spacing w:after="200" w:line="276" w:lineRule="auto"/>
              <w:cnfStyle w:val="000000000000" w:firstRow="0" w:lastRow="0" w:firstColumn="0" w:lastColumn="0" w:oddVBand="0" w:evenVBand="0" w:oddHBand="0" w:evenHBand="0" w:firstRowFirstColumn="0" w:firstRowLastColumn="0" w:lastRowFirstColumn="0" w:lastRowLastColumn="0"/>
              <w:rPr>
                <w:sz w:val="20"/>
                <w:szCs w:val="20"/>
              </w:rPr>
            </w:pPr>
            <w:r w:rsidRPr="005E28E9">
              <w:rPr>
                <w:sz w:val="20"/>
                <w:szCs w:val="20"/>
              </w:rPr>
              <w:t>Medium</w:t>
            </w:r>
          </w:p>
        </w:tc>
        <w:tc>
          <w:tcPr>
            <w:tcW w:w="0" w:type="auto"/>
            <w:hideMark/>
          </w:tcPr>
          <w:p w14:paraId="391B00F2" w14:textId="3D10F6E8" w:rsidR="005E28E9" w:rsidRPr="005E28E9" w:rsidRDefault="005E28E9" w:rsidP="005E28E9">
            <w:pPr>
              <w:spacing w:after="200" w:line="276" w:lineRule="auto"/>
              <w:cnfStyle w:val="000000000000" w:firstRow="0" w:lastRow="0" w:firstColumn="0" w:lastColumn="0" w:oddVBand="0" w:evenVBand="0" w:oddHBand="0" w:evenHBand="0" w:firstRowFirstColumn="0" w:firstRowLastColumn="0" w:lastRowFirstColumn="0" w:lastRowLastColumn="0"/>
              <w:rPr>
                <w:sz w:val="20"/>
                <w:szCs w:val="20"/>
              </w:rPr>
            </w:pPr>
            <w:r w:rsidRPr="005E28E9">
              <w:rPr>
                <w:sz w:val="20"/>
                <w:szCs w:val="20"/>
              </w:rPr>
              <w:t xml:space="preserve">Create a standalone AI risk section within annual disclosures </w:t>
            </w:r>
          </w:p>
        </w:tc>
      </w:tr>
    </w:tbl>
    <w:p w14:paraId="7AFCA4DE" w14:textId="77777777" w:rsidR="00724F2D" w:rsidRDefault="00724F2D"/>
    <w:p w14:paraId="1C46A0C8" w14:textId="77777777" w:rsidR="00A22A02" w:rsidRDefault="00A22A02" w:rsidP="00A22A02">
      <w:pPr>
        <w:jc w:val="both"/>
      </w:pPr>
      <w:r>
        <w:t xml:space="preserve">All the other risks outlined in this section rely on data governance as the </w:t>
      </w:r>
      <w:proofErr w:type="gramStart"/>
      <w:r>
        <w:t>base</w:t>
      </w:r>
      <w:proofErr w:type="gramEnd"/>
      <w:r>
        <w:t xml:space="preserve">. A critical review of machine learning and deep learning approaches to demand forecasting by </w:t>
      </w:r>
      <w:proofErr w:type="spellStart"/>
      <w:r>
        <w:t>Douaioui</w:t>
      </w:r>
      <w:proofErr w:type="spellEnd"/>
      <w:r>
        <w:t xml:space="preserve"> et al., 2024, reveals that the quality and consistency of the data pipeline can be a deciding factor for the performance of models across retail, and this is the case for </w:t>
      </w:r>
      <w:proofErr w:type="spellStart"/>
      <w:r>
        <w:t>personalisation</w:t>
      </w:r>
      <w:proofErr w:type="spellEnd"/>
      <w:r>
        <w:t xml:space="preserve"> models based on Clubcard purchase history. However, a systematic review of artificial intelligence in supply chain demand planning (Walter, Ahsan and Rahman, 2025) suggests that many retailers take an attitude of 'technology as a project' when implementing AI, instead of viewing it as a continuous governance program to ensure data quality at scale.</w:t>
      </w:r>
    </w:p>
    <w:p w14:paraId="5C92D340" w14:textId="18A4BAFB" w:rsidR="00A22A02" w:rsidRDefault="00A22A02" w:rsidP="00A22A02">
      <w:pPr>
        <w:jc w:val="both"/>
      </w:pPr>
      <w:r>
        <w:t xml:space="preserve">Regulatory compliance follows in line, and there are significant variations in the job between Tesco's two primary markets. The EU AI Act applies to any profiling of natural persons, </w:t>
      </w:r>
      <w:r w:rsidR="00D067B4">
        <w:t>meaning Tesco's Irish Clubcard operation would be subject to documentation, transparency,</w:t>
      </w:r>
      <w:r>
        <w:t xml:space="preserve"> and human oversight requirements in the EU that are not currently as stringent in the UK (European Union, 2024; Sharma, 2026). The Data Protection Commission has been seen </w:t>
      </w:r>
      <w:r w:rsidR="00D067B4">
        <w:t>as prepared to levy very high penalties and has set an example by imposing a €310 million fine on</w:t>
      </w:r>
      <w:r>
        <w:t xml:space="preserve"> LinkedIn on similar grounds of </w:t>
      </w:r>
      <w:proofErr w:type="spellStart"/>
      <w:r>
        <w:t>behavioural</w:t>
      </w:r>
      <w:proofErr w:type="spellEnd"/>
      <w:r>
        <w:t xml:space="preserve"> analysis and targeted advertising in 2024 (Data Protection Commission, 2024; Colleary, 2025). The </w:t>
      </w:r>
      <w:r>
        <w:lastRenderedPageBreak/>
        <w:t>UK is not risk free, but less so: the CMA's investigation into a data analytics tool for the hotel sector indicates that it is directly interested in the very type of AI decisioning infrastructure that Clubcard Challenges (Cochrane, 2026; King, 2024) relies on.</w:t>
      </w:r>
    </w:p>
    <w:p w14:paraId="07BF19BE" w14:textId="078C9FC0" w:rsidR="00A22A02" w:rsidRDefault="00A22A02" w:rsidP="00A22A02">
      <w:pPr>
        <w:jc w:val="both"/>
      </w:pPr>
      <w:r>
        <w:t xml:space="preserve">Algorithmic risk is not limited to </w:t>
      </w:r>
      <w:proofErr w:type="spellStart"/>
      <w:proofErr w:type="gramStart"/>
      <w:r>
        <w:t>personalisation</w:t>
      </w:r>
      <w:proofErr w:type="spellEnd"/>
      <w:r>
        <w:t>,</w:t>
      </w:r>
      <w:proofErr w:type="gramEnd"/>
      <w:r>
        <w:t xml:space="preserve"> it also applies to the price. In the case of algorithmic pricing tools, as Assad et al. (2024) demonstrate in German retail fuel pricing, this can lead to higher margins without direct collusion, simply through one competitor's reliance on another that uses the same software tools. This is a form of collusion that regulators on both sides of the Irish sea see as a competition concern today (Bret and </w:t>
      </w:r>
      <w:proofErr w:type="spellStart"/>
      <w:r>
        <w:t>Gielas</w:t>
      </w:r>
      <w:proofErr w:type="spellEnd"/>
      <w:r>
        <w:t>, 2025; Morgan Lewis, 2025). Currently, there is no dynamic pricing use of AI at scale in Tesco, but if they were to decide to adopt it in the future, it would be a natural extension of their Clubcard infrastructure, thus increasing the above exposures.</w:t>
      </w:r>
    </w:p>
    <w:p w14:paraId="4D14E2DD" w14:textId="7F3E9082" w:rsidR="00A22A02" w:rsidRDefault="00A22A02" w:rsidP="00A22A02">
      <w:pPr>
        <w:jc w:val="both"/>
      </w:pPr>
      <w:r>
        <w:t xml:space="preserve">Tesco's biggest strategic balancing act here is between how fast they roll out AI and how robust the governance around it is. It is likely that the case for further development of Clubcard Challenges and </w:t>
      </w:r>
      <w:proofErr w:type="spellStart"/>
      <w:r>
        <w:t>personalised</w:t>
      </w:r>
      <w:proofErr w:type="spellEnd"/>
      <w:r>
        <w:t xml:space="preserve"> club coupons is as strong as ever, but without a commensurate data governance and regulatory alignment </w:t>
      </w:r>
      <w:proofErr w:type="spellStart"/>
      <w:r>
        <w:t>programme</w:t>
      </w:r>
      <w:proofErr w:type="spellEnd"/>
      <w:r>
        <w:t>, extending these initiatives without a corresponding advantage could prove to be a regulatory liability – especially in Ireland.</w:t>
      </w:r>
    </w:p>
    <w:p w14:paraId="105541B9" w14:textId="12825896" w:rsidR="00724F2D" w:rsidRDefault="00000000">
      <w:pPr>
        <w:pStyle w:val="Heading2"/>
      </w:pPr>
      <w:bookmarkStart w:id="16" w:name="_Toc235760490"/>
      <w:bookmarkStart w:id="17" w:name="_Toc235760984"/>
      <w:r>
        <w:t xml:space="preserve">2.6 </w:t>
      </w:r>
      <w:bookmarkEnd w:id="16"/>
      <w:r w:rsidR="00AA419E" w:rsidRPr="00AA419E">
        <w:t xml:space="preserve">Ethical AI, </w:t>
      </w:r>
      <w:proofErr w:type="spellStart"/>
      <w:r w:rsidR="00AA419E" w:rsidRPr="00AA419E">
        <w:t>Personalisation</w:t>
      </w:r>
      <w:proofErr w:type="spellEnd"/>
      <w:r w:rsidR="00AA419E" w:rsidRPr="00AA419E">
        <w:t xml:space="preserve"> and Consumer Trust</w:t>
      </w:r>
      <w:bookmarkEnd w:id="17"/>
    </w:p>
    <w:p w14:paraId="524B58F6" w14:textId="14BBE7A1" w:rsidR="00A22A02" w:rsidRDefault="00A22A02" w:rsidP="00A22A02">
      <w:pPr>
        <w:jc w:val="both"/>
      </w:pPr>
      <w:r>
        <w:t xml:space="preserve">Whether the use of AI in </w:t>
      </w:r>
      <w:proofErr w:type="spellStart"/>
      <w:r>
        <w:t>personalisation</w:t>
      </w:r>
      <w:proofErr w:type="spellEnd"/>
      <w:r>
        <w:t xml:space="preserve"> is a boon or a </w:t>
      </w:r>
      <w:proofErr w:type="gramStart"/>
      <w:r>
        <w:t>bane</w:t>
      </w:r>
      <w:proofErr w:type="gramEnd"/>
      <w:r>
        <w:t xml:space="preserve"> at Tesco will depend on how consumers perceive this approach. Ameen et al. (2022) </w:t>
      </w:r>
      <w:proofErr w:type="gramStart"/>
      <w:r>
        <w:t>define</w:t>
      </w:r>
      <w:proofErr w:type="gramEnd"/>
      <w:r>
        <w:t xml:space="preserve"> a </w:t>
      </w:r>
      <w:proofErr w:type="spellStart"/>
      <w:r>
        <w:t>personalisation</w:t>
      </w:r>
      <w:proofErr w:type="spellEnd"/>
      <w:r>
        <w:t xml:space="preserve"> privacy paradox that occurs when consumers </w:t>
      </w:r>
      <w:r w:rsidR="00D067B4">
        <w:t xml:space="preserve">use </w:t>
      </w:r>
      <w:proofErr w:type="spellStart"/>
      <w:r w:rsidR="00D067B4">
        <w:t>personalised</w:t>
      </w:r>
      <w:proofErr w:type="spellEnd"/>
      <w:r w:rsidR="00D067B4">
        <w:t xml:space="preserve"> services</w:t>
      </w:r>
      <w:r>
        <w:t xml:space="preserve"> but seem to have an uneasy relationship with the data used to provide them, echoing the Clubcard experience of penetration and public discomfort about the use of their loyalty data.</w:t>
      </w:r>
    </w:p>
    <w:p w14:paraId="2FA0C89C" w14:textId="77777777" w:rsidR="00A22A02" w:rsidRDefault="00A22A02" w:rsidP="00A22A02">
      <w:pPr>
        <w:jc w:val="both"/>
      </w:pPr>
      <w:r>
        <w:t xml:space="preserve">Pappas (2018) states that the user experience of </w:t>
      </w:r>
      <w:proofErr w:type="spellStart"/>
      <w:r>
        <w:t>personalisation</w:t>
      </w:r>
      <w:proofErr w:type="spellEnd"/>
      <w:r>
        <w:t xml:space="preserve"> is not a one-size-fits-all good concept, as it can be perceived by a Clubcard member as useful and not intrusive while being the opposite for another. Riaz, Ahmed and Jibril (2024) take this further in the context most relevant to Tesco: They conclude that the trust earned in one channel is not readily transferable to a newer channel, like the </w:t>
      </w:r>
      <w:proofErr w:type="spellStart"/>
      <w:r>
        <w:t>personalisation</w:t>
      </w:r>
      <w:proofErr w:type="spellEnd"/>
      <w:r>
        <w:t xml:space="preserve"> rollout powered by Adobe AI, and that each new channel must earn its own trust.</w:t>
      </w:r>
    </w:p>
    <w:p w14:paraId="463CCA16" w14:textId="77777777" w:rsidR="00A22A02" w:rsidRDefault="00A22A02" w:rsidP="00A22A02">
      <w:pPr>
        <w:jc w:val="both"/>
      </w:pPr>
      <w:r>
        <w:lastRenderedPageBreak/>
        <w:t>In an empirical study of AI-powered e-commerce, Hassan, Abdelraouf and El-</w:t>
      </w:r>
      <w:proofErr w:type="spellStart"/>
      <w:r>
        <w:t>Shihy</w:t>
      </w:r>
      <w:proofErr w:type="spellEnd"/>
      <w:r>
        <w:t xml:space="preserve"> (2025) demonstrate that </w:t>
      </w:r>
      <w:proofErr w:type="spellStart"/>
      <w:r>
        <w:t>personalised</w:t>
      </w:r>
      <w:proofErr w:type="spellEnd"/>
      <w:r>
        <w:t xml:space="preserve"> recommendations improve the trust-loyalty dyad only in the context of existing trust, meaning that what has been important for Tesco's Clubcard loyalty </w:t>
      </w:r>
      <w:proofErr w:type="spellStart"/>
      <w:r>
        <w:t>programme</w:t>
      </w:r>
      <w:proofErr w:type="spellEnd"/>
      <w:r>
        <w:t xml:space="preserve"> for decades is actually a prerequisite for the AI program to be successful. Aris Wuryantini (2025) comes to the same conclusion: "Transparency around the data matters more than the technical sophistication of </w:t>
      </w:r>
      <w:proofErr w:type="spellStart"/>
      <w:r>
        <w:t>personalisation</w:t>
      </w:r>
      <w:proofErr w:type="spellEnd"/>
      <w:r>
        <w:t>, when it comes to sustaining loyalty.</w:t>
      </w:r>
    </w:p>
    <w:p w14:paraId="2521776D" w14:textId="77777777" w:rsidR="00A22A02" w:rsidRDefault="00A22A02" w:rsidP="00A22A02">
      <w:pPr>
        <w:jc w:val="both"/>
      </w:pPr>
      <w:r>
        <w:t xml:space="preserve">In contrast, Chen, Sun and Liu (2021) and Awad and Krishnan (2006) both caution that an overly </w:t>
      </w:r>
      <w:proofErr w:type="spellStart"/>
      <w:r>
        <w:t>personalised</w:t>
      </w:r>
      <w:proofErr w:type="spellEnd"/>
      <w:r>
        <w:t xml:space="preserve"> interaction or inadequately explained </w:t>
      </w:r>
      <w:proofErr w:type="spellStart"/>
      <w:r>
        <w:t>personalisation</w:t>
      </w:r>
      <w:proofErr w:type="spellEnd"/>
      <w:r>
        <w:t xml:space="preserve"> can paradoxically lead to a reactance effect, whereby consumers actively object to even more data sharing, even if it is for a scheme they had originally agreed to. However, transparency mechanisms that may be incorporated into any future rollout are not an afterthought for Tesco but are directly influencing the growth or erosion of the Clubcard data resource as discussed in section 2.1.</w:t>
      </w:r>
    </w:p>
    <w:p w14:paraId="03E0618F" w14:textId="216B94E9" w:rsidR="00A22A02" w:rsidRDefault="00A22A02" w:rsidP="00A22A02">
      <w:pPr>
        <w:jc w:val="both"/>
      </w:pPr>
      <w:r>
        <w:t>The reality is that Tesco cannot view consumer trust as an asset that can be assumed after a full 30 years of Clubcard heritage. The more transparent the explanation of a recommendation is, the more likely the trust placed in it will be maintained, the research above would suggest, and this applies to each new app.</w:t>
      </w:r>
      <w:r w:rsidR="00D067B4">
        <w:t xml:space="preserve"> </w:t>
      </w:r>
      <w:r>
        <w:t>The more transparent the explanation of a recommendation is, the more likely the trust placed in it will be maintained, the above research would suggest, and this applies to each new app.</w:t>
      </w:r>
    </w:p>
    <w:p w14:paraId="2F32AFAF" w14:textId="77777777" w:rsidR="00724F2D" w:rsidRDefault="00000000">
      <w:pPr>
        <w:pStyle w:val="Heading2"/>
      </w:pPr>
      <w:bookmarkStart w:id="18" w:name="_Toc235760491"/>
      <w:bookmarkStart w:id="19" w:name="_Toc235760985"/>
      <w:r>
        <w:t>2.7 Critical Evaluation of the Frameworks Used</w:t>
      </w:r>
      <w:bookmarkEnd w:id="18"/>
      <w:bookmarkEnd w:id="19"/>
    </w:p>
    <w:p w14:paraId="06C2625A" w14:textId="4FF0D19F" w:rsidR="00A22A02" w:rsidRDefault="00A22A02" w:rsidP="00A22A02">
      <w:pPr>
        <w:jc w:val="both"/>
      </w:pPr>
      <w:r>
        <w:t>The three frameworks presented in this report should not be judged as instruments, but rather critically examined. While PESTLE is comprehensive and can stimulate a structured comparison between the UK and Ireland, Anderson (2025) notes that the framework itself is static and does not take long to go out of date, particularly in fast-changing regulatory territory like AI, and each of the six factors is not given equal weight, leaving the analyst to decide what is most important without much support from the model itself.</w:t>
      </w:r>
      <w:r w:rsidR="00D067B4">
        <w:t xml:space="preserve"> </w:t>
      </w:r>
      <w:r>
        <w:t xml:space="preserve">Pangarkar and </w:t>
      </w:r>
      <w:proofErr w:type="spellStart"/>
      <w:r>
        <w:t>Prabhudesai</w:t>
      </w:r>
      <w:proofErr w:type="spellEnd"/>
      <w:r>
        <w:t xml:space="preserve"> (2024) explain that Porter's 5 Forces model incorporates detail from the industry level, which PESTLE does not, but it has been developed for situations where there is relatively stable competition within the industry and may fail to capture the speed </w:t>
      </w:r>
      <w:r>
        <w:lastRenderedPageBreak/>
        <w:t>at which industry change, through technology partnerships, e.g. Tesco's dealings with Adobe and Eagle Eye, can alter competition and supplier relationships.</w:t>
      </w:r>
    </w:p>
    <w:p w14:paraId="6A43D363" w14:textId="6D3086C6" w:rsidR="00A22A02" w:rsidRDefault="00A22A02" w:rsidP="00A22A02">
      <w:pPr>
        <w:jc w:val="both"/>
      </w:pPr>
      <w:r>
        <w:t xml:space="preserve">Porter's Diamond </w:t>
      </w:r>
      <w:r w:rsidR="00D067B4">
        <w:t xml:space="preserve">offers an original perspective rather than merely describing markets separately, since it explains why the same firm's artificial intelligence varies between </w:t>
      </w:r>
      <w:r>
        <w:t xml:space="preserve">markets. The results obtained in this report are </w:t>
      </w:r>
      <w:proofErr w:type="gramStart"/>
      <w:r>
        <w:t>similar to</w:t>
      </w:r>
      <w:proofErr w:type="gramEnd"/>
      <w:r>
        <w:t xml:space="preserve"> those </w:t>
      </w:r>
      <w:r w:rsidR="00D067B4">
        <w:t>reported by Öz (2002) and by Chang Moon, Rugman, and Verbeke (1998)</w:t>
      </w:r>
      <w:r>
        <w:t>. The single, relatively closed national economy is not a key model driver alone, and a multinational retailer with a capability to move from one diamond to another, as appears to be the case with Tesco switching from the UK to Ireland, is another key driver of the model.</w:t>
      </w:r>
    </w:p>
    <w:p w14:paraId="6039AE5A" w14:textId="6A1ACE5C" w:rsidR="00A22A02" w:rsidRDefault="00A22A02" w:rsidP="00A22A02">
      <w:pPr>
        <w:jc w:val="both"/>
      </w:pPr>
      <w:r>
        <w:t>When viewed together, these restrictions imply that the three can be used together, but not as standalone solutions. PESTLE helps Tesco to identify the regulatory divergence, Five Forces provides the rationale for the adoption of AI to be ‘necessary to compete,’ and the Diamond gives Tesco the explanation of why the UK is ahead of Ireland in terms of capability, but none of these individually explains to Tesco what to do about the risk they create.</w:t>
      </w:r>
      <w:r w:rsidR="00D067B4">
        <w:t xml:space="preserve"> </w:t>
      </w:r>
      <w:r>
        <w:t xml:space="preserve">The triple use of three frameworks also comes with a price, as each is based on different assumptions and predates a different form of competition. One could imagine that a single, more specific, AI governance structure might be better for Tesco than three of the more general strategy tools in succession. There is no consensus in academia or practice </w:t>
      </w:r>
      <w:r w:rsidR="00D067B4">
        <w:t>on AI-specific frameworks like PESTLE, Five Forces, and the Diamond, so it is better to use existing tools and be explicit about their limitations</w:t>
      </w:r>
      <w:r>
        <w:t>.</w:t>
      </w:r>
    </w:p>
    <w:p w14:paraId="546871A8" w14:textId="77777777" w:rsidR="00724F2D" w:rsidRDefault="00000000">
      <w:pPr>
        <w:pStyle w:val="Heading1"/>
      </w:pPr>
      <w:bookmarkStart w:id="20" w:name="_Toc235760492"/>
      <w:bookmarkStart w:id="21" w:name="_Toc235760986"/>
      <w:r>
        <w:lastRenderedPageBreak/>
        <w:t>3. Implementation Plan</w:t>
      </w:r>
      <w:bookmarkEnd w:id="20"/>
      <w:bookmarkEnd w:id="21"/>
    </w:p>
    <w:p w14:paraId="446AA5FB" w14:textId="77777777" w:rsidR="00094B29" w:rsidRDefault="00094B29" w:rsidP="00094B29">
      <w:pPr>
        <w:keepNext/>
      </w:pPr>
      <w:r>
        <w:rPr>
          <w:noProof/>
        </w:rPr>
        <w:drawing>
          <wp:inline distT="0" distB="0" distL="0" distR="0" wp14:anchorId="07DA31B6" wp14:editId="438B686C">
            <wp:extent cx="5486400" cy="2287215"/>
            <wp:effectExtent l="19050" t="19050" r="19050" b="18415"/>
            <wp:docPr id="312538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538505" name=""/>
                    <pic:cNvPicPr/>
                  </pic:nvPicPr>
                  <pic:blipFill rotWithShape="1">
                    <a:blip r:embed="rId10"/>
                    <a:srcRect t="23494"/>
                    <a:stretch>
                      <a:fillRect/>
                    </a:stretch>
                  </pic:blipFill>
                  <pic:spPr bwMode="auto">
                    <a:xfrm>
                      <a:off x="0" y="0"/>
                      <a:ext cx="5486400" cy="228721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95E50E8" w14:textId="2732DF3E" w:rsidR="00724F2D" w:rsidRPr="004667CB" w:rsidRDefault="00094B29" w:rsidP="00094B29">
      <w:pPr>
        <w:pStyle w:val="Caption"/>
        <w:jc w:val="center"/>
        <w:rPr>
          <w:i/>
          <w:iCs/>
          <w:color w:val="auto"/>
          <w:sz w:val="20"/>
          <w:szCs w:val="20"/>
        </w:rPr>
      </w:pPr>
      <w:r w:rsidRPr="004667CB">
        <w:rPr>
          <w:i/>
          <w:iCs/>
          <w:color w:val="auto"/>
          <w:sz w:val="20"/>
          <w:szCs w:val="20"/>
        </w:rPr>
        <w:t xml:space="preserve">Figure </w:t>
      </w:r>
      <w:r w:rsidRPr="004667CB">
        <w:rPr>
          <w:i/>
          <w:iCs/>
          <w:color w:val="auto"/>
          <w:sz w:val="20"/>
          <w:szCs w:val="20"/>
        </w:rPr>
        <w:fldChar w:fldCharType="begin"/>
      </w:r>
      <w:r w:rsidRPr="004667CB">
        <w:rPr>
          <w:i/>
          <w:iCs/>
          <w:color w:val="auto"/>
          <w:sz w:val="20"/>
          <w:szCs w:val="20"/>
        </w:rPr>
        <w:instrText xml:space="preserve"> SEQ Figure \* ARABIC </w:instrText>
      </w:r>
      <w:r w:rsidRPr="004667CB">
        <w:rPr>
          <w:i/>
          <w:iCs/>
          <w:color w:val="auto"/>
          <w:sz w:val="20"/>
          <w:szCs w:val="20"/>
        </w:rPr>
        <w:fldChar w:fldCharType="separate"/>
      </w:r>
      <w:r w:rsidRPr="004667CB">
        <w:rPr>
          <w:i/>
          <w:iCs/>
          <w:noProof/>
          <w:color w:val="auto"/>
          <w:sz w:val="20"/>
          <w:szCs w:val="20"/>
        </w:rPr>
        <w:t>2</w:t>
      </w:r>
      <w:r w:rsidRPr="004667CB">
        <w:rPr>
          <w:i/>
          <w:iCs/>
          <w:color w:val="auto"/>
          <w:sz w:val="20"/>
          <w:szCs w:val="20"/>
        </w:rPr>
        <w:fldChar w:fldCharType="end"/>
      </w:r>
      <w:r w:rsidRPr="004667CB">
        <w:rPr>
          <w:i/>
          <w:iCs/>
          <w:color w:val="auto"/>
          <w:sz w:val="20"/>
          <w:szCs w:val="20"/>
        </w:rPr>
        <w:t>: Clubcard AI Data Flow with Governance Checkpoint Lane (source: Author)</w:t>
      </w:r>
    </w:p>
    <w:p w14:paraId="4D2C3A3C" w14:textId="77777777" w:rsidR="00094B29" w:rsidRDefault="00094B29"/>
    <w:p w14:paraId="3C5C6859" w14:textId="2324C201" w:rsidR="007B62C5" w:rsidRDefault="007B62C5">
      <w:pPr>
        <w:jc w:val="both"/>
      </w:pPr>
      <w:r w:rsidRPr="007B62C5">
        <w:t xml:space="preserve">The strategy outlined below is divided </w:t>
      </w:r>
      <w:r w:rsidR="004667CB">
        <w:t>into three phases, starting with immediate foundations for governance and then progressing towards longer-term</w:t>
      </w:r>
      <w:r w:rsidRPr="007B62C5">
        <w:t xml:space="preserve"> market positioning. It is also very explicit proactively, as it's cheaper and more credible to build the governance in advance of the EU AI Act timeline and the CMA algorithmic pricing </w:t>
      </w:r>
      <w:proofErr w:type="spellStart"/>
      <w:r w:rsidRPr="007B62C5">
        <w:t>programme</w:t>
      </w:r>
      <w:proofErr w:type="spellEnd"/>
      <w:r w:rsidRPr="007B62C5">
        <w:t xml:space="preserve"> than to create it after a regulatory finding. Cost estimates are indicative based on publicly reported costs to comparable retail governance </w:t>
      </w:r>
      <w:proofErr w:type="spellStart"/>
      <w:r w:rsidRPr="007B62C5">
        <w:t>programmes</w:t>
      </w:r>
      <w:proofErr w:type="spellEnd"/>
      <w:r w:rsidRPr="007B62C5">
        <w:t xml:space="preserve"> in the UK and Europe.</w:t>
      </w:r>
    </w:p>
    <w:p w14:paraId="7A337E51" w14:textId="77777777" w:rsidR="00724F2D" w:rsidRDefault="00000000">
      <w:pPr>
        <w:spacing w:before="280" w:after="160"/>
      </w:pPr>
      <w:r>
        <w:rPr>
          <w:b/>
          <w:sz w:val="26"/>
        </w:rPr>
        <w:t>Phase One: Governance Infrastructure (0 to 6 months)</w:t>
      </w:r>
    </w:p>
    <w:p w14:paraId="4583650D" w14:textId="5A6AFBDB" w:rsidR="007B62C5" w:rsidRDefault="007B62C5" w:rsidP="007B62C5">
      <w:pPr>
        <w:jc w:val="both"/>
      </w:pPr>
      <w:r>
        <w:t xml:space="preserve">Tesco should create a joint UK and Ireland AI Governance Board, reporting to the Group Risk Committee that is given explicit powers to stop and/or modify any Clubcard AI tool that does not comply with the AI Act's Article 6 high-risk profiling requirements (European Union, 2024). A board level structure is important because if governance does not have any enforcement powers, it is likely to be advisory, and Tesco does not need to take that risk with the Clubcard rollout, which is so vast. Cost benchmark: similar UK retail governance restructuring costs typically range between £70,000 and £100,000 in year one (first year of the project) and </w:t>
      </w:r>
      <w:r w:rsidR="00D067B4">
        <w:t>include</w:t>
      </w:r>
      <w:r>
        <w:t xml:space="preserve"> specialist hires, a </w:t>
      </w:r>
      <w:proofErr w:type="gramStart"/>
      <w:r>
        <w:t>first year</w:t>
      </w:r>
      <w:proofErr w:type="gramEnd"/>
      <w:r>
        <w:t xml:space="preserve"> risk register and legal review.</w:t>
      </w:r>
    </w:p>
    <w:p w14:paraId="5CC8716C" w14:textId="69E36033" w:rsidR="007B62C5" w:rsidRDefault="007B62C5" w:rsidP="007B62C5">
      <w:pPr>
        <w:jc w:val="both"/>
      </w:pPr>
      <w:r>
        <w:lastRenderedPageBreak/>
        <w:t xml:space="preserve">In parallel to this, Tesco should also hire an independent data quality audit to be conducted across the Clubcard pipeline with </w:t>
      </w:r>
      <w:r w:rsidR="00D067B4">
        <w:t xml:space="preserve">a </w:t>
      </w:r>
      <w:r>
        <w:t xml:space="preserve">focus on reliability risk identified by </w:t>
      </w:r>
      <w:proofErr w:type="spellStart"/>
      <w:r>
        <w:t>Douaioui</w:t>
      </w:r>
      <w:proofErr w:type="spellEnd"/>
      <w:r>
        <w:t xml:space="preserve"> et al. (2024), and Walter, Ahsan and Rahman (2025). Cost benchmark: £50,000 to £80,000, peer-to-peer with other audits reported in the UK retail technology space.</w:t>
      </w:r>
    </w:p>
    <w:p w14:paraId="3247BF72" w14:textId="77777777" w:rsidR="00724F2D" w:rsidRDefault="00000000">
      <w:pPr>
        <w:spacing w:before="280" w:after="160"/>
      </w:pPr>
      <w:r>
        <w:rPr>
          <w:b/>
          <w:sz w:val="26"/>
        </w:rPr>
        <w:t>Phase Two: Capability Development and Regulatory Engagement (6 to 18 months)</w:t>
      </w:r>
    </w:p>
    <w:p w14:paraId="79C09EAC" w14:textId="77777777" w:rsidR="007B62C5" w:rsidRDefault="007B62C5" w:rsidP="007B62C5">
      <w:pPr>
        <w:jc w:val="both"/>
      </w:pPr>
      <w:r>
        <w:t xml:space="preserve">Tesco should incorporate a transparency feature for consumers into Clubcard Challenges and its coupon </w:t>
      </w:r>
      <w:proofErr w:type="spellStart"/>
      <w:r>
        <w:t>programme</w:t>
      </w:r>
      <w:proofErr w:type="spellEnd"/>
      <w:r>
        <w:t>, making it obvious where AI has influenced a recommendation, in line with the expectations of the AI Act and trust research cited in section 2.6 (Hickman et al., 2024; Riaz, Ahmed and Jibril, 2024). Cost benchmark: €150,000-€220,000, considering engineering effort required for putting disclosure into apps and in-store interfaces in 2 markets.</w:t>
      </w:r>
    </w:p>
    <w:p w14:paraId="6F956E90" w14:textId="6D942318" w:rsidR="007B62C5" w:rsidRDefault="007B62C5" w:rsidP="007B62C5">
      <w:pPr>
        <w:jc w:val="both"/>
      </w:pPr>
      <w:r>
        <w:t xml:space="preserve">This should be accompanied by a </w:t>
      </w:r>
      <w:proofErr w:type="spellStart"/>
      <w:r>
        <w:t>formalised</w:t>
      </w:r>
      <w:proofErr w:type="spellEnd"/>
      <w:r>
        <w:t xml:space="preserve"> data governance framework with a data governance escalation path that is </w:t>
      </w:r>
      <w:proofErr w:type="spellStart"/>
      <w:r>
        <w:t>localised</w:t>
      </w:r>
      <w:proofErr w:type="spellEnd"/>
      <w:r>
        <w:t xml:space="preserve"> to Ireland, as reported by Ireland's Data Protection Commission (2024) for the data governance enforcement risk. Cost benchmark: £100,000 to £150,000. As the role of the Commission's AI Act evolves, Tesco should engage directly with the Commission rather than </w:t>
      </w:r>
      <w:proofErr w:type="gramStart"/>
      <w:r>
        <w:t>to wait</w:t>
      </w:r>
      <w:proofErr w:type="gramEnd"/>
      <w:r>
        <w:t xml:space="preserve"> for a formal inquiry (Sharma 2026; Colleary 2025).</w:t>
      </w:r>
    </w:p>
    <w:p w14:paraId="04210A00" w14:textId="77777777" w:rsidR="00724F2D" w:rsidRDefault="00000000">
      <w:pPr>
        <w:spacing w:before="280" w:after="160"/>
      </w:pPr>
      <w:r>
        <w:rPr>
          <w:b/>
          <w:sz w:val="26"/>
        </w:rPr>
        <w:t>Phase Three: Market Leadership and Governance Differentiation (18 to 36 months)</w:t>
      </w:r>
    </w:p>
    <w:p w14:paraId="281C76CD" w14:textId="7175CFE9" w:rsidR="007B62C5" w:rsidRDefault="007B62C5" w:rsidP="007B62C5">
      <w:pPr>
        <w:jc w:val="both"/>
      </w:pPr>
      <w:r>
        <w:t xml:space="preserve">Tesco should disclose an independent annual audit of its governance and </w:t>
      </w:r>
      <w:r w:rsidR="00D067B4">
        <w:t>AI use in both markets, as well as its current sustainability disclosures, to address</w:t>
      </w:r>
      <w:r>
        <w:t xml:space="preserve"> the reporting depth gap identified above. Cost benchmark: €180,000-250,000 per year, based on similar audit </w:t>
      </w:r>
      <w:proofErr w:type="spellStart"/>
      <w:r>
        <w:t>programmes</w:t>
      </w:r>
      <w:proofErr w:type="spellEnd"/>
      <w:r>
        <w:t xml:space="preserve"> of large retailers in Europe.</w:t>
      </w:r>
    </w:p>
    <w:p w14:paraId="6706679E" w14:textId="45A69042" w:rsidR="007B62C5" w:rsidRDefault="007B62C5" w:rsidP="007B62C5">
      <w:pPr>
        <w:jc w:val="both"/>
      </w:pPr>
      <w:r>
        <w:t xml:space="preserve">Future steps toward AI-powered pricing must be governed separately </w:t>
      </w:r>
      <w:proofErr w:type="gramStart"/>
      <w:r>
        <w:t>to</w:t>
      </w:r>
      <w:proofErr w:type="gramEnd"/>
      <w:r>
        <w:t xml:space="preserve"> the existing pricing infrastructure and managed with a separate risk assessment, </w:t>
      </w:r>
      <w:proofErr w:type="spellStart"/>
      <w:r>
        <w:t>recognising</w:t>
      </w:r>
      <w:proofErr w:type="spellEnd"/>
      <w:r>
        <w:t xml:space="preserve"> the concerns raised by both the UK and EU regulators about algorithmic pricing (Assad et al., 2024; Morgan Lewis, 2025). Cost benchmark: £80,000 – £120,000 for the initial assessment only. </w:t>
      </w:r>
      <w:r>
        <w:lastRenderedPageBreak/>
        <w:t xml:space="preserve">This record is likely to make Tesco the safer and more well-managed option for </w:t>
      </w:r>
      <w:proofErr w:type="spellStart"/>
      <w:r>
        <w:t>personalisation</w:t>
      </w:r>
      <w:proofErr w:type="spellEnd"/>
      <w:r>
        <w:t xml:space="preserve"> with AI compared with the other grocery stores and the discount stores, turning compliance into a competitive advantage and making it a source of differentiation.</w:t>
      </w:r>
    </w:p>
    <w:p w14:paraId="68478100" w14:textId="3F1CC7D0" w:rsidR="007B62C5" w:rsidRDefault="007B62C5" w:rsidP="007B62C5">
      <w:pPr>
        <w:jc w:val="both"/>
      </w:pPr>
      <w:r>
        <w:t>Ownership of each of the three phases is within the established framework of existing accountability the Group Data Governance Lead and Chief Data Officer for the technical work, the Head of Digital for UK and Ireland for the transparency layer and the Group Risk Committee for the long-term audit cycle consistent with the principles in section 2.5 that embedding governance within existing accountability has greater success than having an initiative of its own.</w:t>
      </w:r>
    </w:p>
    <w:p w14:paraId="278D625C" w14:textId="77777777" w:rsidR="00724F2D" w:rsidRDefault="00000000">
      <w:pPr>
        <w:pStyle w:val="Heading1"/>
      </w:pPr>
      <w:bookmarkStart w:id="22" w:name="_Toc235760493"/>
      <w:bookmarkStart w:id="23" w:name="_Toc235760987"/>
      <w:r>
        <w:t>4. Conclusion</w:t>
      </w:r>
      <w:bookmarkEnd w:id="22"/>
      <w:bookmarkEnd w:id="23"/>
    </w:p>
    <w:p w14:paraId="753BCB82" w14:textId="14F86201" w:rsidR="005D422D" w:rsidRDefault="005D422D" w:rsidP="005D422D">
      <w:pPr>
        <w:jc w:val="both"/>
      </w:pPr>
      <w:r>
        <w:t xml:space="preserve">This report has recommended Tesco on the potential dangers and opportunities arising from the company's increasing reliance on artificial intelligence for Clubcard </w:t>
      </w:r>
      <w:proofErr w:type="spellStart"/>
      <w:r>
        <w:t>personalisation</w:t>
      </w:r>
      <w:proofErr w:type="spellEnd"/>
      <w:r>
        <w:t xml:space="preserve"> between the United Kingdom and the Republic of Ireland. While the results indicated that Tesco's AI-empowered </w:t>
      </w:r>
      <w:proofErr w:type="spellStart"/>
      <w:r>
        <w:t>personalisation</w:t>
      </w:r>
      <w:proofErr w:type="spellEnd"/>
      <w:r>
        <w:t xml:space="preserve"> is rooted in a resource-based advantage, grounded in 30 years of loyalty program data, that advantage is not as well-guarded in both markets (</w:t>
      </w:r>
      <w:proofErr w:type="spellStart"/>
      <w:r>
        <w:t>Shelper</w:t>
      </w:r>
      <w:proofErr w:type="spellEnd"/>
      <w:r>
        <w:t>, 2024; Eagle Eye, 2025).</w:t>
      </w:r>
    </w:p>
    <w:p w14:paraId="11FB1F62" w14:textId="1084AB0B" w:rsidR="005D422D" w:rsidRDefault="005D422D" w:rsidP="005D422D">
      <w:pPr>
        <w:jc w:val="both"/>
      </w:pPr>
      <w:proofErr w:type="gramStart"/>
      <w:r>
        <w:t>The three frameworks each</w:t>
      </w:r>
      <w:proofErr w:type="gramEnd"/>
      <w:r>
        <w:t xml:space="preserve"> added something distinct. According to the Five Forces, AI skills are no longer a choice but a competitive must (Rahman, 2023). </w:t>
      </w:r>
      <w:proofErr w:type="gramStart"/>
      <w:r>
        <w:t>The Diamond</w:t>
      </w:r>
      <w:proofErr w:type="gramEnd"/>
      <w:r>
        <w:t xml:space="preserve"> described why the UK currently enjoys this advantage in capability terms, but warned, consistent with the views of Öz (2002) and Chang Moon, Rugman and Verbeke (1998), that this advantage may diminish as capability transfers take place between the markets where Tesco operates. However, PESTLE revealed a regulatory landscape that was more at variance than convergence – Ireland's DPC applied the GDPR as well as the high-risk classification under the AI Act, whereas a less codified but growing CMA (European Union, 2024; Cochrane, 2026) was active in the UK.</w:t>
      </w:r>
    </w:p>
    <w:p w14:paraId="2B051074" w14:textId="569FDF7A" w:rsidR="005D422D" w:rsidRDefault="005D422D" w:rsidP="005D422D">
      <w:pPr>
        <w:jc w:val="both"/>
      </w:pPr>
      <w:r>
        <w:t xml:space="preserve">The findings of the data governance and consumer trust analysis in sections 2.5 and 2.6 reiterated the following consistent message in numerous instances: technically compliance and real consumer trust are linked, but not synonymous, and strong performance of one </w:t>
      </w:r>
      <w:r>
        <w:lastRenderedPageBreak/>
        <w:t>does not guarantee the other for Tesco (Riaz, Ahmed and Jibril, 2024; Hassan, Abdelraouf and El-</w:t>
      </w:r>
      <w:proofErr w:type="spellStart"/>
      <w:r>
        <w:t>Shihy</w:t>
      </w:r>
      <w:proofErr w:type="spellEnd"/>
      <w:r>
        <w:t xml:space="preserve">, 2025). In section three, each recommendation </w:t>
      </w:r>
      <w:proofErr w:type="gramStart"/>
      <w:r>
        <w:t>had</w:t>
      </w:r>
      <w:proofErr w:type="gramEnd"/>
      <w:r>
        <w:t xml:space="preserve"> named ownership, indicative costs, and risk mitigation attached to it to address the gap between this analysis and real-world action. The analysis is limited as the internal AI governance arrangements are not directly visible from outside of the </w:t>
      </w:r>
      <w:proofErr w:type="spellStart"/>
      <w:r>
        <w:t>organisation</w:t>
      </w:r>
      <w:proofErr w:type="spellEnd"/>
      <w:r>
        <w:t>, and more comprehensive testing would involve access to internal documentation, which is beyond the scope of this report.</w:t>
      </w:r>
    </w:p>
    <w:p w14:paraId="3D9CCA2C" w14:textId="03DFB859" w:rsidR="005D422D" w:rsidRDefault="005D422D" w:rsidP="005D422D">
      <w:pPr>
        <w:jc w:val="both"/>
      </w:pPr>
      <w:r>
        <w:t xml:space="preserve">The whole argument here is that the competitive advantage Tesco has in AI-powered grocery retail will not be based on the complexity of the algorithms being developed, but if its governance can catch up with a UK and Irish regulatory landscape that will be drifting in conflicting directions. A company that can establish and be transparent and consistent in demonstrating AI systems that are fair and well governed in both markets is better positioned to establish a lasting data advantage than a company whose such advantage could be easily and rapidly </w:t>
      </w:r>
      <w:proofErr w:type="spellStart"/>
      <w:r>
        <w:t>destabilised</w:t>
      </w:r>
      <w:proofErr w:type="spellEnd"/>
      <w:r>
        <w:t xml:space="preserve"> by a single regulatory discovery in either market. The best immediate measure for Tesco to consider and take is the </w:t>
      </w:r>
      <w:proofErr w:type="gramStart"/>
      <w:r>
        <w:t>short term</w:t>
      </w:r>
      <w:proofErr w:type="gramEnd"/>
      <w:r>
        <w:t xml:space="preserve"> governance review proposed in section three, as this will either substantiate or rectify the assumptions of the whole of this report in relation to Tesco's own practices in either market before any further extension of the Clubcard AI </w:t>
      </w:r>
      <w:proofErr w:type="spellStart"/>
      <w:r>
        <w:t>programme</w:t>
      </w:r>
      <w:proofErr w:type="spellEnd"/>
      <w:r>
        <w:t xml:space="preserve"> is agreed in either market.</w:t>
      </w:r>
    </w:p>
    <w:p w14:paraId="7CF02F75" w14:textId="77777777" w:rsidR="00724F2D" w:rsidRDefault="00000000">
      <w:r>
        <w:br w:type="page"/>
      </w:r>
    </w:p>
    <w:p w14:paraId="25599B7C" w14:textId="6290B26F" w:rsidR="00724F2D" w:rsidRDefault="00AA419E">
      <w:pPr>
        <w:pStyle w:val="Heading1"/>
      </w:pPr>
      <w:bookmarkStart w:id="24" w:name="_Toc235760988"/>
      <w:r>
        <w:lastRenderedPageBreak/>
        <w:t>References</w:t>
      </w:r>
      <w:bookmarkEnd w:id="24"/>
    </w:p>
    <w:p w14:paraId="79AEA0CF" w14:textId="77777777" w:rsidR="00724F2D" w:rsidRPr="005D422D" w:rsidRDefault="00000000" w:rsidP="005D422D">
      <w:pPr>
        <w:jc w:val="both"/>
        <w:rPr>
          <w:szCs w:val="24"/>
        </w:rPr>
      </w:pPr>
      <w:r w:rsidRPr="005D422D">
        <w:rPr>
          <w:szCs w:val="24"/>
        </w:rPr>
        <w:t xml:space="preserve">Ameen, N., Hosany, S. and Paul, J. (2022) 'The personalisation-privacy paradox: Consumer interaction with smart technologies and shopping mall loyalty', Computers in Human Behavior, 126(106976). </w:t>
      </w:r>
      <w:proofErr w:type="gramStart"/>
      <w:r w:rsidRPr="005D422D">
        <w:rPr>
          <w:szCs w:val="24"/>
        </w:rPr>
        <w:t>doi:10.1016/j.chb</w:t>
      </w:r>
      <w:proofErr w:type="gramEnd"/>
      <w:r w:rsidRPr="005D422D">
        <w:rPr>
          <w:szCs w:val="24"/>
        </w:rPr>
        <w:t>.2021.106976.</w:t>
      </w:r>
    </w:p>
    <w:p w14:paraId="3B5C3151" w14:textId="77777777" w:rsidR="00724F2D" w:rsidRPr="005D422D" w:rsidRDefault="00000000" w:rsidP="005D422D">
      <w:pPr>
        <w:jc w:val="both"/>
        <w:rPr>
          <w:szCs w:val="24"/>
        </w:rPr>
      </w:pPr>
      <w:r w:rsidRPr="005D422D">
        <w:rPr>
          <w:szCs w:val="24"/>
        </w:rPr>
        <w:t>Anderson, P. (2025) 'The PESTEL framework and its variants for analysing the strategic environment: Evolution, limitations and adoption in energy policy research', SSRN. doi:10.2139/ssrn.5266562.</w:t>
      </w:r>
    </w:p>
    <w:p w14:paraId="5ADCBDAD" w14:textId="77777777" w:rsidR="00724F2D" w:rsidRPr="005D422D" w:rsidRDefault="00000000" w:rsidP="005D422D">
      <w:pPr>
        <w:jc w:val="both"/>
        <w:rPr>
          <w:szCs w:val="24"/>
        </w:rPr>
      </w:pPr>
      <w:r w:rsidRPr="005D422D">
        <w:rPr>
          <w:szCs w:val="24"/>
        </w:rPr>
        <w:t>Aris Wuryantini (2025) 'Personalization in digital marketing: Exploring its impact on consumer trust and loyalty', Management Studies and Business Journal (Productivity), 2(1), pp.1909-1922. doi:10.62207/ambq5w79.</w:t>
      </w:r>
    </w:p>
    <w:p w14:paraId="61657A1A" w14:textId="5C28AE21" w:rsidR="00724F2D" w:rsidRPr="005D422D" w:rsidRDefault="00000000" w:rsidP="005D422D">
      <w:pPr>
        <w:jc w:val="both"/>
        <w:rPr>
          <w:szCs w:val="24"/>
        </w:rPr>
      </w:pPr>
      <w:r w:rsidRPr="005D422D">
        <w:rPr>
          <w:szCs w:val="24"/>
        </w:rPr>
        <w:t xml:space="preserve">European Union (2024) Regulation (EU) 2024/1689 of the European Parliament and of the Council of 13 June 2024 laying down harmonised rules on artificial intelligence (Artificial Intelligence Act), Article 6: Classification rules for high-risk AI systems. Available at: </w:t>
      </w:r>
      <w:hyperlink r:id="rId11" w:history="1">
        <w:r w:rsidR="00D067B4" w:rsidRPr="00154B9C">
          <w:rPr>
            <w:rStyle w:val="Hyperlink"/>
            <w:szCs w:val="24"/>
          </w:rPr>
          <w:t>https://artificialintelligenceact.eu/article/6/</w:t>
        </w:r>
      </w:hyperlink>
      <w:r w:rsidR="00D067B4">
        <w:rPr>
          <w:szCs w:val="24"/>
        </w:rPr>
        <w:t xml:space="preserve"> </w:t>
      </w:r>
      <w:r w:rsidRPr="005D422D">
        <w:rPr>
          <w:szCs w:val="24"/>
        </w:rPr>
        <w:t xml:space="preserve"> (Accessed 20 July 2026).</w:t>
      </w:r>
    </w:p>
    <w:p w14:paraId="0D0A12A3" w14:textId="77777777" w:rsidR="00724F2D" w:rsidRPr="005D422D" w:rsidRDefault="00000000" w:rsidP="005D422D">
      <w:pPr>
        <w:jc w:val="both"/>
        <w:rPr>
          <w:szCs w:val="24"/>
        </w:rPr>
      </w:pPr>
      <w:r w:rsidRPr="005D422D">
        <w:rPr>
          <w:szCs w:val="24"/>
        </w:rPr>
        <w:t>Assad, S., Clark, R., Ershov, D. and Xu, L. (2024) 'Algorithmic pricing and competition: Empirical evidence from the German retail gasoline market', Journal of Political Economy, 132(3), pp.723-771. doi:10.1086/726906.</w:t>
      </w:r>
    </w:p>
    <w:p w14:paraId="5679ACDD" w14:textId="77777777" w:rsidR="00724F2D" w:rsidRPr="005D422D" w:rsidRDefault="00000000" w:rsidP="005D422D">
      <w:pPr>
        <w:jc w:val="both"/>
        <w:rPr>
          <w:szCs w:val="24"/>
        </w:rPr>
      </w:pPr>
      <w:r w:rsidRPr="005D422D">
        <w:rPr>
          <w:szCs w:val="24"/>
        </w:rPr>
        <w:t>Awad, N.F. and Krishnan, M.S. (2006) 'The personalization privacy paradox: An empirical evaluation of information transparency and the willingness to be profiled online for personalization', MIS Quarterly, 30(1), pp.13-28. doi:10.2307/25148715.</w:t>
      </w:r>
    </w:p>
    <w:p w14:paraId="14E9763A" w14:textId="77777777" w:rsidR="00724F2D" w:rsidRPr="005D422D" w:rsidRDefault="00000000" w:rsidP="005D422D">
      <w:pPr>
        <w:jc w:val="both"/>
        <w:rPr>
          <w:szCs w:val="24"/>
        </w:rPr>
      </w:pPr>
      <w:r w:rsidRPr="005D422D">
        <w:rPr>
          <w:szCs w:val="24"/>
        </w:rPr>
        <w:t>Barney, J. (1991) 'Firm resources and sustained competitive advantage', Journal of Management, 17(1), pp.99-120. doi:10.1177/014920639101700108.</w:t>
      </w:r>
    </w:p>
    <w:p w14:paraId="5B693DAD" w14:textId="1282724F" w:rsidR="00724F2D" w:rsidRPr="005D422D" w:rsidRDefault="00000000" w:rsidP="005D422D">
      <w:pPr>
        <w:jc w:val="both"/>
        <w:rPr>
          <w:szCs w:val="24"/>
        </w:rPr>
      </w:pPr>
      <w:r w:rsidRPr="005D422D">
        <w:rPr>
          <w:szCs w:val="24"/>
        </w:rPr>
        <w:t xml:space="preserve">Bret, A. and Gielas, T. (2025) 'Dynamic pricing update demonstrates CMA's proactive stance', Pinsent Masons. Available at: </w:t>
      </w:r>
      <w:hyperlink r:id="rId12" w:history="1">
        <w:r w:rsidR="00D067B4" w:rsidRPr="00154B9C">
          <w:rPr>
            <w:rStyle w:val="Hyperlink"/>
            <w:szCs w:val="24"/>
          </w:rPr>
          <w:t>https://www.pinsentmasons.com/out-law/news/dynamic-pricing-update-cmas-proactive-stance</w:t>
        </w:r>
      </w:hyperlink>
      <w:r w:rsidR="00D067B4">
        <w:rPr>
          <w:szCs w:val="24"/>
        </w:rPr>
        <w:t xml:space="preserve"> </w:t>
      </w:r>
      <w:r w:rsidRPr="005D422D">
        <w:rPr>
          <w:szCs w:val="24"/>
        </w:rPr>
        <w:t xml:space="preserve"> (Accessed 20 July 2026).</w:t>
      </w:r>
    </w:p>
    <w:p w14:paraId="6F6FEEEF" w14:textId="77777777" w:rsidR="00724F2D" w:rsidRPr="005D422D" w:rsidRDefault="00000000" w:rsidP="005D422D">
      <w:pPr>
        <w:jc w:val="both"/>
        <w:rPr>
          <w:szCs w:val="24"/>
        </w:rPr>
      </w:pPr>
      <w:r w:rsidRPr="005D422D">
        <w:rPr>
          <w:szCs w:val="24"/>
        </w:rPr>
        <w:lastRenderedPageBreak/>
        <w:t>Chang Moon, H., Rugman, A.M. and Verbeke, A. (1998) 'A generalized double diamond approach to the global competitiveness of Korea and Singapore', International Business Review, 7(2), pp.135-150. doi:10.1016/S0969-5931(98)00002-X.</w:t>
      </w:r>
    </w:p>
    <w:p w14:paraId="342E45E7" w14:textId="77777777" w:rsidR="00724F2D" w:rsidRPr="005D422D" w:rsidRDefault="00000000" w:rsidP="005D422D">
      <w:pPr>
        <w:jc w:val="both"/>
        <w:rPr>
          <w:szCs w:val="24"/>
        </w:rPr>
      </w:pPr>
      <w:r w:rsidRPr="005D422D">
        <w:rPr>
          <w:szCs w:val="24"/>
        </w:rPr>
        <w:t>Chen, X., Sun, J. and Liu, H. (2021) 'Balancing web personalization and consumer privacy concerns: Mechanisms of consumer trust and reactance', Journal of Consumer Behaviour, 21(3), pp.572-582. doi:10.1002/cb.1947.</w:t>
      </w:r>
    </w:p>
    <w:p w14:paraId="6E3C8B27" w14:textId="77777777" w:rsidR="00724F2D" w:rsidRPr="005D422D" w:rsidRDefault="00000000" w:rsidP="005D422D">
      <w:pPr>
        <w:jc w:val="both"/>
        <w:rPr>
          <w:szCs w:val="24"/>
        </w:rPr>
      </w:pPr>
      <w:r w:rsidRPr="005D422D">
        <w:rPr>
          <w:szCs w:val="24"/>
        </w:rPr>
        <w:t xml:space="preserve">Chikán, A., Czakó, E., Kiss-Dobronyi, B. and Losonci, D. (2022) 'Firm competitiveness: A general model and a manufacturing application', International Journal of Production Economics, 243, p.108316. </w:t>
      </w:r>
      <w:proofErr w:type="gramStart"/>
      <w:r w:rsidRPr="005D422D">
        <w:rPr>
          <w:szCs w:val="24"/>
        </w:rPr>
        <w:t>doi:10.1016/j.ijpe</w:t>
      </w:r>
      <w:proofErr w:type="gramEnd"/>
      <w:r w:rsidRPr="005D422D">
        <w:rPr>
          <w:szCs w:val="24"/>
        </w:rPr>
        <w:t>.2021.108316.</w:t>
      </w:r>
    </w:p>
    <w:p w14:paraId="23B34803" w14:textId="6B3E8BC8" w:rsidR="00724F2D" w:rsidRPr="005D422D" w:rsidRDefault="00000000" w:rsidP="005D422D">
      <w:pPr>
        <w:jc w:val="both"/>
        <w:rPr>
          <w:szCs w:val="24"/>
        </w:rPr>
      </w:pPr>
      <w:r w:rsidRPr="005D422D">
        <w:rPr>
          <w:szCs w:val="24"/>
        </w:rPr>
        <w:t xml:space="preserve">Clark, P. (2026) 'How Tesco built a retail platform powered by loyalty data and AI', eMarketer. Available at: </w:t>
      </w:r>
      <w:hyperlink r:id="rId13" w:history="1">
        <w:r w:rsidR="00D067B4" w:rsidRPr="00154B9C">
          <w:rPr>
            <w:rStyle w:val="Hyperlink"/>
            <w:szCs w:val="24"/>
          </w:rPr>
          <w:t>https://www.emarketer.com/content/how-tesco-built-retail-platform-powered-by-loyalty-data-ai</w:t>
        </w:r>
      </w:hyperlink>
      <w:r w:rsidR="00D067B4">
        <w:rPr>
          <w:szCs w:val="24"/>
        </w:rPr>
        <w:t xml:space="preserve"> </w:t>
      </w:r>
      <w:r w:rsidRPr="005D422D">
        <w:rPr>
          <w:szCs w:val="24"/>
        </w:rPr>
        <w:t xml:space="preserve"> (Accessed 20 July 2026).</w:t>
      </w:r>
    </w:p>
    <w:p w14:paraId="2FDE63D9" w14:textId="00A57720" w:rsidR="00724F2D" w:rsidRPr="005D422D" w:rsidRDefault="00000000" w:rsidP="005D422D">
      <w:pPr>
        <w:jc w:val="both"/>
        <w:rPr>
          <w:szCs w:val="24"/>
        </w:rPr>
      </w:pPr>
      <w:r w:rsidRPr="005D422D">
        <w:rPr>
          <w:szCs w:val="24"/>
        </w:rPr>
        <w:t xml:space="preserve">Cochrane, E. (2026) 'Direct consumer enforcement: One year on', CMA gov UK. Available at: </w:t>
      </w:r>
      <w:hyperlink r:id="rId14" w:history="1">
        <w:r w:rsidR="00D067B4" w:rsidRPr="00154B9C">
          <w:rPr>
            <w:rStyle w:val="Hyperlink"/>
            <w:szCs w:val="24"/>
          </w:rPr>
          <w:t>https://competitionandmarkets.blog.gov.uk/2026/04/17/direct-consumer-enforcement-one-year-on/</w:t>
        </w:r>
      </w:hyperlink>
      <w:r w:rsidR="00D067B4">
        <w:rPr>
          <w:szCs w:val="24"/>
        </w:rPr>
        <w:t xml:space="preserve"> </w:t>
      </w:r>
      <w:r w:rsidRPr="005D422D">
        <w:rPr>
          <w:szCs w:val="24"/>
        </w:rPr>
        <w:t xml:space="preserve"> (Accessed 20 July 2026).</w:t>
      </w:r>
    </w:p>
    <w:p w14:paraId="01A93DA0" w14:textId="0D843106" w:rsidR="00724F2D" w:rsidRPr="005D422D" w:rsidRDefault="00000000" w:rsidP="005D422D">
      <w:pPr>
        <w:jc w:val="both"/>
        <w:rPr>
          <w:szCs w:val="24"/>
        </w:rPr>
      </w:pPr>
      <w:r w:rsidRPr="005D422D">
        <w:rPr>
          <w:szCs w:val="24"/>
        </w:rPr>
        <w:t xml:space="preserve">Colleary, K. (2025) 'Key takeaways from Ireland's DPC annual report', IAPP.org. Available at: </w:t>
      </w:r>
      <w:hyperlink r:id="rId15" w:history="1">
        <w:r w:rsidR="00D067B4" w:rsidRPr="00154B9C">
          <w:rPr>
            <w:rStyle w:val="Hyperlink"/>
            <w:szCs w:val="24"/>
          </w:rPr>
          <w:t>https://iapp.org/news/a/key-takeaways-from-ireland-s-dpc-annual-report</w:t>
        </w:r>
      </w:hyperlink>
      <w:r w:rsidR="00D067B4">
        <w:rPr>
          <w:szCs w:val="24"/>
        </w:rPr>
        <w:t xml:space="preserve"> </w:t>
      </w:r>
      <w:r w:rsidRPr="005D422D">
        <w:rPr>
          <w:szCs w:val="24"/>
        </w:rPr>
        <w:t xml:space="preserve"> (Accessed 20 July 2026).</w:t>
      </w:r>
    </w:p>
    <w:p w14:paraId="54ADC2AB" w14:textId="05861F17" w:rsidR="00724F2D" w:rsidRPr="005D422D" w:rsidRDefault="00000000" w:rsidP="005D422D">
      <w:pPr>
        <w:jc w:val="both"/>
        <w:rPr>
          <w:szCs w:val="24"/>
        </w:rPr>
      </w:pPr>
      <w:r w:rsidRPr="005D422D">
        <w:rPr>
          <w:szCs w:val="24"/>
        </w:rPr>
        <w:t xml:space="preserve">Data Protection Commission (2024) Data Protection Commission publishes 2024 Annual Report. Available at: </w:t>
      </w:r>
      <w:hyperlink r:id="rId16" w:history="1">
        <w:r w:rsidR="00D067B4" w:rsidRPr="00154B9C">
          <w:rPr>
            <w:rStyle w:val="Hyperlink"/>
            <w:szCs w:val="24"/>
          </w:rPr>
          <w:t>https://www.dataprotection.ie/en/data-protection-commission-publishes-2024-annual-report</w:t>
        </w:r>
      </w:hyperlink>
      <w:r w:rsidR="00D067B4">
        <w:rPr>
          <w:szCs w:val="24"/>
        </w:rPr>
        <w:t xml:space="preserve"> </w:t>
      </w:r>
      <w:r w:rsidRPr="005D422D">
        <w:rPr>
          <w:szCs w:val="24"/>
        </w:rPr>
        <w:t xml:space="preserve"> (Accessed 20 July 2026).</w:t>
      </w:r>
    </w:p>
    <w:p w14:paraId="29120605" w14:textId="77777777" w:rsidR="00724F2D" w:rsidRPr="005D422D" w:rsidRDefault="00000000" w:rsidP="005D422D">
      <w:pPr>
        <w:jc w:val="both"/>
        <w:rPr>
          <w:szCs w:val="24"/>
        </w:rPr>
      </w:pPr>
      <w:r w:rsidRPr="005D422D">
        <w:rPr>
          <w:szCs w:val="24"/>
        </w:rPr>
        <w:t>Douaioui, K., Oucheikh, R., Benmoussa, O. and Mabrouki, C. (2024) 'Machine learning and deep learning models for demand forecasting in supply chain management: A critical review', Applied System Innovation, 7(5), pp.93-93. doi:10.3390/asi7050093.</w:t>
      </w:r>
    </w:p>
    <w:p w14:paraId="337DC256" w14:textId="5722C681" w:rsidR="00724F2D" w:rsidRPr="005D422D" w:rsidRDefault="00000000" w:rsidP="005D422D">
      <w:pPr>
        <w:jc w:val="both"/>
        <w:rPr>
          <w:szCs w:val="24"/>
        </w:rPr>
      </w:pPr>
      <w:r w:rsidRPr="005D422D">
        <w:rPr>
          <w:szCs w:val="24"/>
        </w:rPr>
        <w:t xml:space="preserve">Eagle Eye (2025) 'Tesco Clubcard Challenges: Personalization at Scale'. Available at: </w:t>
      </w:r>
      <w:hyperlink r:id="rId17" w:history="1">
        <w:r w:rsidR="00D067B4" w:rsidRPr="00154B9C">
          <w:rPr>
            <w:rStyle w:val="Hyperlink"/>
            <w:szCs w:val="24"/>
          </w:rPr>
          <w:t>https://eagleeye.com/case-studies/tesco-clubcard-challenges</w:t>
        </w:r>
      </w:hyperlink>
      <w:r w:rsidR="00D067B4">
        <w:rPr>
          <w:szCs w:val="24"/>
        </w:rPr>
        <w:t xml:space="preserve"> </w:t>
      </w:r>
      <w:r w:rsidRPr="005D422D">
        <w:rPr>
          <w:szCs w:val="24"/>
        </w:rPr>
        <w:t xml:space="preserve"> (Accessed 20 July 2026).</w:t>
      </w:r>
    </w:p>
    <w:p w14:paraId="7A9532E2" w14:textId="77777777" w:rsidR="00724F2D" w:rsidRPr="005D422D" w:rsidRDefault="00000000" w:rsidP="005D422D">
      <w:pPr>
        <w:jc w:val="both"/>
        <w:rPr>
          <w:szCs w:val="24"/>
        </w:rPr>
      </w:pPr>
      <w:r w:rsidRPr="005D422D">
        <w:rPr>
          <w:szCs w:val="24"/>
        </w:rPr>
        <w:lastRenderedPageBreak/>
        <w:t>Hassan, N., Abdelraouf, M. and El-Shihy, D. (2025) 'The moderating role of personalized recommendations in the trust-satisfaction-loyalty relationship: An empirical study of AI-driven e-commerce', Future Business Journal, 11(1). doi:10.1186/s43093-025-00476-z.</w:t>
      </w:r>
    </w:p>
    <w:p w14:paraId="48CDF98B" w14:textId="0AF2518E" w:rsidR="00724F2D" w:rsidRPr="005D422D" w:rsidRDefault="00000000" w:rsidP="005D422D">
      <w:pPr>
        <w:jc w:val="both"/>
        <w:rPr>
          <w:szCs w:val="24"/>
        </w:rPr>
      </w:pPr>
      <w:r w:rsidRPr="005D422D">
        <w:rPr>
          <w:szCs w:val="24"/>
        </w:rPr>
        <w:t xml:space="preserve">Hattangadi, V. (2025) 'Porter's Diamond Model'. Available at: </w:t>
      </w:r>
      <w:hyperlink r:id="rId18" w:history="1">
        <w:r w:rsidR="00D067B4" w:rsidRPr="00154B9C">
          <w:rPr>
            <w:rStyle w:val="Hyperlink"/>
            <w:szCs w:val="24"/>
          </w:rPr>
          <w:t>https://rsisinternational.org/journals/ijrias/DigitalLibrary/volume-10-issue-6/690-693.pdf</w:t>
        </w:r>
      </w:hyperlink>
      <w:r w:rsidR="00D067B4">
        <w:rPr>
          <w:szCs w:val="24"/>
        </w:rPr>
        <w:t xml:space="preserve"> </w:t>
      </w:r>
      <w:r w:rsidRPr="005D422D">
        <w:rPr>
          <w:szCs w:val="24"/>
        </w:rPr>
        <w:t xml:space="preserve"> (Accessed 20 July 2026).</w:t>
      </w:r>
    </w:p>
    <w:p w14:paraId="20EB23A3" w14:textId="47057219" w:rsidR="00724F2D" w:rsidRPr="005D422D" w:rsidRDefault="00000000" w:rsidP="005D422D">
      <w:pPr>
        <w:jc w:val="both"/>
        <w:rPr>
          <w:szCs w:val="24"/>
        </w:rPr>
      </w:pPr>
      <w:r w:rsidRPr="005D422D">
        <w:rPr>
          <w:szCs w:val="24"/>
        </w:rPr>
        <w:t xml:space="preserve">Hickman, T., Lorenz, S., Teetzmann, C. and Jha, A. (2024) 'Long awaited EU AI Act becomes law after publication in the EU's Official Journal', White &amp; Case. Available at: </w:t>
      </w:r>
      <w:hyperlink r:id="rId19" w:history="1">
        <w:r w:rsidR="00D067B4" w:rsidRPr="00154B9C">
          <w:rPr>
            <w:rStyle w:val="Hyperlink"/>
            <w:szCs w:val="24"/>
          </w:rPr>
          <w:t>https://www.whitecase.com/insight-alert/long-awaited-eu-ai-act-becomes-law-after-publication-eus-official-journal</w:t>
        </w:r>
      </w:hyperlink>
      <w:r w:rsidR="00D067B4">
        <w:rPr>
          <w:szCs w:val="24"/>
        </w:rPr>
        <w:t xml:space="preserve"> </w:t>
      </w:r>
      <w:r w:rsidRPr="005D422D">
        <w:rPr>
          <w:szCs w:val="24"/>
        </w:rPr>
        <w:t xml:space="preserve"> (Accessed 20 July 2026).</w:t>
      </w:r>
    </w:p>
    <w:p w14:paraId="77C2EB65" w14:textId="47B47A14" w:rsidR="00724F2D" w:rsidRPr="005D422D" w:rsidRDefault="00000000" w:rsidP="005D422D">
      <w:pPr>
        <w:jc w:val="both"/>
        <w:rPr>
          <w:szCs w:val="24"/>
        </w:rPr>
      </w:pPr>
      <w:r w:rsidRPr="005D422D">
        <w:rPr>
          <w:szCs w:val="24"/>
        </w:rPr>
        <w:t xml:space="preserve">Hill Dickinson (2024) 'Digital Markets, Competition and Consumers Act 2024', Hansard, UK Parliament. Available at: </w:t>
      </w:r>
      <w:hyperlink r:id="rId20" w:history="1">
        <w:r w:rsidR="00D067B4" w:rsidRPr="00154B9C">
          <w:rPr>
            <w:rStyle w:val="Hyperlink"/>
            <w:szCs w:val="24"/>
          </w:rPr>
          <w:t>https://hansard.parliament.uk/commons/2024-09-09/debates/24090952000005/digitalmarketscompetitionandconsumersact2024</w:t>
        </w:r>
      </w:hyperlink>
      <w:r w:rsidR="00D067B4">
        <w:rPr>
          <w:szCs w:val="24"/>
        </w:rPr>
        <w:t xml:space="preserve"> </w:t>
      </w:r>
      <w:r w:rsidRPr="005D422D">
        <w:rPr>
          <w:szCs w:val="24"/>
        </w:rPr>
        <w:t xml:space="preserve"> (Accessed 20 July 2026).</w:t>
      </w:r>
    </w:p>
    <w:p w14:paraId="0BCD70F7" w14:textId="1B07CEEE" w:rsidR="00724F2D" w:rsidRPr="005D422D" w:rsidRDefault="00000000" w:rsidP="005D422D">
      <w:pPr>
        <w:jc w:val="both"/>
        <w:rPr>
          <w:szCs w:val="24"/>
        </w:rPr>
      </w:pPr>
      <w:r w:rsidRPr="005D422D">
        <w:rPr>
          <w:szCs w:val="24"/>
        </w:rPr>
        <w:t xml:space="preserve">ICLG (2025) 'Data protection laws and regulations report 2025-2026: Ireland'. Available at: </w:t>
      </w:r>
      <w:hyperlink r:id="rId21" w:history="1">
        <w:r w:rsidR="00D067B4" w:rsidRPr="00154B9C">
          <w:rPr>
            <w:rStyle w:val="Hyperlink"/>
            <w:szCs w:val="24"/>
          </w:rPr>
          <w:t>https://iclg.com/practice-areas/data-protection-laws-and-regulations/ireland/</w:t>
        </w:r>
      </w:hyperlink>
      <w:r w:rsidR="00D067B4">
        <w:rPr>
          <w:szCs w:val="24"/>
        </w:rPr>
        <w:t xml:space="preserve"> </w:t>
      </w:r>
      <w:r w:rsidRPr="005D422D">
        <w:rPr>
          <w:szCs w:val="24"/>
        </w:rPr>
        <w:t xml:space="preserve"> (Accessed 20 July 2026).</w:t>
      </w:r>
    </w:p>
    <w:p w14:paraId="63735D2A" w14:textId="0C60E7CA" w:rsidR="00724F2D" w:rsidRPr="005D422D" w:rsidRDefault="00000000" w:rsidP="005D422D">
      <w:pPr>
        <w:jc w:val="both"/>
        <w:rPr>
          <w:szCs w:val="24"/>
        </w:rPr>
      </w:pPr>
      <w:r w:rsidRPr="005D422D">
        <w:rPr>
          <w:szCs w:val="24"/>
        </w:rPr>
        <w:t xml:space="preserve">Investegate (2025) 'Preliminary results 2025/26: Company announcement'. Available at: </w:t>
      </w:r>
      <w:hyperlink r:id="rId22" w:history="1">
        <w:r w:rsidR="00D067B4" w:rsidRPr="00154B9C">
          <w:rPr>
            <w:rStyle w:val="Hyperlink"/>
            <w:szCs w:val="24"/>
          </w:rPr>
          <w:t>https://www.investegate.co.uk/announcement/rns/tesco--</w:t>
        </w:r>
        <w:proofErr w:type="spellStart"/>
        <w:r w:rsidR="00D067B4" w:rsidRPr="00154B9C">
          <w:rPr>
            <w:rStyle w:val="Hyperlink"/>
            <w:szCs w:val="24"/>
          </w:rPr>
          <w:t>tsco</w:t>
        </w:r>
        <w:proofErr w:type="spellEnd"/>
        <w:r w:rsidR="00D067B4" w:rsidRPr="00154B9C">
          <w:rPr>
            <w:rStyle w:val="Hyperlink"/>
            <w:szCs w:val="24"/>
          </w:rPr>
          <w:t>/preliminary-results-2025-26/9522533</w:t>
        </w:r>
      </w:hyperlink>
      <w:r w:rsidR="00D067B4">
        <w:rPr>
          <w:szCs w:val="24"/>
        </w:rPr>
        <w:t xml:space="preserve"> </w:t>
      </w:r>
      <w:r w:rsidRPr="005D422D">
        <w:rPr>
          <w:szCs w:val="24"/>
        </w:rPr>
        <w:t xml:space="preserve"> (Accessed 20 July 2026).</w:t>
      </w:r>
    </w:p>
    <w:p w14:paraId="5BC9FF41" w14:textId="290C102B" w:rsidR="00724F2D" w:rsidRPr="005D422D" w:rsidRDefault="00000000" w:rsidP="005D422D">
      <w:pPr>
        <w:jc w:val="both"/>
        <w:rPr>
          <w:szCs w:val="24"/>
        </w:rPr>
      </w:pPr>
      <w:r w:rsidRPr="005D422D">
        <w:rPr>
          <w:szCs w:val="24"/>
        </w:rPr>
        <w:t xml:space="preserve">'Ireland imposes half of all EU GDPR fines in 2024' (2025) Privacy Laws &amp; Business. Available at: </w:t>
      </w:r>
      <w:hyperlink r:id="rId23" w:history="1">
        <w:r w:rsidR="00D067B4" w:rsidRPr="00154B9C">
          <w:rPr>
            <w:rStyle w:val="Hyperlink"/>
            <w:szCs w:val="24"/>
          </w:rPr>
          <w:t>https://www.privacylaws.com/reports-gateway/articles/int196/int196ireland/</w:t>
        </w:r>
      </w:hyperlink>
      <w:r w:rsidR="00D067B4">
        <w:rPr>
          <w:szCs w:val="24"/>
        </w:rPr>
        <w:t xml:space="preserve"> </w:t>
      </w:r>
      <w:r w:rsidRPr="005D422D">
        <w:rPr>
          <w:szCs w:val="24"/>
        </w:rPr>
        <w:t xml:space="preserve"> (Accessed 20 July 2026).</w:t>
      </w:r>
    </w:p>
    <w:p w14:paraId="6F524923" w14:textId="5C531C4A" w:rsidR="00724F2D" w:rsidRPr="005D422D" w:rsidRDefault="00000000" w:rsidP="005D422D">
      <w:pPr>
        <w:jc w:val="both"/>
        <w:rPr>
          <w:szCs w:val="24"/>
        </w:rPr>
      </w:pPr>
      <w:r w:rsidRPr="005D422D">
        <w:rPr>
          <w:szCs w:val="24"/>
        </w:rPr>
        <w:t xml:space="preserve">King, D.S. (2024) 'Updates from the CMA: Algorithmic collusion, online choice architecture and green agreements', Twobirds.com. Available at: </w:t>
      </w:r>
      <w:hyperlink r:id="rId24" w:history="1">
        <w:r w:rsidR="00D067B4" w:rsidRPr="00154B9C">
          <w:rPr>
            <w:rStyle w:val="Hyperlink"/>
            <w:szCs w:val="24"/>
          </w:rPr>
          <w:t>https://www.twobirds.com/en/insights/2024/uk/updates-from-the-cma-algorithmic-collusion-online-choice-architecture-and-green-agreements</w:t>
        </w:r>
      </w:hyperlink>
      <w:r w:rsidR="00D067B4">
        <w:rPr>
          <w:szCs w:val="24"/>
        </w:rPr>
        <w:t xml:space="preserve"> </w:t>
      </w:r>
      <w:r w:rsidRPr="005D422D">
        <w:rPr>
          <w:szCs w:val="24"/>
        </w:rPr>
        <w:t xml:space="preserve"> (Accessed 20 July 2026).</w:t>
      </w:r>
    </w:p>
    <w:p w14:paraId="42CCAC77" w14:textId="3F2AC49C" w:rsidR="00724F2D" w:rsidRPr="005D422D" w:rsidRDefault="00000000" w:rsidP="005D422D">
      <w:pPr>
        <w:jc w:val="both"/>
        <w:rPr>
          <w:szCs w:val="24"/>
        </w:rPr>
      </w:pPr>
      <w:r w:rsidRPr="005D422D">
        <w:rPr>
          <w:szCs w:val="24"/>
        </w:rPr>
        <w:lastRenderedPageBreak/>
        <w:t xml:space="preserve">Morgan Lewis (2025) 'Algorithmic pricing emerges as enforcement priority for EU &amp; UK antitrust regulators'. Available at: </w:t>
      </w:r>
      <w:hyperlink r:id="rId25" w:history="1">
        <w:r w:rsidR="00D067B4" w:rsidRPr="00154B9C">
          <w:rPr>
            <w:rStyle w:val="Hyperlink"/>
            <w:szCs w:val="24"/>
          </w:rPr>
          <w:t>https://www.morganlewis.com/pubs/2025/10/algorithmic-pricing-emerges-as-enforcement-priority-for-eu-and-uk-antitrust-regulators</w:t>
        </w:r>
      </w:hyperlink>
      <w:r w:rsidR="00D067B4">
        <w:rPr>
          <w:szCs w:val="24"/>
        </w:rPr>
        <w:t xml:space="preserve"> </w:t>
      </w:r>
      <w:r w:rsidRPr="005D422D">
        <w:rPr>
          <w:szCs w:val="24"/>
        </w:rPr>
        <w:t xml:space="preserve"> (Accessed 20 July 2026).</w:t>
      </w:r>
    </w:p>
    <w:p w14:paraId="410128AC" w14:textId="25EEED1A" w:rsidR="00724F2D" w:rsidRPr="005D422D" w:rsidRDefault="00000000" w:rsidP="005D422D">
      <w:pPr>
        <w:jc w:val="both"/>
        <w:rPr>
          <w:szCs w:val="24"/>
        </w:rPr>
      </w:pPr>
      <w:r w:rsidRPr="005D422D">
        <w:rPr>
          <w:szCs w:val="24"/>
        </w:rPr>
        <w:t xml:space="preserve">Muhammad Zulhusni (2026) 'Tesco partners with Adobe on AI marketing using Clubcard data', Marketing Tech News. Available at: </w:t>
      </w:r>
      <w:hyperlink r:id="rId26" w:history="1">
        <w:r w:rsidR="00D067B4" w:rsidRPr="00154B9C">
          <w:rPr>
            <w:rStyle w:val="Hyperlink"/>
            <w:szCs w:val="24"/>
          </w:rPr>
          <w:t>https://www.marketingtechnews.net/news/tesco-partners-with-adobe-on-ai-driven-marketing-using-clubcard-data/</w:t>
        </w:r>
      </w:hyperlink>
      <w:r w:rsidR="00D067B4">
        <w:rPr>
          <w:szCs w:val="24"/>
        </w:rPr>
        <w:t xml:space="preserve"> </w:t>
      </w:r>
      <w:r w:rsidRPr="005D422D">
        <w:rPr>
          <w:szCs w:val="24"/>
        </w:rPr>
        <w:t xml:space="preserve"> (Accessed 20 July 2026).</w:t>
      </w:r>
    </w:p>
    <w:p w14:paraId="64822759" w14:textId="77777777" w:rsidR="00724F2D" w:rsidRPr="005D422D" w:rsidRDefault="00000000" w:rsidP="005D422D">
      <w:pPr>
        <w:jc w:val="both"/>
        <w:rPr>
          <w:szCs w:val="24"/>
        </w:rPr>
      </w:pPr>
      <w:r w:rsidRPr="005D422D">
        <w:rPr>
          <w:szCs w:val="24"/>
        </w:rPr>
        <w:t>Pangarkar, N. and Prabhudesai, R. (2024) 'Using Porter's Five Forces analysis to drive strategy', Global Business and Organizational Excellence, 43(5), pp.1-11. doi:10.1002/joe.22250.</w:t>
      </w:r>
    </w:p>
    <w:p w14:paraId="702C6B81" w14:textId="77777777" w:rsidR="00724F2D" w:rsidRPr="005D422D" w:rsidRDefault="00000000" w:rsidP="005D422D">
      <w:pPr>
        <w:jc w:val="both"/>
        <w:rPr>
          <w:szCs w:val="24"/>
        </w:rPr>
      </w:pPr>
      <w:r w:rsidRPr="005D422D">
        <w:rPr>
          <w:szCs w:val="24"/>
        </w:rPr>
        <w:t>Pappas, I.O. (2018) 'User experience in personalized online shopping: A fuzzy-set analysis', European Journal of Marketing, 52(7/8), pp.1679-1703. doi:10.1108/ejm-10-2017-0707.</w:t>
      </w:r>
    </w:p>
    <w:p w14:paraId="73251C76" w14:textId="77777777" w:rsidR="00724F2D" w:rsidRPr="005D422D" w:rsidRDefault="00000000" w:rsidP="005D422D">
      <w:pPr>
        <w:jc w:val="both"/>
        <w:rPr>
          <w:szCs w:val="24"/>
        </w:rPr>
      </w:pPr>
      <w:r w:rsidRPr="005D422D">
        <w:rPr>
          <w:szCs w:val="24"/>
        </w:rPr>
        <w:t>Porter, M. (1990) 'Competitive Advantage of Nations', Competitive Intelligence Review, 1(1), pp.14-14. doi:10.1002/cir.3880010112.</w:t>
      </w:r>
    </w:p>
    <w:p w14:paraId="71C1CA95" w14:textId="5FC8C595" w:rsidR="00724F2D" w:rsidRPr="005D422D" w:rsidRDefault="00000000" w:rsidP="005D422D">
      <w:pPr>
        <w:jc w:val="both"/>
        <w:rPr>
          <w:szCs w:val="24"/>
        </w:rPr>
      </w:pPr>
      <w:r w:rsidRPr="005D422D">
        <w:rPr>
          <w:szCs w:val="24"/>
        </w:rPr>
        <w:t xml:space="preserve">Rahman, M. (2023) 'Porter's five forces analysis of the UK supermarket industry', Howandwhat. Available at: </w:t>
      </w:r>
      <w:hyperlink r:id="rId27" w:history="1">
        <w:r w:rsidR="00D067B4" w:rsidRPr="00154B9C">
          <w:rPr>
            <w:rStyle w:val="Hyperlink"/>
            <w:szCs w:val="24"/>
          </w:rPr>
          <w:t>https://www.howandwhat.net/porters-five-forces-analysis-uk-supermarket-industry/</w:t>
        </w:r>
      </w:hyperlink>
      <w:r w:rsidR="00D067B4">
        <w:rPr>
          <w:szCs w:val="24"/>
        </w:rPr>
        <w:t xml:space="preserve"> </w:t>
      </w:r>
      <w:r w:rsidRPr="005D422D">
        <w:rPr>
          <w:szCs w:val="24"/>
        </w:rPr>
        <w:t xml:space="preserve"> (Accessed 20 July 2026).</w:t>
      </w:r>
    </w:p>
    <w:p w14:paraId="3285AFBD" w14:textId="4475C821" w:rsidR="00724F2D" w:rsidRPr="005D422D" w:rsidRDefault="00000000" w:rsidP="005D422D">
      <w:pPr>
        <w:jc w:val="both"/>
        <w:rPr>
          <w:szCs w:val="24"/>
        </w:rPr>
      </w:pPr>
      <w:r w:rsidRPr="005D422D">
        <w:rPr>
          <w:szCs w:val="24"/>
        </w:rPr>
        <w:t xml:space="preserve">Reuters and Sinha, B.P. (2026) 'Tesco partners with Adobe to ramp up AI-driven personalised marketing', Global Banking &amp; Finance Review. Available at: </w:t>
      </w:r>
      <w:hyperlink r:id="rId28" w:history="1">
        <w:r w:rsidR="00D067B4" w:rsidRPr="00154B9C">
          <w:rPr>
            <w:rStyle w:val="Hyperlink"/>
            <w:szCs w:val="24"/>
          </w:rPr>
          <w:t>https://www.globalbankingandfinance.com/tesco-partners-adobe-ramp-up-ai-driven-personalised/</w:t>
        </w:r>
      </w:hyperlink>
      <w:r w:rsidR="00D067B4">
        <w:rPr>
          <w:szCs w:val="24"/>
        </w:rPr>
        <w:t xml:space="preserve"> </w:t>
      </w:r>
      <w:r w:rsidRPr="005D422D">
        <w:rPr>
          <w:szCs w:val="24"/>
        </w:rPr>
        <w:t xml:space="preserve"> (Accessed 20 July 2026).</w:t>
      </w:r>
    </w:p>
    <w:p w14:paraId="4DB3B801" w14:textId="77777777" w:rsidR="00724F2D" w:rsidRPr="005D422D" w:rsidRDefault="00000000" w:rsidP="005D422D">
      <w:pPr>
        <w:jc w:val="both"/>
        <w:rPr>
          <w:szCs w:val="24"/>
        </w:rPr>
      </w:pPr>
      <w:r w:rsidRPr="005D422D">
        <w:rPr>
          <w:szCs w:val="24"/>
        </w:rPr>
        <w:t>Riaz, H., Ahmed, H. and Jibril, A.B. (2024) 'Reassessing customer trust and privacy concerns in omnichannel customer experience', Cogent Business &amp; Management, 11(1). doi:10.1080/23311975.2024.2410405.</w:t>
      </w:r>
    </w:p>
    <w:p w14:paraId="02A6F01C" w14:textId="445B08ED" w:rsidR="00724F2D" w:rsidRPr="005D422D" w:rsidRDefault="00000000" w:rsidP="005D422D">
      <w:pPr>
        <w:jc w:val="both"/>
        <w:rPr>
          <w:szCs w:val="24"/>
        </w:rPr>
      </w:pPr>
      <w:r w:rsidRPr="005D422D">
        <w:rPr>
          <w:szCs w:val="24"/>
        </w:rPr>
        <w:lastRenderedPageBreak/>
        <w:t xml:space="preserve">Sidley (2024) 'The Digital Markets, Competition and Consumers Act is approved: Key things to know about the UK's new competition and consumer powers', Data Matters Privacy Blog. Available at: </w:t>
      </w:r>
      <w:hyperlink r:id="rId29" w:history="1">
        <w:r w:rsidR="00D067B4" w:rsidRPr="00154B9C">
          <w:rPr>
            <w:rStyle w:val="Hyperlink"/>
            <w:szCs w:val="24"/>
          </w:rPr>
          <w:t>https://datamatters.sidley.com/2024/05/28/the-digital-markets-competition-and-consumers-act-is-approved-key-things-to-know-about-the-uks-new-competition-and-consumer-powers/</w:t>
        </w:r>
      </w:hyperlink>
      <w:r w:rsidR="00D067B4">
        <w:rPr>
          <w:szCs w:val="24"/>
        </w:rPr>
        <w:t xml:space="preserve"> </w:t>
      </w:r>
      <w:r w:rsidRPr="005D422D">
        <w:rPr>
          <w:szCs w:val="24"/>
        </w:rPr>
        <w:t xml:space="preserve"> (Accessed 20 July 2026).</w:t>
      </w:r>
    </w:p>
    <w:p w14:paraId="59560B4E" w14:textId="240CB520" w:rsidR="00724F2D" w:rsidRPr="005D422D" w:rsidRDefault="00000000" w:rsidP="005D422D">
      <w:pPr>
        <w:jc w:val="both"/>
        <w:rPr>
          <w:szCs w:val="24"/>
        </w:rPr>
      </w:pPr>
      <w:r w:rsidRPr="005D422D">
        <w:rPr>
          <w:szCs w:val="24"/>
        </w:rPr>
        <w:t xml:space="preserve">Sharma, A.G. (2026) 'EU AI Act compliance: The complete guide for 2026', EU AI Compass. Available at: </w:t>
      </w:r>
      <w:hyperlink r:id="rId30" w:history="1">
        <w:r w:rsidR="00D067B4" w:rsidRPr="00154B9C">
          <w:rPr>
            <w:rStyle w:val="Hyperlink"/>
            <w:szCs w:val="24"/>
          </w:rPr>
          <w:t>https://euaicompass.com/eu-ai-act-compliance-guide.html</w:t>
        </w:r>
      </w:hyperlink>
      <w:r w:rsidR="00D067B4">
        <w:rPr>
          <w:szCs w:val="24"/>
        </w:rPr>
        <w:t xml:space="preserve"> </w:t>
      </w:r>
      <w:r w:rsidRPr="005D422D">
        <w:rPr>
          <w:szCs w:val="24"/>
        </w:rPr>
        <w:t xml:space="preserve"> (Accessed 20 July 2026).</w:t>
      </w:r>
    </w:p>
    <w:p w14:paraId="54FCA4D3" w14:textId="1F1C45C1" w:rsidR="00724F2D" w:rsidRPr="005D422D" w:rsidRDefault="00000000" w:rsidP="005D422D">
      <w:pPr>
        <w:jc w:val="both"/>
        <w:rPr>
          <w:szCs w:val="24"/>
        </w:rPr>
      </w:pPr>
      <w:r w:rsidRPr="005D422D">
        <w:rPr>
          <w:szCs w:val="24"/>
        </w:rPr>
        <w:t xml:space="preserve">Shelper, P. (2024) 'Do loyalty programs work? Just ask Tesco', Loyalty &amp; Reward Co. Available at: </w:t>
      </w:r>
      <w:hyperlink r:id="rId31" w:history="1">
        <w:r w:rsidR="00D067B4" w:rsidRPr="00154B9C">
          <w:rPr>
            <w:rStyle w:val="Hyperlink"/>
            <w:szCs w:val="24"/>
          </w:rPr>
          <w:t>https://loyaltyrewardco.com/do-loyalty-programs-work-just-ask-tesco/</w:t>
        </w:r>
      </w:hyperlink>
      <w:r w:rsidR="00D067B4">
        <w:rPr>
          <w:szCs w:val="24"/>
        </w:rPr>
        <w:t xml:space="preserve"> </w:t>
      </w:r>
      <w:r w:rsidRPr="005D422D">
        <w:rPr>
          <w:szCs w:val="24"/>
        </w:rPr>
        <w:t xml:space="preserve"> (Accessed 20 July 2026).</w:t>
      </w:r>
    </w:p>
    <w:p w14:paraId="7B4C1C4C" w14:textId="2521A4DE" w:rsidR="00724F2D" w:rsidRPr="005D422D" w:rsidRDefault="00000000" w:rsidP="005D422D">
      <w:pPr>
        <w:jc w:val="both"/>
        <w:rPr>
          <w:szCs w:val="24"/>
        </w:rPr>
      </w:pPr>
      <w:r w:rsidRPr="005D422D">
        <w:rPr>
          <w:szCs w:val="24"/>
        </w:rPr>
        <w:t xml:space="preserve">Slaughter and May (2024) 'DMCC Act seeks to make consumer protection fit for the digital age'. Available at: </w:t>
      </w:r>
      <w:hyperlink r:id="rId32" w:history="1">
        <w:r w:rsidR="00D067B4" w:rsidRPr="00154B9C">
          <w:rPr>
            <w:rStyle w:val="Hyperlink"/>
            <w:szCs w:val="24"/>
          </w:rPr>
          <w:t>https://www.slaughterandmay.com/insights/new-insights/dmcc-act-seeks-to-make-consumer-protection-fit-for-the-digital-age/</w:t>
        </w:r>
      </w:hyperlink>
      <w:r w:rsidR="00D067B4">
        <w:rPr>
          <w:szCs w:val="24"/>
        </w:rPr>
        <w:t xml:space="preserve"> </w:t>
      </w:r>
      <w:r w:rsidRPr="005D422D">
        <w:rPr>
          <w:szCs w:val="24"/>
        </w:rPr>
        <w:t xml:space="preserve"> (Accessed 20 July 2026).</w:t>
      </w:r>
    </w:p>
    <w:p w14:paraId="31E69429" w14:textId="3D63358D" w:rsidR="00724F2D" w:rsidRPr="005D422D" w:rsidRDefault="00000000" w:rsidP="005D422D">
      <w:pPr>
        <w:jc w:val="both"/>
        <w:rPr>
          <w:szCs w:val="24"/>
        </w:rPr>
      </w:pPr>
      <w:r w:rsidRPr="005D422D">
        <w:rPr>
          <w:szCs w:val="24"/>
        </w:rPr>
        <w:t xml:space="preserve">Tesco Plc (2025) Tesco PLC Annual Report and Financial Statements. Available at: </w:t>
      </w:r>
      <w:hyperlink r:id="rId33" w:history="1">
        <w:r w:rsidR="00D067B4" w:rsidRPr="00154B9C">
          <w:rPr>
            <w:rStyle w:val="Hyperlink"/>
            <w:szCs w:val="24"/>
          </w:rPr>
          <w:t>https://www.tescoplc.com/media/ky0bfwpo/tesco_ar25_interactive.pdf</w:t>
        </w:r>
      </w:hyperlink>
      <w:r w:rsidR="00D067B4">
        <w:rPr>
          <w:szCs w:val="24"/>
        </w:rPr>
        <w:t xml:space="preserve"> </w:t>
      </w:r>
      <w:r w:rsidRPr="005D422D">
        <w:rPr>
          <w:szCs w:val="24"/>
        </w:rPr>
        <w:t xml:space="preserve"> (Accessed 20 July 2026).</w:t>
      </w:r>
    </w:p>
    <w:p w14:paraId="75CEA8CE" w14:textId="7930E951" w:rsidR="00724F2D" w:rsidRPr="005D422D" w:rsidRDefault="00000000" w:rsidP="005D422D">
      <w:pPr>
        <w:jc w:val="both"/>
        <w:rPr>
          <w:szCs w:val="24"/>
        </w:rPr>
      </w:pPr>
      <w:r w:rsidRPr="005D422D">
        <w:rPr>
          <w:szCs w:val="24"/>
        </w:rPr>
        <w:t xml:space="preserve">Tesco PLC (2026) Preliminary Results 2025/26. Available at: </w:t>
      </w:r>
      <w:hyperlink r:id="rId34" w:history="1">
        <w:r w:rsidR="00D067B4" w:rsidRPr="00154B9C">
          <w:rPr>
            <w:rStyle w:val="Hyperlink"/>
            <w:szCs w:val="24"/>
          </w:rPr>
          <w:t>https://www.tescoplc.com/media/ch1fbgss/tesco-plc-preliminary-results-statement-fy26.pdf</w:t>
        </w:r>
      </w:hyperlink>
      <w:r w:rsidR="00D067B4">
        <w:rPr>
          <w:szCs w:val="24"/>
        </w:rPr>
        <w:t xml:space="preserve"> </w:t>
      </w:r>
      <w:r w:rsidRPr="005D422D">
        <w:rPr>
          <w:szCs w:val="24"/>
        </w:rPr>
        <w:t xml:space="preserve"> (Accessed 20 July 2026).</w:t>
      </w:r>
    </w:p>
    <w:p w14:paraId="142EE4B8" w14:textId="77777777" w:rsidR="00724F2D" w:rsidRPr="005D422D" w:rsidRDefault="00000000" w:rsidP="005D422D">
      <w:pPr>
        <w:jc w:val="both"/>
        <w:rPr>
          <w:szCs w:val="24"/>
        </w:rPr>
      </w:pPr>
      <w:r w:rsidRPr="005D422D">
        <w:rPr>
          <w:szCs w:val="24"/>
        </w:rPr>
        <w:t>Tsai, P.-H., Chen, C.-J. and Yang, H.-C. (2021) 'Using Porter's Diamond Model to assess the competitiveness of Taiwan's solar photovoltaic industry', SAGE Open, 11(1), p.215824402098828. doi:10.1177/2158244020988286.</w:t>
      </w:r>
    </w:p>
    <w:p w14:paraId="66092050" w14:textId="5D180531" w:rsidR="00724F2D" w:rsidRPr="005D422D" w:rsidRDefault="00000000" w:rsidP="005D422D">
      <w:pPr>
        <w:jc w:val="both"/>
        <w:rPr>
          <w:szCs w:val="24"/>
        </w:rPr>
      </w:pPr>
      <w:r w:rsidRPr="005D422D">
        <w:rPr>
          <w:szCs w:val="24"/>
        </w:rPr>
        <w:t xml:space="preserve">UK Government (2024) Digital Markets, Competition and Consumers Act 2024. Available at: </w:t>
      </w:r>
      <w:hyperlink r:id="rId35" w:history="1">
        <w:r w:rsidR="00D067B4" w:rsidRPr="00154B9C">
          <w:rPr>
            <w:rStyle w:val="Hyperlink"/>
            <w:szCs w:val="24"/>
          </w:rPr>
          <w:t>https://www.legislation.gov.uk/ukpga/2024/13/contents</w:t>
        </w:r>
      </w:hyperlink>
      <w:r w:rsidR="00D067B4">
        <w:rPr>
          <w:szCs w:val="24"/>
        </w:rPr>
        <w:t xml:space="preserve"> </w:t>
      </w:r>
      <w:r w:rsidRPr="005D422D">
        <w:rPr>
          <w:szCs w:val="24"/>
        </w:rPr>
        <w:t xml:space="preserve"> (Accessed 20 July 2026).</w:t>
      </w:r>
    </w:p>
    <w:p w14:paraId="0729831E" w14:textId="77777777" w:rsidR="00724F2D" w:rsidRPr="005D422D" w:rsidRDefault="00000000" w:rsidP="005D422D">
      <w:pPr>
        <w:jc w:val="both"/>
        <w:rPr>
          <w:szCs w:val="24"/>
        </w:rPr>
      </w:pPr>
      <w:r w:rsidRPr="005D422D">
        <w:rPr>
          <w:szCs w:val="24"/>
        </w:rPr>
        <w:lastRenderedPageBreak/>
        <w:t>Walter, A., Ahsan, K. and Rahman, S. (2025) 'Application of artificial intelligence in demand planning for supply chains: A systematic literature review', The International Journal of Logistics Management, 36(3), pp.672-719. doi:10.1108/ijlm-02-2024-0120.</w:t>
      </w:r>
    </w:p>
    <w:p w14:paraId="5E97D882" w14:textId="77777777" w:rsidR="00724F2D" w:rsidRPr="005D422D" w:rsidRDefault="00000000" w:rsidP="005D422D">
      <w:pPr>
        <w:jc w:val="both"/>
        <w:rPr>
          <w:szCs w:val="24"/>
        </w:rPr>
      </w:pPr>
      <w:r w:rsidRPr="005D422D">
        <w:rPr>
          <w:szCs w:val="24"/>
        </w:rPr>
        <w:t>Öz, Ö. (2002) 'Assessing Porter's framework for national advantage: The case of Turkey', Journal of Business Research, 55(6), pp.509-515. doi:10.1016/S0148-2963(00)00167-3.</w:t>
      </w:r>
    </w:p>
    <w:sectPr w:rsidR="00724F2D" w:rsidRPr="005D422D" w:rsidSect="00034616">
      <w:footerReference w:type="default" r:id="rId3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48B152" w14:textId="77777777" w:rsidR="00AC315E" w:rsidRDefault="00AC315E" w:rsidP="004667CB">
      <w:pPr>
        <w:spacing w:after="0" w:line="240" w:lineRule="auto"/>
      </w:pPr>
      <w:r>
        <w:separator/>
      </w:r>
    </w:p>
  </w:endnote>
  <w:endnote w:type="continuationSeparator" w:id="0">
    <w:p w14:paraId="25DF03B7" w14:textId="77777777" w:rsidR="00AC315E" w:rsidRDefault="00AC315E" w:rsidP="004667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4973219"/>
      <w:docPartObj>
        <w:docPartGallery w:val="Page Numbers (Bottom of Page)"/>
        <w:docPartUnique/>
      </w:docPartObj>
    </w:sdtPr>
    <w:sdtEndPr>
      <w:rPr>
        <w:noProof/>
      </w:rPr>
    </w:sdtEndPr>
    <w:sdtContent>
      <w:p w14:paraId="0E92F430" w14:textId="3F42797A" w:rsidR="004667CB" w:rsidRDefault="004667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BF70AC" w14:textId="77777777" w:rsidR="004667CB" w:rsidRDefault="00466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C9DC3C" w14:textId="77777777" w:rsidR="00AC315E" w:rsidRDefault="00AC315E" w:rsidP="004667CB">
      <w:pPr>
        <w:spacing w:after="0" w:line="240" w:lineRule="auto"/>
      </w:pPr>
      <w:r>
        <w:separator/>
      </w:r>
    </w:p>
  </w:footnote>
  <w:footnote w:type="continuationSeparator" w:id="0">
    <w:p w14:paraId="161F6179" w14:textId="77777777" w:rsidR="00AC315E" w:rsidRDefault="00AC315E" w:rsidP="004667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57382728">
    <w:abstractNumId w:val="8"/>
  </w:num>
  <w:num w:numId="2" w16cid:durableId="2094084480">
    <w:abstractNumId w:val="6"/>
  </w:num>
  <w:num w:numId="3" w16cid:durableId="1739740068">
    <w:abstractNumId w:val="5"/>
  </w:num>
  <w:num w:numId="4" w16cid:durableId="1138182412">
    <w:abstractNumId w:val="4"/>
  </w:num>
  <w:num w:numId="5" w16cid:durableId="1568031635">
    <w:abstractNumId w:val="7"/>
  </w:num>
  <w:num w:numId="6" w16cid:durableId="2109734961">
    <w:abstractNumId w:val="3"/>
  </w:num>
  <w:num w:numId="7" w16cid:durableId="1224682839">
    <w:abstractNumId w:val="2"/>
  </w:num>
  <w:num w:numId="8" w16cid:durableId="1522888677">
    <w:abstractNumId w:val="1"/>
  </w:num>
  <w:num w:numId="9" w16cid:durableId="1657508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2293"/>
    <w:rsid w:val="0006063C"/>
    <w:rsid w:val="00094B29"/>
    <w:rsid w:val="0015074B"/>
    <w:rsid w:val="001E1384"/>
    <w:rsid w:val="00264C5F"/>
    <w:rsid w:val="0029639D"/>
    <w:rsid w:val="002E6074"/>
    <w:rsid w:val="00326F90"/>
    <w:rsid w:val="00465786"/>
    <w:rsid w:val="004667CB"/>
    <w:rsid w:val="00490F58"/>
    <w:rsid w:val="005D422D"/>
    <w:rsid w:val="005E28E9"/>
    <w:rsid w:val="00724F2D"/>
    <w:rsid w:val="007B62C5"/>
    <w:rsid w:val="007C482D"/>
    <w:rsid w:val="009244F5"/>
    <w:rsid w:val="0096747D"/>
    <w:rsid w:val="00A22A02"/>
    <w:rsid w:val="00AA1D8D"/>
    <w:rsid w:val="00AA419E"/>
    <w:rsid w:val="00AC315E"/>
    <w:rsid w:val="00B47730"/>
    <w:rsid w:val="00B66049"/>
    <w:rsid w:val="00CB0664"/>
    <w:rsid w:val="00D067B4"/>
    <w:rsid w:val="00F36834"/>
    <w:rsid w:val="00FB2E8B"/>
    <w:rsid w:val="00FC693F"/>
    <w:rsid w:val="00FD54E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32F5D9E"/>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D067B4"/>
    <w:rPr>
      <w:color w:val="0000FF" w:themeColor="hyperlink"/>
      <w:u w:val="single"/>
    </w:rPr>
  </w:style>
  <w:style w:type="character" w:styleId="UnresolvedMention">
    <w:name w:val="Unresolved Mention"/>
    <w:basedOn w:val="DefaultParagraphFont"/>
    <w:uiPriority w:val="99"/>
    <w:semiHidden/>
    <w:unhideWhenUsed/>
    <w:rsid w:val="00D067B4"/>
    <w:rPr>
      <w:color w:val="605E5C"/>
      <w:shd w:val="clear" w:color="auto" w:fill="E1DFDD"/>
    </w:rPr>
  </w:style>
  <w:style w:type="table" w:styleId="GridTable4">
    <w:name w:val="Grid Table 4"/>
    <w:basedOn w:val="TableNormal"/>
    <w:uiPriority w:val="49"/>
    <w:rsid w:val="00D067B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1">
    <w:name w:val="toc 1"/>
    <w:basedOn w:val="Normal"/>
    <w:next w:val="Normal"/>
    <w:autoRedefine/>
    <w:uiPriority w:val="39"/>
    <w:unhideWhenUsed/>
    <w:rsid w:val="004667CB"/>
    <w:pPr>
      <w:spacing w:after="100"/>
    </w:pPr>
  </w:style>
  <w:style w:type="paragraph" w:styleId="TOC2">
    <w:name w:val="toc 2"/>
    <w:basedOn w:val="Normal"/>
    <w:next w:val="Normal"/>
    <w:autoRedefine/>
    <w:uiPriority w:val="39"/>
    <w:unhideWhenUsed/>
    <w:rsid w:val="004667CB"/>
    <w:pPr>
      <w:spacing w:after="100"/>
      <w:ind w:left="240"/>
    </w:pPr>
  </w:style>
  <w:style w:type="table" w:styleId="TableGridLight">
    <w:name w:val="Grid Table Light"/>
    <w:basedOn w:val="TableNormal"/>
    <w:uiPriority w:val="99"/>
    <w:rsid w:val="00F3683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99"/>
    <w:rsid w:val="005E28E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arketer.com/content/how-tesco-built-retail-platform-powered-by-loyalty-data-ai" TargetMode="External"/><Relationship Id="rId18" Type="http://schemas.openxmlformats.org/officeDocument/2006/relationships/hyperlink" Target="https://rsisinternational.org/journals/ijrias/DigitalLibrary/volume-10-issue-6/690-693.pdf" TargetMode="External"/><Relationship Id="rId26" Type="http://schemas.openxmlformats.org/officeDocument/2006/relationships/hyperlink" Target="https://www.marketingtechnews.net/news/tesco-partners-with-adobe-on-ai-driven-marketing-using-clubcard-data/" TargetMode="External"/><Relationship Id="rId21" Type="http://schemas.openxmlformats.org/officeDocument/2006/relationships/hyperlink" Target="https://iclg.com/practice-areas/data-protection-laws-and-regulations/ireland/" TargetMode="External"/><Relationship Id="rId34" Type="http://schemas.openxmlformats.org/officeDocument/2006/relationships/hyperlink" Target="https://www.tescoplc.com/media/ch1fbgss/tesco-plc-preliminary-results-statement-fy26.pdf" TargetMode="External"/><Relationship Id="rId7" Type="http://schemas.openxmlformats.org/officeDocument/2006/relationships/endnotes" Target="endnotes.xml"/><Relationship Id="rId12" Type="http://schemas.openxmlformats.org/officeDocument/2006/relationships/hyperlink" Target="https://www.pinsentmasons.com/out-law/news/dynamic-pricing-update-cmas-proactive-stance" TargetMode="External"/><Relationship Id="rId17" Type="http://schemas.openxmlformats.org/officeDocument/2006/relationships/hyperlink" Target="https://eagleeye.com/case-studies/tesco-clubcard-challenges" TargetMode="External"/><Relationship Id="rId25" Type="http://schemas.openxmlformats.org/officeDocument/2006/relationships/hyperlink" Target="https://www.morganlewis.com/pubs/2025/10/algorithmic-pricing-emerges-as-enforcement-priority-for-eu-and-uk-antitrust-regulators" TargetMode="External"/><Relationship Id="rId33" Type="http://schemas.openxmlformats.org/officeDocument/2006/relationships/hyperlink" Target="https://www.tescoplc.com/media/ky0bfwpo/tesco_ar25_interactive.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ataprotection.ie/en/data-protection-commission-publishes-2024-annual-report" TargetMode="External"/><Relationship Id="rId20" Type="http://schemas.openxmlformats.org/officeDocument/2006/relationships/hyperlink" Target="https://hansard.parliament.uk/commons/2024-09-09/debates/24090952000005/digitalmarketscompetitionandconsumersact2024" TargetMode="External"/><Relationship Id="rId29" Type="http://schemas.openxmlformats.org/officeDocument/2006/relationships/hyperlink" Target="https://datamatters.sidley.com/2024/05/28/the-digital-markets-competition-and-consumers-act-is-approved-key-things-to-know-about-the-uks-new-competition-and-consumer-pow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tificialintelligenceact.eu/article/6/" TargetMode="External"/><Relationship Id="rId24" Type="http://schemas.openxmlformats.org/officeDocument/2006/relationships/hyperlink" Target="https://www.twobirds.com/en/insights/2024/uk/updates-from-the-cma-algorithmic-collusion-online-choice-architecture-and-green-agreements" TargetMode="External"/><Relationship Id="rId32" Type="http://schemas.openxmlformats.org/officeDocument/2006/relationships/hyperlink" Target="https://www.slaughterandmay.com/insights/new-insights/dmcc-act-seeks-to-make-consumer-protection-fit-for-the-digital-age/"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iapp.org/news/a/key-takeaways-from-ireland-s-dpc-annual-report" TargetMode="External"/><Relationship Id="rId23" Type="http://schemas.openxmlformats.org/officeDocument/2006/relationships/hyperlink" Target="https://www.privacylaws.com/reports-gateway/articles/int196/int196ireland/" TargetMode="External"/><Relationship Id="rId28" Type="http://schemas.openxmlformats.org/officeDocument/2006/relationships/hyperlink" Target="https://www.globalbankingandfinance.com/tesco-partners-adobe-ramp-up-ai-driven-personalised/"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whitecase.com/insight-alert/long-awaited-eu-ai-act-becomes-law-after-publication-eus-official-journal" TargetMode="External"/><Relationship Id="rId31" Type="http://schemas.openxmlformats.org/officeDocument/2006/relationships/hyperlink" Target="https://loyaltyrewardco.com/do-loyalty-programs-work-just-ask-tesc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mpetitionandmarkets.blog.gov.uk/2026/04/17/direct-consumer-enforcement-one-year-on/" TargetMode="External"/><Relationship Id="rId22" Type="http://schemas.openxmlformats.org/officeDocument/2006/relationships/hyperlink" Target="https://www.investegate.co.uk/announcement/rns/tesco--tsco/preliminary-results-2025-26/9522533" TargetMode="External"/><Relationship Id="rId27" Type="http://schemas.openxmlformats.org/officeDocument/2006/relationships/hyperlink" Target="https://www.howandwhat.net/porters-five-forces-analysis-uk-supermarket-industry/" TargetMode="External"/><Relationship Id="rId30" Type="http://schemas.openxmlformats.org/officeDocument/2006/relationships/hyperlink" Target="https://euaicompass.com/eu-ai-act-compliance-guide.html" TargetMode="External"/><Relationship Id="rId35" Type="http://schemas.openxmlformats.org/officeDocument/2006/relationships/hyperlink" Target="https://www.legislation.gov.uk/ukpga/2024/13/content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7465</Words>
  <Characters>42553</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49919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2026-07-24T11:02:00Z</dcterms:created>
  <dcterms:modified xsi:type="dcterms:W3CDTF">2026-07-24T11:02:00Z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83be1861-7683-4990-994e-e8ceb6aee6f9</vt:lpwstr>
  </property>
</Properties>
</file>