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45D3E" w14:textId="58E59B94" w:rsidR="00EA731D" w:rsidRPr="00EA731D" w:rsidRDefault="00D87795" w:rsidP="00A56EA9">
      <w:pPr>
        <w:spacing w:after="0" w:line="240" w:lineRule="auto"/>
        <w:rPr>
          <w:rFonts w:ascii="Times New Roman" w:hAnsi="Times New Roman"/>
          <w:sz w:val="24"/>
          <w:szCs w:val="24"/>
          <w:lang w:val="en-GB"/>
        </w:rPr>
      </w:pPr>
      <w:sdt>
        <w:sdtPr>
          <w:rPr>
            <w:rFonts w:ascii="Times New Roman" w:hAnsi="Times New Roman"/>
            <w:sz w:val="24"/>
            <w:szCs w:val="24"/>
            <w:lang w:val="en-GB"/>
          </w:rPr>
          <w:id w:val="807896590"/>
          <w:docPartObj>
            <w:docPartGallery w:val="Cover Pages"/>
            <w:docPartUnique/>
          </w:docPartObj>
        </w:sdtPr>
        <w:sdtEndPr/>
        <w:sdtContent>
          <w:r w:rsidR="00A56EA9" w:rsidRPr="00A56EA9">
            <w:rPr>
              <w:rFonts w:ascii="Times New Roman" w:hAnsi="Times New Roman"/>
              <w:noProof/>
              <w:sz w:val="24"/>
              <w:szCs w:val="24"/>
              <w:lang w:val="en-GB"/>
            </w:rPr>
            <mc:AlternateContent>
              <mc:Choice Requires="wps">
                <w:drawing>
                  <wp:anchor distT="0" distB="0" distL="114300" distR="114300" simplePos="0" relativeHeight="251659264" behindDoc="0" locked="0" layoutInCell="1" allowOverlap="1" wp14:anchorId="0ACE6DC5" wp14:editId="2C55E23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12"/>
                                </w:tblGrid>
                                <w:tr w:rsidR="00A56EA9" w14:paraId="011C9862" w14:textId="77777777">
                                  <w:trPr>
                                    <w:jc w:val="center"/>
                                  </w:trPr>
                                  <w:tc>
                                    <w:tcPr>
                                      <w:tcW w:w="2568" w:type="pct"/>
                                      <w:vAlign w:val="center"/>
                                    </w:tcPr>
                                    <w:p w14:paraId="3F283623" w14:textId="77777777" w:rsidR="00A56EA9" w:rsidRDefault="00A56EA9">
                                      <w:pPr>
                                        <w:jc w:val="right"/>
                                      </w:pPr>
                                      <w:r>
                                        <w:rPr>
                                          <w:noProof/>
                                        </w:rPr>
                                        <w:drawing>
                                          <wp:inline distT="0" distB="0" distL="0" distR="0" wp14:anchorId="0001FE7B" wp14:editId="678C616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olor w:val="000000" w:themeColor="text1"/>
                                          <w:sz w:val="44"/>
                                          <w:szCs w:val="44"/>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4B1C445" w14:textId="4FB4042B" w:rsidR="00A56EA9" w:rsidRDefault="00D87795">
                                          <w:pPr>
                                            <w:pStyle w:val="NoSpacing"/>
                                            <w:spacing w:line="312" w:lineRule="auto"/>
                                            <w:jc w:val="right"/>
                                            <w:rPr>
                                              <w:caps/>
                                              <w:color w:val="191919" w:themeColor="text1" w:themeTint="E6"/>
                                              <w:sz w:val="72"/>
                                              <w:szCs w:val="72"/>
                                            </w:rPr>
                                          </w:pPr>
                                          <w:r>
                                            <w:rPr>
                                              <w:rFonts w:ascii="Times New Roman" w:hAnsi="Times New Roman"/>
                                              <w:color w:val="000000" w:themeColor="text1"/>
                                              <w:sz w:val="44"/>
                                              <w:szCs w:val="44"/>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Role of Line Managers in Creating a Positive Environment at HSBC</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2C33F98" w14:textId="14F19473" w:rsidR="00A56EA9" w:rsidRDefault="00A56EA9" w:rsidP="00A56EA9">
                                          <w:pPr>
                                            <w:jc w:val="center"/>
                                            <w:rPr>
                                              <w:sz w:val="24"/>
                                              <w:szCs w:val="24"/>
                                            </w:rPr>
                                          </w:pPr>
                                          <w:r>
                                            <w:rPr>
                                              <w:color w:val="000000" w:themeColor="text1"/>
                                              <w:sz w:val="24"/>
                                              <w:szCs w:val="24"/>
                                            </w:rPr>
                                            <w:t xml:space="preserve">     </w:t>
                                          </w:r>
                                        </w:p>
                                      </w:sdtContent>
                                    </w:sdt>
                                  </w:tc>
                                  <w:tc>
                                    <w:tcPr>
                                      <w:tcW w:w="2432" w:type="pct"/>
                                      <w:vAlign w:val="center"/>
                                    </w:tcPr>
                                    <w:p w14:paraId="2DBEC496"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Institution: Trinity Saint David</w:t>
                                      </w:r>
                                    </w:p>
                                    <w:p w14:paraId="0A888A0F"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Programme: BA Business Management</w:t>
                                      </w:r>
                                    </w:p>
                                    <w:p w14:paraId="33251394" w14:textId="2C805221"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Module: International </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Business Communications</w:t>
                                      </w: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 (LCBB600</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1</w:t>
                                      </w: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w:t>
                                      </w:r>
                                    </w:p>
                                    <w:p w14:paraId="306CDC19" w14:textId="1ACAC696"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Professor’s N</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ame: Toyin Adisa</w:t>
                                      </w:r>
                                      <w:r w:rsid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 </w:t>
                                      </w:r>
                                    </w:p>
                                    <w:p w14:paraId="5B4481EC"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Student Name: Darinka Corman (2029004)</w:t>
                                      </w:r>
                                    </w:p>
                                    <w:p w14:paraId="1B901259" w14:textId="49A5A47C" w:rsidR="00A56EA9" w:rsidRPr="00A56EA9" w:rsidRDefault="00A56EA9" w:rsidP="001A1357">
                                      <w:pPr>
                                        <w:rPr>
                                          <w:color w:val="000000" w:themeColor="text1"/>
                                        </w:rPr>
                                      </w:pPr>
                                    </w:p>
                                  </w:tc>
                                </w:tr>
                              </w:tbl>
                              <w:p w14:paraId="410E95FC" w14:textId="77777777" w:rsidR="00A56EA9" w:rsidRDefault="00A56EA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ACE6DC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12"/>
                          </w:tblGrid>
                          <w:tr w:rsidR="00A56EA9" w14:paraId="011C9862" w14:textId="77777777">
                            <w:trPr>
                              <w:jc w:val="center"/>
                            </w:trPr>
                            <w:tc>
                              <w:tcPr>
                                <w:tcW w:w="2568" w:type="pct"/>
                                <w:vAlign w:val="center"/>
                              </w:tcPr>
                              <w:p w14:paraId="3F283623" w14:textId="77777777" w:rsidR="00A56EA9" w:rsidRDefault="00A56EA9">
                                <w:pPr>
                                  <w:jc w:val="right"/>
                                </w:pPr>
                                <w:r>
                                  <w:rPr>
                                    <w:noProof/>
                                  </w:rPr>
                                  <w:drawing>
                                    <wp:inline distT="0" distB="0" distL="0" distR="0" wp14:anchorId="0001FE7B" wp14:editId="678C616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olor w:val="000000" w:themeColor="text1"/>
                                    <w:sz w:val="44"/>
                                    <w:szCs w:val="44"/>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4B1C445" w14:textId="4FB4042B" w:rsidR="00A56EA9" w:rsidRDefault="00D87795">
                                    <w:pPr>
                                      <w:pStyle w:val="NoSpacing"/>
                                      <w:spacing w:line="312" w:lineRule="auto"/>
                                      <w:jc w:val="right"/>
                                      <w:rPr>
                                        <w:caps/>
                                        <w:color w:val="191919" w:themeColor="text1" w:themeTint="E6"/>
                                        <w:sz w:val="72"/>
                                        <w:szCs w:val="72"/>
                                      </w:rPr>
                                    </w:pPr>
                                    <w:r>
                                      <w:rPr>
                                        <w:rFonts w:ascii="Times New Roman" w:hAnsi="Times New Roman"/>
                                        <w:color w:val="000000" w:themeColor="text1"/>
                                        <w:sz w:val="44"/>
                                        <w:szCs w:val="44"/>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Role of Line Managers in Creating a Positive Environment at HSBC</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2C33F98" w14:textId="14F19473" w:rsidR="00A56EA9" w:rsidRDefault="00A56EA9" w:rsidP="00A56EA9">
                                    <w:pPr>
                                      <w:jc w:val="center"/>
                                      <w:rPr>
                                        <w:sz w:val="24"/>
                                        <w:szCs w:val="24"/>
                                      </w:rPr>
                                    </w:pPr>
                                    <w:r>
                                      <w:rPr>
                                        <w:color w:val="000000" w:themeColor="text1"/>
                                        <w:sz w:val="24"/>
                                        <w:szCs w:val="24"/>
                                      </w:rPr>
                                      <w:t xml:space="preserve">     </w:t>
                                    </w:r>
                                  </w:p>
                                </w:sdtContent>
                              </w:sdt>
                            </w:tc>
                            <w:tc>
                              <w:tcPr>
                                <w:tcW w:w="2432" w:type="pct"/>
                                <w:vAlign w:val="center"/>
                              </w:tcPr>
                              <w:p w14:paraId="2DBEC496"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Institution: Trinity Saint David</w:t>
                                </w:r>
                              </w:p>
                              <w:p w14:paraId="0A888A0F"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Programme: BA Business Management</w:t>
                                </w:r>
                              </w:p>
                              <w:p w14:paraId="33251394" w14:textId="2C805221"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Module: International </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Business Communications</w:t>
                                </w: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 (LCBB600</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1</w:t>
                                </w: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w:t>
                                </w:r>
                              </w:p>
                              <w:p w14:paraId="306CDC19" w14:textId="1ACAC696"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Professor’s N</w:t>
                                </w:r>
                                <w:r w:rsidR="00DB3700" w:rsidRP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ame: Toyin Adisa</w:t>
                                </w:r>
                                <w:r w:rsidR="00DB3700">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 xml:space="preserve"> </w:t>
                                </w:r>
                              </w:p>
                              <w:p w14:paraId="5B4481EC" w14:textId="77777777" w:rsidR="001A1357" w:rsidRPr="001A1357" w:rsidRDefault="001A1357" w:rsidP="001A1357">
                                <w:pPr>
                                  <w:spacing w:after="160" w:line="259" w:lineRule="auto"/>
                                  <w:jc w:val="center"/>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pPr>
                                <w:r w:rsidRPr="001A1357">
                                  <w:rPr>
                                    <w:rFonts w:asciiTheme="minorHAnsi" w:eastAsia="Times New Roman" w:hAnsiTheme="minorHAnsi"/>
                                    <w:color w:val="000000" w:themeColor="text1"/>
                                    <w:sz w:val="32"/>
                                    <w:szCs w:val="32"/>
                                    <w:lang w:val="en-GB"/>
                                    <w14:shadow w14:blurRad="63500" w14:dist="0" w14:dir="0" w14:sx="102000" w14:sy="102000" w14:kx="0" w14:ky="0" w14:algn="ctr">
                                      <w14:srgbClr w14:val="000000">
                                        <w14:alpha w14:val="60000"/>
                                      </w14:srgbClr>
                                    </w14:shadow>
                                    <w14:textOutline w14:w="0" w14:cap="flat" w14:cmpd="sng" w14:algn="ctr">
                                      <w14:noFill/>
                                      <w14:prstDash w14:val="solid"/>
                                      <w14:round/>
                                    </w14:textOutline>
                                  </w:rPr>
                                  <w:t>Student Name: Darinka Corman (2029004)</w:t>
                                </w:r>
                              </w:p>
                              <w:p w14:paraId="1B901259" w14:textId="49A5A47C" w:rsidR="00A56EA9" w:rsidRPr="00A56EA9" w:rsidRDefault="00A56EA9" w:rsidP="001A1357">
                                <w:pPr>
                                  <w:rPr>
                                    <w:color w:val="000000" w:themeColor="text1"/>
                                  </w:rPr>
                                </w:pPr>
                              </w:p>
                            </w:tc>
                          </w:tr>
                        </w:tbl>
                        <w:p w14:paraId="410E95FC" w14:textId="77777777" w:rsidR="00A56EA9" w:rsidRDefault="00A56EA9"/>
                      </w:txbxContent>
                    </v:textbox>
                    <w10:wrap anchorx="page" anchory="page"/>
                  </v:shape>
                </w:pict>
              </mc:Fallback>
            </mc:AlternateContent>
          </w:r>
          <w:r w:rsidR="00A56EA9">
            <w:rPr>
              <w:rFonts w:ascii="Times New Roman" w:hAnsi="Times New Roman"/>
              <w:sz w:val="24"/>
              <w:szCs w:val="24"/>
              <w:lang w:val="en-GB"/>
            </w:rPr>
            <w:br w:type="page"/>
          </w:r>
        </w:sdtContent>
      </w:sdt>
    </w:p>
    <w:p w14:paraId="01E15C03" w14:textId="77777777" w:rsidR="00EA731D" w:rsidRPr="00EA731D" w:rsidRDefault="00EA731D" w:rsidP="00650AE9">
      <w:pPr>
        <w:spacing w:line="480" w:lineRule="auto"/>
        <w:rPr>
          <w:rFonts w:ascii="Times New Roman" w:hAnsi="Times New Roman"/>
          <w:sz w:val="24"/>
          <w:szCs w:val="24"/>
          <w:lang w:val="en-GB" w:eastAsia="en-GB"/>
        </w:rPr>
      </w:pPr>
    </w:p>
    <w:p w14:paraId="6302C3FC" w14:textId="77777777" w:rsidR="00EA731D" w:rsidRPr="00EA731D" w:rsidRDefault="00EA731D" w:rsidP="00650AE9">
      <w:pPr>
        <w:spacing w:line="480" w:lineRule="auto"/>
        <w:rPr>
          <w:rFonts w:ascii="Times New Roman" w:hAnsi="Times New Roman"/>
          <w:sz w:val="24"/>
          <w:szCs w:val="24"/>
          <w:lang w:val="en-GB" w:eastAsia="en-GB"/>
        </w:rPr>
      </w:pPr>
    </w:p>
    <w:p w14:paraId="45DA5586" w14:textId="77777777" w:rsidR="00EA731D" w:rsidRPr="00EA731D" w:rsidRDefault="00EA731D" w:rsidP="00650AE9">
      <w:pPr>
        <w:spacing w:line="480" w:lineRule="auto"/>
        <w:rPr>
          <w:rFonts w:ascii="Times New Roman" w:hAnsi="Times New Roman"/>
          <w:sz w:val="24"/>
          <w:szCs w:val="24"/>
          <w:lang w:val="en-GB" w:eastAsia="en-GB"/>
        </w:rPr>
      </w:pPr>
    </w:p>
    <w:p w14:paraId="4B6B4C14" w14:textId="77777777" w:rsidR="00EA731D" w:rsidRPr="00EA731D" w:rsidRDefault="00EA731D" w:rsidP="00650AE9">
      <w:pPr>
        <w:spacing w:line="480" w:lineRule="auto"/>
        <w:rPr>
          <w:rFonts w:ascii="Times New Roman" w:hAnsi="Times New Roman"/>
          <w:sz w:val="24"/>
          <w:szCs w:val="24"/>
          <w:lang w:val="en-GB" w:eastAsia="en-GB"/>
        </w:rPr>
      </w:pPr>
    </w:p>
    <w:sdt>
      <w:sdtPr>
        <w:rPr>
          <w:rFonts w:ascii="Times New Roman" w:eastAsia="Calibri" w:hAnsi="Times New Roman" w:cs="Times New Roman"/>
          <w:b/>
          <w:bCs/>
          <w:color w:val="auto"/>
          <w:sz w:val="24"/>
          <w:szCs w:val="24"/>
        </w:rPr>
        <w:id w:val="-1271622711"/>
        <w:docPartObj>
          <w:docPartGallery w:val="Table of Contents"/>
          <w:docPartUnique/>
        </w:docPartObj>
      </w:sdtPr>
      <w:sdtEndPr>
        <w:rPr>
          <w:noProof/>
        </w:rPr>
      </w:sdtEndPr>
      <w:sdtContent>
        <w:p w14:paraId="1F19C708" w14:textId="1D336BC5" w:rsidR="00EA731D" w:rsidRPr="00EA731D" w:rsidRDefault="00EA731D" w:rsidP="00EA731D">
          <w:pPr>
            <w:pStyle w:val="TOCHeading"/>
            <w:jc w:val="center"/>
            <w:rPr>
              <w:rFonts w:ascii="Times New Roman" w:hAnsi="Times New Roman" w:cs="Times New Roman"/>
              <w:b/>
              <w:bCs/>
              <w:color w:val="auto"/>
              <w:sz w:val="24"/>
              <w:szCs w:val="24"/>
            </w:rPr>
          </w:pPr>
          <w:r w:rsidRPr="00EA731D">
            <w:rPr>
              <w:rFonts w:ascii="Times New Roman" w:hAnsi="Times New Roman" w:cs="Times New Roman"/>
              <w:b/>
              <w:bCs/>
              <w:color w:val="auto"/>
              <w:sz w:val="24"/>
              <w:szCs w:val="24"/>
            </w:rPr>
            <w:t>Table of Contents</w:t>
          </w:r>
        </w:p>
        <w:p w14:paraId="4231F8EB" w14:textId="7784FA00" w:rsidR="00A56EA9" w:rsidRDefault="00EA731D">
          <w:pPr>
            <w:pStyle w:val="TOC1"/>
            <w:tabs>
              <w:tab w:val="right" w:leader="dot" w:pos="9350"/>
            </w:tabs>
            <w:rPr>
              <w:rFonts w:asciiTheme="minorHAnsi" w:eastAsiaTheme="minorEastAsia" w:hAnsiTheme="minorHAnsi" w:cstheme="minorBidi"/>
              <w:noProof/>
              <w:lang w:val="en-GB" w:eastAsia="en-GB"/>
            </w:rPr>
          </w:pPr>
          <w:r w:rsidRPr="00EA731D">
            <w:rPr>
              <w:rFonts w:ascii="Times New Roman" w:hAnsi="Times New Roman"/>
              <w:sz w:val="24"/>
              <w:szCs w:val="24"/>
            </w:rPr>
            <w:fldChar w:fldCharType="begin"/>
          </w:r>
          <w:r w:rsidRPr="00EA731D">
            <w:rPr>
              <w:rFonts w:ascii="Times New Roman" w:hAnsi="Times New Roman"/>
              <w:sz w:val="24"/>
              <w:szCs w:val="24"/>
            </w:rPr>
            <w:instrText xml:space="preserve"> TOC \o "1-3" \h \z \u </w:instrText>
          </w:r>
          <w:r w:rsidRPr="00EA731D">
            <w:rPr>
              <w:rFonts w:ascii="Times New Roman" w:hAnsi="Times New Roman"/>
              <w:sz w:val="24"/>
              <w:szCs w:val="24"/>
            </w:rPr>
            <w:fldChar w:fldCharType="separate"/>
          </w:r>
          <w:hyperlink w:anchor="_Toc143790428" w:history="1">
            <w:r w:rsidR="00A56EA9" w:rsidRPr="0031025E">
              <w:rPr>
                <w:rStyle w:val="Hyperlink"/>
                <w:noProof/>
              </w:rPr>
              <w:t>Executive Summary</w:t>
            </w:r>
            <w:r w:rsidR="00A56EA9">
              <w:rPr>
                <w:noProof/>
                <w:webHidden/>
              </w:rPr>
              <w:tab/>
            </w:r>
            <w:r w:rsidR="00A56EA9">
              <w:rPr>
                <w:noProof/>
                <w:webHidden/>
              </w:rPr>
              <w:fldChar w:fldCharType="begin"/>
            </w:r>
            <w:r w:rsidR="00A56EA9">
              <w:rPr>
                <w:noProof/>
                <w:webHidden/>
              </w:rPr>
              <w:instrText xml:space="preserve"> PAGEREF _Toc143790428 \h </w:instrText>
            </w:r>
            <w:r w:rsidR="00A56EA9">
              <w:rPr>
                <w:noProof/>
                <w:webHidden/>
              </w:rPr>
            </w:r>
            <w:r w:rsidR="00A56EA9">
              <w:rPr>
                <w:noProof/>
                <w:webHidden/>
              </w:rPr>
              <w:fldChar w:fldCharType="separate"/>
            </w:r>
            <w:r w:rsidR="00A56EA9">
              <w:rPr>
                <w:noProof/>
                <w:webHidden/>
              </w:rPr>
              <w:t>2</w:t>
            </w:r>
            <w:r w:rsidR="00A56EA9">
              <w:rPr>
                <w:noProof/>
                <w:webHidden/>
              </w:rPr>
              <w:fldChar w:fldCharType="end"/>
            </w:r>
          </w:hyperlink>
        </w:p>
        <w:p w14:paraId="12271D86" w14:textId="2D1DAF29"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29" w:history="1">
            <w:r w:rsidR="00A56EA9" w:rsidRPr="0031025E">
              <w:rPr>
                <w:rStyle w:val="Hyperlink"/>
                <w:noProof/>
              </w:rPr>
              <w:t>Introduction</w:t>
            </w:r>
            <w:r w:rsidR="00A56EA9">
              <w:rPr>
                <w:noProof/>
                <w:webHidden/>
              </w:rPr>
              <w:tab/>
            </w:r>
            <w:r w:rsidR="00A56EA9">
              <w:rPr>
                <w:noProof/>
                <w:webHidden/>
              </w:rPr>
              <w:fldChar w:fldCharType="begin"/>
            </w:r>
            <w:r w:rsidR="00A56EA9">
              <w:rPr>
                <w:noProof/>
                <w:webHidden/>
              </w:rPr>
              <w:instrText xml:space="preserve"> PAGEREF _Toc143790429 \h </w:instrText>
            </w:r>
            <w:r w:rsidR="00A56EA9">
              <w:rPr>
                <w:noProof/>
                <w:webHidden/>
              </w:rPr>
            </w:r>
            <w:r w:rsidR="00A56EA9">
              <w:rPr>
                <w:noProof/>
                <w:webHidden/>
              </w:rPr>
              <w:fldChar w:fldCharType="separate"/>
            </w:r>
            <w:r w:rsidR="00A56EA9">
              <w:rPr>
                <w:noProof/>
                <w:webHidden/>
              </w:rPr>
              <w:t>2</w:t>
            </w:r>
            <w:r w:rsidR="00A56EA9">
              <w:rPr>
                <w:noProof/>
                <w:webHidden/>
              </w:rPr>
              <w:fldChar w:fldCharType="end"/>
            </w:r>
          </w:hyperlink>
        </w:p>
        <w:p w14:paraId="01A46278" w14:textId="22EADB41"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30" w:history="1">
            <w:r w:rsidR="00A56EA9" w:rsidRPr="0031025E">
              <w:rPr>
                <w:rStyle w:val="Hyperlink"/>
                <w:rFonts w:eastAsia="Times New Roman"/>
                <w:noProof/>
                <w:lang w:val="en-GB" w:eastAsia="en-GB"/>
              </w:rPr>
              <w:t>Background of the Featured Company</w:t>
            </w:r>
            <w:r w:rsidR="00A56EA9">
              <w:rPr>
                <w:noProof/>
                <w:webHidden/>
              </w:rPr>
              <w:tab/>
            </w:r>
            <w:r w:rsidR="00A56EA9">
              <w:rPr>
                <w:noProof/>
                <w:webHidden/>
              </w:rPr>
              <w:fldChar w:fldCharType="begin"/>
            </w:r>
            <w:r w:rsidR="00A56EA9">
              <w:rPr>
                <w:noProof/>
                <w:webHidden/>
              </w:rPr>
              <w:instrText xml:space="preserve"> PAGEREF _Toc143790430 \h </w:instrText>
            </w:r>
            <w:r w:rsidR="00A56EA9">
              <w:rPr>
                <w:noProof/>
                <w:webHidden/>
              </w:rPr>
            </w:r>
            <w:r w:rsidR="00A56EA9">
              <w:rPr>
                <w:noProof/>
                <w:webHidden/>
              </w:rPr>
              <w:fldChar w:fldCharType="separate"/>
            </w:r>
            <w:r w:rsidR="00A56EA9">
              <w:rPr>
                <w:noProof/>
                <w:webHidden/>
              </w:rPr>
              <w:t>3</w:t>
            </w:r>
            <w:r w:rsidR="00A56EA9">
              <w:rPr>
                <w:noProof/>
                <w:webHidden/>
              </w:rPr>
              <w:fldChar w:fldCharType="end"/>
            </w:r>
          </w:hyperlink>
        </w:p>
        <w:p w14:paraId="1A623F55" w14:textId="2B884200"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31" w:history="1">
            <w:r w:rsidR="00A56EA9" w:rsidRPr="0031025E">
              <w:rPr>
                <w:rStyle w:val="Hyperlink"/>
                <w:noProof/>
              </w:rPr>
              <w:t>Theories of Intercultural Communication</w:t>
            </w:r>
            <w:r w:rsidR="00A56EA9">
              <w:rPr>
                <w:noProof/>
                <w:webHidden/>
              </w:rPr>
              <w:tab/>
            </w:r>
            <w:r w:rsidR="00A56EA9">
              <w:rPr>
                <w:noProof/>
                <w:webHidden/>
              </w:rPr>
              <w:fldChar w:fldCharType="begin"/>
            </w:r>
            <w:r w:rsidR="00A56EA9">
              <w:rPr>
                <w:noProof/>
                <w:webHidden/>
              </w:rPr>
              <w:instrText xml:space="preserve"> PAGEREF _Toc143790431 \h </w:instrText>
            </w:r>
            <w:r w:rsidR="00A56EA9">
              <w:rPr>
                <w:noProof/>
                <w:webHidden/>
              </w:rPr>
            </w:r>
            <w:r w:rsidR="00A56EA9">
              <w:rPr>
                <w:noProof/>
                <w:webHidden/>
              </w:rPr>
              <w:fldChar w:fldCharType="separate"/>
            </w:r>
            <w:r w:rsidR="00A56EA9">
              <w:rPr>
                <w:noProof/>
                <w:webHidden/>
              </w:rPr>
              <w:t>3</w:t>
            </w:r>
            <w:r w:rsidR="00A56EA9">
              <w:rPr>
                <w:noProof/>
                <w:webHidden/>
              </w:rPr>
              <w:fldChar w:fldCharType="end"/>
            </w:r>
          </w:hyperlink>
        </w:p>
        <w:p w14:paraId="46245A06" w14:textId="2F2571C6"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32" w:history="1">
            <w:r w:rsidR="00A56EA9" w:rsidRPr="0031025E">
              <w:rPr>
                <w:rStyle w:val="Hyperlink"/>
                <w:noProof/>
              </w:rPr>
              <w:t>Cultural Sensitivity and Diversity</w:t>
            </w:r>
            <w:r w:rsidR="00A56EA9">
              <w:rPr>
                <w:noProof/>
                <w:webHidden/>
              </w:rPr>
              <w:tab/>
            </w:r>
            <w:r w:rsidR="00A56EA9">
              <w:rPr>
                <w:noProof/>
                <w:webHidden/>
              </w:rPr>
              <w:fldChar w:fldCharType="begin"/>
            </w:r>
            <w:r w:rsidR="00A56EA9">
              <w:rPr>
                <w:noProof/>
                <w:webHidden/>
              </w:rPr>
              <w:instrText xml:space="preserve"> PAGEREF _Toc143790432 \h </w:instrText>
            </w:r>
            <w:r w:rsidR="00A56EA9">
              <w:rPr>
                <w:noProof/>
                <w:webHidden/>
              </w:rPr>
            </w:r>
            <w:r w:rsidR="00A56EA9">
              <w:rPr>
                <w:noProof/>
                <w:webHidden/>
              </w:rPr>
              <w:fldChar w:fldCharType="separate"/>
            </w:r>
            <w:r w:rsidR="00A56EA9">
              <w:rPr>
                <w:noProof/>
                <w:webHidden/>
              </w:rPr>
              <w:t>5</w:t>
            </w:r>
            <w:r w:rsidR="00A56EA9">
              <w:rPr>
                <w:noProof/>
                <w:webHidden/>
              </w:rPr>
              <w:fldChar w:fldCharType="end"/>
            </w:r>
          </w:hyperlink>
        </w:p>
        <w:p w14:paraId="7B9E7BB8" w14:textId="1826129B"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3" w:history="1">
            <w:r w:rsidR="00A56EA9" w:rsidRPr="0031025E">
              <w:rPr>
                <w:rStyle w:val="Hyperlink"/>
                <w:noProof/>
                <w:lang w:val="en-GB" w:eastAsia="en-GB"/>
              </w:rPr>
              <w:t>Multilingual Workforce</w:t>
            </w:r>
            <w:r w:rsidR="00A56EA9" w:rsidRPr="0031025E">
              <w:rPr>
                <w:rStyle w:val="Hyperlink"/>
                <w:rFonts w:eastAsia="Times New Roman"/>
                <w:noProof/>
                <w:lang w:val="en-GB" w:eastAsia="en-GB"/>
              </w:rPr>
              <w:t>:</w:t>
            </w:r>
            <w:r w:rsidR="00A56EA9">
              <w:rPr>
                <w:noProof/>
                <w:webHidden/>
              </w:rPr>
              <w:tab/>
            </w:r>
            <w:r w:rsidR="00A56EA9">
              <w:rPr>
                <w:noProof/>
                <w:webHidden/>
              </w:rPr>
              <w:fldChar w:fldCharType="begin"/>
            </w:r>
            <w:r w:rsidR="00A56EA9">
              <w:rPr>
                <w:noProof/>
                <w:webHidden/>
              </w:rPr>
              <w:instrText xml:space="preserve"> PAGEREF _Toc143790433 \h </w:instrText>
            </w:r>
            <w:r w:rsidR="00A56EA9">
              <w:rPr>
                <w:noProof/>
                <w:webHidden/>
              </w:rPr>
            </w:r>
            <w:r w:rsidR="00A56EA9">
              <w:rPr>
                <w:noProof/>
                <w:webHidden/>
              </w:rPr>
              <w:fldChar w:fldCharType="separate"/>
            </w:r>
            <w:r w:rsidR="00A56EA9">
              <w:rPr>
                <w:noProof/>
                <w:webHidden/>
              </w:rPr>
              <w:t>7</w:t>
            </w:r>
            <w:r w:rsidR="00A56EA9">
              <w:rPr>
                <w:noProof/>
                <w:webHidden/>
              </w:rPr>
              <w:fldChar w:fldCharType="end"/>
            </w:r>
          </w:hyperlink>
        </w:p>
        <w:p w14:paraId="09FD3AC8" w14:textId="30FBDCE0"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4" w:history="1">
            <w:r w:rsidR="00A56EA9" w:rsidRPr="0031025E">
              <w:rPr>
                <w:rStyle w:val="Hyperlink"/>
                <w:noProof/>
              </w:rPr>
              <w:t>Cultural Celebrations:</w:t>
            </w:r>
            <w:r w:rsidR="00A56EA9">
              <w:rPr>
                <w:noProof/>
                <w:webHidden/>
              </w:rPr>
              <w:tab/>
            </w:r>
            <w:r w:rsidR="00A56EA9">
              <w:rPr>
                <w:noProof/>
                <w:webHidden/>
              </w:rPr>
              <w:fldChar w:fldCharType="begin"/>
            </w:r>
            <w:r w:rsidR="00A56EA9">
              <w:rPr>
                <w:noProof/>
                <w:webHidden/>
              </w:rPr>
              <w:instrText xml:space="preserve"> PAGEREF _Toc143790434 \h </w:instrText>
            </w:r>
            <w:r w:rsidR="00A56EA9">
              <w:rPr>
                <w:noProof/>
                <w:webHidden/>
              </w:rPr>
            </w:r>
            <w:r w:rsidR="00A56EA9">
              <w:rPr>
                <w:noProof/>
                <w:webHidden/>
              </w:rPr>
              <w:fldChar w:fldCharType="separate"/>
            </w:r>
            <w:r w:rsidR="00A56EA9">
              <w:rPr>
                <w:noProof/>
                <w:webHidden/>
              </w:rPr>
              <w:t>7</w:t>
            </w:r>
            <w:r w:rsidR="00A56EA9">
              <w:rPr>
                <w:noProof/>
                <w:webHidden/>
              </w:rPr>
              <w:fldChar w:fldCharType="end"/>
            </w:r>
          </w:hyperlink>
        </w:p>
        <w:p w14:paraId="52C4C4BA" w14:textId="6F20650C"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5" w:history="1">
            <w:r w:rsidR="00A56EA9" w:rsidRPr="0031025E">
              <w:rPr>
                <w:rStyle w:val="Hyperlink"/>
                <w:noProof/>
              </w:rPr>
              <w:t>Professional Backgrounds:</w:t>
            </w:r>
            <w:r w:rsidR="00A56EA9">
              <w:rPr>
                <w:noProof/>
                <w:webHidden/>
              </w:rPr>
              <w:tab/>
            </w:r>
            <w:r w:rsidR="00A56EA9">
              <w:rPr>
                <w:noProof/>
                <w:webHidden/>
              </w:rPr>
              <w:fldChar w:fldCharType="begin"/>
            </w:r>
            <w:r w:rsidR="00A56EA9">
              <w:rPr>
                <w:noProof/>
                <w:webHidden/>
              </w:rPr>
              <w:instrText xml:space="preserve"> PAGEREF _Toc143790435 \h </w:instrText>
            </w:r>
            <w:r w:rsidR="00A56EA9">
              <w:rPr>
                <w:noProof/>
                <w:webHidden/>
              </w:rPr>
            </w:r>
            <w:r w:rsidR="00A56EA9">
              <w:rPr>
                <w:noProof/>
                <w:webHidden/>
              </w:rPr>
              <w:fldChar w:fldCharType="separate"/>
            </w:r>
            <w:r w:rsidR="00A56EA9">
              <w:rPr>
                <w:noProof/>
                <w:webHidden/>
              </w:rPr>
              <w:t>7</w:t>
            </w:r>
            <w:r w:rsidR="00A56EA9">
              <w:rPr>
                <w:noProof/>
                <w:webHidden/>
              </w:rPr>
              <w:fldChar w:fldCharType="end"/>
            </w:r>
          </w:hyperlink>
        </w:p>
        <w:p w14:paraId="61BBE4A4" w14:textId="707A510B"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6" w:history="1">
            <w:r w:rsidR="00A56EA9" w:rsidRPr="0031025E">
              <w:rPr>
                <w:rStyle w:val="Hyperlink"/>
                <w:noProof/>
              </w:rPr>
              <w:t>Generational Diversity:</w:t>
            </w:r>
            <w:r w:rsidR="00A56EA9">
              <w:rPr>
                <w:noProof/>
                <w:webHidden/>
              </w:rPr>
              <w:tab/>
            </w:r>
            <w:r w:rsidR="00A56EA9">
              <w:rPr>
                <w:noProof/>
                <w:webHidden/>
              </w:rPr>
              <w:fldChar w:fldCharType="begin"/>
            </w:r>
            <w:r w:rsidR="00A56EA9">
              <w:rPr>
                <w:noProof/>
                <w:webHidden/>
              </w:rPr>
              <w:instrText xml:space="preserve"> PAGEREF _Toc143790436 \h </w:instrText>
            </w:r>
            <w:r w:rsidR="00A56EA9">
              <w:rPr>
                <w:noProof/>
                <w:webHidden/>
              </w:rPr>
            </w:r>
            <w:r w:rsidR="00A56EA9">
              <w:rPr>
                <w:noProof/>
                <w:webHidden/>
              </w:rPr>
              <w:fldChar w:fldCharType="separate"/>
            </w:r>
            <w:r w:rsidR="00A56EA9">
              <w:rPr>
                <w:noProof/>
                <w:webHidden/>
              </w:rPr>
              <w:t>8</w:t>
            </w:r>
            <w:r w:rsidR="00A56EA9">
              <w:rPr>
                <w:noProof/>
                <w:webHidden/>
              </w:rPr>
              <w:fldChar w:fldCharType="end"/>
            </w:r>
          </w:hyperlink>
        </w:p>
        <w:p w14:paraId="003F55F4" w14:textId="6540F0C4"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37" w:history="1">
            <w:r w:rsidR="00A56EA9" w:rsidRPr="0031025E">
              <w:rPr>
                <w:rStyle w:val="Hyperlink"/>
                <w:noProof/>
              </w:rPr>
              <w:t>Communication Barriers and Strategies</w:t>
            </w:r>
            <w:r w:rsidR="00A56EA9">
              <w:rPr>
                <w:noProof/>
                <w:webHidden/>
              </w:rPr>
              <w:tab/>
            </w:r>
            <w:r w:rsidR="00A56EA9">
              <w:rPr>
                <w:noProof/>
                <w:webHidden/>
              </w:rPr>
              <w:fldChar w:fldCharType="begin"/>
            </w:r>
            <w:r w:rsidR="00A56EA9">
              <w:rPr>
                <w:noProof/>
                <w:webHidden/>
              </w:rPr>
              <w:instrText xml:space="preserve"> PAGEREF _Toc143790437 \h </w:instrText>
            </w:r>
            <w:r w:rsidR="00A56EA9">
              <w:rPr>
                <w:noProof/>
                <w:webHidden/>
              </w:rPr>
            </w:r>
            <w:r w:rsidR="00A56EA9">
              <w:rPr>
                <w:noProof/>
                <w:webHidden/>
              </w:rPr>
              <w:fldChar w:fldCharType="separate"/>
            </w:r>
            <w:r w:rsidR="00A56EA9">
              <w:rPr>
                <w:noProof/>
                <w:webHidden/>
              </w:rPr>
              <w:t>8</w:t>
            </w:r>
            <w:r w:rsidR="00A56EA9">
              <w:rPr>
                <w:noProof/>
                <w:webHidden/>
              </w:rPr>
              <w:fldChar w:fldCharType="end"/>
            </w:r>
          </w:hyperlink>
        </w:p>
        <w:p w14:paraId="18D1141C" w14:textId="05F40584"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8" w:history="1">
            <w:r w:rsidR="00A56EA9" w:rsidRPr="0031025E">
              <w:rPr>
                <w:rStyle w:val="Hyperlink"/>
                <w:noProof/>
              </w:rPr>
              <w:t>Language Barriers:</w:t>
            </w:r>
            <w:r w:rsidR="00A56EA9">
              <w:rPr>
                <w:noProof/>
                <w:webHidden/>
              </w:rPr>
              <w:tab/>
            </w:r>
            <w:r w:rsidR="00A56EA9">
              <w:rPr>
                <w:noProof/>
                <w:webHidden/>
              </w:rPr>
              <w:fldChar w:fldCharType="begin"/>
            </w:r>
            <w:r w:rsidR="00A56EA9">
              <w:rPr>
                <w:noProof/>
                <w:webHidden/>
              </w:rPr>
              <w:instrText xml:space="preserve"> PAGEREF _Toc143790438 \h </w:instrText>
            </w:r>
            <w:r w:rsidR="00A56EA9">
              <w:rPr>
                <w:noProof/>
                <w:webHidden/>
              </w:rPr>
            </w:r>
            <w:r w:rsidR="00A56EA9">
              <w:rPr>
                <w:noProof/>
                <w:webHidden/>
              </w:rPr>
              <w:fldChar w:fldCharType="separate"/>
            </w:r>
            <w:r w:rsidR="00A56EA9">
              <w:rPr>
                <w:noProof/>
                <w:webHidden/>
              </w:rPr>
              <w:t>8</w:t>
            </w:r>
            <w:r w:rsidR="00A56EA9">
              <w:rPr>
                <w:noProof/>
                <w:webHidden/>
              </w:rPr>
              <w:fldChar w:fldCharType="end"/>
            </w:r>
          </w:hyperlink>
        </w:p>
        <w:p w14:paraId="27FD3EEE" w14:textId="7D433404"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39" w:history="1">
            <w:r w:rsidR="00A56EA9" w:rsidRPr="0031025E">
              <w:rPr>
                <w:rStyle w:val="Hyperlink"/>
                <w:noProof/>
              </w:rPr>
              <w:t>Cultural Differences:</w:t>
            </w:r>
            <w:r w:rsidR="00A56EA9">
              <w:rPr>
                <w:noProof/>
                <w:webHidden/>
              </w:rPr>
              <w:tab/>
            </w:r>
            <w:r w:rsidR="00A56EA9">
              <w:rPr>
                <w:noProof/>
                <w:webHidden/>
              </w:rPr>
              <w:fldChar w:fldCharType="begin"/>
            </w:r>
            <w:r w:rsidR="00A56EA9">
              <w:rPr>
                <w:noProof/>
                <w:webHidden/>
              </w:rPr>
              <w:instrText xml:space="preserve"> PAGEREF _Toc143790439 \h </w:instrText>
            </w:r>
            <w:r w:rsidR="00A56EA9">
              <w:rPr>
                <w:noProof/>
                <w:webHidden/>
              </w:rPr>
            </w:r>
            <w:r w:rsidR="00A56EA9">
              <w:rPr>
                <w:noProof/>
                <w:webHidden/>
              </w:rPr>
              <w:fldChar w:fldCharType="separate"/>
            </w:r>
            <w:r w:rsidR="00A56EA9">
              <w:rPr>
                <w:noProof/>
                <w:webHidden/>
              </w:rPr>
              <w:t>9</w:t>
            </w:r>
            <w:r w:rsidR="00A56EA9">
              <w:rPr>
                <w:noProof/>
                <w:webHidden/>
              </w:rPr>
              <w:fldChar w:fldCharType="end"/>
            </w:r>
          </w:hyperlink>
        </w:p>
        <w:p w14:paraId="3964009E" w14:textId="103E8F41"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40" w:history="1">
            <w:r w:rsidR="00A56EA9" w:rsidRPr="0031025E">
              <w:rPr>
                <w:rStyle w:val="Hyperlink"/>
                <w:noProof/>
              </w:rPr>
              <w:t>Non-Verbal Communication:</w:t>
            </w:r>
            <w:r w:rsidR="00A56EA9">
              <w:rPr>
                <w:noProof/>
                <w:webHidden/>
              </w:rPr>
              <w:tab/>
            </w:r>
            <w:r w:rsidR="00A56EA9">
              <w:rPr>
                <w:noProof/>
                <w:webHidden/>
              </w:rPr>
              <w:fldChar w:fldCharType="begin"/>
            </w:r>
            <w:r w:rsidR="00A56EA9">
              <w:rPr>
                <w:noProof/>
                <w:webHidden/>
              </w:rPr>
              <w:instrText xml:space="preserve"> PAGEREF _Toc143790440 \h </w:instrText>
            </w:r>
            <w:r w:rsidR="00A56EA9">
              <w:rPr>
                <w:noProof/>
                <w:webHidden/>
              </w:rPr>
            </w:r>
            <w:r w:rsidR="00A56EA9">
              <w:rPr>
                <w:noProof/>
                <w:webHidden/>
              </w:rPr>
              <w:fldChar w:fldCharType="separate"/>
            </w:r>
            <w:r w:rsidR="00A56EA9">
              <w:rPr>
                <w:noProof/>
                <w:webHidden/>
              </w:rPr>
              <w:t>9</w:t>
            </w:r>
            <w:r w:rsidR="00A56EA9">
              <w:rPr>
                <w:noProof/>
                <w:webHidden/>
              </w:rPr>
              <w:fldChar w:fldCharType="end"/>
            </w:r>
          </w:hyperlink>
        </w:p>
        <w:p w14:paraId="4C787661" w14:textId="224F72DA"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41" w:history="1">
            <w:r w:rsidR="00A56EA9" w:rsidRPr="0031025E">
              <w:rPr>
                <w:rStyle w:val="Hyperlink"/>
                <w:noProof/>
              </w:rPr>
              <w:t>Perceptions of Hierarchy:</w:t>
            </w:r>
            <w:r w:rsidR="00A56EA9">
              <w:rPr>
                <w:noProof/>
                <w:webHidden/>
              </w:rPr>
              <w:tab/>
            </w:r>
            <w:r w:rsidR="00A56EA9">
              <w:rPr>
                <w:noProof/>
                <w:webHidden/>
              </w:rPr>
              <w:fldChar w:fldCharType="begin"/>
            </w:r>
            <w:r w:rsidR="00A56EA9">
              <w:rPr>
                <w:noProof/>
                <w:webHidden/>
              </w:rPr>
              <w:instrText xml:space="preserve"> PAGEREF _Toc143790441 \h </w:instrText>
            </w:r>
            <w:r w:rsidR="00A56EA9">
              <w:rPr>
                <w:noProof/>
                <w:webHidden/>
              </w:rPr>
            </w:r>
            <w:r w:rsidR="00A56EA9">
              <w:rPr>
                <w:noProof/>
                <w:webHidden/>
              </w:rPr>
              <w:fldChar w:fldCharType="separate"/>
            </w:r>
            <w:r w:rsidR="00A56EA9">
              <w:rPr>
                <w:noProof/>
                <w:webHidden/>
              </w:rPr>
              <w:t>9</w:t>
            </w:r>
            <w:r w:rsidR="00A56EA9">
              <w:rPr>
                <w:noProof/>
                <w:webHidden/>
              </w:rPr>
              <w:fldChar w:fldCharType="end"/>
            </w:r>
          </w:hyperlink>
        </w:p>
        <w:p w14:paraId="44623DEE" w14:textId="5A989072" w:rsidR="00A56EA9" w:rsidRDefault="00D87795">
          <w:pPr>
            <w:pStyle w:val="TOC2"/>
            <w:tabs>
              <w:tab w:val="right" w:leader="dot" w:pos="9350"/>
            </w:tabs>
            <w:rPr>
              <w:rFonts w:asciiTheme="minorHAnsi" w:eastAsiaTheme="minorEastAsia" w:hAnsiTheme="minorHAnsi" w:cstheme="minorBidi"/>
              <w:noProof/>
              <w:lang w:val="en-GB" w:eastAsia="en-GB"/>
            </w:rPr>
          </w:pPr>
          <w:hyperlink w:anchor="_Toc143790442" w:history="1">
            <w:r w:rsidR="00A56EA9" w:rsidRPr="0031025E">
              <w:rPr>
                <w:rStyle w:val="Hyperlink"/>
                <w:noProof/>
              </w:rPr>
              <w:t>Generational Divide:</w:t>
            </w:r>
            <w:r w:rsidR="00A56EA9">
              <w:rPr>
                <w:noProof/>
                <w:webHidden/>
              </w:rPr>
              <w:tab/>
            </w:r>
            <w:r w:rsidR="00A56EA9">
              <w:rPr>
                <w:noProof/>
                <w:webHidden/>
              </w:rPr>
              <w:fldChar w:fldCharType="begin"/>
            </w:r>
            <w:r w:rsidR="00A56EA9">
              <w:rPr>
                <w:noProof/>
                <w:webHidden/>
              </w:rPr>
              <w:instrText xml:space="preserve"> PAGEREF _Toc143790442 \h </w:instrText>
            </w:r>
            <w:r w:rsidR="00A56EA9">
              <w:rPr>
                <w:noProof/>
                <w:webHidden/>
              </w:rPr>
            </w:r>
            <w:r w:rsidR="00A56EA9">
              <w:rPr>
                <w:noProof/>
                <w:webHidden/>
              </w:rPr>
              <w:fldChar w:fldCharType="separate"/>
            </w:r>
            <w:r w:rsidR="00A56EA9">
              <w:rPr>
                <w:noProof/>
                <w:webHidden/>
              </w:rPr>
              <w:t>10</w:t>
            </w:r>
            <w:r w:rsidR="00A56EA9">
              <w:rPr>
                <w:noProof/>
                <w:webHidden/>
              </w:rPr>
              <w:fldChar w:fldCharType="end"/>
            </w:r>
          </w:hyperlink>
        </w:p>
        <w:p w14:paraId="07EEB35F" w14:textId="1DD4E5E9"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43" w:history="1">
            <w:r w:rsidR="00A56EA9" w:rsidRPr="0031025E">
              <w:rPr>
                <w:rStyle w:val="Hyperlink"/>
                <w:noProof/>
              </w:rPr>
              <w:t>Conclusion</w:t>
            </w:r>
            <w:r w:rsidR="00A56EA9">
              <w:rPr>
                <w:noProof/>
                <w:webHidden/>
              </w:rPr>
              <w:tab/>
            </w:r>
            <w:r w:rsidR="00A56EA9">
              <w:rPr>
                <w:noProof/>
                <w:webHidden/>
              </w:rPr>
              <w:fldChar w:fldCharType="begin"/>
            </w:r>
            <w:r w:rsidR="00A56EA9">
              <w:rPr>
                <w:noProof/>
                <w:webHidden/>
              </w:rPr>
              <w:instrText xml:space="preserve"> PAGEREF _Toc143790443 \h </w:instrText>
            </w:r>
            <w:r w:rsidR="00A56EA9">
              <w:rPr>
                <w:noProof/>
                <w:webHidden/>
              </w:rPr>
            </w:r>
            <w:r w:rsidR="00A56EA9">
              <w:rPr>
                <w:noProof/>
                <w:webHidden/>
              </w:rPr>
              <w:fldChar w:fldCharType="separate"/>
            </w:r>
            <w:r w:rsidR="00A56EA9">
              <w:rPr>
                <w:noProof/>
                <w:webHidden/>
              </w:rPr>
              <w:t>11</w:t>
            </w:r>
            <w:r w:rsidR="00A56EA9">
              <w:rPr>
                <w:noProof/>
                <w:webHidden/>
              </w:rPr>
              <w:fldChar w:fldCharType="end"/>
            </w:r>
          </w:hyperlink>
        </w:p>
        <w:p w14:paraId="6B640A2B" w14:textId="75AB2457" w:rsidR="00A56EA9" w:rsidRDefault="00D87795">
          <w:pPr>
            <w:pStyle w:val="TOC1"/>
            <w:tabs>
              <w:tab w:val="right" w:leader="dot" w:pos="9350"/>
            </w:tabs>
            <w:rPr>
              <w:rFonts w:asciiTheme="minorHAnsi" w:eastAsiaTheme="minorEastAsia" w:hAnsiTheme="minorHAnsi" w:cstheme="minorBidi"/>
              <w:noProof/>
              <w:lang w:val="en-GB" w:eastAsia="en-GB"/>
            </w:rPr>
          </w:pPr>
          <w:hyperlink w:anchor="_Toc143790444" w:history="1">
            <w:r w:rsidR="00A56EA9" w:rsidRPr="0031025E">
              <w:rPr>
                <w:rStyle w:val="Hyperlink"/>
                <w:noProof/>
              </w:rPr>
              <w:t>References</w:t>
            </w:r>
            <w:r w:rsidR="00A56EA9">
              <w:rPr>
                <w:noProof/>
                <w:webHidden/>
              </w:rPr>
              <w:tab/>
            </w:r>
            <w:r w:rsidR="00A56EA9">
              <w:rPr>
                <w:noProof/>
                <w:webHidden/>
              </w:rPr>
              <w:fldChar w:fldCharType="begin"/>
            </w:r>
            <w:r w:rsidR="00A56EA9">
              <w:rPr>
                <w:noProof/>
                <w:webHidden/>
              </w:rPr>
              <w:instrText xml:space="preserve"> PAGEREF _Toc143790444 \h </w:instrText>
            </w:r>
            <w:r w:rsidR="00A56EA9">
              <w:rPr>
                <w:noProof/>
                <w:webHidden/>
              </w:rPr>
            </w:r>
            <w:r w:rsidR="00A56EA9">
              <w:rPr>
                <w:noProof/>
                <w:webHidden/>
              </w:rPr>
              <w:fldChar w:fldCharType="separate"/>
            </w:r>
            <w:r w:rsidR="00A56EA9">
              <w:rPr>
                <w:noProof/>
                <w:webHidden/>
              </w:rPr>
              <w:t>12</w:t>
            </w:r>
            <w:r w:rsidR="00A56EA9">
              <w:rPr>
                <w:noProof/>
                <w:webHidden/>
              </w:rPr>
              <w:fldChar w:fldCharType="end"/>
            </w:r>
          </w:hyperlink>
        </w:p>
        <w:p w14:paraId="3AF54829" w14:textId="77E6F879" w:rsidR="00EA731D" w:rsidRPr="00EA731D" w:rsidRDefault="00EA731D">
          <w:pPr>
            <w:rPr>
              <w:rFonts w:ascii="Times New Roman" w:hAnsi="Times New Roman"/>
              <w:sz w:val="24"/>
              <w:szCs w:val="24"/>
            </w:rPr>
          </w:pPr>
          <w:r w:rsidRPr="00EA731D">
            <w:rPr>
              <w:rFonts w:ascii="Times New Roman" w:hAnsi="Times New Roman"/>
              <w:b/>
              <w:bCs/>
              <w:noProof/>
              <w:sz w:val="24"/>
              <w:szCs w:val="24"/>
            </w:rPr>
            <w:fldChar w:fldCharType="end"/>
          </w:r>
        </w:p>
      </w:sdtContent>
    </w:sdt>
    <w:p w14:paraId="6B6669DC" w14:textId="77777777" w:rsidR="00EA731D" w:rsidRPr="00EA731D" w:rsidRDefault="00EA731D" w:rsidP="00650AE9">
      <w:pPr>
        <w:spacing w:line="480" w:lineRule="auto"/>
        <w:rPr>
          <w:rFonts w:ascii="Times New Roman" w:hAnsi="Times New Roman"/>
          <w:sz w:val="24"/>
          <w:szCs w:val="24"/>
          <w:lang w:val="en-GB" w:eastAsia="en-GB"/>
        </w:rPr>
      </w:pPr>
    </w:p>
    <w:p w14:paraId="618BCE16" w14:textId="77777777" w:rsidR="00A56EA9" w:rsidRPr="00EA731D" w:rsidRDefault="00A56EA9" w:rsidP="00A56EA9">
      <w:pPr>
        <w:spacing w:after="0" w:line="480" w:lineRule="auto"/>
        <w:jc w:val="both"/>
        <w:rPr>
          <w:rFonts w:ascii="Times New Roman" w:hAnsi="Times New Roman"/>
          <w:sz w:val="24"/>
          <w:szCs w:val="24"/>
          <w:lang w:val="en-GB"/>
        </w:rPr>
      </w:pPr>
    </w:p>
    <w:p w14:paraId="58374B76" w14:textId="77777777" w:rsidR="00A56EA9" w:rsidRPr="00A56EA9" w:rsidRDefault="00A56EA9" w:rsidP="00A56EA9">
      <w:pPr>
        <w:pStyle w:val="Heading1"/>
      </w:pPr>
      <w:bookmarkStart w:id="0" w:name="_Toc96782221"/>
      <w:bookmarkStart w:id="1" w:name="_Toc120024125"/>
      <w:bookmarkStart w:id="2" w:name="_Toc143790428"/>
      <w:r w:rsidRPr="00A56EA9">
        <w:lastRenderedPageBreak/>
        <w:t>Executive Summary</w:t>
      </w:r>
      <w:bookmarkEnd w:id="0"/>
      <w:bookmarkEnd w:id="1"/>
      <w:bookmarkEnd w:id="2"/>
    </w:p>
    <w:p w14:paraId="07548BE2" w14:textId="2ECFBFD3" w:rsidR="00EA731D" w:rsidRPr="00EA731D" w:rsidRDefault="00A56EA9" w:rsidP="00650AE9">
      <w:pPr>
        <w:spacing w:line="480" w:lineRule="auto"/>
        <w:rPr>
          <w:rFonts w:ascii="Times New Roman" w:hAnsi="Times New Roman"/>
          <w:sz w:val="24"/>
          <w:szCs w:val="24"/>
          <w:lang w:val="en-GB" w:eastAsia="en-GB"/>
        </w:rPr>
      </w:pPr>
      <w:r w:rsidRPr="00EA731D">
        <w:rPr>
          <w:rFonts w:ascii="Times New Roman" w:hAnsi="Times New Roman"/>
          <w:sz w:val="24"/>
          <w:szCs w:val="24"/>
          <w:lang w:val="en-GB" w:eastAsia="en-GB"/>
        </w:rPr>
        <w:tab/>
        <w:t>This report explores the topic of business communication in the culturally diverse environment of the UK while highlighting the importance of cultural awareness, hurdles to communication, and tactics for promoting inclusivity. The report contextualizes the significance of theories of Hofstede, Samovar, and Jandt in the context of international business, using HSBC Holdings plc as a concrete example. Cultural sensitivity turns out to be essential for fostering polite interactions and efficient communication. The study of communication obstacles identifies difficulties such linguistic variety, cultural disparities, and generational gaps. Support for several languages, cultural education, and communication channels are all part of strategic solutions. In the end, it has been demonstrated that embracing diversity improves work settings by fostering cooperation, innovation, and productivity. Insights into developing an inclusive communication culture, which is at the forefront of successful firms in the contemporary business era, are condensed in this executive summary</w:t>
      </w:r>
      <w:r>
        <w:rPr>
          <w:rFonts w:ascii="Times New Roman" w:hAnsi="Times New Roman"/>
          <w:sz w:val="24"/>
          <w:szCs w:val="24"/>
          <w:lang w:val="en-GB" w:eastAsia="en-GB"/>
        </w:rPr>
        <w:t>.</w:t>
      </w:r>
    </w:p>
    <w:p w14:paraId="52A45191" w14:textId="73DAEB5A" w:rsidR="001C6F8B" w:rsidRPr="00A56EA9" w:rsidRDefault="001C6F8B" w:rsidP="00A56EA9">
      <w:pPr>
        <w:pStyle w:val="Heading1"/>
      </w:pPr>
      <w:bookmarkStart w:id="3" w:name="_Toc120024126"/>
      <w:bookmarkStart w:id="4" w:name="_Toc143790429"/>
      <w:r w:rsidRPr="00A56EA9">
        <w:t>Introduction</w:t>
      </w:r>
      <w:bookmarkEnd w:id="3"/>
      <w:bookmarkEnd w:id="4"/>
    </w:p>
    <w:p w14:paraId="28321F39" w14:textId="4AE088AE" w:rsidR="001E216B" w:rsidRPr="00EA731D" w:rsidRDefault="008E48D9"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Today's globalized economy places a premium on effective corporate communication as firms strive to succeed in a variety of interrelated markets. The significance of inclusive workplace policy in this situation cannot be emphasized. These regulations not only uphold moral and ethical principles, but they also greatly increase company success by providing an environment where each person can thrive. In this paper, we look into the world of British corporate communications, emphasizing the critical part that line managers play in developing inclusive workplace rules that support development and harmony.</w:t>
      </w:r>
      <w:r w:rsidR="00024528" w:rsidRPr="00EA731D">
        <w:rPr>
          <w:rFonts w:ascii="Times New Roman" w:eastAsia="Times New Roman" w:hAnsi="Times New Roman"/>
          <w:sz w:val="24"/>
          <w:szCs w:val="24"/>
          <w:lang w:val="en-GB" w:eastAsia="en-GB"/>
        </w:rPr>
        <w:t xml:space="preserve"> In that regard, we focus on </w:t>
      </w:r>
      <w:r w:rsidR="008F56F5" w:rsidRPr="00EA731D">
        <w:rPr>
          <w:rFonts w:ascii="Times New Roman" w:eastAsia="Times New Roman" w:hAnsi="Times New Roman"/>
          <w:sz w:val="24"/>
          <w:szCs w:val="24"/>
          <w:lang w:val="en-GB" w:eastAsia="en-GB"/>
        </w:rPr>
        <w:t xml:space="preserve">HSBC Holdings plc as a case study of a company with relatable human resource management system. </w:t>
      </w:r>
    </w:p>
    <w:p w14:paraId="4950B9A4" w14:textId="77D39E68" w:rsidR="004E743F" w:rsidRPr="00EA731D" w:rsidRDefault="004E743F" w:rsidP="00A56EA9">
      <w:pPr>
        <w:pStyle w:val="Heading1"/>
        <w:rPr>
          <w:rFonts w:eastAsia="Times New Roman"/>
          <w:lang w:val="en-GB" w:eastAsia="en-GB"/>
        </w:rPr>
      </w:pPr>
      <w:bookmarkStart w:id="5" w:name="_Toc143790430"/>
      <w:r w:rsidRPr="00EA731D">
        <w:rPr>
          <w:rFonts w:eastAsia="Times New Roman"/>
          <w:lang w:val="en-GB" w:eastAsia="en-GB"/>
        </w:rPr>
        <w:lastRenderedPageBreak/>
        <w:t>Background of the Featured Company</w:t>
      </w:r>
      <w:bookmarkEnd w:id="5"/>
    </w:p>
    <w:p w14:paraId="559A1830" w14:textId="1B8D3ED3" w:rsidR="001E216B" w:rsidRPr="00EA731D" w:rsidRDefault="008E48D9"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I concentrate the report analysis on HSBC Holdings plc, a major global financial services company. With a long history that dates back to the 19th century, HSBC has developed into a leading worldwide player in banking and finance, doing business in a variety of international countries. As we begin our examination, we will see how HSBC has embraced the difficulties and possibilities posed by cross-cultural and international communication, and how their methods support promoting inclusivity inside their UK-based corporate operations</w:t>
      </w:r>
      <w:r w:rsidR="00F61239" w:rsidRPr="00EA731D">
        <w:rPr>
          <w:rFonts w:ascii="Times New Roman" w:eastAsia="Times New Roman" w:hAnsi="Times New Roman"/>
          <w:sz w:val="24"/>
          <w:szCs w:val="24"/>
          <w:lang w:val="en-GB" w:eastAsia="en-GB"/>
        </w:rPr>
        <w:t xml:space="preserve"> (</w:t>
      </w:r>
      <w:r w:rsidR="00F61239" w:rsidRPr="00EA731D">
        <w:rPr>
          <w:rFonts w:ascii="Times New Roman" w:hAnsi="Times New Roman"/>
          <w:sz w:val="24"/>
          <w:szCs w:val="24"/>
          <w:shd w:val="clear" w:color="auto" w:fill="FFFFFF"/>
        </w:rPr>
        <w:t>Kornelakis, Kirov &amp; Thill, 2022)</w:t>
      </w:r>
      <w:r w:rsidRPr="00EA731D">
        <w:rPr>
          <w:rFonts w:ascii="Times New Roman" w:eastAsia="Times New Roman" w:hAnsi="Times New Roman"/>
          <w:sz w:val="24"/>
          <w:szCs w:val="24"/>
          <w:lang w:val="en-GB" w:eastAsia="en-GB"/>
        </w:rPr>
        <w:t>.</w:t>
      </w:r>
      <w:r w:rsidR="004E743F" w:rsidRPr="00EA731D">
        <w:rPr>
          <w:rFonts w:ascii="Times New Roman" w:eastAsia="Times New Roman" w:hAnsi="Times New Roman"/>
          <w:sz w:val="24"/>
          <w:szCs w:val="24"/>
          <w:lang w:val="en-GB" w:eastAsia="en-GB"/>
        </w:rPr>
        <w:t xml:space="preserve"> </w:t>
      </w:r>
      <w:r w:rsidRPr="00EA731D">
        <w:rPr>
          <w:rFonts w:ascii="Times New Roman" w:eastAsia="Times New Roman" w:hAnsi="Times New Roman"/>
          <w:sz w:val="24"/>
          <w:szCs w:val="24"/>
          <w:lang w:val="en-GB" w:eastAsia="en-GB"/>
        </w:rPr>
        <w:t xml:space="preserve">This report intends to shed light on how HSBC shows a commitment to inclusivity as well as the dynamic business communication landscape in the UK. We will offer insights and suggestions that can support a productive and thriving workplace environment by diving into pertinent theories, assessing cultural sensitivity, and addressing communication difficulties. </w:t>
      </w:r>
    </w:p>
    <w:p w14:paraId="1107BC6C" w14:textId="1D327FCB" w:rsidR="001E216B" w:rsidRPr="00A56EA9" w:rsidRDefault="001E216B" w:rsidP="00A56EA9">
      <w:pPr>
        <w:pStyle w:val="Heading1"/>
      </w:pPr>
      <w:bookmarkStart w:id="6" w:name="_Toc143790431"/>
      <w:r w:rsidRPr="00A56EA9">
        <w:t>Theories of Intercultural Communication</w:t>
      </w:r>
      <w:bookmarkEnd w:id="6"/>
    </w:p>
    <w:p w14:paraId="70D42471" w14:textId="77777777" w:rsidR="001E216B" w:rsidRPr="00EA731D" w:rsidRDefault="001E216B" w:rsidP="00650AE9">
      <w:pPr>
        <w:spacing w:after="0" w:line="480" w:lineRule="auto"/>
        <w:jc w:val="both"/>
        <w:rPr>
          <w:rFonts w:ascii="Times New Roman" w:eastAsia="Times New Roman" w:hAnsi="Times New Roman"/>
          <w:sz w:val="24"/>
          <w:szCs w:val="24"/>
          <w:lang w:val="en-GB" w:eastAsia="en-GB"/>
        </w:rPr>
      </w:pPr>
    </w:p>
    <w:p w14:paraId="1374FA08" w14:textId="03C4F211" w:rsidR="001E216B" w:rsidRPr="00EA731D" w:rsidRDefault="005A7443"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Intercultural communication is a key element influencing relationships inside and between countries in a globalized, interconnected society. The theories of eminent academics like Hofstede, Samovar, and Jandt offer helpful frameworks for comprehending the difficulties of cross-cultural communication, and their implementations in real-life situations, like that of HSBC, illustrate their applicability in the real world.</w:t>
      </w:r>
    </w:p>
    <w:p w14:paraId="3CA5B0EC" w14:textId="767274BD" w:rsidR="005A7443" w:rsidRPr="00EA731D" w:rsidRDefault="00BE1793"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The cultural dimensions theory developed by Geert Hofstede is well known for its contribution to knowledge on how cultural differences affect </w:t>
      </w:r>
      <w:r w:rsidR="00F61239" w:rsidRPr="00EA731D">
        <w:rPr>
          <w:rFonts w:ascii="Times New Roman" w:eastAsia="Times New Roman" w:hAnsi="Times New Roman"/>
          <w:sz w:val="24"/>
          <w:szCs w:val="24"/>
          <w:lang w:val="en-GB" w:eastAsia="en-GB"/>
        </w:rPr>
        <w:t>behaviour</w:t>
      </w:r>
      <w:r w:rsidRPr="00EA731D">
        <w:rPr>
          <w:rFonts w:ascii="Times New Roman" w:eastAsia="Times New Roman" w:hAnsi="Times New Roman"/>
          <w:sz w:val="24"/>
          <w:szCs w:val="24"/>
          <w:lang w:val="en-GB" w:eastAsia="en-GB"/>
        </w:rPr>
        <w:t xml:space="preserve"> and communication. Individualism-collectivism, power distance, and uncertainty avoidance are only a few of Hofstede's dimensions that reveal specific cultural characteristics that influence perceptions and </w:t>
      </w:r>
      <w:r w:rsidR="00F61239" w:rsidRPr="00EA731D">
        <w:rPr>
          <w:rFonts w:ascii="Times New Roman" w:eastAsia="Times New Roman" w:hAnsi="Times New Roman"/>
          <w:sz w:val="24"/>
          <w:szCs w:val="24"/>
          <w:lang w:val="en-GB" w:eastAsia="en-GB"/>
        </w:rPr>
        <w:t>behaviour</w:t>
      </w:r>
      <w:r w:rsidRPr="00EA731D">
        <w:rPr>
          <w:rFonts w:ascii="Times New Roman" w:eastAsia="Times New Roman" w:hAnsi="Times New Roman"/>
          <w:sz w:val="24"/>
          <w:szCs w:val="24"/>
          <w:lang w:val="en-GB" w:eastAsia="en-GB"/>
        </w:rPr>
        <w:t xml:space="preserve">. In light of HSBC, whose international activities span numerous cultural settings, Hofstede's theory is useful. For instance, each national entity's hierarchical communication is </w:t>
      </w:r>
      <w:r w:rsidRPr="00EA731D">
        <w:rPr>
          <w:rFonts w:ascii="Times New Roman" w:eastAsia="Times New Roman" w:hAnsi="Times New Roman"/>
          <w:sz w:val="24"/>
          <w:szCs w:val="24"/>
          <w:lang w:val="en-GB" w:eastAsia="en-GB"/>
        </w:rPr>
        <w:lastRenderedPageBreak/>
        <w:t>governed by the bank's approach to power distance, which is determined by the local cultural setting.</w:t>
      </w:r>
    </w:p>
    <w:p w14:paraId="09CC65FC" w14:textId="0B4EB6BC" w:rsidR="00BE1793" w:rsidRPr="00EA731D" w:rsidRDefault="00BE1793"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Samovar and Jandt's interpretations of Edward T. Hall's work go in-depth on high- and low-context communication methods. According to this hypothesis, cultures vary in how much they value directness and contextual signals. The business practices of HSBC support this hypothesis through its cross-cultural clientele. For instance, in a low-context culture, transparency and explicitness would be of the utmost importance, whereas in a high-context culture, the bank's communication may gently allude to shared understandings.</w:t>
      </w:r>
    </w:p>
    <w:p w14:paraId="52B5762D" w14:textId="13935E86" w:rsidR="00BE1793" w:rsidRPr="00EA731D" w:rsidRDefault="00BE1793"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The goal of inclusive business communications is supported by HSBC's commitment to intercultural competence, a theme that runs throughout Jandt's work. The emphasis placed by Jandt on flexibility, empathy, and awareness in cross-cultural relationships is consistent with the employee training programs offered by HSBC. HSBC guarantees that its employees' communication and customer interactions are polite and successful regardless of the individuals involved cultural backgrounds by providing them with intercultural skills training.</w:t>
      </w:r>
    </w:p>
    <w:p w14:paraId="24C2B84B" w14:textId="0E30342D" w:rsidR="00BE1793" w:rsidRPr="00EA731D" w:rsidRDefault="00194715"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The guiding principles of these ideas are mirrored in HSBC's effort to accept and adapt to various cultural standards. The importance of cultural competence has been internalized by HSBC as a result of its international operations. Its approach to advertising, customer service, and company culture all reflect this knowledge. HSBC is a perfect example of how these theories can be combined, whether it's customizing marketing campaigns to connect with regional cultural norms or developing a work climate that encourages diversity</w:t>
      </w:r>
      <w:r w:rsidR="00731C2B" w:rsidRPr="00EA731D">
        <w:rPr>
          <w:rFonts w:ascii="Times New Roman" w:eastAsia="Times New Roman" w:hAnsi="Times New Roman"/>
          <w:sz w:val="24"/>
          <w:szCs w:val="24"/>
          <w:lang w:val="en-GB" w:eastAsia="en-GB"/>
        </w:rPr>
        <w:t xml:space="preserve"> (</w:t>
      </w:r>
      <w:r w:rsidR="00731C2B" w:rsidRPr="00EA731D">
        <w:rPr>
          <w:rFonts w:ascii="Times New Roman" w:hAnsi="Times New Roman"/>
          <w:sz w:val="24"/>
          <w:szCs w:val="24"/>
          <w:shd w:val="clear" w:color="auto" w:fill="FFFFFF"/>
        </w:rPr>
        <w:t>Zhu, 2023)</w:t>
      </w:r>
      <w:r w:rsidRPr="00EA731D">
        <w:rPr>
          <w:rFonts w:ascii="Times New Roman" w:eastAsia="Times New Roman" w:hAnsi="Times New Roman"/>
          <w:sz w:val="24"/>
          <w:szCs w:val="24"/>
          <w:lang w:val="en-GB" w:eastAsia="en-GB"/>
        </w:rPr>
        <w:t>.</w:t>
      </w:r>
    </w:p>
    <w:p w14:paraId="639AF8D3" w14:textId="04EEC052" w:rsidR="00BE1793" w:rsidRPr="00B05D4C" w:rsidRDefault="00194715"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Hofstede, Samovar, and Jandt's theories of intercultural communication provide important insights into the nuances of cross-cultural relationships. </w:t>
      </w:r>
      <w:r w:rsidRPr="00B05D4C">
        <w:rPr>
          <w:rFonts w:ascii="Times New Roman" w:eastAsia="Times New Roman" w:hAnsi="Times New Roman"/>
          <w:sz w:val="24"/>
          <w:szCs w:val="24"/>
          <w:lang w:val="en-GB" w:eastAsia="en-GB"/>
        </w:rPr>
        <w:t xml:space="preserve">As a major player in the global financial sector, HSBC is a living example of how these theories might be put to use. HSBC successfully </w:t>
      </w:r>
      <w:r w:rsidRPr="00B05D4C">
        <w:rPr>
          <w:rFonts w:ascii="Times New Roman" w:eastAsia="Times New Roman" w:hAnsi="Times New Roman"/>
          <w:sz w:val="24"/>
          <w:szCs w:val="24"/>
          <w:lang w:val="en-GB" w:eastAsia="en-GB"/>
        </w:rPr>
        <w:lastRenderedPageBreak/>
        <w:t xml:space="preserve">negotiates the complexities of international communication by embracing many cultures and adapting their communication tactics as necessary. </w:t>
      </w:r>
      <w:r w:rsidR="00BF51F9" w:rsidRPr="00B05D4C">
        <w:rPr>
          <w:rFonts w:ascii="Times New Roman" w:eastAsia="Times New Roman" w:hAnsi="Times New Roman"/>
          <w:sz w:val="24"/>
          <w:szCs w:val="24"/>
          <w:lang w:val="en-GB" w:eastAsia="en-GB"/>
        </w:rPr>
        <w:t xml:space="preserve">As per </w:t>
      </w:r>
      <w:r w:rsidR="00BF51F9" w:rsidRPr="00B05D4C">
        <w:rPr>
          <w:rFonts w:ascii="Times New Roman" w:hAnsi="Times New Roman"/>
          <w:sz w:val="24"/>
          <w:szCs w:val="24"/>
          <w:shd w:val="clear" w:color="auto" w:fill="FFFFFF"/>
        </w:rPr>
        <w:t>Kornelakis, Kirov &amp; Thill (2022), t</w:t>
      </w:r>
      <w:r w:rsidRPr="00B05D4C">
        <w:rPr>
          <w:rFonts w:ascii="Times New Roman" w:eastAsia="Times New Roman" w:hAnsi="Times New Roman"/>
          <w:sz w:val="24"/>
          <w:szCs w:val="24"/>
          <w:lang w:val="en-GB" w:eastAsia="en-GB"/>
        </w:rPr>
        <w:t>he experience of HSBC highlights the applicability of theoretical frameworks in actual business dynamics as we move on to discuss cultural sensitivity and barriers.</w:t>
      </w:r>
    </w:p>
    <w:p w14:paraId="7704ECD3" w14:textId="359ADB3F" w:rsidR="001E216B" w:rsidRPr="00A56EA9" w:rsidRDefault="001E216B" w:rsidP="00A56EA9">
      <w:pPr>
        <w:pStyle w:val="Heading1"/>
      </w:pPr>
      <w:bookmarkStart w:id="7" w:name="_Toc143790432"/>
      <w:r w:rsidRPr="00A56EA9">
        <w:t>Cultural Sensitivity and Diversity</w:t>
      </w:r>
      <w:bookmarkEnd w:id="7"/>
    </w:p>
    <w:p w14:paraId="466D1D7D" w14:textId="0140EA85" w:rsidR="00A0587B" w:rsidRPr="00B05D4C" w:rsidRDefault="00A0587B" w:rsidP="00650AE9">
      <w:pPr>
        <w:spacing w:after="0" w:line="480" w:lineRule="auto"/>
        <w:ind w:firstLine="720"/>
        <w:jc w:val="both"/>
        <w:rPr>
          <w:rFonts w:ascii="Times New Roman" w:eastAsia="Times New Roman" w:hAnsi="Times New Roman"/>
          <w:sz w:val="24"/>
          <w:szCs w:val="24"/>
          <w:lang w:val="en-GB" w:eastAsia="en-GB"/>
        </w:rPr>
      </w:pPr>
      <w:r w:rsidRPr="00B05D4C">
        <w:rPr>
          <w:rFonts w:ascii="Times New Roman" w:eastAsia="Times New Roman" w:hAnsi="Times New Roman"/>
          <w:sz w:val="24"/>
          <w:szCs w:val="24"/>
          <w:lang w:val="en-GB" w:eastAsia="en-GB"/>
        </w:rPr>
        <w:t xml:space="preserve">Cultural sensitivity is becoming increasingly important for corporate success in a time of interconnected economies and diverse workforces. This is especially true in the context of the United Kingdom, where a vibrant corporate environment coexists with a rich tapestry of cultural diversity. </w:t>
      </w:r>
      <w:r w:rsidR="00731C2B" w:rsidRPr="00B05D4C">
        <w:rPr>
          <w:rFonts w:ascii="Times New Roman" w:eastAsia="Times New Roman" w:hAnsi="Times New Roman"/>
          <w:sz w:val="24"/>
          <w:szCs w:val="24"/>
          <w:lang w:val="en-GB" w:eastAsia="en-GB"/>
        </w:rPr>
        <w:t xml:space="preserve">According to </w:t>
      </w:r>
      <w:r w:rsidR="00731C2B" w:rsidRPr="00B05D4C">
        <w:rPr>
          <w:rFonts w:ascii="Times New Roman" w:hAnsi="Times New Roman"/>
          <w:sz w:val="24"/>
          <w:szCs w:val="24"/>
          <w:shd w:val="clear" w:color="auto" w:fill="FFFFFF"/>
        </w:rPr>
        <w:t>Stone, Cox, and Gavin (2020), i</w:t>
      </w:r>
      <w:r w:rsidRPr="00B05D4C">
        <w:rPr>
          <w:rFonts w:ascii="Times New Roman" w:eastAsia="Times New Roman" w:hAnsi="Times New Roman"/>
          <w:sz w:val="24"/>
          <w:szCs w:val="24"/>
          <w:lang w:val="en-GB" w:eastAsia="en-GB"/>
        </w:rPr>
        <w:t>t is crucial to recognize and value cultural differences in order to promote amicable interactions, effective communication, and long-term development. The U</w:t>
      </w:r>
      <w:r w:rsidR="00C74163" w:rsidRPr="00B05D4C">
        <w:rPr>
          <w:rFonts w:ascii="Times New Roman" w:eastAsia="Times New Roman" w:hAnsi="Times New Roman"/>
          <w:sz w:val="24"/>
          <w:szCs w:val="24"/>
          <w:lang w:val="en-GB" w:eastAsia="en-GB"/>
        </w:rPr>
        <w:t xml:space="preserve">nited </w:t>
      </w:r>
      <w:r w:rsidRPr="00B05D4C">
        <w:rPr>
          <w:rFonts w:ascii="Times New Roman" w:eastAsia="Times New Roman" w:hAnsi="Times New Roman"/>
          <w:sz w:val="24"/>
          <w:szCs w:val="24"/>
          <w:lang w:val="en-GB" w:eastAsia="en-GB"/>
        </w:rPr>
        <w:t>K</w:t>
      </w:r>
      <w:r w:rsidR="00C74163" w:rsidRPr="00B05D4C">
        <w:rPr>
          <w:rFonts w:ascii="Times New Roman" w:eastAsia="Times New Roman" w:hAnsi="Times New Roman"/>
          <w:sz w:val="24"/>
          <w:szCs w:val="24"/>
          <w:lang w:val="en-GB" w:eastAsia="en-GB"/>
        </w:rPr>
        <w:t>ingdom (UK)</w:t>
      </w:r>
      <w:r w:rsidRPr="00B05D4C">
        <w:rPr>
          <w:rFonts w:ascii="Times New Roman" w:eastAsia="Times New Roman" w:hAnsi="Times New Roman"/>
          <w:sz w:val="24"/>
          <w:szCs w:val="24"/>
          <w:lang w:val="en-GB" w:eastAsia="en-GB"/>
        </w:rPr>
        <w:t>, which is frequently praised for its multiculturalism, offers businesses a special challenge and opportunity. The UK corporate environment necessitates a high level of cultural sensitivity due to its ethnic, linguistic, and cultural diversity. Organizations may foster an inclusive workplace where workers feel valued and customers are effectively engaged by acknowledging the impact of cultural differences.</w:t>
      </w:r>
    </w:p>
    <w:p w14:paraId="233B097E" w14:textId="09CDC291" w:rsidR="00A0587B" w:rsidRPr="00B05D4C" w:rsidRDefault="00F07082" w:rsidP="00650AE9">
      <w:pPr>
        <w:spacing w:after="0" w:line="480" w:lineRule="auto"/>
        <w:ind w:firstLine="720"/>
        <w:jc w:val="both"/>
        <w:rPr>
          <w:rFonts w:ascii="Times New Roman" w:eastAsia="Times New Roman" w:hAnsi="Times New Roman"/>
          <w:sz w:val="24"/>
          <w:szCs w:val="24"/>
          <w:lang w:val="en-GB" w:eastAsia="en-GB"/>
        </w:rPr>
      </w:pPr>
      <w:r w:rsidRPr="00B05D4C">
        <w:rPr>
          <w:rFonts w:ascii="Times New Roman" w:eastAsia="Times New Roman" w:hAnsi="Times New Roman"/>
          <w:sz w:val="24"/>
          <w:szCs w:val="24"/>
          <w:lang w:val="en-GB" w:eastAsia="en-GB"/>
        </w:rPr>
        <w:t xml:space="preserve">Cultural sensitivity in the UK is extremely important in relation to the idea of politeness culture. The indirectness, civility, and avoidance of conflict are hallmarks of British communication. </w:t>
      </w:r>
      <w:r w:rsidR="001F2D01" w:rsidRPr="00B05D4C">
        <w:rPr>
          <w:rFonts w:ascii="Times New Roman" w:hAnsi="Times New Roman"/>
          <w:sz w:val="24"/>
          <w:szCs w:val="24"/>
          <w:shd w:val="clear" w:color="auto" w:fill="FFFFFF"/>
        </w:rPr>
        <w:t>Parida &amp; Brown (2021) that t</w:t>
      </w:r>
      <w:r w:rsidRPr="00B05D4C">
        <w:rPr>
          <w:rFonts w:ascii="Times New Roman" w:eastAsia="Times New Roman" w:hAnsi="Times New Roman"/>
          <w:sz w:val="24"/>
          <w:szCs w:val="24"/>
          <w:lang w:val="en-GB" w:eastAsia="en-GB"/>
        </w:rPr>
        <w:t xml:space="preserve">his cultural characteristic permeates all aspects of contact in the workplace. </w:t>
      </w:r>
      <w:r w:rsidR="0014142C" w:rsidRPr="00B05D4C">
        <w:rPr>
          <w:rFonts w:ascii="Times New Roman" w:eastAsia="Times New Roman" w:hAnsi="Times New Roman"/>
          <w:sz w:val="24"/>
          <w:szCs w:val="24"/>
          <w:lang w:val="en-GB" w:eastAsia="en-GB"/>
        </w:rPr>
        <w:t xml:space="preserve">On the other hand, </w:t>
      </w:r>
      <w:r w:rsidR="0014142C" w:rsidRPr="00B05D4C">
        <w:rPr>
          <w:rFonts w:ascii="Times New Roman" w:hAnsi="Times New Roman"/>
          <w:sz w:val="24"/>
          <w:szCs w:val="24"/>
          <w:shd w:val="clear" w:color="auto" w:fill="FFFFFF"/>
        </w:rPr>
        <w:t>Lu, Toms &amp; Wei (2023), p</w:t>
      </w:r>
      <w:r w:rsidRPr="00B05D4C">
        <w:rPr>
          <w:rFonts w:ascii="Times New Roman" w:eastAsia="Times New Roman" w:hAnsi="Times New Roman"/>
          <w:sz w:val="24"/>
          <w:szCs w:val="24"/>
          <w:lang w:val="en-GB" w:eastAsia="en-GB"/>
        </w:rPr>
        <w:t xml:space="preserve">ositive relationships can be fostered and misunderstandings can be avoided by comprehending and respecting this communication style. For instance, HSBC, which does business in the </w:t>
      </w:r>
      <w:r w:rsidR="00CC7965" w:rsidRPr="00B05D4C">
        <w:rPr>
          <w:rFonts w:ascii="Times New Roman" w:eastAsia="Times New Roman" w:hAnsi="Times New Roman"/>
          <w:sz w:val="24"/>
          <w:szCs w:val="24"/>
          <w:lang w:val="en-GB" w:eastAsia="en-GB"/>
        </w:rPr>
        <w:t>centre</w:t>
      </w:r>
      <w:r w:rsidRPr="00B05D4C">
        <w:rPr>
          <w:rFonts w:ascii="Times New Roman" w:eastAsia="Times New Roman" w:hAnsi="Times New Roman"/>
          <w:sz w:val="24"/>
          <w:szCs w:val="24"/>
          <w:lang w:val="en-GB" w:eastAsia="en-GB"/>
        </w:rPr>
        <w:t xml:space="preserve"> of the UK, recognizes this cultural attribute by educating its staff on how to interpret subtle communication cues and modify their tactics in response.</w:t>
      </w:r>
    </w:p>
    <w:p w14:paraId="04D93A39" w14:textId="08D93C7C" w:rsidR="00F07082" w:rsidRPr="00B05D4C" w:rsidRDefault="00DA479C" w:rsidP="00650AE9">
      <w:pPr>
        <w:spacing w:after="0" w:line="480" w:lineRule="auto"/>
        <w:ind w:firstLine="720"/>
        <w:jc w:val="both"/>
        <w:rPr>
          <w:rFonts w:ascii="Times New Roman" w:eastAsia="Times New Roman" w:hAnsi="Times New Roman"/>
          <w:sz w:val="24"/>
          <w:szCs w:val="24"/>
          <w:lang w:val="en-GB" w:eastAsia="en-GB"/>
        </w:rPr>
      </w:pPr>
      <w:r w:rsidRPr="00B05D4C">
        <w:rPr>
          <w:rFonts w:ascii="Times New Roman" w:eastAsia="Times New Roman" w:hAnsi="Times New Roman"/>
          <w:sz w:val="24"/>
          <w:szCs w:val="24"/>
          <w:lang w:val="en-GB" w:eastAsia="en-GB"/>
        </w:rPr>
        <w:lastRenderedPageBreak/>
        <w:t xml:space="preserve">Additionally, addressing workplace diversity and cultural sensitivity are interwoven. Due to the UK's multicultural makeup, businesses hire people from a variety of ethnic backgrounds. Fostering cultural sensitivity boosts employee morale and encourages creativity and innovation. </w:t>
      </w:r>
      <w:r w:rsidR="00AE6D17" w:rsidRPr="00B05D4C">
        <w:rPr>
          <w:rFonts w:ascii="Times New Roman" w:hAnsi="Times New Roman"/>
          <w:sz w:val="24"/>
          <w:szCs w:val="24"/>
          <w:shd w:val="clear" w:color="auto" w:fill="FFFFFF"/>
        </w:rPr>
        <w:t>Daryanto (2021) indicates that e</w:t>
      </w:r>
      <w:r w:rsidR="00AE6D17" w:rsidRPr="00B05D4C">
        <w:rPr>
          <w:rFonts w:ascii="Times New Roman" w:eastAsia="Times New Roman" w:hAnsi="Times New Roman"/>
          <w:sz w:val="24"/>
          <w:szCs w:val="24"/>
          <w:lang w:val="en-GB" w:eastAsia="en-GB"/>
        </w:rPr>
        <w:t>employees</w:t>
      </w:r>
      <w:r w:rsidRPr="00B05D4C">
        <w:rPr>
          <w:rFonts w:ascii="Times New Roman" w:eastAsia="Times New Roman" w:hAnsi="Times New Roman"/>
          <w:sz w:val="24"/>
          <w:szCs w:val="24"/>
          <w:lang w:val="en-GB" w:eastAsia="en-GB"/>
        </w:rPr>
        <w:t xml:space="preserve"> from various cultural backgrounds are more likely to offer distinct viewpoints that can improve decision-making and problem-solving when they feel valued and involved. </w:t>
      </w:r>
      <w:r w:rsidR="00503514" w:rsidRPr="00B05D4C">
        <w:rPr>
          <w:rFonts w:ascii="Times New Roman" w:hAnsi="Times New Roman"/>
          <w:sz w:val="24"/>
          <w:szCs w:val="24"/>
          <w:shd w:val="clear" w:color="auto" w:fill="FFFFFF"/>
        </w:rPr>
        <w:t>Marchington et al. (2020) states that t</w:t>
      </w:r>
      <w:r w:rsidRPr="00B05D4C">
        <w:rPr>
          <w:rFonts w:ascii="Times New Roman" w:eastAsia="Times New Roman" w:hAnsi="Times New Roman"/>
          <w:sz w:val="24"/>
          <w:szCs w:val="24"/>
          <w:lang w:val="en-GB" w:eastAsia="en-GB"/>
        </w:rPr>
        <w:t>he workforce diversity programs at HSBC serve as an excellent example of this strategy by actively fostering a workplace where workers from all backgrounds feel respected and empowered.</w:t>
      </w:r>
    </w:p>
    <w:p w14:paraId="26A089C5" w14:textId="269D76B1" w:rsidR="00DA479C" w:rsidRPr="00B05D4C" w:rsidRDefault="000C13E8" w:rsidP="00650AE9">
      <w:pPr>
        <w:spacing w:after="0" w:line="480" w:lineRule="auto"/>
        <w:ind w:firstLine="720"/>
        <w:jc w:val="both"/>
        <w:rPr>
          <w:rFonts w:ascii="Times New Roman" w:eastAsia="Times New Roman" w:hAnsi="Times New Roman"/>
          <w:sz w:val="24"/>
          <w:szCs w:val="24"/>
          <w:lang w:val="en-GB" w:eastAsia="en-GB"/>
        </w:rPr>
      </w:pPr>
      <w:r w:rsidRPr="00B05D4C">
        <w:rPr>
          <w:rFonts w:ascii="Times New Roman" w:eastAsia="Times New Roman" w:hAnsi="Times New Roman"/>
          <w:sz w:val="24"/>
          <w:szCs w:val="24"/>
          <w:lang w:val="en-GB" w:eastAsia="en-GB"/>
        </w:rPr>
        <w:t xml:space="preserve">Cultural awareness is a crucial component of successful consumer involvement. Catering to the interests and values of various customer segments is crucial in a diversified market. </w:t>
      </w:r>
      <w:r w:rsidR="00F61239" w:rsidRPr="00B05D4C">
        <w:rPr>
          <w:rFonts w:ascii="Times New Roman" w:eastAsia="Times New Roman" w:hAnsi="Times New Roman"/>
          <w:sz w:val="24"/>
          <w:szCs w:val="24"/>
          <w:lang w:val="en-GB" w:eastAsia="en-GB"/>
        </w:rPr>
        <w:t xml:space="preserve">According to </w:t>
      </w:r>
      <w:r w:rsidR="00F61239" w:rsidRPr="00B05D4C">
        <w:rPr>
          <w:rFonts w:ascii="Times New Roman" w:hAnsi="Times New Roman"/>
          <w:sz w:val="24"/>
          <w:szCs w:val="24"/>
          <w:shd w:val="clear" w:color="auto" w:fill="FFFFFF"/>
        </w:rPr>
        <w:t>Phillips (2019), o</w:t>
      </w:r>
      <w:r w:rsidRPr="00B05D4C">
        <w:rPr>
          <w:rFonts w:ascii="Times New Roman" w:eastAsia="Times New Roman" w:hAnsi="Times New Roman"/>
          <w:sz w:val="24"/>
          <w:szCs w:val="24"/>
          <w:lang w:val="en-GB" w:eastAsia="en-GB"/>
        </w:rPr>
        <w:t>ffering goods, services, and marketing initiatives that appeal to various cultures gives a company that values cultural sensitivity a competitive edge. The customized banking services offered by HSBC, which are created to meet the various financial needs of its clients, are an example of how cultural sensitivity raises client happiness and loyalty.</w:t>
      </w:r>
    </w:p>
    <w:p w14:paraId="6BBDCF21" w14:textId="47479223" w:rsidR="00EA3EC0" w:rsidRPr="00B05D4C" w:rsidRDefault="009B682F" w:rsidP="00650AE9">
      <w:pPr>
        <w:spacing w:after="0" w:line="480" w:lineRule="auto"/>
        <w:ind w:firstLine="720"/>
        <w:jc w:val="both"/>
        <w:rPr>
          <w:rFonts w:ascii="Times New Roman" w:eastAsia="Times New Roman" w:hAnsi="Times New Roman"/>
          <w:sz w:val="24"/>
          <w:szCs w:val="24"/>
          <w:lang w:val="en-GB" w:eastAsia="en-GB"/>
        </w:rPr>
      </w:pPr>
      <w:r w:rsidRPr="00B05D4C">
        <w:rPr>
          <w:rFonts w:ascii="Times New Roman" w:eastAsia="Times New Roman" w:hAnsi="Times New Roman"/>
          <w:sz w:val="24"/>
          <w:szCs w:val="24"/>
          <w:lang w:val="en-GB" w:eastAsia="en-GB"/>
        </w:rPr>
        <w:t>In the UK corporate climate, cultural sensitivity is a strategic need rather than just a kind gesture. Businesses may successfully connect customers, negotiate the complexities of communication, and foster a diverse and inventive staff by embracing cultural diversity</w:t>
      </w:r>
      <w:r w:rsidR="002954D5" w:rsidRPr="00B05D4C">
        <w:rPr>
          <w:rFonts w:ascii="Times New Roman" w:eastAsia="Times New Roman" w:hAnsi="Times New Roman"/>
          <w:sz w:val="24"/>
          <w:szCs w:val="24"/>
          <w:lang w:val="en-GB" w:eastAsia="en-GB"/>
        </w:rPr>
        <w:t xml:space="preserve"> (</w:t>
      </w:r>
      <w:r w:rsidR="002954D5" w:rsidRPr="00B05D4C">
        <w:rPr>
          <w:rFonts w:ascii="Times New Roman" w:hAnsi="Times New Roman"/>
          <w:sz w:val="24"/>
          <w:szCs w:val="24"/>
          <w:shd w:val="clear" w:color="auto" w:fill="FFFFFF"/>
        </w:rPr>
        <w:t>Odom &amp; Hyams-Ssekasi, 2022)</w:t>
      </w:r>
      <w:r w:rsidRPr="00B05D4C">
        <w:rPr>
          <w:rFonts w:ascii="Times New Roman" w:eastAsia="Times New Roman" w:hAnsi="Times New Roman"/>
          <w:sz w:val="24"/>
          <w:szCs w:val="24"/>
          <w:lang w:val="en-GB" w:eastAsia="en-GB"/>
        </w:rPr>
        <w:t>. Cultural awareness continues to be a crucial component for success as we explore deeper into the issues and potential fixes presented by communication hurdles, especially in a complex setting like the UK.</w:t>
      </w:r>
    </w:p>
    <w:p w14:paraId="36693951" w14:textId="422C5F7B" w:rsidR="001E216B" w:rsidRPr="00EA731D" w:rsidRDefault="00EA3EC0"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The lively and multiracial society of the United Kingdom is evidence of how its workforce is shaped by diversity. The presence of people from many language, racial, and cultural </w:t>
      </w:r>
      <w:r w:rsidRPr="00EA731D">
        <w:rPr>
          <w:rFonts w:ascii="Times New Roman" w:eastAsia="Times New Roman" w:hAnsi="Times New Roman"/>
          <w:sz w:val="24"/>
          <w:szCs w:val="24"/>
          <w:lang w:val="en-GB" w:eastAsia="en-GB"/>
        </w:rPr>
        <w:lastRenderedPageBreak/>
        <w:t>backgrounds enhance the corporate environment and emphasizes the value of inclusivity. Here are a few instances illustrating the range of backgrounds present in the UK workforce:</w:t>
      </w:r>
    </w:p>
    <w:p w14:paraId="759CAADE" w14:textId="77777777" w:rsidR="00557BCA" w:rsidRPr="00EA731D" w:rsidRDefault="00557BCA" w:rsidP="00A56EA9">
      <w:pPr>
        <w:pStyle w:val="Heading2"/>
        <w:rPr>
          <w:rFonts w:eastAsia="Times New Roman"/>
          <w:lang w:val="en-GB" w:eastAsia="en-GB"/>
        </w:rPr>
      </w:pPr>
      <w:bookmarkStart w:id="8" w:name="_Toc143790433"/>
      <w:r w:rsidRPr="00EA731D">
        <w:rPr>
          <w:rStyle w:val="Heading2Char"/>
          <w:rFonts w:cs="Times New Roman"/>
          <w:szCs w:val="24"/>
          <w:lang w:val="en-GB" w:eastAsia="en-GB"/>
        </w:rPr>
        <w:t>Multilingual Workforce</w:t>
      </w:r>
      <w:r w:rsidRPr="00EA731D">
        <w:rPr>
          <w:rFonts w:eastAsia="Times New Roman"/>
          <w:lang w:val="en-GB" w:eastAsia="en-GB"/>
        </w:rPr>
        <w:t>:</w:t>
      </w:r>
      <w:bookmarkEnd w:id="8"/>
      <w:r w:rsidRPr="00EA731D">
        <w:rPr>
          <w:rFonts w:eastAsia="Times New Roman"/>
          <w:lang w:val="en-GB" w:eastAsia="en-GB"/>
        </w:rPr>
        <w:t xml:space="preserve"> </w:t>
      </w:r>
    </w:p>
    <w:p w14:paraId="47CB393C" w14:textId="7613A32F" w:rsidR="00EA7375" w:rsidRPr="00EA731D" w:rsidRDefault="002C7AEC"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A notable aspect of the workforce in the UK is the diversity of its languages. Employees who are fluent in languages other than English, such as Urdu, Bengali, Polish, Mandarin, and others, may work together in the same office. This linguistic tapestry helps firms interact with a wider client base while also improving communication within teams. For instance, the customer service departments of HSBC in the UK hire people who are fluent in a variety of languages to ensure that customer contacts are handled in each client's preferred language.</w:t>
      </w:r>
    </w:p>
    <w:p w14:paraId="2EDFDECE" w14:textId="77777777" w:rsidR="00557BCA" w:rsidRPr="00A56EA9" w:rsidRDefault="00557BCA" w:rsidP="00A56EA9">
      <w:pPr>
        <w:pStyle w:val="Heading2"/>
      </w:pPr>
      <w:bookmarkStart w:id="9" w:name="_Toc143790434"/>
      <w:r w:rsidRPr="00A56EA9">
        <w:t>Cultural Celebrations:</w:t>
      </w:r>
      <w:bookmarkEnd w:id="9"/>
      <w:r w:rsidRPr="00A56EA9">
        <w:t xml:space="preserve"> </w:t>
      </w:r>
    </w:p>
    <w:p w14:paraId="3F49ADA7" w14:textId="28F29E83" w:rsidR="00557BCA" w:rsidRPr="00EA731D" w:rsidRDefault="002C7AEC"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The workforce in the UK is a vibrant mosaic of ethnic celebrations. Alongside customary British holidays, festivals like Diwali, Eid, Chinese New Year, and others are observed. Employers are becoming more and more aware of the need of </w:t>
      </w:r>
      <w:r w:rsidR="00403FA3" w:rsidRPr="00EA731D">
        <w:rPr>
          <w:rFonts w:ascii="Times New Roman" w:eastAsia="Times New Roman" w:hAnsi="Times New Roman"/>
          <w:sz w:val="24"/>
          <w:szCs w:val="24"/>
          <w:lang w:val="en-GB" w:eastAsia="en-GB"/>
        </w:rPr>
        <w:t>honouring</w:t>
      </w:r>
      <w:r w:rsidRPr="00EA731D">
        <w:rPr>
          <w:rFonts w:ascii="Times New Roman" w:eastAsia="Times New Roman" w:hAnsi="Times New Roman"/>
          <w:sz w:val="24"/>
          <w:szCs w:val="24"/>
          <w:lang w:val="en-GB" w:eastAsia="en-GB"/>
        </w:rPr>
        <w:t xml:space="preserve"> and accommodating these holidays. Companies like HSBC foster inclusive workplaces by allowing staff to take time off or rearrange their schedules in order to participate in ethnic celebrations. This improves employee happiness and retention in addition to fostering a sense of belonging</w:t>
      </w:r>
      <w:r w:rsidR="00403FA3" w:rsidRPr="00EA731D">
        <w:rPr>
          <w:rFonts w:ascii="Times New Roman" w:eastAsia="Times New Roman" w:hAnsi="Times New Roman"/>
          <w:sz w:val="24"/>
          <w:szCs w:val="24"/>
          <w:lang w:val="en-GB" w:eastAsia="en-GB"/>
        </w:rPr>
        <w:t xml:space="preserve"> (</w:t>
      </w:r>
      <w:r w:rsidR="00403FA3" w:rsidRPr="00EA731D">
        <w:rPr>
          <w:rFonts w:ascii="Times New Roman" w:hAnsi="Times New Roman"/>
          <w:sz w:val="24"/>
          <w:szCs w:val="24"/>
          <w:shd w:val="clear" w:color="auto" w:fill="FFFFFF"/>
        </w:rPr>
        <w:t>Phillips, 2019)</w:t>
      </w:r>
      <w:r w:rsidRPr="00EA731D">
        <w:rPr>
          <w:rFonts w:ascii="Times New Roman" w:eastAsia="Times New Roman" w:hAnsi="Times New Roman"/>
          <w:sz w:val="24"/>
          <w:szCs w:val="24"/>
          <w:lang w:val="en-GB" w:eastAsia="en-GB"/>
        </w:rPr>
        <w:t>.</w:t>
      </w:r>
    </w:p>
    <w:p w14:paraId="2CCA929E" w14:textId="77777777" w:rsidR="00557BCA" w:rsidRPr="00A56EA9" w:rsidRDefault="00557BCA" w:rsidP="00A56EA9">
      <w:pPr>
        <w:pStyle w:val="Heading2"/>
      </w:pPr>
      <w:bookmarkStart w:id="10" w:name="_Toc143790435"/>
      <w:r w:rsidRPr="00A56EA9">
        <w:t>Professional Backgrounds:</w:t>
      </w:r>
      <w:bookmarkEnd w:id="10"/>
    </w:p>
    <w:p w14:paraId="41806D35" w14:textId="04FC26D8" w:rsidR="00557BCA" w:rsidRPr="00EA731D" w:rsidRDefault="007C33A6"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The diversity of the UK workforce extends beyond language and cultural differences to include a variety of professional backgrounds. People from many areas and industries, with differing educational backgrounds, make up the workforce</w:t>
      </w:r>
      <w:r w:rsidR="00AC3A81" w:rsidRPr="00EA731D">
        <w:rPr>
          <w:rFonts w:ascii="Times New Roman" w:eastAsia="Times New Roman" w:hAnsi="Times New Roman"/>
          <w:sz w:val="24"/>
          <w:szCs w:val="24"/>
          <w:lang w:val="en-GB" w:eastAsia="en-GB"/>
        </w:rPr>
        <w:t xml:space="preserve"> (</w:t>
      </w:r>
      <w:r w:rsidR="00AC3A81" w:rsidRPr="00EA731D">
        <w:rPr>
          <w:rFonts w:ascii="Times New Roman" w:hAnsi="Times New Roman"/>
          <w:sz w:val="24"/>
          <w:szCs w:val="24"/>
          <w:shd w:val="clear" w:color="auto" w:fill="FFFFFF"/>
        </w:rPr>
        <w:t>Tung, 2020)</w:t>
      </w:r>
      <w:r w:rsidRPr="00EA731D">
        <w:rPr>
          <w:rFonts w:ascii="Times New Roman" w:eastAsia="Times New Roman" w:hAnsi="Times New Roman"/>
          <w:sz w:val="24"/>
          <w:szCs w:val="24"/>
          <w:lang w:val="en-GB" w:eastAsia="en-GB"/>
        </w:rPr>
        <w:t>. The exchange of creative ideas and cross-functional teamwork are encouraged by the diversity of the working environment. For instance, a marketing expert with experience in the fashion industry could add new perspectives to a team working in the banking industry</w:t>
      </w:r>
      <w:r w:rsidR="00C05741" w:rsidRPr="00EA731D">
        <w:rPr>
          <w:rFonts w:ascii="Times New Roman" w:eastAsia="Times New Roman" w:hAnsi="Times New Roman"/>
          <w:sz w:val="24"/>
          <w:szCs w:val="24"/>
          <w:lang w:val="en-GB" w:eastAsia="en-GB"/>
        </w:rPr>
        <w:t xml:space="preserve"> (</w:t>
      </w:r>
      <w:r w:rsidR="00C05741" w:rsidRPr="00EA731D">
        <w:rPr>
          <w:rFonts w:ascii="Times New Roman" w:hAnsi="Times New Roman"/>
          <w:sz w:val="24"/>
          <w:szCs w:val="24"/>
          <w:shd w:val="clear" w:color="auto" w:fill="FFFFFF"/>
        </w:rPr>
        <w:t>Armstrong &amp; Taylor, 2023)</w:t>
      </w:r>
      <w:r w:rsidRPr="00EA731D">
        <w:rPr>
          <w:rFonts w:ascii="Times New Roman" w:eastAsia="Times New Roman" w:hAnsi="Times New Roman"/>
          <w:sz w:val="24"/>
          <w:szCs w:val="24"/>
          <w:lang w:val="en-GB" w:eastAsia="en-GB"/>
        </w:rPr>
        <w:t>.</w:t>
      </w:r>
    </w:p>
    <w:p w14:paraId="087E16E2" w14:textId="77777777" w:rsidR="00557BCA" w:rsidRPr="00A56EA9" w:rsidRDefault="00557BCA" w:rsidP="00A56EA9">
      <w:pPr>
        <w:pStyle w:val="Heading2"/>
      </w:pPr>
      <w:bookmarkStart w:id="11" w:name="_Toc143790436"/>
      <w:r w:rsidRPr="00A56EA9">
        <w:lastRenderedPageBreak/>
        <w:t>Generational Diversity:</w:t>
      </w:r>
      <w:bookmarkEnd w:id="11"/>
      <w:r w:rsidRPr="00A56EA9">
        <w:t xml:space="preserve"> </w:t>
      </w:r>
    </w:p>
    <w:p w14:paraId="5B0F2648" w14:textId="455AD5DF" w:rsidR="00EA7375" w:rsidRPr="00EA731D" w:rsidRDefault="00D73A1C"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The workforce in the UK is made up of several generations, each of which has its own ideals, modes of communication, and work habits. Within organizations, Generation Z, Millennials, Generation X, and Baby Boomers coexist and each provide their own set of strengths. This intergenerational sharing of talents and experiences is frequently facilitated by the generational diversity</w:t>
      </w:r>
      <w:r w:rsidR="002954D5" w:rsidRPr="00EA731D">
        <w:rPr>
          <w:rFonts w:ascii="Times New Roman" w:eastAsia="Times New Roman" w:hAnsi="Times New Roman"/>
          <w:sz w:val="24"/>
          <w:szCs w:val="24"/>
          <w:lang w:val="en-GB" w:eastAsia="en-GB"/>
        </w:rPr>
        <w:t xml:space="preserve"> (</w:t>
      </w:r>
      <w:r w:rsidR="002954D5" w:rsidRPr="00EA731D">
        <w:rPr>
          <w:rFonts w:ascii="Times New Roman" w:hAnsi="Times New Roman"/>
          <w:sz w:val="24"/>
          <w:szCs w:val="24"/>
          <w:shd w:val="clear" w:color="auto" w:fill="FFFFFF"/>
        </w:rPr>
        <w:t>Odom &amp; Hyams-Ssekasi, 2022)</w:t>
      </w:r>
      <w:r w:rsidRPr="00EA731D">
        <w:rPr>
          <w:rFonts w:ascii="Times New Roman" w:eastAsia="Times New Roman" w:hAnsi="Times New Roman"/>
          <w:sz w:val="24"/>
          <w:szCs w:val="24"/>
          <w:lang w:val="en-GB" w:eastAsia="en-GB"/>
        </w:rPr>
        <w:t>. Given the importance of generational diversity, HSBC has mentorship programs in place to help workers of various generations share knowledge</w:t>
      </w:r>
      <w:r w:rsidR="00EF5A00" w:rsidRPr="00EA731D">
        <w:rPr>
          <w:rFonts w:ascii="Times New Roman" w:eastAsia="Times New Roman" w:hAnsi="Times New Roman"/>
          <w:sz w:val="24"/>
          <w:szCs w:val="24"/>
          <w:lang w:val="en-GB" w:eastAsia="en-GB"/>
        </w:rPr>
        <w:t xml:space="preserve"> (</w:t>
      </w:r>
      <w:r w:rsidR="00EF5A00" w:rsidRPr="00EA731D">
        <w:rPr>
          <w:rFonts w:ascii="Times New Roman" w:hAnsi="Times New Roman"/>
          <w:sz w:val="24"/>
          <w:szCs w:val="24"/>
          <w:shd w:val="clear" w:color="auto" w:fill="FFFFFF"/>
        </w:rPr>
        <w:t>Kornelakis, Kirov &amp; Thill, 2022)</w:t>
      </w:r>
      <w:r w:rsidRPr="00EA731D">
        <w:rPr>
          <w:rFonts w:ascii="Times New Roman" w:eastAsia="Times New Roman" w:hAnsi="Times New Roman"/>
          <w:sz w:val="24"/>
          <w:szCs w:val="24"/>
          <w:lang w:val="en-GB" w:eastAsia="en-GB"/>
        </w:rPr>
        <w:t>.</w:t>
      </w:r>
    </w:p>
    <w:p w14:paraId="2ADEA1C9" w14:textId="6198D6AD" w:rsidR="00D73A1C" w:rsidRPr="00EA731D" w:rsidRDefault="007A07E5"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The workforce in the UK is a vibrant mosaic made up of people with various language, cultural, and professional backgrounds. By encouraging innovation, creativity, and good communication, this variety enhances the commercial environment. The above examples show that embracing this diversity not only benefits particular businesses like HSBC but also represents the larger fabric of the UK's tolerant and multicultural society</w:t>
      </w:r>
      <w:r w:rsidR="00250C0C" w:rsidRPr="00EA731D">
        <w:rPr>
          <w:rFonts w:ascii="Times New Roman" w:eastAsia="Times New Roman" w:hAnsi="Times New Roman"/>
          <w:sz w:val="24"/>
          <w:szCs w:val="24"/>
          <w:lang w:val="en-GB" w:eastAsia="en-GB"/>
        </w:rPr>
        <w:t xml:space="preserve"> (</w:t>
      </w:r>
      <w:r w:rsidR="00250C0C" w:rsidRPr="00EA731D">
        <w:rPr>
          <w:rFonts w:ascii="Times New Roman" w:hAnsi="Times New Roman"/>
          <w:sz w:val="24"/>
          <w:szCs w:val="24"/>
          <w:shd w:val="clear" w:color="auto" w:fill="FFFFFF"/>
        </w:rPr>
        <w:t>Balian, 2022)</w:t>
      </w:r>
      <w:r w:rsidRPr="00EA731D">
        <w:rPr>
          <w:rFonts w:ascii="Times New Roman" w:eastAsia="Times New Roman" w:hAnsi="Times New Roman"/>
          <w:sz w:val="24"/>
          <w:szCs w:val="24"/>
          <w:lang w:val="en-GB" w:eastAsia="en-GB"/>
        </w:rPr>
        <w:t>.</w:t>
      </w:r>
    </w:p>
    <w:p w14:paraId="0B937A3B" w14:textId="0B50A819" w:rsidR="001E216B" w:rsidRPr="00A56EA9" w:rsidRDefault="001E216B" w:rsidP="00A56EA9">
      <w:pPr>
        <w:pStyle w:val="Heading1"/>
      </w:pPr>
      <w:bookmarkStart w:id="12" w:name="_Toc143790437"/>
      <w:r w:rsidRPr="00A56EA9">
        <w:t>Communication Barriers and Strategies</w:t>
      </w:r>
      <w:bookmarkEnd w:id="12"/>
    </w:p>
    <w:p w14:paraId="33C4E4C7" w14:textId="77777777" w:rsidR="001E216B" w:rsidRPr="00EA731D" w:rsidRDefault="001E216B" w:rsidP="00650AE9">
      <w:pPr>
        <w:spacing w:after="0" w:line="480" w:lineRule="auto"/>
        <w:jc w:val="both"/>
        <w:rPr>
          <w:rFonts w:ascii="Times New Roman" w:eastAsia="Times New Roman" w:hAnsi="Times New Roman"/>
          <w:sz w:val="24"/>
          <w:szCs w:val="24"/>
          <w:lang w:val="en-GB" w:eastAsia="en-GB"/>
        </w:rPr>
      </w:pPr>
    </w:p>
    <w:p w14:paraId="4F58A965" w14:textId="18802B1B" w:rsidR="000C0AE2" w:rsidRPr="00EA731D" w:rsidRDefault="000C0AE2"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Effective communication is crucial for cooperation, innovation, and productivity in a diverse workforce. Organizations must overcome a variety of communication challenges in the UK setting due to its multicultural characteristics in order to maintain amicable interactions. Let's examine some of these obstacles and provide pertinent examples:</w:t>
      </w:r>
    </w:p>
    <w:p w14:paraId="729FC0E3" w14:textId="77777777" w:rsidR="000C0AE2" w:rsidRPr="00EA731D" w:rsidRDefault="000C0AE2" w:rsidP="00650AE9">
      <w:pPr>
        <w:spacing w:after="0" w:line="480" w:lineRule="auto"/>
        <w:jc w:val="both"/>
        <w:rPr>
          <w:rFonts w:ascii="Times New Roman" w:eastAsia="Times New Roman" w:hAnsi="Times New Roman"/>
          <w:sz w:val="24"/>
          <w:szCs w:val="24"/>
          <w:lang w:val="en-GB" w:eastAsia="en-GB"/>
        </w:rPr>
      </w:pPr>
    </w:p>
    <w:p w14:paraId="7409B7AF" w14:textId="77777777" w:rsidR="000C0AE2" w:rsidRPr="00A56EA9" w:rsidRDefault="000C0AE2" w:rsidP="00A56EA9">
      <w:pPr>
        <w:pStyle w:val="Heading2"/>
      </w:pPr>
      <w:bookmarkStart w:id="13" w:name="_Toc143790438"/>
      <w:r w:rsidRPr="00A56EA9">
        <w:t>Language Barriers:</w:t>
      </w:r>
      <w:bookmarkEnd w:id="13"/>
      <w:r w:rsidRPr="00A56EA9">
        <w:t xml:space="preserve"> </w:t>
      </w:r>
    </w:p>
    <w:p w14:paraId="0F7EAC26" w14:textId="7C993073" w:rsidR="000C0AE2" w:rsidRPr="00EA731D" w:rsidRDefault="000C0AE2"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One of the most evident communication barriers in a diverse UK workforce is language diversity. Employees from various linguistic backgrounds may struggle with fluency in English, affecting their ability to convey ideas accurately. For instance, an employee who is a non-native </w:t>
      </w:r>
      <w:r w:rsidRPr="00EA731D">
        <w:rPr>
          <w:rFonts w:ascii="Times New Roman" w:eastAsia="Times New Roman" w:hAnsi="Times New Roman"/>
          <w:sz w:val="24"/>
          <w:szCs w:val="24"/>
          <w:lang w:val="en-GB" w:eastAsia="en-GB"/>
        </w:rPr>
        <w:lastRenderedPageBreak/>
        <w:t>English speaker might find it challenging to express complex concepts during meetings, potentially leading to misunderstandings</w:t>
      </w:r>
      <w:r w:rsidR="000F7271" w:rsidRPr="00EA731D">
        <w:rPr>
          <w:rFonts w:ascii="Times New Roman" w:eastAsia="Times New Roman" w:hAnsi="Times New Roman"/>
          <w:sz w:val="24"/>
          <w:szCs w:val="24"/>
          <w:lang w:val="en-GB" w:eastAsia="en-GB"/>
        </w:rPr>
        <w:t xml:space="preserve"> (</w:t>
      </w:r>
      <w:r w:rsidR="000F7271" w:rsidRPr="00EA731D">
        <w:rPr>
          <w:rFonts w:ascii="Times New Roman" w:hAnsi="Times New Roman"/>
          <w:sz w:val="24"/>
          <w:szCs w:val="24"/>
          <w:shd w:val="clear" w:color="auto" w:fill="FFFFFF"/>
        </w:rPr>
        <w:t>Sumathi &amp; Ranjini, 2019)</w:t>
      </w:r>
      <w:r w:rsidRPr="00EA731D">
        <w:rPr>
          <w:rFonts w:ascii="Times New Roman" w:eastAsia="Times New Roman" w:hAnsi="Times New Roman"/>
          <w:sz w:val="24"/>
          <w:szCs w:val="24"/>
          <w:lang w:val="en-GB" w:eastAsia="en-GB"/>
        </w:rPr>
        <w:t>.</w:t>
      </w:r>
    </w:p>
    <w:p w14:paraId="099EF417" w14:textId="77777777" w:rsidR="000C0AE2" w:rsidRPr="00EA731D" w:rsidRDefault="000C0AE2" w:rsidP="00650AE9">
      <w:pPr>
        <w:spacing w:after="0" w:line="480" w:lineRule="auto"/>
        <w:jc w:val="both"/>
        <w:rPr>
          <w:rFonts w:ascii="Times New Roman" w:eastAsia="Times New Roman" w:hAnsi="Times New Roman"/>
          <w:sz w:val="24"/>
          <w:szCs w:val="24"/>
          <w:lang w:val="en-GB" w:eastAsia="en-GB"/>
        </w:rPr>
      </w:pPr>
    </w:p>
    <w:p w14:paraId="65D47716" w14:textId="77777777" w:rsidR="000C0AE2" w:rsidRPr="00A56EA9" w:rsidRDefault="000C0AE2" w:rsidP="00A56EA9">
      <w:pPr>
        <w:pStyle w:val="Heading2"/>
      </w:pPr>
      <w:bookmarkStart w:id="14" w:name="_Toc143790439"/>
      <w:r w:rsidRPr="00A56EA9">
        <w:t>Cultural Differences:</w:t>
      </w:r>
      <w:bookmarkEnd w:id="14"/>
      <w:r w:rsidRPr="00A56EA9">
        <w:t xml:space="preserve"> </w:t>
      </w:r>
    </w:p>
    <w:p w14:paraId="4BA768F6" w14:textId="2531C75A" w:rsidR="000C0AE2" w:rsidRPr="00EA731D" w:rsidRDefault="000C0AE2"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Distinct ethnic backgrounds can have dramatically distinct cultural norms and communication techniques. While some cultures place a high priority on clear, direct communication, others place more emphasis on nuance and indirectness. These cultural distinctions may cause misunderstandings and mismatched expectations. For instance, a worker from a high-context culture might view a British manager's plain criticism as being unfairly harsh</w:t>
      </w:r>
      <w:r w:rsidR="000F7271" w:rsidRPr="00EA731D">
        <w:rPr>
          <w:rFonts w:ascii="Times New Roman" w:eastAsia="Times New Roman" w:hAnsi="Times New Roman"/>
          <w:sz w:val="24"/>
          <w:szCs w:val="24"/>
          <w:lang w:val="en-GB" w:eastAsia="en-GB"/>
        </w:rPr>
        <w:t xml:space="preserve"> (</w:t>
      </w:r>
      <w:r w:rsidR="000F7271" w:rsidRPr="00EA731D">
        <w:rPr>
          <w:rFonts w:ascii="Times New Roman" w:hAnsi="Times New Roman"/>
          <w:sz w:val="24"/>
          <w:szCs w:val="24"/>
          <w:shd w:val="clear" w:color="auto" w:fill="FFFFFF"/>
        </w:rPr>
        <w:t>Kaur, Ramachandran &amp; Venkateswaran, 2019)</w:t>
      </w:r>
      <w:r w:rsidRPr="00EA731D">
        <w:rPr>
          <w:rFonts w:ascii="Times New Roman" w:eastAsia="Times New Roman" w:hAnsi="Times New Roman"/>
          <w:sz w:val="24"/>
          <w:szCs w:val="24"/>
          <w:lang w:val="en-GB" w:eastAsia="en-GB"/>
        </w:rPr>
        <w:t>.</w:t>
      </w:r>
    </w:p>
    <w:p w14:paraId="788C2781" w14:textId="77777777" w:rsidR="000C0AE2" w:rsidRPr="00A56EA9" w:rsidRDefault="000C0AE2" w:rsidP="00A56EA9">
      <w:pPr>
        <w:pStyle w:val="Heading2"/>
      </w:pPr>
      <w:bookmarkStart w:id="15" w:name="_Toc143790440"/>
      <w:r w:rsidRPr="00A56EA9">
        <w:t>Non-Verbal Communication:</w:t>
      </w:r>
      <w:bookmarkEnd w:id="15"/>
      <w:r w:rsidRPr="00A56EA9">
        <w:t xml:space="preserve"> </w:t>
      </w:r>
    </w:p>
    <w:p w14:paraId="707284E6" w14:textId="441AFEE0" w:rsidR="000C0AE2" w:rsidRPr="00EA731D" w:rsidRDefault="000C0AE2"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Non-verbal cues, such as gestures, facial expressions, and body language, play a crucial role in communication. However, these cues can be interpreted differently across cultures. An innocent gesture in one culture might be offensive in another. For instance, maintaining eye contact is considered respectful in Western cultures, but it might be perceived as confrontational in some Asian cultures</w:t>
      </w:r>
      <w:r w:rsidR="002954D5" w:rsidRPr="00EA731D">
        <w:rPr>
          <w:rFonts w:ascii="Times New Roman" w:eastAsia="Times New Roman" w:hAnsi="Times New Roman"/>
          <w:sz w:val="24"/>
          <w:szCs w:val="24"/>
          <w:lang w:val="en-GB" w:eastAsia="en-GB"/>
        </w:rPr>
        <w:t xml:space="preserve"> (</w:t>
      </w:r>
      <w:r w:rsidR="002954D5" w:rsidRPr="00EA731D">
        <w:rPr>
          <w:rFonts w:ascii="Times New Roman" w:hAnsi="Times New Roman"/>
          <w:sz w:val="24"/>
          <w:szCs w:val="24"/>
          <w:shd w:val="clear" w:color="auto" w:fill="FFFFFF"/>
        </w:rPr>
        <w:t>Odom &amp; Hyams-Ssekasi, 2022)</w:t>
      </w:r>
      <w:r w:rsidRPr="00EA731D">
        <w:rPr>
          <w:rFonts w:ascii="Times New Roman" w:eastAsia="Times New Roman" w:hAnsi="Times New Roman"/>
          <w:sz w:val="24"/>
          <w:szCs w:val="24"/>
          <w:lang w:val="en-GB" w:eastAsia="en-GB"/>
        </w:rPr>
        <w:t>.</w:t>
      </w:r>
    </w:p>
    <w:p w14:paraId="74615C18" w14:textId="77777777" w:rsidR="000C0AE2" w:rsidRPr="00EA731D" w:rsidRDefault="000C0AE2" w:rsidP="00650AE9">
      <w:pPr>
        <w:spacing w:after="0" w:line="480" w:lineRule="auto"/>
        <w:jc w:val="both"/>
        <w:rPr>
          <w:rFonts w:ascii="Times New Roman" w:eastAsia="Times New Roman" w:hAnsi="Times New Roman"/>
          <w:sz w:val="24"/>
          <w:szCs w:val="24"/>
          <w:lang w:val="en-GB" w:eastAsia="en-GB"/>
        </w:rPr>
      </w:pPr>
    </w:p>
    <w:p w14:paraId="7A4BB263" w14:textId="77777777" w:rsidR="000C0AE2" w:rsidRPr="00A56EA9" w:rsidRDefault="000C0AE2" w:rsidP="00A56EA9">
      <w:pPr>
        <w:pStyle w:val="Heading2"/>
      </w:pPr>
      <w:bookmarkStart w:id="16" w:name="_Toc143790441"/>
      <w:r w:rsidRPr="00A56EA9">
        <w:t>Perceptions of Hierarchy:</w:t>
      </w:r>
      <w:bookmarkEnd w:id="16"/>
      <w:r w:rsidRPr="00A56EA9">
        <w:t xml:space="preserve"> </w:t>
      </w:r>
    </w:p>
    <w:p w14:paraId="4B27AEDD" w14:textId="1D4620F0" w:rsidR="000C0AE2" w:rsidRPr="00EA731D" w:rsidRDefault="00EC277F"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Communication is greatly aided by non-verbal indicators like body language, facial expressions, and gestures. These cues, meanwhile, can be perceived in various ways across cultural boundaries. In one culture, a harmless gesture could be considered disrespectful. Maintaining eye contact, for instance, may be viewed as respectful in Western cultures but as confrontational in other Asian ones.</w:t>
      </w:r>
    </w:p>
    <w:p w14:paraId="1A396693" w14:textId="77777777" w:rsidR="000C0AE2" w:rsidRPr="00A56EA9" w:rsidRDefault="000C0AE2" w:rsidP="00A56EA9">
      <w:pPr>
        <w:pStyle w:val="Heading2"/>
      </w:pPr>
      <w:bookmarkStart w:id="17" w:name="_Toc143790442"/>
      <w:r w:rsidRPr="00A56EA9">
        <w:lastRenderedPageBreak/>
        <w:t>Generational Divide:</w:t>
      </w:r>
      <w:bookmarkEnd w:id="17"/>
      <w:r w:rsidRPr="00A56EA9">
        <w:t xml:space="preserve"> </w:t>
      </w:r>
    </w:p>
    <w:p w14:paraId="03D36BF0" w14:textId="77777777" w:rsidR="008C548C" w:rsidRPr="00EA731D" w:rsidRDefault="008C548C"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Communication obstacles due to generational diversity may also appear. Every generation has its own communication styles and level of technology sophistication. Older personnel may gravitate toward face-to-face contact, while younger generations may choose digital communication. Ineffective information exchange may be hampered by misaligned communication systems.</w:t>
      </w:r>
    </w:p>
    <w:p w14:paraId="4F94FC30" w14:textId="3F6F44E6" w:rsidR="001E216B" w:rsidRPr="00EA731D" w:rsidRDefault="00250C0C"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According to </w:t>
      </w:r>
      <w:r w:rsidRPr="00EA731D">
        <w:rPr>
          <w:rFonts w:ascii="Times New Roman" w:hAnsi="Times New Roman"/>
          <w:sz w:val="24"/>
          <w:szCs w:val="24"/>
          <w:shd w:val="clear" w:color="auto" w:fill="FFFFFF"/>
        </w:rPr>
        <w:t xml:space="preserve">Lai &amp; Chen (2019), </w:t>
      </w:r>
      <w:r w:rsidR="003613E5" w:rsidRPr="00EA731D">
        <w:rPr>
          <w:rFonts w:ascii="Times New Roman" w:eastAsia="Times New Roman" w:hAnsi="Times New Roman"/>
          <w:sz w:val="24"/>
          <w:szCs w:val="24"/>
          <w:lang w:val="en-GB" w:eastAsia="en-GB"/>
        </w:rPr>
        <w:t>HSBC employs strategies like language support, cultural awareness training, diverse teams, and clear communication channels to overcome communication barriers, promoting understanding, reducing misunderstandings, and fostering cross-cultural collaboration.</w:t>
      </w:r>
    </w:p>
    <w:p w14:paraId="0243B63D" w14:textId="28B45BF1" w:rsidR="006D409E" w:rsidRPr="00EA731D" w:rsidRDefault="006D409E"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To overcome communication barriers in a diverse UK workforce, organizations can implement strategies such as language support programs, cultural sensitivity training, diverse communication platforms, clear communication guidelines, cross-cultural team building, mentorship and buddy programs, regular feedback mechanisms, and inclusive leadership training. Language support programs can enhance employees' English language skills, while cultural sensitivity training educates employees about diverse communication styles and norms. Different communication platforms cater to different preferences and generations, while clear communication guidelines emphasize transparency and directness</w:t>
      </w:r>
      <w:r w:rsidR="00DF2BF8" w:rsidRPr="00EA731D">
        <w:rPr>
          <w:rFonts w:ascii="Times New Roman" w:eastAsia="Times New Roman" w:hAnsi="Times New Roman"/>
          <w:sz w:val="24"/>
          <w:szCs w:val="24"/>
          <w:lang w:val="en-GB" w:eastAsia="en-GB"/>
        </w:rPr>
        <w:t xml:space="preserve"> (</w:t>
      </w:r>
      <w:r w:rsidR="00DF2BF8" w:rsidRPr="00EA731D">
        <w:rPr>
          <w:rFonts w:ascii="Times New Roman" w:hAnsi="Times New Roman"/>
          <w:sz w:val="24"/>
          <w:szCs w:val="24"/>
          <w:shd w:val="clear" w:color="auto" w:fill="FFFFFF"/>
        </w:rPr>
        <w:t>Chai, 2022)</w:t>
      </w:r>
      <w:r w:rsidRPr="00EA731D">
        <w:rPr>
          <w:rFonts w:ascii="Times New Roman" w:eastAsia="Times New Roman" w:hAnsi="Times New Roman"/>
          <w:sz w:val="24"/>
          <w:szCs w:val="24"/>
          <w:lang w:val="en-GB" w:eastAsia="en-GB"/>
        </w:rPr>
        <w:t>. Cross-cultural team building fosters collaboration among employees from different backgrounds, while mentorship and buddy programs help newcomers adapt to the organization's communication culture. Regular feedback mechanisms allow employees to voice concerns about communication practices, identifying and addressing barriers proactively. Inclusive leadership training trains leaders in active listening, adaptability, and intercultural competence</w:t>
      </w:r>
      <w:r w:rsidR="00E21959" w:rsidRPr="00EA731D">
        <w:rPr>
          <w:rFonts w:ascii="Times New Roman" w:eastAsia="Times New Roman" w:hAnsi="Times New Roman"/>
          <w:sz w:val="24"/>
          <w:szCs w:val="24"/>
          <w:lang w:val="en-GB" w:eastAsia="en-GB"/>
        </w:rPr>
        <w:t xml:space="preserve"> (</w:t>
      </w:r>
      <w:r w:rsidR="00E21959" w:rsidRPr="00EA731D">
        <w:rPr>
          <w:rFonts w:ascii="Times New Roman" w:hAnsi="Times New Roman"/>
          <w:sz w:val="24"/>
          <w:szCs w:val="24"/>
          <w:shd w:val="clear" w:color="auto" w:fill="FFFFFF"/>
        </w:rPr>
        <w:t xml:space="preserve">Odom &amp; Hyams-Ssekasi, </w:t>
      </w:r>
      <w:r w:rsidR="00E21959" w:rsidRPr="00EA731D">
        <w:rPr>
          <w:rFonts w:ascii="Times New Roman" w:hAnsi="Times New Roman"/>
          <w:sz w:val="24"/>
          <w:szCs w:val="24"/>
          <w:shd w:val="clear" w:color="auto" w:fill="FFFFFF"/>
        </w:rPr>
        <w:lastRenderedPageBreak/>
        <w:t>2022)</w:t>
      </w:r>
      <w:r w:rsidRPr="00EA731D">
        <w:rPr>
          <w:rFonts w:ascii="Times New Roman" w:eastAsia="Times New Roman" w:hAnsi="Times New Roman"/>
          <w:sz w:val="24"/>
          <w:szCs w:val="24"/>
          <w:lang w:val="en-GB" w:eastAsia="en-GB"/>
        </w:rPr>
        <w:t>. By implementing these strategies, organizations can harness the diverse strengths of their workforce and navigate the complexities of communication in a diverse UK context.</w:t>
      </w:r>
    </w:p>
    <w:p w14:paraId="3A86BDBE" w14:textId="4272BC64" w:rsidR="001E216B" w:rsidRPr="00A56EA9" w:rsidRDefault="001E216B" w:rsidP="00A56EA9">
      <w:pPr>
        <w:pStyle w:val="Heading1"/>
      </w:pPr>
      <w:bookmarkStart w:id="18" w:name="_Toc143790443"/>
      <w:r w:rsidRPr="00A56EA9">
        <w:t>Conclusion</w:t>
      </w:r>
      <w:bookmarkEnd w:id="18"/>
    </w:p>
    <w:p w14:paraId="055E062F" w14:textId="0DB98CCF" w:rsidR="000B0503" w:rsidRPr="00EA731D" w:rsidRDefault="0026233F" w:rsidP="00650AE9">
      <w:pPr>
        <w:spacing w:after="0" w:line="480" w:lineRule="auto"/>
        <w:ind w:firstLine="720"/>
        <w:jc w:val="both"/>
        <w:rPr>
          <w:rFonts w:ascii="Times New Roman" w:eastAsia="Times New Roman" w:hAnsi="Times New Roman"/>
          <w:sz w:val="24"/>
          <w:szCs w:val="24"/>
          <w:lang w:val="en-GB" w:eastAsia="en-GB"/>
        </w:rPr>
      </w:pPr>
      <w:r w:rsidRPr="00EA731D">
        <w:rPr>
          <w:rFonts w:ascii="Times New Roman" w:eastAsia="Times New Roman" w:hAnsi="Times New Roman"/>
          <w:sz w:val="24"/>
          <w:szCs w:val="24"/>
          <w:lang w:val="en-GB" w:eastAsia="en-GB"/>
        </w:rPr>
        <w:t xml:space="preserve">In the report, we have </w:t>
      </w:r>
      <w:r w:rsidR="00862619" w:rsidRPr="00EA731D">
        <w:rPr>
          <w:rFonts w:ascii="Times New Roman" w:eastAsia="Times New Roman" w:hAnsi="Times New Roman"/>
          <w:sz w:val="24"/>
          <w:szCs w:val="24"/>
          <w:lang w:val="en-GB" w:eastAsia="en-GB"/>
        </w:rPr>
        <w:t>analysed</w:t>
      </w:r>
      <w:r w:rsidRPr="00EA731D">
        <w:rPr>
          <w:rFonts w:ascii="Times New Roman" w:eastAsia="Times New Roman" w:hAnsi="Times New Roman"/>
          <w:sz w:val="24"/>
          <w:szCs w:val="24"/>
          <w:lang w:val="en-GB" w:eastAsia="en-GB"/>
        </w:rPr>
        <w:t xml:space="preserve"> the complex threads that make up the fabric of effective communication in this thorough investigation of business communication within the varied UK setting. The journey has highlighted the need of inclusivity in establishing happy work environments, from ideas of cross-cultural communication to the difficulties presented by cultural sensitivity and boundaries. Through the ideas of Hofstede, Samovar, and Jandt, we have been able to explore the complexity of cross-cultural interactions. The use of HSBC as an example has highlighted how these theories might be put to use in the real world of international business. Cultural awareness became a pillar, facilitating polite interactions that cut across linguistic and cultural barriers.</w:t>
      </w:r>
    </w:p>
    <w:p w14:paraId="35F26EB0" w14:textId="2D5C9EFF" w:rsidR="005875BF" w:rsidRPr="00EA731D" w:rsidRDefault="005875BF" w:rsidP="00650AE9">
      <w:pPr>
        <w:spacing w:after="0" w:line="480" w:lineRule="auto"/>
        <w:ind w:firstLine="720"/>
        <w:jc w:val="both"/>
        <w:rPr>
          <w:rFonts w:ascii="Times New Roman" w:hAnsi="Times New Roman"/>
          <w:sz w:val="24"/>
          <w:szCs w:val="24"/>
          <w:lang w:val="en-GB"/>
        </w:rPr>
      </w:pPr>
      <w:r w:rsidRPr="00EA731D">
        <w:rPr>
          <w:rFonts w:ascii="Times New Roman" w:hAnsi="Times New Roman"/>
          <w:sz w:val="24"/>
          <w:szCs w:val="24"/>
          <w:lang w:val="en-GB"/>
        </w:rPr>
        <w:t>Organizations have recognized communication hurdles as a challenge in accepting diversity, including linguistic diversity and generational gaps. The solutions presented, however, provide a road map for getting past these obstacles and fostering a climate of open communication, comprehension, and collaboration. Furthermore, the tapestry of the UK's diverse workforce serves as a tribute to the complexity of contemporary business. Being inclusive is a strategic need, not just a desirable trait. Organizations may create productive work environments that enable people to flourish by building a culture that values effective communication, celebrates diversity, and embraces individual differences. Let us keep in mind that inclusion is</w:t>
      </w:r>
      <w:r w:rsidR="000F787F" w:rsidRPr="00EA731D">
        <w:rPr>
          <w:rFonts w:ascii="Times New Roman" w:hAnsi="Times New Roman"/>
          <w:sz w:val="24"/>
          <w:szCs w:val="24"/>
          <w:lang w:val="en-GB"/>
        </w:rPr>
        <w:t xml:space="preserve"> no</w:t>
      </w:r>
      <w:r w:rsidRPr="00EA731D">
        <w:rPr>
          <w:rFonts w:ascii="Times New Roman" w:hAnsi="Times New Roman"/>
          <w:sz w:val="24"/>
          <w:szCs w:val="24"/>
          <w:lang w:val="en-GB"/>
        </w:rPr>
        <w:t>t simply a goal—it's the lifeblood of successful businesses in a worldwide world as we negotiate the complex terrain of corporate communication.</w:t>
      </w:r>
    </w:p>
    <w:p w14:paraId="55A6812F" w14:textId="77777777" w:rsidR="0089066C" w:rsidRPr="00EA731D" w:rsidRDefault="0089066C" w:rsidP="00650AE9">
      <w:pPr>
        <w:spacing w:after="0" w:line="480" w:lineRule="auto"/>
        <w:ind w:firstLine="720"/>
        <w:jc w:val="both"/>
        <w:rPr>
          <w:rFonts w:ascii="Times New Roman" w:hAnsi="Times New Roman"/>
          <w:sz w:val="24"/>
          <w:szCs w:val="24"/>
          <w:lang w:val="en-GB"/>
        </w:rPr>
      </w:pPr>
    </w:p>
    <w:p w14:paraId="01C76152" w14:textId="77777777" w:rsidR="00A56EA9" w:rsidRDefault="00A56EA9" w:rsidP="00A56EA9">
      <w:pPr>
        <w:pStyle w:val="Heading1"/>
        <w:spacing w:line="480" w:lineRule="auto"/>
        <w:jc w:val="left"/>
        <w:rPr>
          <w:rFonts w:cs="Times New Roman"/>
          <w:b w:val="0"/>
          <w:bCs/>
          <w:szCs w:val="24"/>
          <w:lang w:val="en-GB"/>
        </w:rPr>
      </w:pPr>
    </w:p>
    <w:p w14:paraId="4B0FBD9D" w14:textId="7924546A" w:rsidR="00A56EA9" w:rsidRPr="00A56EA9" w:rsidRDefault="0089066C" w:rsidP="00A56EA9">
      <w:pPr>
        <w:pStyle w:val="Heading1"/>
      </w:pPr>
      <w:bookmarkStart w:id="19" w:name="_Toc143790444"/>
      <w:r w:rsidRPr="00A56EA9">
        <w:t>References</w:t>
      </w:r>
      <w:bookmarkEnd w:id="19"/>
      <w:r w:rsidRPr="00A56EA9">
        <w:t xml:space="preserve"> </w:t>
      </w:r>
    </w:p>
    <w:p w14:paraId="7F67D5A0" w14:textId="66DF7040" w:rsidR="008A66D8" w:rsidRPr="00EA731D" w:rsidRDefault="008A66D8"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Armstrong, M., &amp; Taylor, S. (2023). </w:t>
      </w:r>
      <w:r w:rsidRPr="00EA731D">
        <w:rPr>
          <w:rFonts w:ascii="Times New Roman" w:hAnsi="Times New Roman"/>
          <w:i/>
          <w:iCs/>
          <w:sz w:val="24"/>
          <w:szCs w:val="24"/>
          <w:shd w:val="clear" w:color="auto" w:fill="FFFFFF"/>
        </w:rPr>
        <w:t>Armstrong's Handbook of Human Resource Management Practice: A Guide to the Theory and Practice of People Management</w:t>
      </w:r>
      <w:r w:rsidRPr="00EA731D">
        <w:rPr>
          <w:rFonts w:ascii="Times New Roman" w:hAnsi="Times New Roman"/>
          <w:sz w:val="24"/>
          <w:szCs w:val="24"/>
          <w:shd w:val="clear" w:color="auto" w:fill="FFFFFF"/>
        </w:rPr>
        <w:t>. Kogan Page Publishers.</w:t>
      </w:r>
    </w:p>
    <w:p w14:paraId="257EED78" w14:textId="5B484ABB" w:rsidR="008A66D8" w:rsidRPr="00EA731D" w:rsidRDefault="008A66D8"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Balian, M. I. (2022). </w:t>
      </w:r>
      <w:r w:rsidRPr="00EA731D">
        <w:rPr>
          <w:rFonts w:ascii="Times New Roman" w:hAnsi="Times New Roman"/>
          <w:i/>
          <w:iCs/>
          <w:sz w:val="24"/>
          <w:szCs w:val="24"/>
          <w:shd w:val="clear" w:color="auto" w:fill="FFFFFF"/>
        </w:rPr>
        <w:t>Reputation Risk and Reputation Risk Management: Case Study Applied on Facebook and HSBC</w:t>
      </w:r>
      <w:r w:rsidRPr="00EA731D">
        <w:rPr>
          <w:rFonts w:ascii="Times New Roman" w:hAnsi="Times New Roman"/>
          <w:sz w:val="24"/>
          <w:szCs w:val="24"/>
          <w:shd w:val="clear" w:color="auto" w:fill="FFFFFF"/>
        </w:rPr>
        <w:t> (Doctoral dissertation, Pharos University in Alexandria).</w:t>
      </w:r>
    </w:p>
    <w:p w14:paraId="42321FA8" w14:textId="3298A857" w:rsidR="005C57F5" w:rsidRPr="00EA731D" w:rsidRDefault="005C57F5"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Chai, P. (2022). A Contrastive Research on the Digital Transformation of Sino-British Traditional Enterprises. </w:t>
      </w:r>
      <w:r w:rsidRPr="00EA731D">
        <w:rPr>
          <w:rFonts w:ascii="Times New Roman" w:hAnsi="Times New Roman"/>
          <w:i/>
          <w:iCs/>
          <w:sz w:val="24"/>
          <w:szCs w:val="24"/>
          <w:shd w:val="clear" w:color="auto" w:fill="FFFFFF"/>
        </w:rPr>
        <w:t>Global Finance Review</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5</w:t>
      </w:r>
      <w:r w:rsidRPr="00EA731D">
        <w:rPr>
          <w:rFonts w:ascii="Times New Roman" w:hAnsi="Times New Roman"/>
          <w:sz w:val="24"/>
          <w:szCs w:val="24"/>
          <w:shd w:val="clear" w:color="auto" w:fill="FFFFFF"/>
        </w:rPr>
        <w:t>(1), 31-33.</w:t>
      </w:r>
    </w:p>
    <w:p w14:paraId="090FF1E0" w14:textId="354C7D8D" w:rsidR="0016694A" w:rsidRPr="00EA731D" w:rsidRDefault="0016694A"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Daryanto, W. M. (2021). Audit, Accounting, and Finance Training for Management Trainees of PT HSBC Jakarta. </w:t>
      </w:r>
      <w:r w:rsidRPr="00EA731D">
        <w:rPr>
          <w:rFonts w:ascii="Times New Roman" w:hAnsi="Times New Roman"/>
          <w:i/>
          <w:iCs/>
          <w:sz w:val="24"/>
          <w:szCs w:val="24"/>
          <w:shd w:val="clear" w:color="auto" w:fill="FFFFFF"/>
        </w:rPr>
        <w:t>Journal of Innovation and Community Engagement</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2</w:t>
      </w:r>
      <w:r w:rsidRPr="00EA731D">
        <w:rPr>
          <w:rFonts w:ascii="Times New Roman" w:hAnsi="Times New Roman"/>
          <w:sz w:val="24"/>
          <w:szCs w:val="24"/>
          <w:shd w:val="clear" w:color="auto" w:fill="FFFFFF"/>
        </w:rPr>
        <w:t>(2), 89-100.</w:t>
      </w:r>
    </w:p>
    <w:p w14:paraId="50EB7311" w14:textId="66C80394" w:rsidR="00995BB9" w:rsidRPr="00EA731D" w:rsidRDefault="00995BB9"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lang w:val="nl-NL"/>
        </w:rPr>
        <w:t xml:space="preserve">Kaur, M., Ramachandran, S., &amp; Venkateswaran, C. (2019). </w:t>
      </w:r>
      <w:r w:rsidRPr="00EA731D">
        <w:rPr>
          <w:rFonts w:ascii="Times New Roman" w:hAnsi="Times New Roman"/>
          <w:sz w:val="24"/>
          <w:szCs w:val="24"/>
          <w:shd w:val="clear" w:color="auto" w:fill="FFFFFF"/>
        </w:rPr>
        <w:t>Business Process In Green Human Resource Management In Banking Sector. </w:t>
      </w:r>
      <w:r w:rsidRPr="00EA731D">
        <w:rPr>
          <w:rFonts w:ascii="Times New Roman" w:hAnsi="Times New Roman"/>
          <w:i/>
          <w:iCs/>
          <w:sz w:val="24"/>
          <w:szCs w:val="24"/>
          <w:shd w:val="clear" w:color="auto" w:fill="FFFFFF"/>
        </w:rPr>
        <w:t>Think India Journal</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22</w:t>
      </w:r>
      <w:r w:rsidRPr="00EA731D">
        <w:rPr>
          <w:rFonts w:ascii="Times New Roman" w:hAnsi="Times New Roman"/>
          <w:sz w:val="24"/>
          <w:szCs w:val="24"/>
          <w:shd w:val="clear" w:color="auto" w:fill="FFFFFF"/>
        </w:rPr>
        <w:t>(14), 1678-1684.</w:t>
      </w:r>
    </w:p>
    <w:p w14:paraId="2DFE6DFC" w14:textId="21A49699" w:rsidR="008C1661" w:rsidRPr="00EA731D" w:rsidRDefault="008C1661"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Kornelakis, A., Kirov, V., &amp; Thill, P. (2022). The digitalisation of service work: A comparative study of restructuring of the banking sector in the United Kingdom and Luxembourg. </w:t>
      </w:r>
      <w:r w:rsidRPr="00EA731D">
        <w:rPr>
          <w:rFonts w:ascii="Times New Roman" w:hAnsi="Times New Roman"/>
          <w:i/>
          <w:iCs/>
          <w:sz w:val="24"/>
          <w:szCs w:val="24"/>
          <w:shd w:val="clear" w:color="auto" w:fill="FFFFFF"/>
        </w:rPr>
        <w:t>European Journal of Industrial Relations</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28</w:t>
      </w:r>
      <w:r w:rsidRPr="00EA731D">
        <w:rPr>
          <w:rFonts w:ascii="Times New Roman" w:hAnsi="Times New Roman"/>
          <w:sz w:val="24"/>
          <w:szCs w:val="24"/>
          <w:shd w:val="clear" w:color="auto" w:fill="FFFFFF"/>
        </w:rPr>
        <w:t>(3), 253-272.</w:t>
      </w:r>
    </w:p>
    <w:p w14:paraId="0AE4ED93" w14:textId="12C722AA" w:rsidR="008652D8" w:rsidRPr="00EA731D" w:rsidRDefault="008652D8"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Lai, J., &amp; Chen, Y. (2019, May). Communication Process and Information Systems in HSBC. In </w:t>
      </w:r>
      <w:r w:rsidRPr="00EA731D">
        <w:rPr>
          <w:rFonts w:ascii="Times New Roman" w:hAnsi="Times New Roman"/>
          <w:i/>
          <w:iCs/>
          <w:sz w:val="24"/>
          <w:szCs w:val="24"/>
          <w:shd w:val="clear" w:color="auto" w:fill="FFFFFF"/>
        </w:rPr>
        <w:t>2019 International Conference on Management, Education Technology and Economics (ICMETE 2019)</w:t>
      </w:r>
      <w:r w:rsidRPr="00EA731D">
        <w:rPr>
          <w:rFonts w:ascii="Times New Roman" w:hAnsi="Times New Roman"/>
          <w:sz w:val="24"/>
          <w:szCs w:val="24"/>
          <w:shd w:val="clear" w:color="auto" w:fill="FFFFFF"/>
        </w:rPr>
        <w:t> (pp. 531-534). Atlantis Press.</w:t>
      </w:r>
    </w:p>
    <w:p w14:paraId="38A43A27" w14:textId="70C98FE4" w:rsidR="00B22ED4" w:rsidRPr="00EA731D" w:rsidRDefault="00B22ED4"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lang w:val="nl-NL"/>
        </w:rPr>
        <w:t xml:space="preserve">Lu, Q., Toms, S., &amp; Wei, Y. (2023). </w:t>
      </w:r>
      <w:r w:rsidRPr="00EA731D">
        <w:rPr>
          <w:rFonts w:ascii="Times New Roman" w:hAnsi="Times New Roman"/>
          <w:sz w:val="24"/>
          <w:szCs w:val="24"/>
          <w:shd w:val="clear" w:color="auto" w:fill="FFFFFF"/>
        </w:rPr>
        <w:t>From light touch to top management control: HSBC’s integration of its first two acquired subsidiaries 1960-1980. </w:t>
      </w:r>
      <w:r w:rsidRPr="00EA731D">
        <w:rPr>
          <w:rFonts w:ascii="Times New Roman" w:hAnsi="Times New Roman"/>
          <w:i/>
          <w:iCs/>
          <w:sz w:val="24"/>
          <w:szCs w:val="24"/>
          <w:shd w:val="clear" w:color="auto" w:fill="FFFFFF"/>
        </w:rPr>
        <w:t>Business History</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65</w:t>
      </w:r>
      <w:r w:rsidRPr="00EA731D">
        <w:rPr>
          <w:rFonts w:ascii="Times New Roman" w:hAnsi="Times New Roman"/>
          <w:sz w:val="24"/>
          <w:szCs w:val="24"/>
          <w:shd w:val="clear" w:color="auto" w:fill="FFFFFF"/>
        </w:rPr>
        <w:t>(4), 656-678.</w:t>
      </w:r>
    </w:p>
    <w:p w14:paraId="663E7971" w14:textId="70760652" w:rsidR="008C1661" w:rsidRPr="00EA731D" w:rsidRDefault="008C1661"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Marchington, M., Wilkinson, A., Donnelly, R., &amp; Kynighou, A. (2020). </w:t>
      </w:r>
      <w:r w:rsidRPr="00EA731D">
        <w:rPr>
          <w:rFonts w:ascii="Times New Roman" w:hAnsi="Times New Roman"/>
          <w:i/>
          <w:iCs/>
          <w:sz w:val="24"/>
          <w:szCs w:val="24"/>
          <w:shd w:val="clear" w:color="auto" w:fill="FFFFFF"/>
        </w:rPr>
        <w:t>Human resource management at work: The definitive guide</w:t>
      </w:r>
      <w:r w:rsidRPr="00EA731D">
        <w:rPr>
          <w:rFonts w:ascii="Times New Roman" w:hAnsi="Times New Roman"/>
          <w:sz w:val="24"/>
          <w:szCs w:val="24"/>
          <w:shd w:val="clear" w:color="auto" w:fill="FFFFFF"/>
        </w:rPr>
        <w:t>. Kogan Page Publishers.</w:t>
      </w:r>
    </w:p>
    <w:p w14:paraId="47B3F542" w14:textId="1AE490E6" w:rsidR="00810B0C" w:rsidRPr="00EA731D" w:rsidRDefault="00810B0C"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lastRenderedPageBreak/>
        <w:t>Odom, G., &amp; Hyams-Ssekasi, D. (2022). An Exploration of the Implications of Human Resources Analytics for Workforce Planning. </w:t>
      </w:r>
      <w:r w:rsidRPr="00EA731D">
        <w:rPr>
          <w:rFonts w:ascii="Times New Roman" w:hAnsi="Times New Roman"/>
          <w:i/>
          <w:iCs/>
          <w:sz w:val="24"/>
          <w:szCs w:val="24"/>
          <w:shd w:val="clear" w:color="auto" w:fill="FFFFFF"/>
        </w:rPr>
        <w:t>Future of Business Administration</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1</w:t>
      </w:r>
      <w:r w:rsidRPr="00EA731D">
        <w:rPr>
          <w:rFonts w:ascii="Times New Roman" w:hAnsi="Times New Roman"/>
          <w:sz w:val="24"/>
          <w:szCs w:val="24"/>
          <w:shd w:val="clear" w:color="auto" w:fill="FFFFFF"/>
        </w:rPr>
        <w:t>(2), 30-42.</w:t>
      </w:r>
    </w:p>
    <w:p w14:paraId="531B3AF7" w14:textId="0CD2439C" w:rsidR="00714A8F" w:rsidRPr="00EA731D" w:rsidRDefault="00714A8F"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Parida, S., &amp; Brown, K. (2021). Green Human Resource Management and Green Innovation. </w:t>
      </w:r>
      <w:r w:rsidRPr="00EA731D">
        <w:rPr>
          <w:rFonts w:ascii="Times New Roman" w:hAnsi="Times New Roman"/>
          <w:i/>
          <w:iCs/>
          <w:sz w:val="24"/>
          <w:szCs w:val="24"/>
          <w:shd w:val="clear" w:color="auto" w:fill="FFFFFF"/>
        </w:rPr>
        <w:t>Responsible Management in Emerging Markets: A Multisectoral Focus</w:t>
      </w:r>
      <w:r w:rsidRPr="00EA731D">
        <w:rPr>
          <w:rFonts w:ascii="Times New Roman" w:hAnsi="Times New Roman"/>
          <w:sz w:val="24"/>
          <w:szCs w:val="24"/>
          <w:shd w:val="clear" w:color="auto" w:fill="FFFFFF"/>
        </w:rPr>
        <w:t>, 159-183.</w:t>
      </w:r>
    </w:p>
    <w:p w14:paraId="0F559DDC" w14:textId="321014E5" w:rsidR="00A21AB3" w:rsidRPr="00EA731D" w:rsidRDefault="00A21AB3"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Phillips, J. (2019). </w:t>
      </w:r>
      <w:r w:rsidRPr="00EA731D">
        <w:rPr>
          <w:rFonts w:ascii="Times New Roman" w:hAnsi="Times New Roman"/>
          <w:i/>
          <w:iCs/>
          <w:sz w:val="24"/>
          <w:szCs w:val="24"/>
          <w:shd w:val="clear" w:color="auto" w:fill="FFFFFF"/>
        </w:rPr>
        <w:t>HRM Core Concepts</w:t>
      </w:r>
      <w:r w:rsidRPr="00EA731D">
        <w:rPr>
          <w:rFonts w:ascii="Times New Roman" w:hAnsi="Times New Roman"/>
          <w:sz w:val="24"/>
          <w:szCs w:val="24"/>
          <w:shd w:val="clear" w:color="auto" w:fill="FFFFFF"/>
        </w:rPr>
        <w:t>. SAGE Publications.</w:t>
      </w:r>
    </w:p>
    <w:p w14:paraId="659E654C" w14:textId="414BC5F3" w:rsidR="00A7680C" w:rsidRPr="00EA731D" w:rsidRDefault="00A7680C"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Stone, R. J., Cox, A., &amp; Gavin, M. (2020). </w:t>
      </w:r>
      <w:r w:rsidRPr="00EA731D">
        <w:rPr>
          <w:rFonts w:ascii="Times New Roman" w:hAnsi="Times New Roman"/>
          <w:i/>
          <w:iCs/>
          <w:sz w:val="24"/>
          <w:szCs w:val="24"/>
          <w:shd w:val="clear" w:color="auto" w:fill="FFFFFF"/>
        </w:rPr>
        <w:t>Human resource management</w:t>
      </w:r>
      <w:r w:rsidRPr="00EA731D">
        <w:rPr>
          <w:rFonts w:ascii="Times New Roman" w:hAnsi="Times New Roman"/>
          <w:sz w:val="24"/>
          <w:szCs w:val="24"/>
          <w:shd w:val="clear" w:color="auto" w:fill="FFFFFF"/>
        </w:rPr>
        <w:t>. John Wiley &amp; Sons.</w:t>
      </w:r>
    </w:p>
    <w:p w14:paraId="741BEA2B" w14:textId="6962C969" w:rsidR="005C57F5" w:rsidRPr="00EA731D" w:rsidRDefault="005C57F5"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Sumathi, D. N., &amp; Ranjini, K. S. (2019). Determine the factors of human resource management practices on organizational commitment in the banking sector. </w:t>
      </w:r>
      <w:r w:rsidRPr="00EA731D">
        <w:rPr>
          <w:rFonts w:ascii="Times New Roman" w:hAnsi="Times New Roman"/>
          <w:i/>
          <w:iCs/>
          <w:sz w:val="24"/>
          <w:szCs w:val="24"/>
          <w:shd w:val="clear" w:color="auto" w:fill="FFFFFF"/>
        </w:rPr>
        <w:t>JAC: A Journal of Composition Theory</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12</w:t>
      </w:r>
      <w:r w:rsidRPr="00EA731D">
        <w:rPr>
          <w:rFonts w:ascii="Times New Roman" w:hAnsi="Times New Roman"/>
          <w:sz w:val="24"/>
          <w:szCs w:val="24"/>
          <w:shd w:val="clear" w:color="auto" w:fill="FFFFFF"/>
        </w:rPr>
        <w:t>, 123-130.</w:t>
      </w:r>
    </w:p>
    <w:p w14:paraId="544B9459" w14:textId="3AD91A0E" w:rsidR="008C1661" w:rsidRPr="00EA731D" w:rsidRDefault="008C1661" w:rsidP="00650AE9">
      <w:pPr>
        <w:spacing w:after="0" w:line="480" w:lineRule="auto"/>
        <w:ind w:left="720" w:hanging="720"/>
        <w:jc w:val="both"/>
        <w:rPr>
          <w:rFonts w:ascii="Times New Roman" w:hAnsi="Times New Roman"/>
          <w:sz w:val="24"/>
          <w:szCs w:val="24"/>
          <w:shd w:val="clear" w:color="auto" w:fill="FFFFFF"/>
        </w:rPr>
      </w:pPr>
      <w:r w:rsidRPr="00EA731D">
        <w:rPr>
          <w:rFonts w:ascii="Times New Roman" w:hAnsi="Times New Roman"/>
          <w:sz w:val="24"/>
          <w:szCs w:val="24"/>
          <w:shd w:val="clear" w:color="auto" w:fill="FFFFFF"/>
        </w:rPr>
        <w:t>Tung, Y. N. R. (2020). </w:t>
      </w:r>
      <w:r w:rsidRPr="00EA731D">
        <w:rPr>
          <w:rFonts w:ascii="Times New Roman" w:hAnsi="Times New Roman"/>
          <w:i/>
          <w:iCs/>
          <w:sz w:val="24"/>
          <w:szCs w:val="24"/>
          <w:shd w:val="clear" w:color="auto" w:fill="FFFFFF"/>
        </w:rPr>
        <w:t>The Use of Technology-Enabled Human Capital Management Tools in the Practices of Hiring, Developing, Managing, and Retaining Talent: Experiences of Top Management of Large Multinational Corporations in Hong Kong</w:t>
      </w:r>
      <w:r w:rsidRPr="00EA731D">
        <w:rPr>
          <w:rFonts w:ascii="Times New Roman" w:hAnsi="Times New Roman"/>
          <w:sz w:val="24"/>
          <w:szCs w:val="24"/>
          <w:shd w:val="clear" w:color="auto" w:fill="FFFFFF"/>
        </w:rPr>
        <w:t>. Northeastern University.</w:t>
      </w:r>
    </w:p>
    <w:p w14:paraId="05DBD4FF" w14:textId="4ACD7FE9" w:rsidR="00650AE9" w:rsidRPr="00EA731D" w:rsidRDefault="00650AE9" w:rsidP="00650AE9">
      <w:pPr>
        <w:spacing w:after="0" w:line="480" w:lineRule="auto"/>
        <w:ind w:left="720" w:hanging="720"/>
        <w:jc w:val="both"/>
        <w:rPr>
          <w:rFonts w:ascii="Times New Roman" w:hAnsi="Times New Roman"/>
          <w:sz w:val="24"/>
          <w:szCs w:val="24"/>
          <w:lang w:val="en-GB"/>
        </w:rPr>
      </w:pPr>
      <w:r w:rsidRPr="00EA731D">
        <w:rPr>
          <w:rFonts w:ascii="Times New Roman" w:hAnsi="Times New Roman"/>
          <w:sz w:val="24"/>
          <w:szCs w:val="24"/>
          <w:shd w:val="clear" w:color="auto" w:fill="FFFFFF"/>
        </w:rPr>
        <w:t>Zhu, X. (2023). Exploring the Advantages and Insights of e-Banking Development in Hong Kong. </w:t>
      </w:r>
      <w:r w:rsidRPr="00EA731D">
        <w:rPr>
          <w:rFonts w:ascii="Times New Roman" w:hAnsi="Times New Roman"/>
          <w:i/>
          <w:iCs/>
          <w:sz w:val="24"/>
          <w:szCs w:val="24"/>
          <w:shd w:val="clear" w:color="auto" w:fill="FFFFFF"/>
        </w:rPr>
        <w:t>Journal of Business and Management Studies</w:t>
      </w:r>
      <w:r w:rsidRPr="00EA731D">
        <w:rPr>
          <w:rFonts w:ascii="Times New Roman" w:hAnsi="Times New Roman"/>
          <w:sz w:val="24"/>
          <w:szCs w:val="24"/>
          <w:shd w:val="clear" w:color="auto" w:fill="FFFFFF"/>
        </w:rPr>
        <w:t>, </w:t>
      </w:r>
      <w:r w:rsidRPr="00EA731D">
        <w:rPr>
          <w:rFonts w:ascii="Times New Roman" w:hAnsi="Times New Roman"/>
          <w:i/>
          <w:iCs/>
          <w:sz w:val="24"/>
          <w:szCs w:val="24"/>
          <w:shd w:val="clear" w:color="auto" w:fill="FFFFFF"/>
        </w:rPr>
        <w:t>5</w:t>
      </w:r>
      <w:r w:rsidRPr="00EA731D">
        <w:rPr>
          <w:rFonts w:ascii="Times New Roman" w:hAnsi="Times New Roman"/>
          <w:sz w:val="24"/>
          <w:szCs w:val="24"/>
          <w:shd w:val="clear" w:color="auto" w:fill="FFFFFF"/>
        </w:rPr>
        <w:t>(2), 57-60.</w:t>
      </w:r>
    </w:p>
    <w:p w14:paraId="7D3532E0" w14:textId="77777777" w:rsidR="0089066C" w:rsidRPr="00EA731D" w:rsidRDefault="0089066C" w:rsidP="00650AE9">
      <w:pPr>
        <w:spacing w:after="0" w:line="480" w:lineRule="auto"/>
        <w:jc w:val="both"/>
        <w:rPr>
          <w:rFonts w:ascii="Times New Roman" w:hAnsi="Times New Roman"/>
          <w:sz w:val="24"/>
          <w:szCs w:val="24"/>
          <w:lang w:val="en-GB"/>
        </w:rPr>
      </w:pPr>
    </w:p>
    <w:p w14:paraId="722E16F8" w14:textId="77777777" w:rsidR="0089066C" w:rsidRPr="00EA731D" w:rsidRDefault="0089066C" w:rsidP="00650AE9">
      <w:pPr>
        <w:spacing w:after="0" w:line="480" w:lineRule="auto"/>
        <w:ind w:firstLine="720"/>
        <w:jc w:val="both"/>
        <w:rPr>
          <w:rFonts w:ascii="Times New Roman" w:hAnsi="Times New Roman"/>
          <w:sz w:val="24"/>
          <w:szCs w:val="24"/>
          <w:lang w:val="en-GB"/>
        </w:rPr>
      </w:pPr>
    </w:p>
    <w:sectPr w:rsidR="0089066C" w:rsidRPr="00EA731D" w:rsidSect="00A56EA9">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25828" w14:textId="77777777" w:rsidR="00326EB3" w:rsidRDefault="00326EB3" w:rsidP="007B62E1">
      <w:pPr>
        <w:spacing w:after="0" w:line="240" w:lineRule="auto"/>
      </w:pPr>
      <w:r>
        <w:separator/>
      </w:r>
    </w:p>
  </w:endnote>
  <w:endnote w:type="continuationSeparator" w:id="0">
    <w:p w14:paraId="27B60096" w14:textId="77777777" w:rsidR="00326EB3" w:rsidRDefault="00326EB3" w:rsidP="007B6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3CE0D" w14:textId="77777777" w:rsidR="00326EB3" w:rsidRDefault="00326EB3" w:rsidP="007B62E1">
      <w:pPr>
        <w:spacing w:after="0" w:line="240" w:lineRule="auto"/>
      </w:pPr>
      <w:r>
        <w:separator/>
      </w:r>
    </w:p>
  </w:footnote>
  <w:footnote w:type="continuationSeparator" w:id="0">
    <w:p w14:paraId="44111EC4" w14:textId="77777777" w:rsidR="00326EB3" w:rsidRDefault="00326EB3" w:rsidP="007B6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D5CF" w14:textId="3C27D8C1" w:rsidR="007B62E1" w:rsidRPr="00B12ABC" w:rsidRDefault="00355160" w:rsidP="00B12ABC">
    <w:pPr>
      <w:pStyle w:val="Header"/>
      <w:jc w:val="right"/>
      <w:rPr>
        <w:rFonts w:ascii="Times New Roman" w:hAnsi="Times New Roman"/>
        <w:sz w:val="24"/>
        <w:szCs w:val="24"/>
        <w:lang w:val="uk-UA"/>
      </w:rPr>
    </w:pPr>
    <w:r w:rsidRPr="00355160">
      <w:rPr>
        <w:rFonts w:ascii="Times New Roman" w:hAnsi="Times New Roman"/>
        <w:sz w:val="24"/>
        <w:szCs w:val="24"/>
      </w:rPr>
      <w:t>Role of Line Managers in Creating a Positive Environment at HSBC</w:t>
    </w:r>
    <w:r>
      <w:rPr>
        <w:rFonts w:ascii="Times New Roman" w:hAnsi="Times New Roman"/>
        <w:sz w:val="24"/>
        <w:szCs w:val="24"/>
      </w:rPr>
      <w:t xml:space="preserve">  </w:t>
    </w:r>
    <w:r w:rsidR="00B12ABC" w:rsidRPr="00B12ABC">
      <w:rPr>
        <w:rFonts w:ascii="Times New Roman" w:hAnsi="Times New Roman"/>
        <w:sz w:val="24"/>
        <w:szCs w:val="24"/>
        <w:lang w:val="uk-UA"/>
      </w:rPr>
      <w:t xml:space="preserve"> </w:t>
    </w:r>
    <w:r w:rsidR="00B12ABC" w:rsidRPr="00B12ABC">
      <w:rPr>
        <w:rFonts w:ascii="Times New Roman" w:hAnsi="Times New Roman"/>
        <w:sz w:val="24"/>
        <w:szCs w:val="24"/>
      </w:rPr>
      <w:fldChar w:fldCharType="begin"/>
    </w:r>
    <w:r w:rsidR="00B12ABC" w:rsidRPr="00B12ABC">
      <w:rPr>
        <w:rFonts w:ascii="Times New Roman" w:hAnsi="Times New Roman"/>
        <w:sz w:val="24"/>
        <w:szCs w:val="24"/>
      </w:rPr>
      <w:instrText xml:space="preserve"> PAGE   \* MERGEFORMAT </w:instrText>
    </w:r>
    <w:r w:rsidR="00B12ABC" w:rsidRPr="00B12ABC">
      <w:rPr>
        <w:rFonts w:ascii="Times New Roman" w:hAnsi="Times New Roman"/>
        <w:sz w:val="24"/>
        <w:szCs w:val="24"/>
      </w:rPr>
      <w:fldChar w:fldCharType="separate"/>
    </w:r>
    <w:r w:rsidR="003F6D51">
      <w:rPr>
        <w:rFonts w:ascii="Times New Roman" w:hAnsi="Times New Roman"/>
        <w:noProof/>
        <w:sz w:val="24"/>
        <w:szCs w:val="24"/>
      </w:rPr>
      <w:t>2</w:t>
    </w:r>
    <w:r w:rsidR="00B12ABC" w:rsidRPr="00B12ABC">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70FF4"/>
    <w:multiLevelType w:val="hybridMultilevel"/>
    <w:tmpl w:val="74508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987C36"/>
    <w:multiLevelType w:val="hybridMultilevel"/>
    <w:tmpl w:val="07A6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0682013">
    <w:abstractNumId w:val="0"/>
  </w:num>
  <w:num w:numId="2" w16cid:durableId="2034458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953"/>
    <w:rsid w:val="00024528"/>
    <w:rsid w:val="00034660"/>
    <w:rsid w:val="000354D4"/>
    <w:rsid w:val="00040257"/>
    <w:rsid w:val="000601B3"/>
    <w:rsid w:val="000914DC"/>
    <w:rsid w:val="000B0503"/>
    <w:rsid w:val="000B4666"/>
    <w:rsid w:val="000B65C7"/>
    <w:rsid w:val="000C0AE2"/>
    <w:rsid w:val="000C13E8"/>
    <w:rsid w:val="000D6050"/>
    <w:rsid w:val="000F7271"/>
    <w:rsid w:val="000F787F"/>
    <w:rsid w:val="00113E38"/>
    <w:rsid w:val="0013003E"/>
    <w:rsid w:val="00133D5F"/>
    <w:rsid w:val="0014142C"/>
    <w:rsid w:val="00156914"/>
    <w:rsid w:val="0016407A"/>
    <w:rsid w:val="0016694A"/>
    <w:rsid w:val="00184372"/>
    <w:rsid w:val="001944EA"/>
    <w:rsid w:val="00194715"/>
    <w:rsid w:val="001A1357"/>
    <w:rsid w:val="001B3FB8"/>
    <w:rsid w:val="001B73EF"/>
    <w:rsid w:val="001C2A5D"/>
    <w:rsid w:val="001C6F8B"/>
    <w:rsid w:val="001D7C4A"/>
    <w:rsid w:val="001E216B"/>
    <w:rsid w:val="001F2D01"/>
    <w:rsid w:val="00206D29"/>
    <w:rsid w:val="0020717A"/>
    <w:rsid w:val="002228CD"/>
    <w:rsid w:val="0023288A"/>
    <w:rsid w:val="00241458"/>
    <w:rsid w:val="00241E53"/>
    <w:rsid w:val="002468BE"/>
    <w:rsid w:val="00250C0C"/>
    <w:rsid w:val="0026233F"/>
    <w:rsid w:val="002658C4"/>
    <w:rsid w:val="00272E14"/>
    <w:rsid w:val="00280F29"/>
    <w:rsid w:val="00281269"/>
    <w:rsid w:val="002954D5"/>
    <w:rsid w:val="002B106F"/>
    <w:rsid w:val="002C688A"/>
    <w:rsid w:val="002C7AEC"/>
    <w:rsid w:val="00326EB3"/>
    <w:rsid w:val="00355160"/>
    <w:rsid w:val="003613E5"/>
    <w:rsid w:val="0039303B"/>
    <w:rsid w:val="003A5874"/>
    <w:rsid w:val="003F6D51"/>
    <w:rsid w:val="00403FA3"/>
    <w:rsid w:val="00421F88"/>
    <w:rsid w:val="00434899"/>
    <w:rsid w:val="00440D1B"/>
    <w:rsid w:val="00476EE3"/>
    <w:rsid w:val="00485373"/>
    <w:rsid w:val="004976E0"/>
    <w:rsid w:val="004E743F"/>
    <w:rsid w:val="00503514"/>
    <w:rsid w:val="00555E8A"/>
    <w:rsid w:val="00557BCA"/>
    <w:rsid w:val="0056598B"/>
    <w:rsid w:val="005875BF"/>
    <w:rsid w:val="005A0A8A"/>
    <w:rsid w:val="005A7443"/>
    <w:rsid w:val="005B1461"/>
    <w:rsid w:val="005B7480"/>
    <w:rsid w:val="005C264C"/>
    <w:rsid w:val="005C57F5"/>
    <w:rsid w:val="005E1750"/>
    <w:rsid w:val="00606290"/>
    <w:rsid w:val="00607D85"/>
    <w:rsid w:val="00617A02"/>
    <w:rsid w:val="00650AE9"/>
    <w:rsid w:val="00694B3E"/>
    <w:rsid w:val="006A3101"/>
    <w:rsid w:val="006B0526"/>
    <w:rsid w:val="006D409E"/>
    <w:rsid w:val="006E5053"/>
    <w:rsid w:val="006F14B7"/>
    <w:rsid w:val="00714A8F"/>
    <w:rsid w:val="00731C2B"/>
    <w:rsid w:val="00733640"/>
    <w:rsid w:val="00733C60"/>
    <w:rsid w:val="007617E5"/>
    <w:rsid w:val="00766850"/>
    <w:rsid w:val="0077341F"/>
    <w:rsid w:val="007A07E5"/>
    <w:rsid w:val="007B62E1"/>
    <w:rsid w:val="007C33A6"/>
    <w:rsid w:val="007E4734"/>
    <w:rsid w:val="007E6076"/>
    <w:rsid w:val="0080779E"/>
    <w:rsid w:val="00807807"/>
    <w:rsid w:val="0080798F"/>
    <w:rsid w:val="00810B0C"/>
    <w:rsid w:val="008434EA"/>
    <w:rsid w:val="00846280"/>
    <w:rsid w:val="008543A9"/>
    <w:rsid w:val="00862619"/>
    <w:rsid w:val="0086444B"/>
    <w:rsid w:val="008652D8"/>
    <w:rsid w:val="0087474A"/>
    <w:rsid w:val="00877494"/>
    <w:rsid w:val="0089066C"/>
    <w:rsid w:val="0089178B"/>
    <w:rsid w:val="00896414"/>
    <w:rsid w:val="008A6427"/>
    <w:rsid w:val="008A66D8"/>
    <w:rsid w:val="008B0953"/>
    <w:rsid w:val="008B0DCA"/>
    <w:rsid w:val="008C1661"/>
    <w:rsid w:val="008C548C"/>
    <w:rsid w:val="008D207F"/>
    <w:rsid w:val="008D3A93"/>
    <w:rsid w:val="008E48D9"/>
    <w:rsid w:val="008F56F5"/>
    <w:rsid w:val="00903B46"/>
    <w:rsid w:val="009160A1"/>
    <w:rsid w:val="00924572"/>
    <w:rsid w:val="009467CA"/>
    <w:rsid w:val="0097049F"/>
    <w:rsid w:val="00986E5F"/>
    <w:rsid w:val="00995BB9"/>
    <w:rsid w:val="009A137F"/>
    <w:rsid w:val="009B682F"/>
    <w:rsid w:val="009B7442"/>
    <w:rsid w:val="009E4296"/>
    <w:rsid w:val="00A0587B"/>
    <w:rsid w:val="00A14CAA"/>
    <w:rsid w:val="00A15B24"/>
    <w:rsid w:val="00A16DC9"/>
    <w:rsid w:val="00A21AB3"/>
    <w:rsid w:val="00A2502C"/>
    <w:rsid w:val="00A36175"/>
    <w:rsid w:val="00A3692A"/>
    <w:rsid w:val="00A3700D"/>
    <w:rsid w:val="00A56EA9"/>
    <w:rsid w:val="00A7680C"/>
    <w:rsid w:val="00A97E64"/>
    <w:rsid w:val="00AB5BF5"/>
    <w:rsid w:val="00AC3A81"/>
    <w:rsid w:val="00AE6D17"/>
    <w:rsid w:val="00B05D4C"/>
    <w:rsid w:val="00B12ABC"/>
    <w:rsid w:val="00B22ED4"/>
    <w:rsid w:val="00B320DC"/>
    <w:rsid w:val="00B840C8"/>
    <w:rsid w:val="00B9148F"/>
    <w:rsid w:val="00BD326C"/>
    <w:rsid w:val="00BE0E23"/>
    <w:rsid w:val="00BE1793"/>
    <w:rsid w:val="00BF51F9"/>
    <w:rsid w:val="00C05741"/>
    <w:rsid w:val="00C10C48"/>
    <w:rsid w:val="00C40838"/>
    <w:rsid w:val="00C52649"/>
    <w:rsid w:val="00C63EE2"/>
    <w:rsid w:val="00C7276F"/>
    <w:rsid w:val="00C74163"/>
    <w:rsid w:val="00C90FFB"/>
    <w:rsid w:val="00C915B1"/>
    <w:rsid w:val="00CA3949"/>
    <w:rsid w:val="00CB0878"/>
    <w:rsid w:val="00CC6A35"/>
    <w:rsid w:val="00CC7965"/>
    <w:rsid w:val="00CD26BE"/>
    <w:rsid w:val="00CD7778"/>
    <w:rsid w:val="00D03CDB"/>
    <w:rsid w:val="00D15FD0"/>
    <w:rsid w:val="00D25539"/>
    <w:rsid w:val="00D2593A"/>
    <w:rsid w:val="00D41B1B"/>
    <w:rsid w:val="00D73A1C"/>
    <w:rsid w:val="00D87795"/>
    <w:rsid w:val="00DA037B"/>
    <w:rsid w:val="00DA479C"/>
    <w:rsid w:val="00DB3700"/>
    <w:rsid w:val="00DC3C79"/>
    <w:rsid w:val="00DF16AD"/>
    <w:rsid w:val="00DF2BF8"/>
    <w:rsid w:val="00E03FA8"/>
    <w:rsid w:val="00E06DC4"/>
    <w:rsid w:val="00E14A38"/>
    <w:rsid w:val="00E15C34"/>
    <w:rsid w:val="00E21959"/>
    <w:rsid w:val="00E93607"/>
    <w:rsid w:val="00E95256"/>
    <w:rsid w:val="00E972B1"/>
    <w:rsid w:val="00EA1D6A"/>
    <w:rsid w:val="00EA3EC0"/>
    <w:rsid w:val="00EA731D"/>
    <w:rsid w:val="00EA7375"/>
    <w:rsid w:val="00EB4FE6"/>
    <w:rsid w:val="00EC277F"/>
    <w:rsid w:val="00EC700D"/>
    <w:rsid w:val="00ED59A7"/>
    <w:rsid w:val="00EE7D1D"/>
    <w:rsid w:val="00EF5A00"/>
    <w:rsid w:val="00F04D22"/>
    <w:rsid w:val="00F07082"/>
    <w:rsid w:val="00F21CBA"/>
    <w:rsid w:val="00F273AA"/>
    <w:rsid w:val="00F369A0"/>
    <w:rsid w:val="00F4170E"/>
    <w:rsid w:val="00F43CF0"/>
    <w:rsid w:val="00F47C62"/>
    <w:rsid w:val="00F50D5B"/>
    <w:rsid w:val="00F53F4B"/>
    <w:rsid w:val="00F61239"/>
    <w:rsid w:val="00FA2839"/>
    <w:rsid w:val="00FA3535"/>
    <w:rsid w:val="00FB2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D486"/>
  <w15:chartTrackingRefBased/>
  <w15:docId w15:val="{5078BBE1-460D-4391-9DFF-C86C0EF1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00D"/>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20717A"/>
    <w:pPr>
      <w:keepNext/>
      <w:keepLines/>
      <w:spacing w:before="240" w:after="0" w:line="24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20717A"/>
    <w:pPr>
      <w:keepNext/>
      <w:keepLines/>
      <w:spacing w:before="40" w:after="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986E5F"/>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4D22"/>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840C8"/>
    <w:rPr>
      <w:color w:val="0000FF"/>
      <w:u w:val="single"/>
    </w:rPr>
  </w:style>
  <w:style w:type="character" w:customStyle="1" w:styleId="citation">
    <w:name w:val="citation"/>
    <w:basedOn w:val="DefaultParagraphFont"/>
    <w:rsid w:val="00F43CF0"/>
  </w:style>
  <w:style w:type="paragraph" w:styleId="Header">
    <w:name w:val="header"/>
    <w:basedOn w:val="Normal"/>
    <w:link w:val="HeaderChar"/>
    <w:uiPriority w:val="99"/>
    <w:unhideWhenUsed/>
    <w:rsid w:val="007B62E1"/>
    <w:pPr>
      <w:tabs>
        <w:tab w:val="center" w:pos="4680"/>
        <w:tab w:val="right" w:pos="9360"/>
      </w:tabs>
    </w:pPr>
  </w:style>
  <w:style w:type="character" w:customStyle="1" w:styleId="HeaderChar">
    <w:name w:val="Header Char"/>
    <w:basedOn w:val="DefaultParagraphFont"/>
    <w:link w:val="Header"/>
    <w:uiPriority w:val="99"/>
    <w:rsid w:val="007B62E1"/>
    <w:rPr>
      <w:sz w:val="22"/>
      <w:szCs w:val="22"/>
    </w:rPr>
  </w:style>
  <w:style w:type="paragraph" w:styleId="Footer">
    <w:name w:val="footer"/>
    <w:basedOn w:val="Normal"/>
    <w:link w:val="FooterChar"/>
    <w:uiPriority w:val="99"/>
    <w:unhideWhenUsed/>
    <w:rsid w:val="007B62E1"/>
    <w:pPr>
      <w:tabs>
        <w:tab w:val="center" w:pos="4680"/>
        <w:tab w:val="right" w:pos="9360"/>
      </w:tabs>
    </w:pPr>
  </w:style>
  <w:style w:type="character" w:customStyle="1" w:styleId="FooterChar">
    <w:name w:val="Footer Char"/>
    <w:basedOn w:val="DefaultParagraphFont"/>
    <w:link w:val="Footer"/>
    <w:uiPriority w:val="99"/>
    <w:rsid w:val="007B62E1"/>
    <w:rPr>
      <w:sz w:val="22"/>
      <w:szCs w:val="22"/>
    </w:rPr>
  </w:style>
  <w:style w:type="paragraph" w:styleId="BalloonText">
    <w:name w:val="Balloon Text"/>
    <w:basedOn w:val="Normal"/>
    <w:link w:val="BalloonTextChar"/>
    <w:uiPriority w:val="99"/>
    <w:semiHidden/>
    <w:unhideWhenUsed/>
    <w:rsid w:val="00393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03B"/>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20717A"/>
    <w:rPr>
      <w:rFonts w:ascii="Times New Roman" w:eastAsiaTheme="majorEastAsia" w:hAnsi="Times New Roman" w:cstheme="majorBidi"/>
      <w:b/>
      <w:sz w:val="24"/>
      <w:szCs w:val="32"/>
      <w:lang w:val="en-US" w:eastAsia="en-US"/>
    </w:rPr>
  </w:style>
  <w:style w:type="character" w:customStyle="1" w:styleId="Heading2Char">
    <w:name w:val="Heading 2 Char"/>
    <w:basedOn w:val="DefaultParagraphFont"/>
    <w:link w:val="Heading2"/>
    <w:uiPriority w:val="9"/>
    <w:rsid w:val="0020717A"/>
    <w:rPr>
      <w:rFonts w:ascii="Times New Roman" w:eastAsiaTheme="majorEastAsia" w:hAnsi="Times New Roman" w:cstheme="majorBidi"/>
      <w:b/>
      <w:sz w:val="24"/>
      <w:szCs w:val="26"/>
      <w:lang w:val="en-US" w:eastAsia="en-US"/>
    </w:rPr>
  </w:style>
  <w:style w:type="character" w:customStyle="1" w:styleId="Heading3Char">
    <w:name w:val="Heading 3 Char"/>
    <w:basedOn w:val="DefaultParagraphFont"/>
    <w:link w:val="Heading3"/>
    <w:uiPriority w:val="9"/>
    <w:semiHidden/>
    <w:rsid w:val="00986E5F"/>
    <w:rPr>
      <w:rFonts w:asciiTheme="majorHAnsi" w:eastAsiaTheme="majorEastAsia" w:hAnsiTheme="majorHAnsi" w:cstheme="majorBidi"/>
      <w:color w:val="1F3763" w:themeColor="accent1" w:themeShade="7F"/>
      <w:sz w:val="24"/>
      <w:szCs w:val="24"/>
      <w:lang w:val="en-US" w:eastAsia="en-US"/>
    </w:rPr>
  </w:style>
  <w:style w:type="paragraph" w:styleId="NormalWeb">
    <w:name w:val="Normal (Web)"/>
    <w:basedOn w:val="Normal"/>
    <w:uiPriority w:val="99"/>
    <w:semiHidden/>
    <w:unhideWhenUsed/>
    <w:rsid w:val="00986E5F"/>
    <w:pPr>
      <w:spacing w:before="100" w:beforeAutospacing="1" w:after="100" w:afterAutospacing="1" w:line="240" w:lineRule="auto"/>
    </w:pPr>
    <w:rPr>
      <w:rFonts w:ascii="Times New Roman" w:eastAsiaTheme="minorEastAsia" w:hAnsi="Times New Roman"/>
      <w:sz w:val="24"/>
      <w:szCs w:val="24"/>
    </w:rPr>
  </w:style>
  <w:style w:type="paragraph" w:styleId="Caption">
    <w:name w:val="caption"/>
    <w:basedOn w:val="Normal"/>
    <w:next w:val="Normal"/>
    <w:uiPriority w:val="35"/>
    <w:semiHidden/>
    <w:unhideWhenUsed/>
    <w:qFormat/>
    <w:rsid w:val="00986E5F"/>
    <w:pPr>
      <w:spacing w:line="240" w:lineRule="auto"/>
    </w:pPr>
    <w:rPr>
      <w:rFonts w:asciiTheme="minorHAnsi" w:eastAsiaTheme="minorHAnsi" w:hAnsiTheme="minorHAnsi" w:cstheme="minorBidi"/>
      <w:i/>
      <w:iCs/>
      <w:color w:val="44546A" w:themeColor="text2"/>
      <w:sz w:val="18"/>
      <w:szCs w:val="18"/>
    </w:rPr>
  </w:style>
  <w:style w:type="character" w:styleId="Emphasis">
    <w:name w:val="Emphasis"/>
    <w:basedOn w:val="DefaultParagraphFont"/>
    <w:uiPriority w:val="20"/>
    <w:qFormat/>
    <w:rsid w:val="00986E5F"/>
    <w:rPr>
      <w:i/>
      <w:iCs/>
    </w:rPr>
  </w:style>
  <w:style w:type="paragraph" w:styleId="TOCHeading">
    <w:name w:val="TOC Heading"/>
    <w:basedOn w:val="Heading1"/>
    <w:next w:val="Normal"/>
    <w:uiPriority w:val="39"/>
    <w:unhideWhenUsed/>
    <w:qFormat/>
    <w:rsid w:val="00607D8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07D85"/>
    <w:pPr>
      <w:spacing w:after="100"/>
    </w:pPr>
  </w:style>
  <w:style w:type="paragraph" w:styleId="TOC2">
    <w:name w:val="toc 2"/>
    <w:basedOn w:val="Normal"/>
    <w:next w:val="Normal"/>
    <w:autoRedefine/>
    <w:uiPriority w:val="39"/>
    <w:unhideWhenUsed/>
    <w:rsid w:val="00607D85"/>
    <w:pPr>
      <w:spacing w:after="100"/>
      <w:ind w:left="220"/>
    </w:pPr>
  </w:style>
  <w:style w:type="paragraph" w:styleId="NoSpacing">
    <w:name w:val="No Spacing"/>
    <w:link w:val="NoSpacingChar"/>
    <w:uiPriority w:val="1"/>
    <w:qFormat/>
    <w:rsid w:val="00A56EA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56EA9"/>
    <w:rPr>
      <w:rFonts w:asciiTheme="minorHAnsi" w:eastAsiaTheme="minorEastAsia" w:hAnsiTheme="minorHAnsi" w:cstheme="minorBidi"/>
      <w:sz w:val="22"/>
      <w:szCs w:val="22"/>
      <w:lang w:val="en-US" w:eastAsia="en-US"/>
    </w:rPr>
  </w:style>
  <w:style w:type="paragraph" w:styleId="ListParagraph">
    <w:name w:val="List Paragraph"/>
    <w:basedOn w:val="Normal"/>
    <w:uiPriority w:val="34"/>
    <w:qFormat/>
    <w:rsid w:val="001A1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Institution: Trinity Saint David Programme: BA Business Management        Module: International Financial Management (LCBB6002)Professor’s Name: Zainab AttaStudent Name: Darinka Corman (2029004)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CA7305-94B6-4444-9CFF-F81DE6D8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Pages>
  <Words>3421</Words>
  <Characters>19505</Characters>
  <Application>Microsoft Office Word</Application>
  <DocSecurity>0</DocSecurity>
  <Lines>162</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Role of Line Managers in Creating a Positive Environment at HSBC</vt:lpstr>
      <vt:lpstr/>
    </vt:vector>
  </TitlesOfParts>
  <Company>Krokoz™</Company>
  <LinksUpToDate>false</LinksUpToDate>
  <CharactersWithSpaces>22881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Line Managers in Creating a Positive Environment at HSBC</dc:title>
  <dc:subject/>
  <dc:creator/>
  <cp:keywords/>
  <cp:lastModifiedBy>Darinka Corman</cp:lastModifiedBy>
  <cp:revision>5</cp:revision>
  <dcterms:created xsi:type="dcterms:W3CDTF">2023-08-24T15:30:00Z</dcterms:created>
  <dcterms:modified xsi:type="dcterms:W3CDTF">2023-08-26T08:52:00Z</dcterms:modified>
</cp:coreProperties>
</file>