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Default Extension="gif" ContentType="image/gif"/>
  <Override PartName="/word/settings.xml" ContentType="application/vnd.openxmlformats-officedocument.wordprocessingml.setting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ackground w:color="FFFFFF"/>
  <w:body>
    <w:p>
      <w:pPr>
        <w:spacing w:line="360" w:lineRule="auto"/>
        <w:jc w:val="both"/>
        <w:rPr>
          <w:color w:val="000000"/>
          <w:sz w:val="24"/>
          <w:szCs w:val="24"/>
          <w:lang w:val="en-GB"/>
        </w:rPr>
      </w:pPr>
    </w:p>
    <w:p>
      <w:pPr>
        <w:spacing w:line="360" w:lineRule="auto"/>
        <w:jc w:val="both"/>
        <w:rPr>
          <w:color w:val="000000"/>
          <w:sz w:val="24"/>
          <w:szCs w:val="24"/>
          <w:lang w:val="en-GB"/>
        </w:rPr>
      </w:pPr>
    </w:p>
    <w:p>
      <w:pPr>
        <w:spacing w:line="360" w:lineRule="auto"/>
        <w:jc w:val="center"/>
        <w:rPr>
          <w:color w:val="000000"/>
          <w:sz w:val="32"/>
          <w:szCs w:val="32"/>
          <w:lang w:val="en-GB"/>
        </w:rPr>
      </w:pPr>
    </w:p>
    <w:p>
      <w:pPr>
        <w:spacing w:line="360" w:lineRule="auto"/>
        <w:jc w:val="center"/>
        <w:rPr>
          <w:b/>
          <w:color w:val="000000"/>
          <w:sz w:val="32"/>
          <w:szCs w:val="32"/>
          <w:lang w:val="en-GB"/>
        </w:rPr>
      </w:pPr>
      <w:r>
        <w:rPr>
          <w:b/>
          <w:color w:val="000000"/>
          <w:sz w:val="32"/>
          <w:szCs w:val="32"/>
          <w:lang w:val="en-GB"/>
        </w:rPr>
        <w:t>Component 1</w:t>
      </w:r>
    </w:p>
    <w:p>
      <w:pPr>
        <w:spacing w:line="360" w:lineRule="auto"/>
        <w:jc w:val="center"/>
        <w:rPr>
          <w:b/>
          <w:color w:val="000000"/>
          <w:sz w:val="32"/>
          <w:szCs w:val="32"/>
          <w:lang w:val="en-GB"/>
        </w:rPr>
      </w:pPr>
      <w:r>
        <w:rPr>
          <w:b/>
          <w:color w:val="000000"/>
          <w:sz w:val="32"/>
          <w:szCs w:val="32"/>
          <w:lang w:val="en-GB"/>
        </w:rPr>
        <w:t>Information Booklet of Longterm Condition Management</w:t>
      </w:r>
    </w:p>
    <w:p>
      <w:pPr>
        <w:spacing w:line="360" w:lineRule="auto"/>
        <w:jc w:val="center"/>
        <w:rPr>
          <w:color w:val="000000"/>
          <w:sz w:val="32"/>
          <w:szCs w:val="32"/>
          <w:lang w:val="en-GB"/>
        </w:rPr>
      </w:pPr>
    </w:p>
    <w:p>
      <w:pPr>
        <w:spacing w:line="360" w:lineRule="auto"/>
        <w:jc w:val="center"/>
        <w:rPr>
          <w:color w:val="000000"/>
          <w:sz w:val="32"/>
          <w:szCs w:val="32"/>
          <w:lang w:val="en-GB"/>
        </w:rPr>
      </w:pPr>
      <w:r>
        <w:rPr>
          <w:b/>
          <w:color w:val="000000"/>
          <w:sz w:val="32"/>
          <w:szCs w:val="32"/>
          <w:lang w:val="en-GB"/>
        </w:rPr>
        <w:t>Module:</w:t>
      </w:r>
      <w:r>
        <w:rPr>
          <w:color w:val="000000"/>
          <w:sz w:val="32"/>
          <w:szCs w:val="32"/>
          <w:lang w:val="en-GB"/>
        </w:rPr>
        <w:t xml:space="preserve"> Community Care and Management of Longer-term Conditions</w:t>
      </w:r>
    </w:p>
    <w:p>
      <w:pPr>
        <w:spacing w:line="360" w:lineRule="auto"/>
        <w:jc w:val="center"/>
        <w:rPr>
          <w:color w:val="000000"/>
          <w:sz w:val="32"/>
          <w:szCs w:val="32"/>
          <w:lang w:val="en-GB"/>
        </w:rPr>
      </w:pPr>
      <w:r>
        <w:rPr>
          <w:color w:val="000000"/>
          <w:sz w:val="32"/>
          <w:szCs w:val="32"/>
          <w:lang w:val="en-GB"/>
        </w:rPr>
        <w:t>Module Code: LCHS7003</w:t>
      </w:r>
    </w:p>
    <w:p>
      <w:pPr>
        <w:spacing w:line="360" w:lineRule="auto"/>
        <w:jc w:val="center"/>
        <w:rPr>
          <w:color w:val="000000"/>
          <w:sz w:val="32"/>
          <w:szCs w:val="32"/>
          <w:lang w:val="en-GB"/>
        </w:rPr>
      </w:pPr>
      <w:r>
        <w:rPr>
          <w:b/>
          <w:color w:val="000000"/>
          <w:sz w:val="32"/>
          <w:szCs w:val="32"/>
          <w:lang w:val="en-GB"/>
        </w:rPr>
        <w:t>Programme:</w:t>
      </w:r>
      <w:r>
        <w:rPr>
          <w:color w:val="000000"/>
          <w:sz w:val="32"/>
          <w:szCs w:val="32"/>
          <w:lang w:val="en-GB"/>
        </w:rPr>
        <w:t xml:space="preserve"> MSc Public Health and Social Care in Practice</w:t>
      </w:r>
    </w:p>
    <w:p>
      <w:pPr>
        <w:spacing w:line="360" w:lineRule="auto"/>
        <w:jc w:val="center"/>
        <w:rPr>
          <w:color w:val="000000"/>
          <w:sz w:val="32"/>
          <w:szCs w:val="32"/>
          <w:lang w:val="en-GB"/>
        </w:rPr>
      </w:pPr>
    </w:p>
    <w:p>
      <w:pPr>
        <w:spacing w:line="360" w:lineRule="auto"/>
        <w:jc w:val="both"/>
        <w:rPr>
          <w:color w:val="000000"/>
          <w:sz w:val="32"/>
          <w:szCs w:val="32"/>
          <w:lang w:val="en-GB"/>
        </w:rPr>
      </w:pPr>
      <w:r>
        <w:rPr>
          <w:color w:val="000000"/>
          <w:sz w:val="32"/>
          <w:szCs w:val="32"/>
          <w:lang w:val="en-GB"/>
        </w:rPr>
        <w:t xml:space="preserve">                              </w:t>
      </w:r>
      <w:r>
        <w:rPr>
          <w:b/>
          <w:bCs/>
          <w:color w:val="000000"/>
          <w:sz w:val="36"/>
          <w:szCs w:val="36"/>
          <w:lang w:val="en-GB"/>
        </w:rPr>
        <w:t xml:space="preserve">       Student Name</w:t>
      </w:r>
      <w:r>
        <w:rPr>
          <w:color w:val="000000"/>
          <w:sz w:val="32"/>
          <w:szCs w:val="32"/>
          <w:lang w:val="en-GB"/>
        </w:rPr>
        <w:t xml:space="preserve">: </w:t>
      </w:r>
      <w:r>
        <w:rPr>
          <w:color w:val="000000"/>
          <w:sz w:val="36"/>
          <w:szCs w:val="36"/>
          <w:lang w:val="en-GB"/>
        </w:rPr>
        <w:t>Vidhi Patel</w:t>
      </w:r>
      <w:r>
        <w:rPr>
          <w:color w:val="000000"/>
          <w:sz w:val="32"/>
          <w:szCs w:val="32"/>
          <w:lang w:val="en-GB"/>
        </w:rPr>
        <w:t xml:space="preserve"> </w:t>
      </w:r>
    </w:p>
    <w:p>
      <w:pPr>
        <w:spacing w:line="360" w:lineRule="auto"/>
        <w:jc w:val="center"/>
        <w:rPr>
          <w:color w:val="000000"/>
          <w:sz w:val="32"/>
          <w:szCs w:val="32"/>
          <w:lang w:val="en-GB"/>
        </w:rPr>
      </w:pPr>
      <w:r>
        <w:rPr>
          <w:b/>
          <w:bCs/>
          <w:color w:val="000000"/>
          <w:sz w:val="40"/>
          <w:szCs w:val="40"/>
          <w:lang w:val="en-GB"/>
        </w:rPr>
        <w:t>Student ID</w:t>
      </w:r>
      <w:r>
        <w:rPr>
          <w:color w:val="000000"/>
          <w:sz w:val="32"/>
          <w:szCs w:val="32"/>
          <w:lang w:val="en-GB"/>
        </w:rPr>
        <w:t>:</w:t>
      </w:r>
      <w:r>
        <w:rPr>
          <w:color w:val="000000"/>
          <w:sz w:val="36"/>
          <w:szCs w:val="36"/>
          <w:lang w:val="en-GB"/>
        </w:rPr>
        <w:t>2523554</w:t>
      </w:r>
    </w:p>
    <w:p>
      <w:pPr>
        <w:spacing w:line="360" w:lineRule="auto"/>
        <w:jc w:val="both"/>
        <w:rPr>
          <w:color w:val="000000"/>
          <w:sz w:val="40"/>
          <w:szCs w:val="40"/>
          <w:lang w:val="en-GB"/>
        </w:rPr>
      </w:pPr>
      <w:r>
        <w:rPr>
          <w:color w:val="000000"/>
          <w:sz w:val="32"/>
          <w:szCs w:val="32"/>
          <w:lang w:val="en-GB"/>
        </w:rPr>
        <w:t xml:space="preserve">                       </w:t>
      </w:r>
      <w:r>
        <w:rPr>
          <w:b/>
          <w:bCs/>
          <w:color w:val="000000"/>
          <w:sz w:val="40"/>
          <w:szCs w:val="40"/>
          <w:lang w:val="en-GB"/>
        </w:rPr>
        <w:t xml:space="preserve">   Lecturer Name</w:t>
      </w:r>
      <w:r>
        <w:rPr>
          <w:color w:val="000000"/>
          <w:sz w:val="32"/>
          <w:szCs w:val="32"/>
          <w:lang w:val="en-GB"/>
        </w:rPr>
        <w:t xml:space="preserve">: </w:t>
      </w:r>
      <w:r>
        <w:rPr>
          <w:color w:val="000000"/>
          <w:sz w:val="40"/>
          <w:szCs w:val="40"/>
          <w:lang w:val="en-GB"/>
        </w:rPr>
        <w:t xml:space="preserve">Muhammad Khan </w:t>
      </w:r>
    </w:p>
    <w:p>
      <w:pPr>
        <w:spacing w:line="360" w:lineRule="auto"/>
        <w:jc w:val="center"/>
        <w:rPr>
          <w:color w:val="000000"/>
          <w:sz w:val="32"/>
          <w:szCs w:val="32"/>
          <w:lang w:val="en-GB"/>
        </w:rPr>
      </w:pPr>
      <w:bookmarkStart w:id="0" w:name="_GoBack"/>
      <w:bookmarkEnd w:id="0"/>
    </w:p>
    <w:p>
      <w:pPr>
        <w:rPr>
          <w:color w:val="000000"/>
          <w:sz w:val="32"/>
          <w:szCs w:val="32"/>
          <w:lang w:val="en-GB"/>
        </w:rPr>
      </w:pPr>
      <w:r>
        <w:rPr>
          <w:color w:val="000000"/>
          <w:sz w:val="32"/>
          <w:szCs w:val="32"/>
          <w:lang w:val="en-GB"/>
        </w:rPr>
        <w:br w:type="page"/>
      </w:r>
    </w:p>
    <w:p>
      <w:pPr>
        <w:spacing w:line="360" w:lineRule="auto"/>
        <w:jc w:val="center"/>
        <w:rPr>
          <w:b/>
          <w:color w:val="000000"/>
          <w:sz w:val="24"/>
          <w:szCs w:val="24"/>
          <w:lang w:val="en-GB"/>
        </w:rPr>
      </w:pPr>
      <w:r>
        <w:rPr>
          <w:b/>
          <w:color w:val="000000"/>
          <w:sz w:val="24"/>
          <w:szCs w:val="24"/>
          <w:lang w:val="en-GB"/>
        </w:rPr>
        <w:t>Table of content</w:t>
      </w:r>
    </w:p>
    <w:p>
      <w:pPr>
        <w:pStyle w:val="21"/>
        <w:spacing w:line="360" w:lineRule="auto"/>
        <w:jc w:val="both"/>
        <w:rPr>
          <w:color w:val="000000"/>
          <w:sz w:val="24"/>
          <w:szCs w:val="24"/>
        </w:rPr>
      </w:pPr>
    </w:p>
    <w:p>
      <w:pPr>
        <w:pStyle w:val="22"/>
        <w:tabs>
          <w:tab w:val="right" w:leader="dot" w:pos="9350"/>
        </w:tabs>
        <w:spacing w:line="360" w:lineRule="auto"/>
        <w:jc w:val="both"/>
        <w:rPr>
          <w:rFonts w:ascii="Cambria" w:eastAsia="宋体" w:cs="Arial" w:hAnsi="Cambria"/>
          <w:color w:val="000000"/>
          <w:sz w:val="24"/>
          <w:szCs w:val="24"/>
        </w:rPr>
      </w:pPr>
      <w:r>
        <w:rPr>
          <w:color w:val="000000"/>
          <w:sz w:val="24"/>
          <w:szCs w:val="24"/>
        </w:rPr>
        <w:fldChar w:fldCharType="begin"/>
      </w:r>
      <w:r>
        <w:rPr>
          <w:color w:val="000000"/>
          <w:sz w:val="24"/>
          <w:szCs w:val="24"/>
        </w:rPr>
        <w:instrText xml:space="preserve"> TOC \o "1-3" \h \z \u </w:instrText>
      </w:r>
      <w:r>
        <w:rPr>
          <w:color w:val="000000"/>
          <w:sz w:val="24"/>
          <w:szCs w:val="24"/>
        </w:rPr>
        <w:fldChar w:fldCharType="separate"/>
      </w:r>
      <w:r>
        <w:fldChar w:fldCharType="begin"/>
      </w:r>
      <w:r>
        <w:instrText>Hyperlink \l "_Toc224496007"</w:instrText>
      </w:r>
      <w:r>
        <w:fldChar w:fldCharType="separate"/>
      </w:r>
      <w:r>
        <w:rPr>
          <w:color w:val="000000"/>
          <w:sz w:val="24"/>
          <w:szCs w:val="24"/>
          <w:lang w:val="en-GB"/>
        </w:rPr>
        <w:t>Introduction</w:t>
      </w:r>
      <w:r>
        <w:rPr>
          <w:color w:val="000000"/>
          <w:sz w:val="24"/>
          <w:szCs w:val="24"/>
        </w:rPr>
        <w:tab/>
      </w:r>
      <w:r>
        <w:rPr>
          <w:color w:val="000000"/>
          <w:sz w:val="24"/>
          <w:szCs w:val="24"/>
        </w:rPr>
        <w:fldChar w:fldCharType="begin"/>
      </w:r>
      <w:r>
        <w:rPr>
          <w:color w:val="000000"/>
          <w:sz w:val="24"/>
          <w:szCs w:val="24"/>
        </w:rPr>
        <w:instrText xml:space="preserve"> PAGEREF _Toc224496007 \h </w:instrText>
      </w:r>
      <w:r>
        <w:rPr>
          <w:color w:val="000000"/>
          <w:sz w:val="24"/>
          <w:szCs w:val="24"/>
        </w:rPr>
        <w:fldChar w:fldCharType="separate"/>
      </w:r>
      <w:r>
        <w:rPr>
          <w:color w:val="000000"/>
          <w:sz w:val="24"/>
          <w:szCs w:val="24"/>
        </w:rPr>
        <w:t>1</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"_Toc224496008"</w:instrText>
      </w:r>
      <w:r>
        <w:fldChar w:fldCharType="separate"/>
      </w:r>
      <w:r>
        <w:rPr>
          <w:color w:val="000000"/>
          <w:sz w:val="24"/>
          <w:szCs w:val="24"/>
          <w:lang w:val="en-GB"/>
        </w:rPr>
        <w:t>Definition</w:t>
      </w:r>
      <w:r>
        <w:rPr>
          <w:color w:val="000000"/>
          <w:sz w:val="24"/>
          <w:szCs w:val="24"/>
        </w:rPr>
        <w:tab/>
      </w:r>
      <w:r>
        <w:rPr>
          <w:color w:val="000000"/>
          <w:sz w:val="24"/>
          <w:szCs w:val="24"/>
        </w:rPr>
        <w:fldChar w:fldCharType="begin"/>
      </w:r>
      <w:r>
        <w:rPr>
          <w:color w:val="000000"/>
          <w:sz w:val="24"/>
          <w:szCs w:val="24"/>
        </w:rPr>
        <w:instrText xml:space="preserve"> PAGEREF _Toc224496008 \h </w:instrText>
      </w:r>
      <w:r>
        <w:rPr>
          <w:color w:val="000000"/>
          <w:sz w:val="24"/>
          <w:szCs w:val="24"/>
        </w:rPr>
        <w:fldChar w:fldCharType="separate"/>
      </w:r>
      <w:r>
        <w:rPr>
          <w:color w:val="000000"/>
          <w:sz w:val="24"/>
          <w:szCs w:val="24"/>
        </w:rPr>
        <w:t>1</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"_Toc224496009"</w:instrText>
      </w:r>
      <w:r>
        <w:fldChar w:fldCharType="separate"/>
      </w:r>
      <w:r>
        <w:rPr>
          <w:color w:val="000000"/>
          <w:sz w:val="24"/>
          <w:szCs w:val="24"/>
          <w:lang w:val="en-GB"/>
        </w:rPr>
        <w:t>Burden/prevalence</w:t>
      </w:r>
      <w:r>
        <w:rPr>
          <w:color w:val="000000"/>
          <w:sz w:val="24"/>
          <w:szCs w:val="24"/>
        </w:rPr>
        <w:tab/>
      </w:r>
      <w:r>
        <w:rPr>
          <w:color w:val="000000"/>
          <w:sz w:val="24"/>
          <w:szCs w:val="24"/>
        </w:rPr>
        <w:fldChar w:fldCharType="begin"/>
      </w:r>
      <w:r>
        <w:rPr>
          <w:color w:val="000000"/>
          <w:sz w:val="24"/>
          <w:szCs w:val="24"/>
        </w:rPr>
        <w:instrText xml:space="preserve"> PAGEREF _Toc224496009 \h </w:instrText>
      </w:r>
      <w:r>
        <w:rPr>
          <w:color w:val="000000"/>
          <w:sz w:val="24"/>
          <w:szCs w:val="24"/>
        </w:rPr>
        <w:fldChar w:fldCharType="separate"/>
      </w:r>
      <w:r>
        <w:rPr>
          <w:color w:val="000000"/>
          <w:sz w:val="24"/>
          <w:szCs w:val="24"/>
        </w:rPr>
        <w:t>1</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"_Toc224496010"</w:instrText>
      </w:r>
      <w:r>
        <w:fldChar w:fldCharType="separate"/>
      </w:r>
      <w:r>
        <w:rPr>
          <w:color w:val="000000"/>
          <w:sz w:val="24"/>
          <w:szCs w:val="24"/>
          <w:lang w:val="en-GB"/>
        </w:rPr>
        <w:t xml:space="preserve">Risk </w:t>
      </w:r>
      <w:r>
        <w:rPr>
          <w:color w:val="000000"/>
          <w:sz w:val="24"/>
          <w:szCs w:val="24"/>
        </w:rPr>
        <w:t>factors</w:t>
        <w:tab/>
      </w:r>
      <w:r>
        <w:rPr>
          <w:color w:val="000000"/>
          <w:sz w:val="24"/>
          <w:szCs w:val="24"/>
        </w:rPr>
        <w:fldChar w:fldCharType="begin"/>
      </w:r>
      <w:r>
        <w:rPr>
          <w:color w:val="000000"/>
          <w:sz w:val="24"/>
          <w:szCs w:val="24"/>
        </w:rPr>
        <w:instrText xml:space="preserve"> PAGEREF _Toc224496010 \h </w:instrText>
      </w:r>
      <w:r>
        <w:rPr>
          <w:color w:val="000000"/>
          <w:sz w:val="24"/>
          <w:szCs w:val="24"/>
        </w:rPr>
        <w:fldChar w:fldCharType="separate"/>
      </w:r>
      <w:r>
        <w:rPr>
          <w:color w:val="000000"/>
          <w:sz w:val="24"/>
          <w:szCs w:val="24"/>
        </w:rPr>
        <w:t>3</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"_Toc224496011"</w:instrText>
      </w:r>
      <w:r>
        <w:fldChar w:fldCharType="separate"/>
      </w:r>
      <w:r>
        <w:rPr>
          <w:color w:val="000000"/>
          <w:sz w:val="24"/>
          <w:szCs w:val="24"/>
          <w:lang w:val="en-GB"/>
        </w:rPr>
        <w:t>Aim</w:t>
      </w:r>
      <w:r>
        <w:rPr>
          <w:color w:val="000000"/>
          <w:sz w:val="24"/>
          <w:szCs w:val="24"/>
        </w:rPr>
        <w:tab/>
      </w:r>
      <w:r>
        <w:rPr>
          <w:color w:val="000000"/>
          <w:sz w:val="24"/>
          <w:szCs w:val="24"/>
        </w:rPr>
        <w:fldChar w:fldCharType="begin"/>
      </w:r>
      <w:r>
        <w:rPr>
          <w:color w:val="000000"/>
          <w:sz w:val="24"/>
          <w:szCs w:val="24"/>
        </w:rPr>
        <w:instrText xml:space="preserve"> PAGEREF _Toc224496011 \h </w:instrText>
      </w:r>
      <w:r>
        <w:rPr>
          <w:color w:val="000000"/>
          <w:sz w:val="24"/>
          <w:szCs w:val="24"/>
        </w:rPr>
        <w:fldChar w:fldCharType="separate"/>
      </w:r>
      <w:r>
        <w:rPr>
          <w:color w:val="000000"/>
          <w:sz w:val="24"/>
          <w:szCs w:val="24"/>
        </w:rPr>
        <w:t>3</w:t>
      </w:r>
      <w:r>
        <w:rPr>
          <w:color w:val="000000"/>
          <w:sz w:val="24"/>
          <w:szCs w:val="24"/>
        </w:rPr>
        <w:fldChar w:fldCharType="end"/>
      </w:r>
      <w:r>
        <w:fldChar w:fldCharType="end"/>
      </w:r>
    </w:p>
    <w:p>
      <w:pPr>
        <w:pStyle w:val="22"/>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"_Toc224496012"</w:instrText>
      </w:r>
      <w:r>
        <w:fldChar w:fldCharType="separate"/>
      </w:r>
      <w:r>
        <w:rPr>
          <w:color w:val="000000"/>
          <w:sz w:val="24"/>
          <w:szCs w:val="24"/>
          <w:lang w:val="en-GB"/>
        </w:rPr>
        <w:t>1.0 Implications and evidence-based treatments in the UK for hypertension</w:t>
      </w:r>
      <w:r>
        <w:rPr>
          <w:color w:val="000000"/>
          <w:sz w:val="24"/>
          <w:szCs w:val="24"/>
        </w:rPr>
        <w:tab/>
      </w:r>
      <w:r>
        <w:rPr>
          <w:color w:val="000000"/>
          <w:sz w:val="24"/>
          <w:szCs w:val="24"/>
        </w:rPr>
        <w:fldChar w:fldCharType="begin"/>
      </w:r>
      <w:r>
        <w:rPr>
          <w:color w:val="000000"/>
          <w:sz w:val="24"/>
          <w:szCs w:val="24"/>
        </w:rPr>
        <w:instrText xml:space="preserve"> PAGEREF _Toc224496012 \h </w:instrText>
      </w:r>
      <w:r>
        <w:rPr>
          <w:color w:val="000000"/>
          <w:sz w:val="24"/>
          <w:szCs w:val="24"/>
        </w:rPr>
        <w:fldChar w:fldCharType="separate"/>
      </w:r>
      <w:r>
        <w:rPr>
          <w:color w:val="000000"/>
          <w:sz w:val="24"/>
          <w:szCs w:val="24"/>
        </w:rPr>
        <w:t>4</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"_Toc224496013"</w:instrText>
      </w:r>
      <w:r>
        <w:fldChar w:fldCharType="separate"/>
      </w:r>
      <w:r>
        <w:rPr>
          <w:color w:val="000000"/>
          <w:sz w:val="24"/>
          <w:szCs w:val="24"/>
          <w:lang w:val="en-GB"/>
        </w:rPr>
        <w:t>1.1 Implications for individuals</w:t>
      </w:r>
      <w:r>
        <w:rPr>
          <w:color w:val="000000"/>
          <w:sz w:val="24"/>
          <w:szCs w:val="24"/>
        </w:rPr>
        <w:tab/>
      </w:r>
      <w:r>
        <w:rPr>
          <w:color w:val="000000"/>
          <w:sz w:val="24"/>
          <w:szCs w:val="24"/>
        </w:rPr>
        <w:fldChar w:fldCharType="begin"/>
      </w:r>
      <w:r>
        <w:rPr>
          <w:color w:val="000000"/>
          <w:sz w:val="24"/>
          <w:szCs w:val="24"/>
        </w:rPr>
        <w:instrText xml:space="preserve"> PAGEREF _Toc224496013 \h </w:instrText>
      </w:r>
      <w:r>
        <w:rPr>
          <w:color w:val="000000"/>
          <w:sz w:val="24"/>
          <w:szCs w:val="24"/>
        </w:rPr>
        <w:fldChar w:fldCharType="separate"/>
      </w:r>
      <w:r>
        <w:rPr>
          <w:color w:val="000000"/>
          <w:sz w:val="24"/>
          <w:szCs w:val="24"/>
        </w:rPr>
        <w:t>4</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"_Toc224496014"</w:instrText>
      </w:r>
      <w:r>
        <w:fldChar w:fldCharType="separate"/>
      </w:r>
      <w:r>
        <w:rPr>
          <w:color w:val="000000"/>
          <w:sz w:val="24"/>
          <w:szCs w:val="24"/>
          <w:lang w:val="en-GB"/>
        </w:rPr>
        <w:t>1.2 Wider implications on families involved in care provision</w:t>
      </w:r>
      <w:r>
        <w:rPr>
          <w:color w:val="000000"/>
          <w:sz w:val="24"/>
          <w:szCs w:val="24"/>
        </w:rPr>
        <w:tab/>
      </w:r>
      <w:r>
        <w:rPr>
          <w:color w:val="000000"/>
          <w:sz w:val="24"/>
          <w:szCs w:val="24"/>
        </w:rPr>
        <w:fldChar w:fldCharType="begin"/>
      </w:r>
      <w:r>
        <w:rPr>
          <w:color w:val="000000"/>
          <w:sz w:val="24"/>
          <w:szCs w:val="24"/>
        </w:rPr>
        <w:instrText xml:space="preserve"> PAGEREF _Toc224496014 \h </w:instrText>
      </w:r>
      <w:r>
        <w:rPr>
          <w:color w:val="000000"/>
          <w:sz w:val="24"/>
          <w:szCs w:val="24"/>
        </w:rPr>
        <w:fldChar w:fldCharType="separate"/>
      </w:r>
      <w:r>
        <w:rPr>
          <w:color w:val="000000"/>
          <w:sz w:val="24"/>
          <w:szCs w:val="24"/>
        </w:rPr>
        <w:t>6</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"_Toc224496015"</w:instrText>
      </w:r>
      <w:r>
        <w:fldChar w:fldCharType="separate"/>
      </w:r>
      <w:r>
        <w:rPr>
          <w:color w:val="000000"/>
          <w:sz w:val="24"/>
          <w:szCs w:val="24"/>
          <w:lang w:val="en-GB"/>
        </w:rPr>
        <w:t>1.3 Evidence-based treatments in the UK</w:t>
      </w:r>
      <w:r>
        <w:rPr>
          <w:color w:val="000000"/>
          <w:sz w:val="24"/>
          <w:szCs w:val="24"/>
        </w:rPr>
        <w:tab/>
      </w:r>
      <w:r>
        <w:rPr>
          <w:color w:val="000000"/>
          <w:sz w:val="24"/>
          <w:szCs w:val="24"/>
        </w:rPr>
        <w:fldChar w:fldCharType="begin"/>
      </w:r>
      <w:r>
        <w:rPr>
          <w:color w:val="000000"/>
          <w:sz w:val="24"/>
          <w:szCs w:val="24"/>
        </w:rPr>
        <w:instrText xml:space="preserve"> PAGEREF _Toc224496015 \h </w:instrText>
      </w:r>
      <w:r>
        <w:rPr>
          <w:color w:val="000000"/>
          <w:sz w:val="24"/>
          <w:szCs w:val="24"/>
        </w:rPr>
        <w:fldChar w:fldCharType="separate"/>
      </w:r>
      <w:r>
        <w:rPr>
          <w:color w:val="000000"/>
          <w:sz w:val="24"/>
          <w:szCs w:val="24"/>
        </w:rPr>
        <w:t>7</w:t>
      </w:r>
      <w:r>
        <w:rPr>
          <w:color w:val="000000"/>
          <w:sz w:val="24"/>
          <w:szCs w:val="24"/>
        </w:rPr>
        <w:fldChar w:fldCharType="end"/>
      </w:r>
      <w:r>
        <w:fldChar w:fldCharType="end"/>
      </w:r>
    </w:p>
    <w:p>
      <w:pPr>
        <w:pStyle w:val="22"/>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"_Toc224496016"</w:instrText>
      </w:r>
      <w:r>
        <w:fldChar w:fldCharType="separate"/>
      </w:r>
      <w:r>
        <w:rPr>
          <w:color w:val="000000"/>
          <w:sz w:val="24"/>
          <w:szCs w:val="24"/>
          <w:lang w:val="en-GB"/>
        </w:rPr>
        <w:t>2.0 Theoretical perspectives for improved patient outcomes</w:t>
      </w:r>
      <w:r>
        <w:rPr>
          <w:color w:val="000000"/>
          <w:sz w:val="24"/>
          <w:szCs w:val="24"/>
        </w:rPr>
        <w:tab/>
      </w:r>
      <w:r>
        <w:rPr>
          <w:color w:val="000000"/>
          <w:sz w:val="24"/>
          <w:szCs w:val="24"/>
        </w:rPr>
        <w:fldChar w:fldCharType="begin"/>
      </w:r>
      <w:r>
        <w:rPr>
          <w:color w:val="000000"/>
          <w:sz w:val="24"/>
          <w:szCs w:val="24"/>
        </w:rPr>
        <w:instrText xml:space="preserve"> PAGEREF _Toc224496016 \h </w:instrText>
      </w:r>
      <w:r>
        <w:rPr>
          <w:color w:val="000000"/>
          <w:sz w:val="24"/>
          <w:szCs w:val="24"/>
        </w:rPr>
        <w:fldChar w:fldCharType="separate"/>
      </w:r>
      <w:r>
        <w:rPr>
          <w:color w:val="000000"/>
          <w:sz w:val="24"/>
          <w:szCs w:val="24"/>
        </w:rPr>
        <w:t>9</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"_Toc224496017"</w:instrText>
      </w:r>
      <w:r>
        <w:fldChar w:fldCharType="separate"/>
      </w:r>
      <w:r>
        <w:rPr>
          <w:color w:val="000000"/>
          <w:sz w:val="24"/>
          <w:szCs w:val="24"/>
          <w:lang w:val="en-GB"/>
        </w:rPr>
        <w:t>2.1 UK model: House of care model</w:t>
      </w:r>
      <w:r>
        <w:rPr>
          <w:color w:val="000000"/>
          <w:sz w:val="24"/>
          <w:szCs w:val="24"/>
        </w:rPr>
        <w:tab/>
      </w:r>
      <w:r>
        <w:rPr>
          <w:color w:val="000000"/>
          <w:sz w:val="24"/>
          <w:szCs w:val="24"/>
        </w:rPr>
        <w:fldChar w:fldCharType="begin"/>
      </w:r>
      <w:r>
        <w:rPr>
          <w:color w:val="000000"/>
          <w:sz w:val="24"/>
          <w:szCs w:val="24"/>
        </w:rPr>
        <w:instrText xml:space="preserve"> PAGEREF _Toc224496017 \h </w:instrText>
      </w:r>
      <w:r>
        <w:rPr>
          <w:color w:val="000000"/>
          <w:sz w:val="24"/>
          <w:szCs w:val="24"/>
        </w:rPr>
        <w:fldChar w:fldCharType="separate"/>
      </w:r>
      <w:r>
        <w:rPr>
          <w:color w:val="000000"/>
          <w:sz w:val="24"/>
          <w:szCs w:val="24"/>
        </w:rPr>
        <w:t>9</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"_Toc224496018"</w:instrText>
      </w:r>
      <w:r>
        <w:fldChar w:fldCharType="separate"/>
      </w:r>
      <w:r>
        <w:rPr>
          <w:color w:val="000000"/>
          <w:sz w:val="24"/>
          <w:szCs w:val="24"/>
          <w:lang w:val="en-GB"/>
        </w:rPr>
        <w:t>2.2 International model: Chronic Care Model (CCM)</w:t>
      </w:r>
      <w:r>
        <w:rPr>
          <w:color w:val="000000"/>
          <w:sz w:val="24"/>
          <w:szCs w:val="24"/>
        </w:rPr>
        <w:tab/>
      </w:r>
      <w:r>
        <w:rPr>
          <w:color w:val="000000"/>
          <w:sz w:val="24"/>
          <w:szCs w:val="24"/>
        </w:rPr>
        <w:fldChar w:fldCharType="begin"/>
      </w:r>
      <w:r>
        <w:rPr>
          <w:color w:val="000000"/>
          <w:sz w:val="24"/>
          <w:szCs w:val="24"/>
        </w:rPr>
        <w:instrText xml:space="preserve"> PAGEREF _Toc224496018 \h </w:instrText>
      </w:r>
      <w:r>
        <w:rPr>
          <w:color w:val="000000"/>
          <w:sz w:val="24"/>
          <w:szCs w:val="24"/>
        </w:rPr>
        <w:fldChar w:fldCharType="separate"/>
      </w:r>
      <w:r>
        <w:rPr>
          <w:color w:val="000000"/>
          <w:sz w:val="24"/>
          <w:szCs w:val="24"/>
        </w:rPr>
        <w:t>10</w:t>
      </w:r>
      <w:r>
        <w:rPr>
          <w:color w:val="000000"/>
          <w:sz w:val="24"/>
          <w:szCs w:val="24"/>
        </w:rPr>
        <w:fldChar w:fldCharType="end"/>
      </w:r>
      <w:r>
        <w:fldChar w:fldCharType="end"/>
      </w:r>
    </w:p>
    <w:p>
      <w:pPr>
        <w:pStyle w:val="22"/>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"_Toc224496019"</w:instrText>
      </w:r>
      <w:r>
        <w:fldChar w:fldCharType="separate"/>
      </w:r>
      <w:r>
        <w:rPr>
          <w:color w:val="000000"/>
          <w:sz w:val="24"/>
          <w:szCs w:val="24"/>
          <w:lang w:val="en-GB"/>
        </w:rPr>
        <w:t>3.0 Implementation of local and national political health and social care agendas for hypertension</w:t>
      </w:r>
      <w:r>
        <w:rPr>
          <w:color w:val="000000"/>
          <w:sz w:val="24"/>
          <w:szCs w:val="24"/>
        </w:rPr>
        <w:tab/>
      </w:r>
      <w:r>
        <w:rPr>
          <w:color w:val="000000"/>
          <w:sz w:val="24"/>
          <w:szCs w:val="24"/>
        </w:rPr>
        <w:fldChar w:fldCharType="begin"/>
      </w:r>
      <w:r>
        <w:rPr>
          <w:color w:val="000000"/>
          <w:sz w:val="24"/>
          <w:szCs w:val="24"/>
        </w:rPr>
        <w:instrText xml:space="preserve"> PAGEREF _Toc224496019 \h </w:instrText>
      </w:r>
      <w:r>
        <w:rPr>
          <w:color w:val="000000"/>
          <w:sz w:val="24"/>
          <w:szCs w:val="24"/>
        </w:rPr>
        <w:fldChar w:fldCharType="separate"/>
      </w:r>
      <w:r>
        <w:rPr>
          <w:color w:val="000000"/>
          <w:sz w:val="24"/>
          <w:szCs w:val="24"/>
        </w:rPr>
        <w:t>12</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"_Toc224496020"</w:instrText>
      </w:r>
      <w:r>
        <w:fldChar w:fldCharType="separate"/>
      </w:r>
      <w:r>
        <w:rPr>
          <w:color w:val="000000"/>
          <w:sz w:val="24"/>
          <w:szCs w:val="24"/>
          <w:lang w:val="en-GB"/>
        </w:rPr>
        <w:t>3.1 National health and social care agenda: NHS long-term plan</w:t>
      </w:r>
      <w:r>
        <w:rPr>
          <w:color w:val="000000"/>
          <w:sz w:val="24"/>
          <w:szCs w:val="24"/>
        </w:rPr>
        <w:tab/>
      </w:r>
      <w:r>
        <w:rPr>
          <w:color w:val="000000"/>
          <w:sz w:val="24"/>
          <w:szCs w:val="24"/>
        </w:rPr>
        <w:fldChar w:fldCharType="begin"/>
      </w:r>
      <w:r>
        <w:rPr>
          <w:color w:val="000000"/>
          <w:sz w:val="24"/>
          <w:szCs w:val="24"/>
        </w:rPr>
        <w:instrText xml:space="preserve"> PAGEREF _Toc224496020 \h </w:instrText>
      </w:r>
      <w:r>
        <w:rPr>
          <w:color w:val="000000"/>
          <w:sz w:val="24"/>
          <w:szCs w:val="24"/>
        </w:rPr>
        <w:fldChar w:fldCharType="separate"/>
      </w:r>
      <w:r>
        <w:rPr>
          <w:color w:val="000000"/>
          <w:sz w:val="24"/>
          <w:szCs w:val="24"/>
        </w:rPr>
        <w:t>12</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"_Toc224496021"</w:instrText>
      </w:r>
      <w:r>
        <w:fldChar w:fldCharType="separate"/>
      </w:r>
      <w:r>
        <w:rPr>
          <w:color w:val="000000"/>
          <w:sz w:val="24"/>
          <w:szCs w:val="24"/>
          <w:lang w:val="en-GB"/>
        </w:rPr>
        <w:t>3.2 National healthcare and clinical guidance: NICE guidelines</w:t>
      </w:r>
      <w:r>
        <w:rPr>
          <w:color w:val="000000"/>
          <w:sz w:val="24"/>
          <w:szCs w:val="24"/>
        </w:rPr>
        <w:tab/>
      </w:r>
      <w:r>
        <w:rPr>
          <w:color w:val="000000"/>
          <w:sz w:val="24"/>
          <w:szCs w:val="24"/>
        </w:rPr>
        <w:fldChar w:fldCharType="begin"/>
      </w:r>
      <w:r>
        <w:rPr>
          <w:color w:val="000000"/>
          <w:sz w:val="24"/>
          <w:szCs w:val="24"/>
        </w:rPr>
        <w:instrText xml:space="preserve"> PAGEREF _Toc224496021 \h </w:instrText>
      </w:r>
      <w:r>
        <w:rPr>
          <w:color w:val="000000"/>
          <w:sz w:val="24"/>
          <w:szCs w:val="24"/>
        </w:rPr>
        <w:fldChar w:fldCharType="separate"/>
      </w:r>
      <w:r>
        <w:rPr>
          <w:color w:val="000000"/>
          <w:sz w:val="24"/>
          <w:szCs w:val="24"/>
        </w:rPr>
        <w:t>13</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"_Toc224496022"</w:instrText>
      </w:r>
      <w:r>
        <w:fldChar w:fldCharType="separate"/>
      </w:r>
      <w:r>
        <w:rPr>
          <w:color w:val="000000"/>
          <w:sz w:val="24"/>
          <w:szCs w:val="24"/>
          <w:lang w:val="en-GB"/>
        </w:rPr>
        <w:t>3.3 Local agenda: Integrated Care Systems (ICE)</w:t>
      </w:r>
      <w:r>
        <w:rPr>
          <w:color w:val="000000"/>
          <w:sz w:val="24"/>
          <w:szCs w:val="24"/>
        </w:rPr>
        <w:tab/>
      </w:r>
      <w:r>
        <w:rPr>
          <w:color w:val="000000"/>
          <w:sz w:val="24"/>
          <w:szCs w:val="24"/>
        </w:rPr>
        <w:fldChar w:fldCharType="begin"/>
      </w:r>
      <w:r>
        <w:rPr>
          <w:color w:val="000000"/>
          <w:sz w:val="24"/>
          <w:szCs w:val="24"/>
        </w:rPr>
        <w:instrText xml:space="preserve"> PAGEREF _Toc224496022 \h </w:instrText>
      </w:r>
      <w:r>
        <w:rPr>
          <w:color w:val="000000"/>
          <w:sz w:val="24"/>
          <w:szCs w:val="24"/>
        </w:rPr>
        <w:fldChar w:fldCharType="separate"/>
      </w:r>
      <w:r>
        <w:rPr>
          <w:color w:val="000000"/>
          <w:sz w:val="24"/>
          <w:szCs w:val="24"/>
        </w:rPr>
        <w:t>13</w:t>
      </w:r>
      <w:r>
        <w:rPr>
          <w:color w:val="000000"/>
          <w:sz w:val="24"/>
          <w:szCs w:val="24"/>
        </w:rPr>
        <w:fldChar w:fldCharType="end"/>
      </w:r>
      <w:r>
        <w:fldChar w:fldCharType="end"/>
      </w:r>
    </w:p>
    <w:p>
      <w:pPr>
        <w:pStyle w:val="22"/>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"_Toc224496023"</w:instrText>
      </w:r>
      <w:r>
        <w:fldChar w:fldCharType="separate"/>
      </w:r>
      <w:r>
        <w:rPr>
          <w:color w:val="000000"/>
          <w:sz w:val="24"/>
          <w:szCs w:val="24"/>
          <w:lang w:val="en-GB"/>
        </w:rPr>
        <w:t>4.0 Recommendations</w:t>
      </w:r>
      <w:r>
        <w:rPr>
          <w:color w:val="000000"/>
          <w:sz w:val="24"/>
          <w:szCs w:val="24"/>
        </w:rPr>
        <w:tab/>
      </w:r>
      <w:r>
        <w:rPr>
          <w:color w:val="000000"/>
          <w:sz w:val="24"/>
          <w:szCs w:val="24"/>
        </w:rPr>
        <w:fldChar w:fldCharType="begin"/>
      </w:r>
      <w:r>
        <w:rPr>
          <w:color w:val="000000"/>
          <w:sz w:val="24"/>
          <w:szCs w:val="24"/>
        </w:rPr>
        <w:instrText xml:space="preserve"> PAGEREF _Toc224496023 \h </w:instrText>
      </w:r>
      <w:r>
        <w:rPr>
          <w:color w:val="000000"/>
          <w:sz w:val="24"/>
          <w:szCs w:val="24"/>
        </w:rPr>
        <w:fldChar w:fldCharType="separate"/>
      </w:r>
      <w:r>
        <w:rPr>
          <w:color w:val="000000"/>
          <w:sz w:val="24"/>
          <w:szCs w:val="24"/>
        </w:rPr>
        <w:t>15</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"_Toc224496024"</w:instrText>
      </w:r>
      <w:r>
        <w:fldChar w:fldCharType="separate"/>
      </w:r>
      <w:r>
        <w:rPr>
          <w:color w:val="000000"/>
          <w:sz w:val="24"/>
          <w:szCs w:val="24"/>
          <w:lang w:val="en-GB"/>
        </w:rPr>
        <w:t>4.1 Person-centred care (PCC)</w:t>
      </w:r>
      <w:r>
        <w:rPr>
          <w:color w:val="000000"/>
          <w:sz w:val="24"/>
          <w:szCs w:val="24"/>
        </w:rPr>
        <w:tab/>
      </w:r>
      <w:r>
        <w:rPr>
          <w:color w:val="000000"/>
          <w:sz w:val="24"/>
          <w:szCs w:val="24"/>
        </w:rPr>
        <w:fldChar w:fldCharType="begin"/>
      </w:r>
      <w:r>
        <w:rPr>
          <w:color w:val="000000"/>
          <w:sz w:val="24"/>
          <w:szCs w:val="24"/>
        </w:rPr>
        <w:instrText xml:space="preserve"> PAGEREF _Toc224496024 \h </w:instrText>
      </w:r>
      <w:r>
        <w:rPr>
          <w:color w:val="000000"/>
          <w:sz w:val="24"/>
          <w:szCs w:val="24"/>
        </w:rPr>
        <w:fldChar w:fldCharType="separate"/>
      </w:r>
      <w:r>
        <w:rPr>
          <w:color w:val="000000"/>
          <w:sz w:val="24"/>
          <w:szCs w:val="24"/>
        </w:rPr>
        <w:t>15</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"_Toc224496025"</w:instrText>
      </w:r>
      <w:r>
        <w:fldChar w:fldCharType="separate"/>
      </w:r>
      <w:r>
        <w:rPr>
          <w:color w:val="000000"/>
          <w:sz w:val="24"/>
          <w:szCs w:val="24"/>
          <w:lang w:val="en-GB"/>
        </w:rPr>
        <w:t>4.2 Self-management support</w:t>
      </w:r>
      <w:r>
        <w:rPr>
          <w:color w:val="000000"/>
          <w:sz w:val="24"/>
          <w:szCs w:val="24"/>
        </w:rPr>
        <w:tab/>
      </w:r>
      <w:r>
        <w:rPr>
          <w:color w:val="000000"/>
          <w:sz w:val="24"/>
          <w:szCs w:val="24"/>
        </w:rPr>
        <w:fldChar w:fldCharType="begin"/>
      </w:r>
      <w:r>
        <w:rPr>
          <w:color w:val="000000"/>
          <w:sz w:val="24"/>
          <w:szCs w:val="24"/>
        </w:rPr>
        <w:instrText xml:space="preserve"> PAGEREF _Toc224496025 \h </w:instrText>
      </w:r>
      <w:r>
        <w:rPr>
          <w:color w:val="000000"/>
          <w:sz w:val="24"/>
          <w:szCs w:val="24"/>
        </w:rPr>
        <w:fldChar w:fldCharType="separate"/>
      </w:r>
      <w:r>
        <w:rPr>
          <w:color w:val="000000"/>
          <w:sz w:val="24"/>
          <w:szCs w:val="24"/>
        </w:rPr>
        <w:t>15</w:t>
      </w:r>
      <w:r>
        <w:rPr>
          <w:color w:val="000000"/>
          <w:sz w:val="24"/>
          <w:szCs w:val="24"/>
        </w:rPr>
        <w:fldChar w:fldCharType="end"/>
      </w:r>
      <w:r>
        <w:fldChar w:fldCharType="end"/>
      </w:r>
    </w:p>
    <w:p>
      <w:pPr>
        <w:pStyle w:val="23"/>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"_Toc224496026"</w:instrText>
      </w:r>
      <w:r>
        <w:fldChar w:fldCharType="separate"/>
      </w:r>
      <w:r>
        <w:rPr>
          <w:color w:val="000000"/>
          <w:sz w:val="24"/>
          <w:szCs w:val="24"/>
          <w:lang w:val="en-GB"/>
        </w:rPr>
        <w:t>4.3 End-of-Life care</w:t>
      </w:r>
      <w:r>
        <w:rPr>
          <w:color w:val="000000"/>
          <w:sz w:val="24"/>
          <w:szCs w:val="24"/>
        </w:rPr>
        <w:tab/>
      </w:r>
      <w:r>
        <w:rPr>
          <w:color w:val="000000"/>
          <w:sz w:val="24"/>
          <w:szCs w:val="24"/>
        </w:rPr>
        <w:fldChar w:fldCharType="begin"/>
      </w:r>
      <w:r>
        <w:rPr>
          <w:color w:val="000000"/>
          <w:sz w:val="24"/>
          <w:szCs w:val="24"/>
        </w:rPr>
        <w:instrText xml:space="preserve"> PAGEREF _Toc224496026 \h </w:instrText>
      </w:r>
      <w:r>
        <w:rPr>
          <w:color w:val="000000"/>
          <w:sz w:val="24"/>
          <w:szCs w:val="24"/>
        </w:rPr>
        <w:fldChar w:fldCharType="separate"/>
      </w:r>
      <w:r>
        <w:rPr>
          <w:color w:val="000000"/>
          <w:sz w:val="24"/>
          <w:szCs w:val="24"/>
        </w:rPr>
        <w:t>16</w:t>
      </w:r>
      <w:r>
        <w:rPr>
          <w:color w:val="000000"/>
          <w:sz w:val="24"/>
          <w:szCs w:val="24"/>
        </w:rPr>
        <w:fldChar w:fldCharType="end"/>
      </w:r>
      <w:r>
        <w:fldChar w:fldCharType="end"/>
      </w:r>
    </w:p>
    <w:p>
      <w:pPr>
        <w:pStyle w:val="22"/>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"_Toc224496027"</w:instrText>
      </w:r>
      <w:r>
        <w:fldChar w:fldCharType="separate"/>
      </w:r>
      <w:r>
        <w:rPr>
          <w:color w:val="000000"/>
          <w:sz w:val="24"/>
          <w:szCs w:val="24"/>
          <w:lang w:val="en-GB"/>
        </w:rPr>
        <w:t>Conclusion</w:t>
      </w:r>
      <w:r>
        <w:rPr>
          <w:color w:val="000000"/>
          <w:sz w:val="24"/>
          <w:szCs w:val="24"/>
        </w:rPr>
        <w:tab/>
      </w:r>
      <w:r>
        <w:rPr>
          <w:color w:val="000000"/>
          <w:sz w:val="24"/>
          <w:szCs w:val="24"/>
        </w:rPr>
        <w:fldChar w:fldCharType="begin"/>
      </w:r>
      <w:r>
        <w:rPr>
          <w:color w:val="000000"/>
          <w:sz w:val="24"/>
          <w:szCs w:val="24"/>
        </w:rPr>
        <w:instrText xml:space="preserve"> PAGEREF _Toc224496027 \h </w:instrText>
      </w:r>
      <w:r>
        <w:rPr>
          <w:color w:val="000000"/>
          <w:sz w:val="24"/>
          <w:szCs w:val="24"/>
        </w:rPr>
        <w:fldChar w:fldCharType="separate"/>
      </w:r>
      <w:r>
        <w:rPr>
          <w:color w:val="000000"/>
          <w:sz w:val="24"/>
          <w:szCs w:val="24"/>
        </w:rPr>
        <w:t>17</w:t>
      </w:r>
      <w:r>
        <w:rPr>
          <w:color w:val="000000"/>
          <w:sz w:val="24"/>
          <w:szCs w:val="24"/>
        </w:rPr>
        <w:fldChar w:fldCharType="end"/>
      </w:r>
      <w:r>
        <w:fldChar w:fldCharType="end"/>
      </w:r>
    </w:p>
    <w:p>
      <w:pPr>
        <w:pStyle w:val="22"/>
        <w:tabs>
          <w:tab w:val="right" w:leader="dot" w:pos="9350"/>
        </w:tabs>
        <w:spacing w:line="360" w:lineRule="auto"/>
        <w:jc w:val="both"/>
        <w:rPr>
          <w:rFonts w:ascii="Cambria" w:eastAsia="宋体" w:cs="Arial" w:hAnsi="Cambria"/>
          <w:color w:val="000000"/>
          <w:sz w:val="24"/>
          <w:szCs w:val="24"/>
        </w:rPr>
      </w:pPr>
      <w:r>
        <w:fldChar w:fldCharType="begin"/>
      </w:r>
      <w:r>
        <w:instrText>Hyperlink \l "_Toc224496028"</w:instrText>
      </w:r>
      <w:r>
        <w:fldChar w:fldCharType="separate"/>
      </w:r>
      <w:r>
        <w:rPr>
          <w:color w:val="000000"/>
          <w:sz w:val="24"/>
          <w:szCs w:val="24"/>
        </w:rPr>
        <w:t>References</w:t>
        <w:tab/>
      </w:r>
      <w:r>
        <w:rPr>
          <w:color w:val="000000"/>
          <w:sz w:val="24"/>
          <w:szCs w:val="24"/>
        </w:rPr>
        <w:fldChar w:fldCharType="begin"/>
      </w:r>
      <w:r>
        <w:rPr>
          <w:color w:val="000000"/>
          <w:sz w:val="24"/>
          <w:szCs w:val="24"/>
        </w:rPr>
        <w:instrText xml:space="preserve"> PAGEREF _Toc224496028 \h </w:instrText>
      </w:r>
      <w:r>
        <w:rPr>
          <w:color w:val="000000"/>
          <w:sz w:val="24"/>
          <w:szCs w:val="24"/>
        </w:rPr>
        <w:fldChar w:fldCharType="separate"/>
      </w:r>
      <w:r>
        <w:rPr>
          <w:color w:val="000000"/>
          <w:sz w:val="24"/>
          <w:szCs w:val="24"/>
        </w:rPr>
        <w:t>18</w:t>
      </w:r>
      <w:r>
        <w:rPr>
          <w:color w:val="000000"/>
          <w:sz w:val="24"/>
          <w:szCs w:val="24"/>
        </w:rPr>
        <w:fldChar w:fldCharType="end"/>
      </w:r>
      <w:r>
        <w:fldChar w:fldCharType="end"/>
      </w:r>
    </w:p>
    <w:p>
      <w:pPr>
        <w:spacing w:line="360" w:lineRule="auto"/>
        <w:jc w:val="both"/>
        <w:rPr>
          <w:color w:val="000000"/>
        </w:rPr>
        <w:sectPr>
          <w:footerReference w:type="default" r:id="rId2"/>
          <w:footerReference w:type="first" r:id="rId3"/>
          <w:pgSz w:w="12240" w:h="15840"/>
          <w:pgMar w:top="1440" w:right="1440" w:bottom="1440" w:left="1440" w:header="720" w:footer="720" w:gutter="0"/>
          <w:pgNumType w:start="1"/>
          <w:titlePg/>
          <w:docGrid w:linePitch="299" w:charSpace="0"/>
        </w:sectPr>
      </w:pPr>
      <w:r>
        <w:rPr>
          <w:color w:val="000000"/>
          <w:sz w:val="24"/>
          <w:szCs w:val="24"/>
        </w:rPr>
        <w:fldChar w:fldCharType="end"/>
      </w:r>
    </w:p>
    <w:p>
      <w:pPr>
        <w:pStyle w:val="1"/>
        <w:rPr>
          <w:color w:val="000000"/>
          <w:lang w:val="en-GB"/>
        </w:rPr>
      </w:pPr>
      <w:bookmarkStart w:id="1" w:name="_Toc223723730"/>
      <w:bookmarkStart w:id="2" w:name="_Toc224496007"/>
      <w:r>
        <w:rPr>
          <w:color w:val="000000"/>
          <w:lang w:val="en-GB"/>
        </w:rPr>
        <w:t>Introduction</w:t>
      </w:r>
      <w:bookmarkEnd w:id="1"/>
      <w:bookmarkEnd w:id="2"/>
    </w:p>
    <w:p>
      <w:pPr>
        <w:pStyle w:val="2"/>
        <w:rPr>
          <w:color w:val="000000"/>
          <w:lang w:val="en-GB"/>
        </w:rPr>
      </w:pPr>
      <w:bookmarkStart w:id="3" w:name="_Toc223723731"/>
      <w:bookmarkStart w:id="4" w:name="_Toc224496008"/>
      <w:r>
        <w:rPr>
          <w:color w:val="000000"/>
          <w:lang w:val="en-GB"/>
        </w:rPr>
        <w:t>Definition</w:t>
      </w:r>
      <w:bookmarkEnd w:id="3"/>
      <w:bookmarkEnd w:id="4"/>
    </w:p>
    <w:p>
      <w:pPr>
        <w:spacing w:line="360" w:lineRule="auto"/>
        <w:jc w:val="both"/>
        <w:rPr>
          <w:color w:val="000000"/>
          <w:sz w:val="24"/>
          <w:szCs w:val="24"/>
          <w:lang w:val="en-GB"/>
        </w:rPr>
      </w:pPr>
      <w:r>
        <w:rPr>
          <w:color w:val="000000"/>
          <w:sz w:val="24"/>
          <w:szCs w:val="24"/>
        </w:rPr>
        <w:drawing>
          <wp:anchor distT="0" distB="0" distL="114300" distR="114300" simplePos="0" relativeHeight="35" behindDoc="0" locked="0" layoutInCell="1" hidden="0" allowOverlap="1">
            <wp:simplePos x="0" y="0"/>
            <wp:positionH relativeFrom="column">
              <wp:posOffset>-407034</wp:posOffset>
            </wp:positionH>
            <wp:positionV relativeFrom="paragraph">
              <wp:posOffset>3020060</wp:posOffset>
            </wp:positionV>
            <wp:extent cx="3483610" cy="2268855"/>
            <wp:effectExtent l="0" t="0" r="0" b="0"/>
            <wp:wrapThrough wrapText="bothSides">
              <wp:wrapPolygon>
                <wp:start x="-15" y="-53"/>
                <wp:lineTo x="-15" y="21528"/>
                <wp:lineTo x="21599" y="21528"/>
                <wp:lineTo x="21599" y="-53"/>
                <wp:lineTo x="-15" y="-53"/>
              </wp:wrapPolygon>
            </wp:wrapThrough>
            <wp:docPr id="1" name="图片 1"/>
            <wp:cNvGraphicFramePr>
              <a:graphicFrameLocks noChangeAspect="1"/>
            </wp:cNvGraphicFramePr>
            <a:graphic>
              <a:graphicData uri="http://schemas.openxmlformats.org/drawingml/2006/picture">
                <pic:pic>
                  <pic:nvPicPr>
                    <pic:cNvPr id="3" name="图片 3"/>
                    <pic:cNvPicPr/>
                  </pic:nvPicPr>
                  <pic:blipFill>
                    <a:blip r:embed="rId4"/>
                    <a:stretch>
                      <a:fillRect/>
                    </a:stretch>
                  </pic:blipFill>
                  <pic:spPr>
                    <a:xfrm rot="0">
                      <a:off x="0" y="0"/>
                      <a:ext cx="3483610" cy="2268855"/>
                    </a:xfrm>
                    <a:prstGeom prst="rect"/>
                    <a:noFill/>
                    <a:ln w="9525" cmpd="sng" cap="flat">
                      <a:noFill/>
                      <a:prstDash val="solid"/>
                      <a:miter/>
                    </a:ln>
                  </pic:spPr>
                </pic:pic>
              </a:graphicData>
            </a:graphic>
          </wp:anchor>
        </w:drawing>
      </w:r>
      <w:r>
        <w:rPr>
          <w:color w:val="000000"/>
          <w:sz w:val="24"/>
          <w:szCs w:val="24"/>
          <w:lang w:val="en-GB"/>
        </w:rPr>
        <w:t>One of the most chronically significant and prevalent long-term conditions (LTC) globally is hypertension, often referred to as high blood pressure clinically. The condition occurs when arterial blood pressure consistently elevates beyond the clinically standard range of one 140/90 mmHg. Thus, a persistent condition occurs in both the blood pressure ranges, the condition is known as hypertension (WHO, 2025).</w:t>
      </w:r>
    </w:p>
    <w:p>
      <w:pPr>
        <w:spacing w:line="360" w:lineRule="auto"/>
        <w:jc w:val="both"/>
        <w:rPr>
          <w:color w:val="000000"/>
          <w:sz w:val="24"/>
          <w:szCs w:val="24"/>
          <w:lang w:val="en-GB"/>
        </w:rPr>
      </w:pPr>
    </w:p>
    <w:p>
      <w:pPr>
        <w:spacing w:line="360" w:lineRule="auto"/>
        <w:jc w:val="center"/>
        <w:rPr>
          <w:b/>
          <w:color w:val="000000"/>
          <w:sz w:val="24"/>
          <w:szCs w:val="24"/>
          <w:lang w:val="en-GB"/>
        </w:rPr>
      </w:pPr>
      <w:r>
        <w:rPr>
          <w:b/>
          <w:color w:val="000000"/>
          <w:sz w:val="24"/>
          <w:szCs w:val="24"/>
          <w:lang w:val="en-GB"/>
        </w:rPr>
        <w:t>Figure 1: Hypertension</w:t>
      </w:r>
    </w:p>
    <w:p>
      <w:pPr>
        <w:spacing w:line="360" w:lineRule="auto"/>
        <w:jc w:val="center"/>
        <w:rPr>
          <w:color w:val="000000"/>
          <w:sz w:val="24"/>
          <w:szCs w:val="24"/>
          <w:lang w:val="en-GB"/>
        </w:rPr>
      </w:pPr>
      <w:r>
        <w:rPr>
          <w:color w:val="000000"/>
          <w:sz w:val="24"/>
          <w:szCs w:val="24"/>
          <w:lang w:val="en-GB"/>
        </w:rPr>
        <w:t>(Source: Kario, 2022)</w:t>
      </w:r>
    </w:p>
    <w:p>
      <w:pPr>
        <w:spacing w:line="360" w:lineRule="auto"/>
        <w:jc w:val="both"/>
        <w:rPr>
          <w:color w:val="000000"/>
          <w:sz w:val="24"/>
          <w:szCs w:val="24"/>
          <w:lang w:val="en-GB"/>
        </w:rPr>
      </w:pPr>
      <w:r>
        <w:rPr>
          <w:color w:val="000000"/>
          <w:sz w:val="24"/>
          <w:szCs w:val="24"/>
          <w:lang w:val="en-GB"/>
        </w:rPr>
        <w:t>When blood circulates in the arterial wall, it puts additional force beyond the standard range, the blood strength increases, and the cardiovascular condition worsens (Kario, 2022). This LTC silently kills individuals without any prominent noticeable symptoms until major complications and severity arise out of the blue. If the condition is not treated and controlled earlier, gradually with exerted force, blood vessels can be damaged, thereby pressuring vital anatomical organs, including the kidney, brain, heart and eyes (Mishima et al., 2021). In this way, hypertension enhances chronic cardiovascular risk by developing diseases including coronary artery heart disease, stroke and heart failure.</w:t>
      </w:r>
    </w:p>
    <w:p>
      <w:pPr>
        <w:pStyle w:val="2"/>
        <w:rPr>
          <w:color w:val="000000"/>
          <w:lang w:val="en-GB"/>
        </w:rPr>
      </w:pPr>
      <w:bookmarkStart w:id="5" w:name="_Toc223723732"/>
      <w:bookmarkStart w:id="6" w:name="_Toc224496009"/>
      <w:r>
        <w:rPr>
          <w:color w:val="000000"/>
          <w:lang w:val="en-GB"/>
        </w:rPr>
        <w:t>Burden/prevalence</w:t>
      </w:r>
      <w:bookmarkEnd w:id="5"/>
      <w:bookmarkEnd w:id="6"/>
    </w:p>
    <w:p>
      <w:pPr>
        <w:spacing w:line="360" w:lineRule="auto"/>
        <w:jc w:val="center"/>
        <w:rPr>
          <w:color w:val="000000"/>
          <w:sz w:val="24"/>
          <w:szCs w:val="24"/>
          <w:lang w:val="en-GB"/>
        </w:rPr>
      </w:pPr>
      <w:r>
        <w:rPr>
          <w:color w:val="000000"/>
          <w:sz w:val="24"/>
          <w:szCs w:val="24"/>
        </w:rPr>
        <w:drawing>
          <wp:inline distT="114300" distB="114300" distL="114300" distR="114300">
            <wp:extent cx="3350683" cy="2438400"/>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5"/>
                    <a:stretch>
                      <a:fillRect/>
                    </a:stretch>
                  </pic:blipFill>
                  <pic:spPr>
                    <a:xfrm rot="0">
                      <a:off x="0" y="0"/>
                      <a:ext cx="3350683" cy="2438400"/>
                    </a:xfrm>
                    <a:prstGeom prst="rect"/>
                    <a:noFill/>
                    <a:ln w="12700" cmpd="sng" cap="flat">
                      <a:solidFill>
                        <a:srgbClr val="000000"/>
                      </a:solidFill>
                      <a:prstDash val="solid"/>
                      <a:round/>
                    </a:ln>
                  </pic:spPr>
                </pic:pic>
              </a:graphicData>
            </a:graphic>
          </wp:inline>
        </w:drawing>
      </w:r>
    </w:p>
    <w:p>
      <w:pPr>
        <w:spacing w:line="360" w:lineRule="auto"/>
        <w:jc w:val="center"/>
        <w:rPr>
          <w:b/>
          <w:color w:val="000000"/>
          <w:sz w:val="24"/>
          <w:szCs w:val="24"/>
          <w:lang w:val="en-GB"/>
        </w:rPr>
      </w:pPr>
      <w:r>
        <w:rPr>
          <w:b/>
          <w:color w:val="000000"/>
          <w:sz w:val="24"/>
          <w:szCs w:val="24"/>
          <w:lang w:val="en-GB"/>
        </w:rPr>
        <w:t>Figure 2: Early death and disability in the ten leading risk factors</w:t>
      </w:r>
    </w:p>
    <w:p>
      <w:pPr>
        <w:spacing w:line="360" w:lineRule="auto"/>
        <w:jc w:val="center"/>
        <w:rPr>
          <w:color w:val="000000"/>
          <w:sz w:val="24"/>
          <w:szCs w:val="24"/>
          <w:lang w:val="en-GB"/>
        </w:rPr>
      </w:pPr>
      <w:r>
        <w:rPr>
          <w:color w:val="000000"/>
          <w:sz w:val="24"/>
          <w:szCs w:val="24"/>
          <w:lang w:val="en-GB"/>
        </w:rPr>
        <w:t>(Source: Healthdata, 2025)</w:t>
      </w:r>
    </w:p>
    <w:p>
      <w:pPr>
        <w:spacing w:line="360" w:lineRule="auto"/>
        <w:jc w:val="both"/>
        <w:rPr>
          <w:color w:val="000000"/>
          <w:sz w:val="24"/>
          <w:szCs w:val="24"/>
          <w:lang w:val="en-GB"/>
        </w:rPr>
      </w:pPr>
      <w:r>
        <w:rPr>
          <w:color w:val="000000"/>
          <w:sz w:val="24"/>
          <w:szCs w:val="24"/>
          <w:lang w:val="en-GB"/>
        </w:rPr>
        <w:t>Worldwide, the burden of hypertension has reportedly increased, which has gained the momentum of being acknowledged as one of the major contributing risk factors for disability and mortality. WHO reports that the current burden of hypertension globally is reported for nearly 1.4 billion adults within the age range of 30–79 years (WHO, 2025). Hence, globally, 33% individuals are affected by this LTC without being aware of the chronic condition (WHO, 2025). The global burden of hypertension has increased substantially over the past few decades and is now recognised as one of the leading risk factors for mortality and disability worldwide (Lee et al., 2022). Only 44% of the affected adults were diagnosed and received treatment, whereas 23% had achieved control in blood pressure level after treatment (WHO, 2025). Hence, a significant gap arises in the management and diagnosis of the disease, identifying the practical burden on individual life and a gap in adequate measures in the field. Globally, 10.8 million deaths occur due to hypertension majorly linked with cardiovascular disease and stroke and remains 15% responsible for early death and disability amongst leading risk factors (Healthdata, 2025).</w:t>
      </w:r>
    </w:p>
    <w:p>
      <w:pPr>
        <w:spacing w:line="360" w:lineRule="auto"/>
        <w:jc w:val="both"/>
        <w:rPr>
          <w:color w:val="000000"/>
          <w:sz w:val="24"/>
          <w:szCs w:val="24"/>
          <w:lang w:val="en-GB"/>
        </w:rPr>
      </w:pPr>
      <w:r>
        <w:rPr>
          <w:color w:val="000000"/>
          <w:sz w:val="24"/>
          <w:szCs w:val="24"/>
        </w:rPr>
        <w:drawing>
          <wp:inline distT="114300" distB="114300" distL="114300" distR="114300">
            <wp:extent cx="3266017" cy="2946400"/>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6"/>
                    <a:srcRect t="7322"/>
                    <a:stretch>
                      <a:fillRect/>
                    </a:stretch>
                  </pic:blipFill>
                  <pic:spPr>
                    <a:xfrm rot="0">
                      <a:off x="0" y="0"/>
                      <a:ext cx="3266017" cy="2946400"/>
                    </a:xfrm>
                    <a:prstGeom prst="rect"/>
                    <a:noFill/>
                    <a:ln w="12700" cmpd="sng" cap="flat">
                      <a:solidFill>
                        <a:srgbClr val="000000"/>
                      </a:solidFill>
                      <a:prstDash val="solid"/>
                      <a:round/>
                    </a:ln>
                  </pic:spPr>
                </pic:pic>
              </a:graphicData>
            </a:graphic>
          </wp:inline>
        </w:drawing>
      </w:r>
    </w:p>
    <w:p>
      <w:pPr>
        <w:spacing w:line="360" w:lineRule="auto"/>
        <w:jc w:val="center"/>
        <w:rPr>
          <w:b/>
          <w:color w:val="000000"/>
          <w:sz w:val="24"/>
          <w:szCs w:val="24"/>
          <w:lang w:val="en-GB"/>
        </w:rPr>
      </w:pPr>
      <w:r>
        <w:rPr>
          <w:b/>
          <w:color w:val="000000"/>
          <w:sz w:val="24"/>
          <w:szCs w:val="24"/>
          <w:lang w:val="en-GB"/>
        </w:rPr>
        <w:t>Figure 3: Hypertension prevalence by age in the UK</w:t>
      </w:r>
    </w:p>
    <w:p>
      <w:pPr>
        <w:spacing w:line="360" w:lineRule="auto"/>
        <w:jc w:val="center"/>
        <w:rPr>
          <w:color w:val="000000"/>
          <w:sz w:val="24"/>
          <w:szCs w:val="24"/>
          <w:lang w:val="en-GB"/>
        </w:rPr>
      </w:pPr>
      <w:r>
        <w:rPr>
          <w:color w:val="000000"/>
          <w:sz w:val="24"/>
          <w:szCs w:val="24"/>
          <w:lang w:val="en-GB"/>
        </w:rPr>
        <w:t>(Source: NHS, 2023)</w:t>
      </w:r>
    </w:p>
    <w:p>
      <w:pPr>
        <w:spacing w:line="360" w:lineRule="auto"/>
        <w:jc w:val="both"/>
        <w:rPr>
          <w:color w:val="000000"/>
          <w:sz w:val="24"/>
          <w:szCs w:val="24"/>
          <w:lang w:val="en-GB"/>
        </w:rPr>
      </w:pPr>
      <w:r>
        <w:rPr>
          <w:color w:val="000000"/>
          <w:sz w:val="24"/>
          <w:szCs w:val="24"/>
          <w:lang w:val="en-GB"/>
        </w:rPr>
        <w:t>Hypertension in the United Kingdom (UK) is also a major public health concern. The British Heart Foundation reports that nearly 14.4 million people, representing one in quarter adults in the UK, are living with hypertension, and 1.14 million affected people are under the age of 45 (Pringle, 2019). The NHS reported that the prevalence of the disease increases with age, as the data shows that 9% of adults within the age range of 16 to 44 years are affected by the disease, who are aged 65 and above (NHS, 2023). Additionally, 1/4 of all the reported deaths in the UK are due to hypertension, considering it as one of the prominent modifiable risk factors in public health (NHS, 2023). Apart from the consequences and gap in the health and social care context, the financial burden of this cardiovascular complication is extensive, as it enhances annual expenditure in nature through management of long-term medication and hospital admissions (Wierzejska et al., 2020).</w:t>
      </w:r>
    </w:p>
    <w:p>
      <w:pPr>
        <w:pStyle w:val="2"/>
        <w:rPr>
          <w:color w:val="000000"/>
          <w:lang w:val="en-GB"/>
        </w:rPr>
      </w:pPr>
      <w:bookmarkStart w:id="7" w:name="_Toc223723733"/>
      <w:bookmarkStart w:id="8" w:name="_Toc224496010"/>
      <w:r>
        <w:rPr>
          <w:color w:val="000000"/>
          <w:lang w:val="en-GB"/>
        </w:rPr>
        <w:t xml:space="preserve">Risk </w:t>
      </w:r>
      <w:r>
        <w:rPr>
          <w:color w:val="000000"/>
          <w:szCs w:val="24"/>
        </w:rPr>
        <w:t>factors</w:t>
      </w:r>
      <w:bookmarkEnd w:id="7"/>
      <w:bookmarkEnd w:id="8"/>
    </w:p>
    <w:p>
      <w:pPr>
        <w:spacing w:line="360" w:lineRule="auto"/>
        <w:jc w:val="both"/>
        <w:rPr>
          <w:color w:val="000000"/>
        </w:rPr>
      </w:pPr>
      <w:r>
        <w:rPr>
          <w:color w:val="000000"/>
        </w:rPr>
        <w:drawing>
          <wp:inline distT="0" distB="0" distL="0" distR="0">
            <wp:extent cx="2916470" cy="2844799"/>
            <wp:effectExtent l="0" t="0" r="0" b="0"/>
            <wp:docPr id="10" name="图片 10"/>
            <wp:cNvGraphicFramePr>
              <a:graphicFrameLocks noChangeAspect="1"/>
            </wp:cNvGraphicFramePr>
            <a:graphic>
              <a:graphicData uri="http://schemas.openxmlformats.org/drawingml/2006/picture">
                <pic:pic>
                  <pic:nvPicPr>
                    <pic:cNvPr id="12" name="图片 12"/>
                    <pic:cNvPicPr/>
                  </pic:nvPicPr>
                  <pic:blipFill>
                    <a:blip r:embed="rId7"/>
                    <a:stretch>
                      <a:fillRect/>
                    </a:stretch>
                  </pic:blipFill>
                  <pic:spPr>
                    <a:xfrm rot="0">
                      <a:off x="0" y="0"/>
                      <a:ext cx="2916470" cy="2844799"/>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4: Risk factors of hypertension</w:t>
      </w:r>
    </w:p>
    <w:p>
      <w:pPr>
        <w:spacing w:line="360" w:lineRule="auto"/>
        <w:jc w:val="center"/>
        <w:rPr>
          <w:color w:val="000000"/>
          <w:sz w:val="24"/>
          <w:szCs w:val="24"/>
          <w:lang w:val="en-GB"/>
        </w:rPr>
      </w:pPr>
      <w:r>
        <w:rPr>
          <w:color w:val="000000"/>
          <w:sz w:val="24"/>
          <w:szCs w:val="24"/>
          <w:lang w:val="en-GB"/>
        </w:rPr>
        <w:t>(Source: Ojangba et al., 2023)</w:t>
      </w:r>
    </w:p>
    <w:p>
      <w:pPr>
        <w:spacing w:line="360" w:lineRule="auto"/>
        <w:jc w:val="both"/>
        <w:rPr>
          <w:color w:val="000000"/>
          <w:sz w:val="24"/>
          <w:szCs w:val="24"/>
          <w:lang w:val="en-GB"/>
        </w:rPr>
      </w:pPr>
      <w:r>
        <w:rPr>
          <w:color w:val="000000"/>
          <w:sz w:val="24"/>
          <w:szCs w:val="24"/>
          <w:lang w:val="en-GB"/>
        </w:rPr>
        <w:t>In terms of risk factors, age, sex, ethnicity and genetic attributes are identified as non-modifiable in hypertension. However, lifestyle patterns and healthcare conditions determine the modifiable risk factors in hypertension, including diet preference, salt intake, alcohol and tobacco consumption (Ojangba et al., 2023). Besides, obesity is a natural contributor to hypertension (Ojangba et al., 2023). Hence, in public health, hypertension is viewed as a serious life concern.</w:t>
      </w:r>
    </w:p>
    <w:p>
      <w:pPr>
        <w:pStyle w:val="2"/>
        <w:rPr>
          <w:color w:val="000000"/>
          <w:lang w:val="en-GB"/>
        </w:rPr>
      </w:pPr>
      <w:bookmarkStart w:id="9" w:name="_Toc223723734"/>
      <w:bookmarkStart w:id="10" w:name="_Toc224496011"/>
      <w:r>
        <w:rPr>
          <w:color w:val="000000"/>
          <w:lang w:val="en-GB"/>
        </w:rPr>
        <w:t>Aim</w:t>
      </w:r>
      <w:bookmarkEnd w:id="9"/>
      <w:bookmarkEnd w:id="10"/>
    </w:p>
    <w:p>
      <w:pPr>
        <w:spacing w:line="360" w:lineRule="auto"/>
        <w:jc w:val="both"/>
        <w:rPr>
          <w:color w:val="000000"/>
          <w:sz w:val="24"/>
          <w:szCs w:val="24"/>
          <w:lang w:val="en-GB"/>
        </w:rPr>
      </w:pPr>
      <w:r>
        <w:rPr>
          <w:color w:val="000000"/>
          <w:sz w:val="24"/>
          <w:szCs w:val="24"/>
          <w:lang w:val="en-GB"/>
        </w:rPr>
        <w:t>The booklet aims to explore the influence of hypertension on individuals and families and analyse the theoretical models and policy framework to facilitate LTC management. Besides, recommendations will be offered for boosting person-centred care and self-management in the UK healthcare context.</w:t>
      </w:r>
    </w:p>
    <w:p>
      <w:pPr>
        <w:rPr>
          <w:b/>
          <w:color w:val="000000"/>
          <w:sz w:val="28"/>
          <w:szCs w:val="40"/>
          <w:lang w:val="en-GB"/>
        </w:rPr>
      </w:pPr>
      <w:bookmarkStart w:id="11" w:name="_Toc223723735"/>
      <w:bookmarkStart w:id="12" w:name="_Toc224496012"/>
      <w:r>
        <w:rPr>
          <w:color w:val="000000"/>
          <w:lang w:val="en-GB"/>
        </w:rPr>
        <w:br w:type="page"/>
      </w:r>
    </w:p>
    <w:p>
      <w:pPr>
        <w:pStyle w:val="1"/>
        <w:rPr>
          <w:color w:val="000000"/>
          <w:lang w:val="en-GB"/>
        </w:rPr>
      </w:pPr>
      <w:r>
        <w:rPr>
          <w:color w:val="000000"/>
          <w:lang w:val="en-GB"/>
        </w:rPr>
        <w:t>1.0 Implications and evidence-based treatments in the UK for hypertension</w:t>
      </w:r>
      <w:bookmarkEnd w:id="11"/>
      <w:bookmarkEnd w:id="12"/>
    </w:p>
    <w:p>
      <w:pPr>
        <w:pStyle w:val="2"/>
        <w:rPr>
          <w:color w:val="000000"/>
          <w:lang w:val="en-GB"/>
        </w:rPr>
      </w:pPr>
      <w:bookmarkStart w:id="13" w:name="_Toc223723736"/>
      <w:bookmarkStart w:id="14" w:name="_Toc224496013"/>
      <w:r>
        <w:rPr>
          <w:color w:val="000000"/>
          <w:lang w:val="en-GB"/>
        </w:rPr>
        <w:t>1.1 Implications for individuals</w:t>
      </w:r>
      <w:bookmarkEnd w:id="13"/>
      <w:bookmarkEnd w:id="14"/>
    </w:p>
    <w:p>
      <w:pPr>
        <w:pStyle w:val="28"/>
        <w:numPr>
          <w:ilvl w:val="0"/>
          <w:numId w:val="1"/>
        </w:numPr>
        <w:spacing w:line="360" w:lineRule="auto"/>
        <w:jc w:val="both"/>
        <w:rPr>
          <w:b/>
          <w:color w:val="000000"/>
          <w:sz w:val="24"/>
          <w:szCs w:val="24"/>
          <w:lang w:val="en-GB"/>
        </w:rPr>
      </w:pPr>
      <w:r>
        <w:rPr>
          <w:b/>
          <w:color w:val="000000"/>
          <w:sz w:val="24"/>
          <w:szCs w:val="24"/>
          <w:lang w:val="en-GB"/>
        </w:rPr>
        <w:t xml:space="preserve">Physical </w:t>
      </w:r>
    </w:p>
    <w:p>
      <w:pPr>
        <w:spacing w:line="360" w:lineRule="auto"/>
        <w:jc w:val="both"/>
        <w:rPr>
          <w:color w:val="000000"/>
          <w:sz w:val="24"/>
          <w:szCs w:val="24"/>
          <w:lang w:val="en-GB"/>
        </w:rPr>
      </w:pPr>
      <w:r>
        <w:rPr>
          <w:color w:val="000000"/>
          <w:sz w:val="24"/>
          <w:szCs w:val="24"/>
          <w:lang w:val="en-GB"/>
        </w:rPr>
        <w:t>Significant physical implications of hypertension on an individual include damaged blood vessels and organs. When pressure is exerted on the blood walls persistently, “atherosclerosis” develops due to accelerated cardiovascular strain, narrowing the arteries and blocking the free flow of blood (Roy and Chakraborty, 2024). As a result, the potential for risky cardiovascular diseases increases, including stroke, heart attack and coronary heart disease, which accounts for 19% of deaths globally (Healthdata, 2025). Hence, hypertension accelerates early mortality among individuals.</w:t>
      </w:r>
    </w:p>
    <w:p>
      <w:pPr>
        <w:spacing w:line="360" w:lineRule="auto"/>
        <w:jc w:val="both"/>
        <w:rPr>
          <w:color w:val="000000"/>
          <w:sz w:val="24"/>
          <w:szCs w:val="24"/>
          <w:lang w:val="en-GB"/>
        </w:rPr>
      </w:pPr>
      <w:r>
        <w:rPr>
          <w:color w:val="000000"/>
          <w:sz w:val="24"/>
          <w:szCs w:val="24"/>
          <w:lang w:val="en-GB"/>
        </w:rPr>
        <w:t>Aside from death, severe damage to vital organs, including the kidney and the eye are predominant. Due to persistent high blood pressure, renal blood vessels can be damaged, thereby affecting functions of a healthy kidney and contributing to failure and chronic disease of the organ (De Bhailis and Kalra, 2022). Besides, tiny blood vessels of the eyes can be damaged, causing hypertensive retinopathy, affecting the power of vision in an individual (Dziedziak et al., 2022). Persistent hypertension negatively affects cognitive behaviour and increases the risk of vascular dementia, especially in people aged over 65+ (Sierra, 2020). Furthermore, physical implications include a reduced quality of life for an individual by inducing fatigue and a lack of energy in daily life (Silva et al., 2020). In significant cases due to a heart attack or severe stroke, a person can face partial or full disability as a long-term condition (Lip et al., 2022).</w:t>
      </w:r>
    </w:p>
    <w:p>
      <w:pPr>
        <w:pStyle w:val="28"/>
        <w:numPr>
          <w:ilvl w:val="0"/>
          <w:numId w:val="1"/>
        </w:numPr>
        <w:spacing w:line="360" w:lineRule="auto"/>
        <w:jc w:val="both"/>
        <w:rPr>
          <w:b/>
          <w:color w:val="000000"/>
          <w:sz w:val="24"/>
          <w:szCs w:val="24"/>
          <w:lang w:val="en-GB"/>
        </w:rPr>
      </w:pPr>
      <w:r>
        <w:rPr>
          <w:b/>
          <w:color w:val="000000"/>
          <w:sz w:val="24"/>
          <w:szCs w:val="24"/>
          <w:lang w:val="en-GB"/>
        </w:rPr>
        <w:t>Psychological</w:t>
      </w:r>
    </w:p>
    <w:p>
      <w:pPr>
        <w:spacing w:line="360" w:lineRule="auto"/>
        <w:jc w:val="both"/>
        <w:rPr>
          <w:color w:val="000000"/>
          <w:sz w:val="24"/>
          <w:szCs w:val="24"/>
          <w:lang w:val="en-GB"/>
        </w:rPr>
      </w:pPr>
      <w:r>
        <w:rPr>
          <w:color w:val="000000"/>
          <w:sz w:val="24"/>
          <w:szCs w:val="24"/>
          <w:lang w:val="en-GB"/>
        </w:rPr>
        <w:t xml:space="preserve">When an individual is diagnosed with hypertension, the psychological harmony of the patient becomes distorted. Constant thoughts of an uncertain future induce anxiety and depression in the individual already diagnosed with hypertension, which can accelerate the risk of complicated cardiovascular diseases (Hamam et al., 2020). This increases psychological stress for individuals. </w:t>
      </w:r>
    </w:p>
    <w:p>
      <w:pPr>
        <w:spacing w:line="360" w:lineRule="auto"/>
        <w:jc w:val="both"/>
        <w:rPr>
          <w:color w:val="000000"/>
          <w:sz w:val="24"/>
          <w:szCs w:val="24"/>
          <w:lang w:val="en-GB"/>
        </w:rPr>
      </w:pPr>
      <w:r>
        <w:rPr>
          <w:color w:val="000000"/>
        </w:rPr>
        <w:drawing>
          <wp:inline distT="0" distB="0" distL="0" distR="0">
            <wp:extent cx="2959712" cy="2929467"/>
            <wp:effectExtent l="0" t="0" r="0" b="0"/>
            <wp:docPr id="13" name="图片 13" descr="Impact of Antihypertensive Treatments on Psychological Elements and Quality  of Life | Springer Nature Link"/>
            <wp:cNvGraphicFramePr>
              <a:graphicFrameLocks noChangeAspect="1"/>
            </wp:cNvGraphicFramePr>
            <a:graphic>
              <a:graphicData uri="http://schemas.openxmlformats.org/drawingml/2006/picture">
                <pic:pic>
                  <pic:nvPicPr>
                    <pic:cNvPr id="15" name="图片 15"/>
                    <pic:cNvPicPr/>
                  </pic:nvPicPr>
                  <pic:blipFill>
                    <a:blip r:embed="rId8"/>
                    <a:stretch>
                      <a:fillRect/>
                    </a:stretch>
                  </pic:blipFill>
                  <pic:spPr>
                    <a:xfrm rot="0">
                      <a:off x="0" y="0"/>
                      <a:ext cx="2959712" cy="2929467"/>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5: Psychological implication of hypertension</w:t>
      </w:r>
    </w:p>
    <w:p>
      <w:pPr>
        <w:spacing w:line="360" w:lineRule="auto"/>
        <w:jc w:val="center"/>
        <w:rPr>
          <w:color w:val="000000"/>
          <w:sz w:val="24"/>
          <w:szCs w:val="24"/>
          <w:lang w:val="en-GB"/>
        </w:rPr>
      </w:pPr>
      <w:r>
        <w:rPr>
          <w:color w:val="000000"/>
          <w:sz w:val="24"/>
          <w:szCs w:val="24"/>
          <w:lang w:val="en-GB"/>
        </w:rPr>
        <w:t>(Source: Hamam et al., 2020)</w:t>
      </w:r>
    </w:p>
    <w:p>
      <w:pPr>
        <w:spacing w:line="360" w:lineRule="auto"/>
        <w:jc w:val="both"/>
        <w:rPr>
          <w:color w:val="000000"/>
          <w:sz w:val="24"/>
          <w:szCs w:val="24"/>
          <w:lang w:val="en-GB"/>
        </w:rPr>
      </w:pPr>
      <w:r>
        <w:rPr>
          <w:color w:val="000000"/>
          <w:sz w:val="24"/>
          <w:szCs w:val="24"/>
          <w:lang w:val="en-GB"/>
        </w:rPr>
        <w:t>However, sometimes a strict daily routine including control monitoring of blood pressure, lifestyle changes and medication puts a lot of pressure on the individual, causing anxiety and emotional strain. According to Kandasamy et al. (2025), 50% of individuals affected by the disease experienced anxiety and depression due to psychological distress. Thus, stress management is essential alongside the treatment of hypertension to facilitate better patient outcomes.</w:t>
      </w:r>
    </w:p>
    <w:p>
      <w:pPr>
        <w:pStyle w:val="28"/>
        <w:numPr>
          <w:ilvl w:val="0"/>
          <w:numId w:val="1"/>
        </w:numPr>
        <w:spacing w:line="360" w:lineRule="auto"/>
        <w:jc w:val="both"/>
        <w:rPr>
          <w:b/>
          <w:color w:val="000000"/>
          <w:sz w:val="24"/>
          <w:szCs w:val="24"/>
          <w:lang w:val="en-GB"/>
        </w:rPr>
      </w:pPr>
      <w:r>
        <w:rPr>
          <w:b/>
          <w:color w:val="000000"/>
          <w:sz w:val="24"/>
          <w:szCs w:val="24"/>
          <w:lang w:val="en-GB"/>
        </w:rPr>
        <w:t>Social</w:t>
      </w:r>
    </w:p>
    <w:p>
      <w:pPr>
        <w:spacing w:line="360" w:lineRule="auto"/>
        <w:jc w:val="both"/>
        <w:rPr>
          <w:color w:val="000000"/>
          <w:sz w:val="24"/>
          <w:szCs w:val="24"/>
          <w:lang w:val="en-GB"/>
        </w:rPr>
      </w:pPr>
      <w:r>
        <w:rPr>
          <w:color w:val="000000"/>
          <w:sz w:val="24"/>
          <w:szCs w:val="24"/>
          <w:lang w:val="en-GB"/>
        </w:rPr>
        <w:t xml:space="preserve">Changes in personal lifestyle have implications for the external functioning of the individual, especially the social lifestyle. As the patient has to follow a strict routine of medication, rest, exercise and diet, there is little room for socialising without restriction (Conklin and Guo, 2024). Hence, the chances are limited, and it alters the social life of the individual. These routine lifestyle changes bring health benefits, earlier social habits are distorted as individuals have to follow a strict routine. As hypertension reduces and restricts daily heavy-duty or productivity, individuals working in labour-intensive industries might find it difficult to perform their best according to employment standards, which affects employment relations and financial stability (Fuge et al., 2022). </w:t>
      </w:r>
    </w:p>
    <w:p>
      <w:pPr>
        <w:spacing w:line="360" w:lineRule="auto"/>
        <w:jc w:val="both"/>
        <w:rPr>
          <w:color w:val="000000"/>
          <w:sz w:val="24"/>
          <w:szCs w:val="24"/>
          <w:lang w:val="en-GB"/>
        </w:rPr>
      </w:pPr>
      <w:r>
        <w:rPr>
          <w:color w:val="000000"/>
        </w:rPr>
        <w:drawing>
          <wp:inline distT="0" distB="0" distL="0" distR="0">
            <wp:extent cx="3369924" cy="2082800"/>
            <wp:effectExtent l="0" t="0" r="0" b="0"/>
            <wp:docPr id="16" name="图片 16" descr="https://ehnheart.org/wp-content/uploads/2023/08/costs-898x1024.jpg"/>
            <wp:cNvGraphicFramePr>
              <a:graphicFrameLocks noChangeAspect="1"/>
            </wp:cNvGraphicFramePr>
            <a:graphic>
              <a:graphicData uri="http://schemas.openxmlformats.org/drawingml/2006/picture">
                <pic:pic>
                  <pic:nvPicPr>
                    <pic:cNvPr id="18" name="图片 18"/>
                    <pic:cNvPicPr/>
                  </pic:nvPicPr>
                  <pic:blipFill>
                    <a:blip r:embed="rId9"/>
                    <a:srcRect t="37195" b="8537"/>
                    <a:stretch>
                      <a:fillRect/>
                    </a:stretch>
                  </pic:blipFill>
                  <pic:spPr>
                    <a:xfrm rot="0">
                      <a:off x="0" y="0"/>
                      <a:ext cx="3369924" cy="2082800"/>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6: Cost of CVD in EU</w:t>
      </w:r>
    </w:p>
    <w:p>
      <w:pPr>
        <w:spacing w:line="360" w:lineRule="auto"/>
        <w:jc w:val="center"/>
        <w:rPr>
          <w:color w:val="000000"/>
          <w:sz w:val="24"/>
          <w:szCs w:val="24"/>
          <w:lang w:val="en-GB"/>
        </w:rPr>
      </w:pPr>
      <w:r>
        <w:rPr>
          <w:color w:val="000000"/>
          <w:sz w:val="24"/>
          <w:szCs w:val="24"/>
          <w:lang w:val="en-GB"/>
        </w:rPr>
        <w:t>(Source: ESCARDIO, 2025)</w:t>
      </w:r>
    </w:p>
    <w:p>
      <w:pPr>
        <w:spacing w:line="360" w:lineRule="auto"/>
        <w:jc w:val="both"/>
        <w:rPr>
          <w:color w:val="000000"/>
          <w:sz w:val="24"/>
          <w:szCs w:val="24"/>
          <w:lang w:val="en-GB"/>
        </w:rPr>
      </w:pPr>
      <w:r>
        <w:rPr>
          <w:color w:val="000000"/>
          <w:sz w:val="24"/>
          <w:szCs w:val="24"/>
          <w:lang w:val="en-GB"/>
        </w:rPr>
        <w:t>Besides, access to healthcare has become costly as in the European Union countries; the disease costs more than 210 euro billion Euros per year, which is not only economically costly but also psychologically distressing for individuals affected by the disease (ESCARDIO, 2025). Therefore, with poor productivity due to lack of physical fitness and the impact of the disease and with a costly healthcare system, an individual might feel socially excluded, which further limits the ability to socialise with others and live happily without worrying about the present and future.</w:t>
      </w:r>
    </w:p>
    <w:p>
      <w:pPr>
        <w:pStyle w:val="2"/>
        <w:rPr>
          <w:color w:val="000000"/>
          <w:lang w:val="en-GB"/>
        </w:rPr>
      </w:pPr>
      <w:bookmarkStart w:id="15" w:name="_Toc223723737"/>
      <w:bookmarkStart w:id="16" w:name="_Toc224496014"/>
      <w:r>
        <w:rPr>
          <w:color w:val="000000"/>
          <w:lang w:val="en-GB"/>
        </w:rPr>
        <w:t>1.2 Wider implications on families involved in care provision</w:t>
      </w:r>
      <w:bookmarkEnd w:id="15"/>
      <w:bookmarkEnd w:id="16"/>
    </w:p>
    <w:p>
      <w:pPr>
        <w:spacing w:line="360" w:lineRule="auto"/>
        <w:jc w:val="both"/>
        <w:rPr>
          <w:color w:val="000000"/>
          <w:sz w:val="24"/>
          <w:szCs w:val="24"/>
          <w:lang w:val="en-GB"/>
        </w:rPr>
      </w:pPr>
      <w:r>
        <w:rPr>
          <w:color w:val="000000"/>
          <w:sz w:val="24"/>
          <w:szCs w:val="24"/>
          <w:lang w:val="en-GB"/>
        </w:rPr>
        <w:t>Families associated with healthcare provision face wider implications of hypertension as they facilitate family members to pursue a healthy lifestyle by introducing modified behaviours. Gradually, a general knowledge about possible medication, the routine lifestyle and emotional support for each other enhances, and the patient is supported throughout, including blood pressure monitoring in familiar surroundings to assist in modification of daily lifestyle behaviour (Kramer et al., 2025).</w:t>
      </w:r>
    </w:p>
    <w:p>
      <w:pPr>
        <w:spacing w:line="360" w:lineRule="auto"/>
        <w:jc w:val="both"/>
        <w:rPr>
          <w:color w:val="000000"/>
          <w:sz w:val="24"/>
          <w:szCs w:val="24"/>
          <w:lang w:val="en-GB"/>
        </w:rPr>
      </w:pPr>
      <w:r>
        <w:rPr>
          <w:color w:val="000000"/>
        </w:rPr>
        <w:drawing>
          <wp:inline distT="0" distB="0" distL="0" distR="0">
            <wp:extent cx="3352800" cy="3352800"/>
            <wp:effectExtent l="0" t="0" r="0" b="0"/>
            <wp:docPr id="19" name="图片 19" descr="https://qa-supps-cms.med.hku.hk/api/assets/hku-support-plus/d8c34623-ba43-4af2-b6a4-89ca6bd9c874/3.png?version=0"/>
            <wp:cNvGraphicFramePr>
              <a:graphicFrameLocks noChangeAspect="1"/>
            </wp:cNvGraphicFramePr>
            <a:graphic>
              <a:graphicData uri="http://schemas.openxmlformats.org/drawingml/2006/picture">
                <pic:pic>
                  <pic:nvPicPr>
                    <pic:cNvPr id="21" name="图片 21"/>
                    <pic:cNvPicPr/>
                  </pic:nvPicPr>
                  <pic:blipFill>
                    <a:blip r:embed="rId10"/>
                    <a:stretch>
                      <a:fillRect/>
                    </a:stretch>
                  </pic:blipFill>
                  <pic:spPr>
                    <a:xfrm rot="0">
                      <a:off x="0" y="0"/>
                      <a:ext cx="3352800" cy="3352800"/>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7: caregiver stress</w:t>
      </w:r>
    </w:p>
    <w:p>
      <w:pPr>
        <w:spacing w:line="360" w:lineRule="auto"/>
        <w:jc w:val="center"/>
        <w:rPr>
          <w:color w:val="000000"/>
          <w:sz w:val="24"/>
          <w:szCs w:val="24"/>
          <w:lang w:val="en-GB"/>
        </w:rPr>
      </w:pPr>
      <w:r>
        <w:rPr>
          <w:color w:val="000000"/>
          <w:sz w:val="24"/>
          <w:szCs w:val="24"/>
          <w:lang w:val="en-GB"/>
        </w:rPr>
        <w:t>(Source: Kramer et al., 2025)</w:t>
      </w:r>
    </w:p>
    <w:p>
      <w:pPr>
        <w:spacing w:line="360" w:lineRule="auto"/>
        <w:jc w:val="both"/>
        <w:rPr>
          <w:color w:val="000000"/>
          <w:sz w:val="24"/>
          <w:szCs w:val="24"/>
          <w:lang w:val="en-GB"/>
        </w:rPr>
      </w:pPr>
      <w:r>
        <w:rPr>
          <w:color w:val="000000"/>
          <w:sz w:val="24"/>
          <w:szCs w:val="24"/>
          <w:lang w:val="en-GB"/>
        </w:rPr>
        <w:t>Despite the positive aspects, the responsibilities of caregiving to the affected person itself are a practical and emotional burden on the provider, especially in a complicated situation such as heart failure and stroke. 1.3 million People in the UK are living without diagnosis and treatment of hypertension (NHS, 2023). Eventually, the informal family caregiving is the direct care process for the affected individual that eventually causes financial and emotional strain to the family members.</w:t>
      </w:r>
    </w:p>
    <w:p>
      <w:pPr>
        <w:pStyle w:val="2"/>
        <w:rPr>
          <w:color w:val="000000"/>
          <w:lang w:val="en-GB"/>
        </w:rPr>
      </w:pPr>
      <w:bookmarkStart w:id="17" w:name="_Toc223723738"/>
      <w:bookmarkStart w:id="18" w:name="_Toc224496015"/>
      <w:r>
        <w:rPr>
          <w:color w:val="000000"/>
          <w:lang w:val="en-GB"/>
        </w:rPr>
        <w:t>1.3 Evidence-based treatments in the UK</w:t>
      </w:r>
      <w:bookmarkEnd w:id="17"/>
      <w:bookmarkEnd w:id="18"/>
    </w:p>
    <w:p>
      <w:pPr>
        <w:spacing w:line="360" w:lineRule="auto"/>
        <w:jc w:val="both"/>
        <w:rPr>
          <w:color w:val="000000"/>
          <w:sz w:val="24"/>
          <w:szCs w:val="24"/>
          <w:lang w:val="en-GB"/>
        </w:rPr>
      </w:pPr>
      <w:r>
        <w:rPr>
          <w:color w:val="000000"/>
          <w:sz w:val="24"/>
          <w:szCs w:val="24"/>
          <w:lang w:val="en-GB"/>
        </w:rPr>
        <w:t xml:space="preserve">The evidence-based practices in the UK for managing hypertension are managed by NICE as part of the primary care services of the NHS. </w:t>
      </w:r>
    </w:p>
    <w:p>
      <w:pPr>
        <w:spacing w:line="360" w:lineRule="auto"/>
        <w:jc w:val="both"/>
        <w:rPr>
          <w:color w:val="000000"/>
          <w:sz w:val="24"/>
          <w:szCs w:val="24"/>
          <w:lang w:val="en-GB"/>
        </w:rPr>
      </w:pPr>
    </w:p>
    <w:tbl>
      <w:tblPr>
        <w:jc w:val="center"/>
        <w:tblW w:w="4938" w:type="dxa"/>
        <w:tblBorders>
          <w:top w:val="none" w:sz="0" w:space="0" w:color="auto"/>
          <w:left w:val="none" w:sz="0" w:space="0" w:color="auto"/>
          <w:bottom w:val="none" w:sz="0" w:space="0" w:color="auto"/>
          <w:right w:val="none" w:sz="0" w:space="0" w:color="auto"/>
        </w:tblBorders>
        <w:tblLayout w:type="fixed"/>
        <w:tblCellMar>
          <w:top w:w="0" w:type="dxa"/>
          <w:left w:w="108" w:type="dxa"/>
          <w:bottom w:w="0" w:type="dxa"/>
          <w:right w:w="108" w:type="dxa"/>
        </w:tblCellMar>
      </w:tblPr>
      <w:tblGrid>
        <w:gridCol w:w="1111"/>
        <w:gridCol w:w="1985"/>
        <w:gridCol w:w="1842"/>
      </w:tblGrid>
      <w:tr>
        <w:trPr>
          <w:cantSplit/>
          <w:trHeight w:val="780"/>
          <w:tblHead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b/>
                <w:color w:val="000000"/>
                <w:sz w:val="24"/>
                <w:szCs w:val="24"/>
                <w:lang w:val="en-GB"/>
              </w:rPr>
            </w:pPr>
            <w:r>
              <w:rPr>
                <w:b/>
                <w:color w:val="000000"/>
                <w:sz w:val="24"/>
                <w:szCs w:val="24"/>
                <w:lang w:val="en-GB"/>
              </w:rPr>
              <w:t>Treatment Approach</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b/>
                <w:color w:val="000000"/>
                <w:sz w:val="24"/>
                <w:szCs w:val="24"/>
                <w:lang w:val="en-GB"/>
              </w:rPr>
            </w:pPr>
            <w:r>
              <w:rPr>
                <w:b/>
                <w:color w:val="000000"/>
                <w:sz w:val="24"/>
                <w:szCs w:val="24"/>
                <w:lang w:val="en-GB"/>
              </w:rPr>
              <w:t>Key Strategies / Examples</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b/>
                <w:color w:val="000000"/>
                <w:sz w:val="24"/>
                <w:szCs w:val="24"/>
                <w:lang w:val="en-GB"/>
              </w:rPr>
            </w:pPr>
            <w:r>
              <w:rPr>
                <w:b/>
                <w:color w:val="000000"/>
                <w:sz w:val="24"/>
                <w:szCs w:val="24"/>
                <w:lang w:val="en-GB"/>
              </w:rPr>
              <w:t>Evidence of outcome</w:t>
            </w:r>
          </w:p>
        </w:tc>
      </w:tr>
      <w:tr>
        <w:trPr>
          <w:cantSplit/>
          <w:trHeight w:val="3156"/>
          <w:tblHead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Healthy lifestyle modifications</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Reducing sodium intake, alcohol consumption, zero tobacco consumption and daily free hand/physical exercises (Kulkarni et al., 2023)</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Reducing sodium intake lowers levels of blood pressure by 2.07 mm Hg and 4.26 mm Hg for diastolic and systolic pressures, respectively (Huang et al., 2020).</w:t>
            </w:r>
          </w:p>
        </w:tc>
      </w:tr>
      <w:tr>
        <w:trPr>
          <w:cantSplit/>
          <w:trHeight w:val="3489"/>
          <w:tblHead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Pharmacological treatment</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ACE inhibitors, surgery and drugs for calcium channel blockers, angiotensin receptor blockers (ARBs), thiazide-like diuretics (Sinnott et al., 2020)</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 xml:space="preserve">Smooth flow of fluid through relaxed vessels for reducing blood pressure (Ahmad et al., 2023). </w:t>
            </w:r>
          </w:p>
        </w:tc>
      </w:tr>
      <w:tr>
        <w:trPr>
          <w:cantSplit/>
          <w:trHeight w:val="2283"/>
          <w:tblHead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Blood Pressure Monitoring</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Pressure-monitoring device for home application and ambulance for emergency purposes (Carey et al., 2021)</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both"/>
              <w:rPr>
                <w:color w:val="000000"/>
                <w:sz w:val="24"/>
                <w:szCs w:val="24"/>
                <w:lang w:val="en-GB"/>
              </w:rPr>
            </w:pPr>
            <w:r>
              <w:rPr>
                <w:color w:val="000000"/>
                <w:sz w:val="24"/>
                <w:szCs w:val="24"/>
                <w:lang w:val="en-GB"/>
              </w:rPr>
              <w:t>Improved accuracy of diagnosis, fostering sustained control of the condition (Chappell et al., 2022)</w:t>
            </w:r>
          </w:p>
        </w:tc>
      </w:tr>
    </w:tbl>
    <w:p>
      <w:pPr>
        <w:spacing w:line="360" w:lineRule="auto"/>
        <w:jc w:val="center"/>
        <w:rPr>
          <w:b/>
          <w:color w:val="000000"/>
          <w:sz w:val="24"/>
          <w:szCs w:val="24"/>
          <w:lang w:val="en-GB"/>
        </w:rPr>
      </w:pPr>
      <w:r>
        <w:rPr>
          <w:b/>
          <w:color w:val="000000"/>
          <w:sz w:val="24"/>
          <w:szCs w:val="24"/>
          <w:lang w:val="en-GB"/>
        </w:rPr>
        <w:t>Table 1: Evidence-based treatments for hypertension in the UK</w:t>
      </w:r>
    </w:p>
    <w:p>
      <w:pPr>
        <w:spacing w:line="360" w:lineRule="auto"/>
        <w:jc w:val="both"/>
        <w:rPr>
          <w:color w:val="000000"/>
          <w:sz w:val="24"/>
          <w:szCs w:val="24"/>
          <w:lang w:val="en-GB"/>
        </w:rPr>
      </w:pPr>
    </w:p>
    <w:p>
      <w:pPr>
        <w:spacing w:line="360" w:lineRule="auto"/>
        <w:jc w:val="center"/>
        <w:rPr>
          <w:color w:val="000000"/>
          <w:sz w:val="24"/>
          <w:szCs w:val="24"/>
          <w:lang w:val="en-GB"/>
        </w:rPr>
      </w:pPr>
      <w:bookmarkStart w:id="19" w:name="_oy3nky2r5s13"/>
      <w:bookmarkEnd w:id="19"/>
      <w:r>
        <w:rPr>
          <w:color w:val="000000"/>
          <w:sz w:val="24"/>
          <w:szCs w:val="24"/>
          <w:lang w:val="en-GB"/>
        </w:rPr>
        <w:t>(Source: self-created)</w:t>
      </w:r>
    </w:p>
    <w:p>
      <w:pPr>
        <w:rPr>
          <w:color w:val="000000"/>
          <w:sz w:val="24"/>
          <w:szCs w:val="24"/>
          <w:lang w:val="en-GB"/>
        </w:rPr>
      </w:pPr>
      <w:r>
        <w:rPr>
          <w:color w:val="000000"/>
          <w:sz w:val="24"/>
          <w:szCs w:val="24"/>
          <w:lang w:val="en-GB"/>
        </w:rPr>
        <w:br w:type="page"/>
      </w:r>
    </w:p>
    <w:p>
      <w:pPr>
        <w:spacing w:line="360" w:lineRule="auto"/>
        <w:jc w:val="both"/>
        <w:rPr>
          <w:color w:val="000000"/>
          <w:sz w:val="24"/>
          <w:szCs w:val="24"/>
          <w:lang w:val="en-GB"/>
        </w:rPr>
      </w:pPr>
      <w:r>
        <w:rPr>
          <w:color w:val="000000"/>
          <w:sz w:val="24"/>
          <w:szCs w:val="24"/>
          <w:lang w:val="en-GB"/>
        </w:rPr>
        <w:t>Lifestyle modification is the most significant treatment for hypertension patients aside from medication that effectively allows the individual to integrate healthy lifestyle changes over time. For example, a low salt diet significantly reduces blood pressure and the potential risk of severe cardiovascular disease in future (Huang et al., 2020).</w:t>
      </w:r>
    </w:p>
    <w:p>
      <w:pPr>
        <w:spacing w:line="360" w:lineRule="auto"/>
        <w:jc w:val="both"/>
        <w:rPr>
          <w:color w:val="000000"/>
          <w:sz w:val="24"/>
          <w:szCs w:val="24"/>
          <w:lang w:val="en-GB"/>
        </w:rPr>
      </w:pPr>
      <w:r>
        <w:rPr>
          <w:color w:val="000000"/>
          <w:sz w:val="24"/>
          <w:szCs w:val="24"/>
          <w:lang w:val="en-GB"/>
        </w:rPr>
        <w:t xml:space="preserve">The most significant treatment is the pharmacological suggestion by healthcare professionals with prescribed medication according to the guidelines of the NHS, including ACE inhibitors. Besides, thiazide-like diuretics, angioplasty and surgery for calcium channel blockers are common treatments available in the UK. The combination of surgery and drugs releases blockers and relaxes the vessels for smooth flow of fluid, which in turn lowers the levels of blood pressure in an individual. Another effective treatment available in the UK is blood pressure monitoring at home and ambulance alongside surgery and medication, according to NICE guidelines (Jones et al., 2020). </w:t>
      </w:r>
    </w:p>
    <w:p>
      <w:pPr>
        <w:rPr>
          <w:b/>
          <w:color w:val="000000"/>
          <w:sz w:val="28"/>
          <w:szCs w:val="40"/>
          <w:lang w:val="en-GB"/>
        </w:rPr>
      </w:pPr>
      <w:bookmarkStart w:id="20" w:name="_Toc223723739"/>
      <w:bookmarkStart w:id="21" w:name="_Toc224496016"/>
      <w:r>
        <w:rPr>
          <w:color w:val="000000"/>
          <w:lang w:val="en-GB"/>
        </w:rPr>
        <w:br w:type="page"/>
      </w:r>
    </w:p>
    <w:p>
      <w:pPr>
        <w:pStyle w:val="1"/>
        <w:rPr>
          <w:color w:val="000000"/>
          <w:lang w:val="en-GB"/>
        </w:rPr>
      </w:pPr>
      <w:r>
        <w:rPr>
          <w:color w:val="000000"/>
          <w:lang w:val="en-GB"/>
        </w:rPr>
        <w:t>2.0 Theoretical perspectives for improved patient outcomes</w:t>
      </w:r>
      <w:bookmarkEnd w:id="20"/>
      <w:bookmarkEnd w:id="21"/>
    </w:p>
    <w:p>
      <w:pPr>
        <w:pStyle w:val="2"/>
        <w:rPr>
          <w:color w:val="000000"/>
          <w:lang w:val="en-GB"/>
        </w:rPr>
      </w:pPr>
      <w:bookmarkStart w:id="22" w:name="_Toc223723740"/>
      <w:bookmarkStart w:id="23" w:name="_Toc224496017"/>
      <w:r>
        <w:rPr>
          <w:color w:val="000000"/>
          <w:lang w:val="en-GB"/>
        </w:rPr>
        <w:t>2.1 UK model: House of care model</w:t>
      </w:r>
      <w:bookmarkEnd w:id="22"/>
      <w:bookmarkEnd w:id="23"/>
    </w:p>
    <w:p>
      <w:pPr>
        <w:spacing w:line="360" w:lineRule="auto"/>
        <w:jc w:val="both"/>
        <w:rPr>
          <w:color w:val="000000"/>
          <w:sz w:val="24"/>
          <w:szCs w:val="24"/>
          <w:lang w:val="en-GB"/>
        </w:rPr>
      </w:pPr>
      <w:r>
        <w:rPr>
          <w:color w:val="000000"/>
          <w:sz w:val="24"/>
          <w:szCs w:val="24"/>
          <w:lang w:val="en-GB"/>
        </w:rPr>
        <w:t>In the UK, a commonly used theoretical framework for treating LTC in hypertension is the “house of care model”, facilitating healthcare professionals to foster positive patient outcomes through person-centred care (Hendry, 2020). NHS is responsible for developing the critical framework in collaboration with the year-of-care program. According to the model, to bring positive patient outcomes, the healthcare professionals and patients need to present a collaborative relationship. According to the framework, without continued clinical support, individuals affected with chronic health conditions, including hypertension, cannot manage health conditions effectively despite implementing evidence-based clinical interventions (Alliance Scotland, 2026).</w:t>
      </w:r>
    </w:p>
    <w:p>
      <w:pPr>
        <w:spacing w:line="360" w:lineRule="auto"/>
        <w:jc w:val="center"/>
        <w:rPr>
          <w:color w:val="000000"/>
          <w:sz w:val="24"/>
          <w:szCs w:val="24"/>
          <w:lang w:val="en-GB"/>
        </w:rPr>
      </w:pPr>
      <w:r>
        <w:rPr>
          <w:color w:val="000000"/>
          <w:sz w:val="24"/>
          <w:szCs w:val="24"/>
        </w:rPr>
        <w:drawing>
          <wp:inline distT="114300" distB="114300" distL="114300" distR="114300">
            <wp:extent cx="3607434" cy="3471333"/>
            <wp:effectExtent l="0" t="0" r="0" b="0"/>
            <wp:docPr id="22" name="图片 22"/>
            <wp:cNvGraphicFramePr>
              <a:graphicFrameLocks noChangeAspect="0"/>
            </wp:cNvGraphicFramePr>
            <a:graphic>
              <a:graphicData uri="http://schemas.openxmlformats.org/drawingml/2006/picture">
                <pic:pic>
                  <pic:nvPicPr>
                    <pic:cNvPr id="24" name="图片 24"/>
                    <pic:cNvPicPr/>
                  </pic:nvPicPr>
                  <pic:blipFill>
                    <a:blip r:embed="rId11"/>
                    <a:srcRect l="8849" r="8481"/>
                    <a:stretch>
                      <a:fillRect/>
                    </a:stretch>
                  </pic:blipFill>
                  <pic:spPr>
                    <a:xfrm rot="0">
                      <a:off x="0" y="0"/>
                      <a:ext cx="3607434" cy="3471333"/>
                    </a:xfrm>
                    <a:prstGeom prst="rect"/>
                    <a:noFill/>
                    <a:ln w="12700" cmpd="sng" cap="flat">
                      <a:solidFill>
                        <a:srgbClr val="000000"/>
                      </a:solidFill>
                      <a:prstDash val="solid"/>
                      <a:round/>
                    </a:ln>
                  </pic:spPr>
                </pic:pic>
              </a:graphicData>
            </a:graphic>
          </wp:inline>
        </w:drawing>
      </w:r>
    </w:p>
    <w:p>
      <w:pPr>
        <w:spacing w:line="360" w:lineRule="auto"/>
        <w:jc w:val="center"/>
        <w:rPr>
          <w:b/>
          <w:color w:val="000000"/>
          <w:sz w:val="24"/>
          <w:szCs w:val="24"/>
          <w:lang w:val="en-GB"/>
        </w:rPr>
      </w:pPr>
      <w:r>
        <w:rPr>
          <w:b/>
          <w:color w:val="000000"/>
          <w:sz w:val="24"/>
          <w:szCs w:val="24"/>
          <w:lang w:val="en-GB"/>
        </w:rPr>
        <w:t>Figure 8: House of Care model</w:t>
      </w:r>
    </w:p>
    <w:p>
      <w:pPr>
        <w:spacing w:line="360" w:lineRule="auto"/>
        <w:jc w:val="center"/>
        <w:rPr>
          <w:color w:val="000000"/>
          <w:sz w:val="24"/>
          <w:szCs w:val="24"/>
          <w:lang w:val="en-GB"/>
        </w:rPr>
      </w:pPr>
      <w:r>
        <w:rPr>
          <w:color w:val="000000"/>
          <w:sz w:val="24"/>
          <w:szCs w:val="24"/>
          <w:lang w:val="en-GB"/>
        </w:rPr>
        <w:t>(Source: BHF, 2026)</w:t>
      </w:r>
    </w:p>
    <w:p>
      <w:pPr>
        <w:spacing w:line="360" w:lineRule="auto"/>
        <w:jc w:val="both"/>
        <w:rPr>
          <w:color w:val="000000"/>
          <w:sz w:val="24"/>
          <w:szCs w:val="24"/>
          <w:lang w:val="en-GB"/>
        </w:rPr>
      </w:pPr>
      <w:r>
        <w:rPr>
          <w:color w:val="000000"/>
          <w:sz w:val="24"/>
          <w:szCs w:val="24"/>
          <w:lang w:val="en-GB"/>
        </w:rPr>
        <w:t>The figure represents a symbol of a house with four interrelated pillars or components. These areas are commitment of health and social care professionals for collaborative working, informing and engaging patients in the healthcare process, designing a friendly organisational infrastructure for facilitating coordinated care and developing a robust and collaborative commissioning structure (BHF, 2026). These four components revolve around the core of the model, collaborative care planning, ensuring active involvement of patients in the decision-making of healthcare management and treatment.</w:t>
      </w:r>
    </w:p>
    <w:p>
      <w:pPr>
        <w:spacing w:line="360" w:lineRule="auto"/>
        <w:jc w:val="both"/>
        <w:rPr>
          <w:color w:val="000000"/>
          <w:sz w:val="24"/>
          <w:szCs w:val="24"/>
          <w:lang w:val="en-GB"/>
        </w:rPr>
      </w:pPr>
      <w:r>
        <w:rPr>
          <w:color w:val="000000"/>
          <w:sz w:val="24"/>
          <w:szCs w:val="24"/>
          <w:lang w:val="en-GB"/>
        </w:rPr>
        <w:t xml:space="preserve">In the context of managing hypertension-affected patients, the model emphasises empowering and educating patients about the condition, along with tutorials to monitor blood pressure levels without assistance and take part in collaborative decision-making for the best treatment suggestions (Lay-Flurrie et al., 2020. In this way, healthcare professionals are advised to follow effective and transparent communication with the patient regarding the condition and the treatment so that the necessary clinical medication process and modifications of lifestyle behaviour can be effortlessly integrated with the consent and knowledge of the patient. </w:t>
      </w:r>
    </w:p>
    <w:p>
      <w:pPr>
        <w:pStyle w:val="2"/>
        <w:rPr>
          <w:color w:val="000000"/>
          <w:lang w:val="en-GB"/>
        </w:rPr>
      </w:pPr>
      <w:bookmarkStart w:id="24" w:name="_Toc223723741"/>
      <w:bookmarkStart w:id="25" w:name="_Toc224496018"/>
      <w:r>
        <w:rPr>
          <w:color w:val="000000"/>
          <w:lang w:val="en-GB"/>
        </w:rPr>
        <w:t>2.2 International model: Chronic Care Model (CCM)</w:t>
      </w:r>
      <w:bookmarkEnd w:id="24"/>
      <w:bookmarkEnd w:id="25"/>
    </w:p>
    <w:p>
      <w:pPr>
        <w:spacing w:line="360" w:lineRule="auto"/>
        <w:jc w:val="both"/>
        <w:rPr>
          <w:color w:val="000000"/>
          <w:sz w:val="24"/>
          <w:szCs w:val="24"/>
          <w:lang w:val="en-GB"/>
        </w:rPr>
      </w:pPr>
      <w:r>
        <w:rPr>
          <w:color w:val="000000"/>
          <w:sz w:val="24"/>
          <w:szCs w:val="24"/>
          <w:lang w:val="en-GB"/>
        </w:rPr>
        <w:t xml:space="preserve"> </w:t>
      </w:r>
      <w:r>
        <w:rPr>
          <w:color w:val="000000"/>
          <w:sz w:val="24"/>
          <w:szCs w:val="24"/>
        </w:rPr>
        <w:drawing>
          <wp:inline distT="114300" distB="114300" distL="114300" distR="114300">
            <wp:extent cx="3132666" cy="3352800"/>
            <wp:effectExtent l="0" t="0" r="0" b="0"/>
            <wp:docPr id="25" name="图片 25"/>
            <wp:cNvGraphicFramePr>
              <a:graphicFrameLocks noChangeAspect="0"/>
            </wp:cNvGraphicFramePr>
            <a:graphic>
              <a:graphicData uri="http://schemas.openxmlformats.org/drawingml/2006/picture">
                <pic:pic>
                  <pic:nvPicPr>
                    <pic:cNvPr id="27" name="图片 27"/>
                    <pic:cNvPicPr/>
                  </pic:nvPicPr>
                  <pic:blipFill>
                    <a:blip r:embed="rId12"/>
                    <a:stretch>
                      <a:fillRect/>
                    </a:stretch>
                  </pic:blipFill>
                  <pic:spPr>
                    <a:xfrm rot="0">
                      <a:off x="0" y="0"/>
                      <a:ext cx="3132666" cy="3352800"/>
                    </a:xfrm>
                    <a:prstGeom prst="rect"/>
                    <a:noFill/>
                    <a:ln w="12700" cmpd="sng" cap="flat">
                      <a:solidFill>
                        <a:srgbClr val="000000"/>
                      </a:solidFill>
                      <a:prstDash val="solid"/>
                      <a:round/>
                    </a:ln>
                  </pic:spPr>
                </pic:pic>
              </a:graphicData>
            </a:graphic>
          </wp:inline>
        </w:drawing>
      </w:r>
    </w:p>
    <w:p>
      <w:pPr>
        <w:spacing w:line="360" w:lineRule="auto"/>
        <w:jc w:val="center"/>
        <w:rPr>
          <w:b/>
          <w:color w:val="000000"/>
          <w:sz w:val="24"/>
          <w:szCs w:val="24"/>
          <w:lang w:val="en-GB"/>
        </w:rPr>
      </w:pPr>
      <w:r>
        <w:rPr>
          <w:b/>
          <w:color w:val="000000"/>
          <w:sz w:val="24"/>
          <w:szCs w:val="24"/>
          <w:lang w:val="en-GB"/>
        </w:rPr>
        <w:t>Figure 9: CCM</w:t>
      </w:r>
    </w:p>
    <w:p>
      <w:pPr>
        <w:spacing w:line="360" w:lineRule="auto"/>
        <w:jc w:val="center"/>
        <w:rPr>
          <w:color w:val="000000"/>
          <w:sz w:val="24"/>
          <w:szCs w:val="24"/>
          <w:lang w:val="en-GB"/>
        </w:rPr>
      </w:pPr>
      <w:r>
        <w:rPr>
          <w:color w:val="000000"/>
          <w:sz w:val="24"/>
          <w:szCs w:val="24"/>
          <w:lang w:val="en-GB"/>
        </w:rPr>
        <w:t>(Source: Grudniewicz et al., 2023)</w:t>
      </w:r>
    </w:p>
    <w:p>
      <w:pPr>
        <w:spacing w:line="360" w:lineRule="auto"/>
        <w:jc w:val="both"/>
        <w:rPr>
          <w:color w:val="000000"/>
          <w:sz w:val="24"/>
          <w:szCs w:val="24"/>
          <w:lang w:val="en-GB"/>
        </w:rPr>
      </w:pPr>
      <w:r>
        <w:rPr>
          <w:color w:val="000000"/>
          <w:sz w:val="24"/>
          <w:szCs w:val="24"/>
          <w:lang w:val="en-GB"/>
        </w:rPr>
        <w:t xml:space="preserve">CCM is a globally acknowledged theoretical framework for improved patient outcomes, designed by Wagner and teammates in the United States. According to the model, instead of impulsive and reactive treatment for severe health conditions and symptoms, a proactive approach is essential to facilitate better patient outcomes and consistent healthcare management through organised resources and systems (Grudniewicz et al., 2023). The significant components of the model are designed to retain healthcare benefits of the LTC through the design of system delivery, self-management support, decision-making support, community resources, clinical information system and healthcare settings. Collectively, these components facilitate transparent and informative communication between trained healthcare professionals and patients. Applying the model in the hypertension context suggests healthcare professionals incorporate routine monitoring of blood pressure level, patient-centred knowledge and education facilities and coordinated care between specialist professionals and primary care givers (Towfighi et al., 2021). In this way, CCM interventions can be implemented for improving patient outcomes with effective patient engagement in the process, which leads to lower blood pressure levels among them. </w:t>
      </w:r>
      <w:bookmarkStart w:id="26" w:name="_Toc223723742"/>
    </w:p>
    <w:p>
      <w:pPr>
        <w:rPr>
          <w:b/>
          <w:color w:val="000000"/>
          <w:sz w:val="28"/>
          <w:szCs w:val="40"/>
          <w:lang w:val="en-GB"/>
        </w:rPr>
      </w:pPr>
      <w:bookmarkStart w:id="27" w:name="_Toc224496019"/>
      <w:r>
        <w:rPr>
          <w:color w:val="000000"/>
          <w:lang w:val="en-GB"/>
        </w:rPr>
        <w:br w:type="page"/>
      </w:r>
    </w:p>
    <w:p>
      <w:pPr>
        <w:pStyle w:val="1"/>
        <w:rPr>
          <w:color w:val="000000"/>
          <w:lang w:val="en-GB"/>
        </w:rPr>
      </w:pPr>
      <w:r>
        <w:rPr>
          <w:color w:val="000000"/>
          <w:lang w:val="en-GB"/>
        </w:rPr>
        <w:t>3.0 Implementation of local and national political health and social care agendas for hypertension</w:t>
      </w:r>
      <w:bookmarkEnd w:id="26"/>
      <w:bookmarkEnd w:id="27"/>
    </w:p>
    <w:p>
      <w:pPr>
        <w:pStyle w:val="2"/>
        <w:rPr>
          <w:color w:val="000000"/>
          <w:lang w:val="en-GB"/>
        </w:rPr>
      </w:pPr>
      <w:bookmarkStart w:id="28" w:name="_Toc223723743"/>
      <w:bookmarkStart w:id="29" w:name="_Toc224496020"/>
      <w:r>
        <w:rPr>
          <w:color w:val="000000"/>
          <w:lang w:val="en-GB"/>
        </w:rPr>
        <w:t>3.1 National health and social care agenda: NHS long-term plan</w:t>
      </w:r>
      <w:bookmarkEnd w:id="28"/>
      <w:bookmarkEnd w:id="29"/>
    </w:p>
    <w:p>
      <w:pPr>
        <w:spacing w:line="360" w:lineRule="auto"/>
        <w:jc w:val="both"/>
        <w:rPr>
          <w:color w:val="000000"/>
          <w:sz w:val="24"/>
          <w:szCs w:val="24"/>
          <w:lang w:val="en-GB"/>
        </w:rPr>
      </w:pPr>
      <w:r>
        <w:rPr>
          <w:color w:val="000000"/>
          <w:sz w:val="24"/>
          <w:szCs w:val="24"/>
          <w:lang w:val="en-GB"/>
        </w:rPr>
        <w:t xml:space="preserve">A significant national political health and social care agenda for the chosen LTC is the NHS long-term plan, developed in 2019. This plan targets cardiovascular disease as a significant chronic illness and included in their prevention program, as hypertension is acknowledged to increase the risk of heart attack and stroke, causing the maximum number of deaths in the UK (NHS, 2026a). </w:t>
      </w:r>
    </w:p>
    <w:p>
      <w:pPr>
        <w:spacing w:line="360" w:lineRule="auto"/>
        <w:jc w:val="both"/>
        <w:rPr>
          <w:color w:val="000000"/>
          <w:sz w:val="24"/>
          <w:szCs w:val="24"/>
          <w:lang w:val="en-GB"/>
        </w:rPr>
      </w:pPr>
      <w:r>
        <w:rPr>
          <w:color w:val="000000"/>
          <w:sz w:val="24"/>
          <w:szCs w:val="24"/>
          <w:lang w:val="en-GB"/>
        </w:rPr>
        <w:t xml:space="preserve">The plan is dedicated to diagnosing, detecting, and treating the chronic disease at an early stage by controlling the level of high blood pressure through primary care services. Besides, nationwide healthcare screening initiatives, and community based health camps, and pharmacies aid this program, commonly known as the “NHS health check program” (Tanner et al., 2022). In this way, the plan is designed to adopt a proactive healthcare response for patients affected by the disease by incorporating lifestyle modification facilities and prescribed medication as a packaged management service. </w:t>
      </w:r>
    </w:p>
    <w:p>
      <w:pPr>
        <w:spacing w:line="360" w:lineRule="auto"/>
        <w:jc w:val="center"/>
        <w:rPr>
          <w:color w:val="000000"/>
          <w:sz w:val="24"/>
          <w:szCs w:val="24"/>
          <w:lang w:val="en-GB"/>
        </w:rPr>
      </w:pPr>
      <w:r>
        <w:rPr>
          <w:color w:val="000000"/>
        </w:rPr>
        <w:drawing>
          <wp:inline distT="0" distB="0" distL="0" distR="0">
            <wp:extent cx="2143125" cy="2143125"/>
            <wp:effectExtent l="0" t="0" r="0" b="0"/>
            <wp:docPr id="28" name="图片 28" descr="Working with Londoners to make health services better"/>
            <wp:cNvGraphicFramePr>
              <a:graphicFrameLocks noChangeAspect="1"/>
            </wp:cNvGraphicFramePr>
            <a:graphic>
              <a:graphicData uri="http://schemas.openxmlformats.org/drawingml/2006/picture">
                <pic:pic>
                  <pic:nvPicPr>
                    <pic:cNvPr id="30" name="图片 30"/>
                    <pic:cNvPicPr/>
                  </pic:nvPicPr>
                  <pic:blipFill>
                    <a:blip r:embed="rId13"/>
                    <a:stretch>
                      <a:fillRect/>
                    </a:stretch>
                  </pic:blipFill>
                  <pic:spPr>
                    <a:xfrm rot="0">
                      <a:off x="0" y="0"/>
                      <a:ext cx="2143125" cy="2143125"/>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10: NHS long-term plan 2029</w:t>
      </w:r>
    </w:p>
    <w:p>
      <w:pPr>
        <w:spacing w:line="360" w:lineRule="auto"/>
        <w:jc w:val="center"/>
        <w:rPr>
          <w:color w:val="000000"/>
          <w:sz w:val="24"/>
          <w:szCs w:val="24"/>
          <w:lang w:val="en-GB"/>
        </w:rPr>
      </w:pPr>
      <w:r>
        <w:rPr>
          <w:color w:val="000000"/>
          <w:sz w:val="24"/>
          <w:szCs w:val="24"/>
          <w:lang w:val="en-GB"/>
        </w:rPr>
        <w:t>(Source: NHS, 2026b)</w:t>
      </w:r>
    </w:p>
    <w:p>
      <w:pPr>
        <w:spacing w:line="360" w:lineRule="auto"/>
        <w:jc w:val="both"/>
        <w:rPr>
          <w:color w:val="000000"/>
          <w:sz w:val="24"/>
          <w:szCs w:val="24"/>
          <w:lang w:val="en-GB"/>
        </w:rPr>
      </w:pPr>
      <w:r>
        <w:rPr>
          <w:color w:val="000000"/>
          <w:sz w:val="24"/>
          <w:szCs w:val="24"/>
          <w:lang w:val="en-GB"/>
        </w:rPr>
        <w:t>This plan is designed to achieve the goal of preventing nearly 150,000 strokes, heart attack and dementia by 2029 with controlled measures for the LTC and further cardiovascular diseases (NHS, 2026b). In this way, the plan is designed to implement the processes at the early stage to prevent the disease and implement correct treatments along the way so that hospital admissions can be reduced, the cost can be managed, and patient outcomes can be achieved simultaneously for the disease.</w:t>
      </w:r>
    </w:p>
    <w:p>
      <w:pPr>
        <w:pStyle w:val="2"/>
        <w:rPr>
          <w:color w:val="000000"/>
          <w:lang w:val="en-GB"/>
        </w:rPr>
      </w:pPr>
      <w:bookmarkStart w:id="30" w:name="_Toc223723744"/>
      <w:bookmarkStart w:id="31" w:name="_Toc224496021"/>
      <w:r>
        <w:rPr>
          <w:color w:val="000000"/>
          <w:lang w:val="en-GB"/>
        </w:rPr>
        <w:t>3.2 National healthcare and clinical guidance: NICE guidelines</w:t>
      </w:r>
      <w:bookmarkEnd w:id="30"/>
      <w:bookmarkEnd w:id="31"/>
    </w:p>
    <w:p>
      <w:pPr>
        <w:spacing w:line="360" w:lineRule="auto"/>
        <w:jc w:val="both"/>
        <w:rPr>
          <w:color w:val="000000"/>
          <w:sz w:val="24"/>
          <w:szCs w:val="24"/>
          <w:lang w:val="en-GB"/>
        </w:rPr>
      </w:pPr>
      <w:r>
        <w:rPr>
          <w:color w:val="000000"/>
          <w:sz w:val="24"/>
          <w:szCs w:val="24"/>
          <w:lang w:val="en-GB"/>
        </w:rPr>
        <w:t xml:space="preserve">NICE offers specified clinical guidance for chosen healthcare diseases, including hypertension that supports early diagnosis and treatment facilities within the NHS network. NG 136 is the specific NICE guideline for diagnosing, evaluating and treating hypertension among adults by offering evidence-based recommendations (NICE, 2025). </w:t>
        <w:br/>
      </w:r>
      <w:r>
        <w:rPr>
          <w:color w:val="000000"/>
        </w:rPr>
        <w:drawing>
          <wp:inline distT="0" distB="0" distL="0" distR="0">
            <wp:extent cx="2743200" cy="1292047"/>
            <wp:effectExtent l="0" t="0" r="0" b="0"/>
            <wp:docPr id="31" name="图片 31" descr="Ambulatory Blood Pressure Monitoring:are we getting it right?"/>
            <wp:cNvGraphicFramePr>
              <a:graphicFrameLocks noChangeAspect="1"/>
            </wp:cNvGraphicFramePr>
            <a:graphic>
              <a:graphicData uri="http://schemas.openxmlformats.org/drawingml/2006/picture">
                <pic:pic>
                  <pic:nvPicPr>
                    <pic:cNvPr id="33" name="图片 33"/>
                    <pic:cNvPicPr/>
                  </pic:nvPicPr>
                  <pic:blipFill>
                    <a:blip r:embed="rId14"/>
                    <a:stretch>
                      <a:fillRect/>
                    </a:stretch>
                  </pic:blipFill>
                  <pic:spPr>
                    <a:xfrm rot="0">
                      <a:off x="0" y="0"/>
                      <a:ext cx="2743200" cy="1292047"/>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11: NICE guideline</w:t>
      </w:r>
    </w:p>
    <w:p>
      <w:pPr>
        <w:spacing w:line="360" w:lineRule="auto"/>
        <w:jc w:val="center"/>
        <w:rPr>
          <w:color w:val="000000"/>
          <w:sz w:val="24"/>
          <w:szCs w:val="24"/>
          <w:lang w:val="en-GB"/>
        </w:rPr>
      </w:pPr>
      <w:r>
        <w:rPr>
          <w:color w:val="000000"/>
          <w:sz w:val="24"/>
          <w:szCs w:val="24"/>
          <w:lang w:val="en-GB"/>
        </w:rPr>
        <w:t>(Source: NICE, 2025)</w:t>
      </w:r>
    </w:p>
    <w:p>
      <w:pPr>
        <w:spacing w:line="360" w:lineRule="auto"/>
        <w:jc w:val="both"/>
        <w:rPr>
          <w:color w:val="000000"/>
          <w:sz w:val="24"/>
          <w:szCs w:val="24"/>
          <w:lang w:val="en-GB"/>
        </w:rPr>
      </w:pPr>
      <w:r>
        <w:rPr>
          <w:color w:val="000000"/>
          <w:sz w:val="24"/>
          <w:szCs w:val="24"/>
          <w:lang w:val="en-GB"/>
        </w:rPr>
        <w:t>The recommended guideline is to monitor the level of blood pressure at home or in an ambulance for confirmed detection of the disease with accurate results. Besides, a phased pharmacological treatment on the way is essential to treat the disease, initiated with modifications in lifestyle behaviours and prescribed medications to clear channel blockers for calcium by inducing ACE inhibitors (Sinnott et ala., 2020). These guidelines create a structured framework for managing hypertension within the public health care facilities of the UK.</w:t>
      </w:r>
    </w:p>
    <w:p>
      <w:pPr>
        <w:pStyle w:val="2"/>
        <w:rPr>
          <w:color w:val="000000"/>
          <w:lang w:val="en-GB"/>
        </w:rPr>
      </w:pPr>
      <w:bookmarkStart w:id="32" w:name="_Toc223723745"/>
      <w:bookmarkStart w:id="33" w:name="_Toc224496022"/>
      <w:r>
        <w:rPr>
          <w:color w:val="000000"/>
          <w:lang w:val="en-GB"/>
        </w:rPr>
        <w:t>3.3 Local agenda: Integrated Care Systems (ICE)</w:t>
      </w:r>
      <w:bookmarkEnd w:id="32"/>
      <w:bookmarkEnd w:id="33"/>
    </w:p>
    <w:p>
      <w:pPr>
        <w:spacing w:line="360" w:lineRule="auto"/>
        <w:jc w:val="center"/>
        <w:rPr>
          <w:color w:val="000000"/>
          <w:sz w:val="24"/>
          <w:szCs w:val="24"/>
          <w:lang w:val="en-GB"/>
        </w:rPr>
      </w:pPr>
      <w:r>
        <w:rPr>
          <w:color w:val="000000"/>
          <w:sz w:val="24"/>
          <w:szCs w:val="24"/>
        </w:rPr>
        <w:drawing>
          <wp:inline distT="0" distB="0" distL="0" distR="0">
            <wp:extent cx="2743200" cy="3271233"/>
            <wp:effectExtent l="0" t="0" r="0" b="0"/>
            <wp:docPr id="34" name="图片 34"/>
            <wp:cNvGraphicFramePr>
              <a:graphicFrameLocks noChangeAspect="1"/>
            </wp:cNvGraphicFramePr>
            <a:graphic>
              <a:graphicData uri="http://schemas.openxmlformats.org/drawingml/2006/picture">
                <pic:pic>
                  <pic:nvPicPr>
                    <pic:cNvPr id="36" name="图片 36"/>
                    <pic:cNvPicPr/>
                  </pic:nvPicPr>
                  <pic:blipFill>
                    <a:blip r:embed="rId15"/>
                    <a:stretch>
                      <a:fillRect/>
                    </a:stretch>
                  </pic:blipFill>
                  <pic:spPr>
                    <a:xfrm rot="0">
                      <a:off x="0" y="0"/>
                      <a:ext cx="2743200" cy="3271233"/>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12: ICE in UK</w:t>
      </w:r>
    </w:p>
    <w:p>
      <w:pPr>
        <w:spacing w:line="360" w:lineRule="auto"/>
        <w:jc w:val="center"/>
        <w:rPr>
          <w:color w:val="000000"/>
          <w:sz w:val="24"/>
          <w:szCs w:val="24"/>
          <w:lang w:val="en-GB"/>
        </w:rPr>
      </w:pPr>
      <w:r>
        <w:rPr>
          <w:color w:val="000000"/>
          <w:sz w:val="24"/>
          <w:szCs w:val="24"/>
          <w:lang w:val="en-GB"/>
        </w:rPr>
        <w:t>(Source: Ling et al., 2025)</w:t>
      </w:r>
    </w:p>
    <w:p>
      <w:pPr>
        <w:spacing w:line="360" w:lineRule="auto"/>
        <w:jc w:val="both"/>
        <w:rPr>
          <w:color w:val="000000"/>
          <w:sz w:val="24"/>
          <w:szCs w:val="24"/>
          <w:lang w:val="en-GB"/>
        </w:rPr>
      </w:pPr>
      <w:r>
        <w:rPr>
          <w:color w:val="000000"/>
          <w:sz w:val="24"/>
          <w:szCs w:val="24"/>
          <w:lang w:val="en-GB"/>
        </w:rPr>
        <w:t>ICE is a significant contribution to the national social care agenda dedicated to serving in geographic regions of the UK. This agenda is designed to implement national policies on a local level to offer better management of hypertension. This proactive approach was designed and established in 2022 across England for developing a coordinated healthcare facility between NHS network providers and local communities for addressing public health concerns (Ling et al., 2025). As millions of people in the UK are living with hypertension without proper diagnosis, the primary aim of the agenda is to detect these cases as much as possible to address the major public health concern. Examples of community-based healthcare initiatives under this agenda include phased healthcare screening, consistent checking of blood pressure levels at regular intervals in local regions for detecting individuals with hypertension, deprived of superior healthcare access. In this way, a better management of hypertension can be achieved on a public health level.</w:t>
      </w:r>
    </w:p>
    <w:p>
      <w:pPr>
        <w:rPr>
          <w:b/>
          <w:color w:val="000000"/>
          <w:sz w:val="28"/>
          <w:szCs w:val="40"/>
          <w:lang w:val="en-GB"/>
        </w:rPr>
      </w:pPr>
      <w:bookmarkStart w:id="34" w:name="_Toc223723746"/>
      <w:bookmarkStart w:id="35" w:name="_Toc224496023"/>
      <w:r>
        <w:rPr>
          <w:color w:val="000000"/>
          <w:lang w:val="en-GB"/>
        </w:rPr>
        <w:br w:type="page"/>
      </w:r>
    </w:p>
    <w:p>
      <w:pPr>
        <w:pStyle w:val="1"/>
        <w:rPr>
          <w:color w:val="000000"/>
          <w:lang w:val="en-GB"/>
        </w:rPr>
      </w:pPr>
      <w:r>
        <w:rPr>
          <w:color w:val="000000"/>
          <w:lang w:val="en-GB"/>
        </w:rPr>
        <w:t>4.0 Recommendations</w:t>
      </w:r>
      <w:bookmarkEnd w:id="34"/>
      <w:bookmarkEnd w:id="35"/>
    </w:p>
    <w:p>
      <w:pPr>
        <w:pStyle w:val="2"/>
        <w:rPr>
          <w:color w:val="000000"/>
          <w:lang w:val="en-GB"/>
        </w:rPr>
      </w:pPr>
      <w:bookmarkStart w:id="36" w:name="_Toc223723747"/>
      <w:bookmarkStart w:id="37" w:name="_Toc224496024"/>
      <w:r>
        <w:rPr>
          <w:color w:val="000000"/>
          <w:lang w:val="en-GB"/>
        </w:rPr>
        <w:t>4.1 Person-centred care (PCC)</w:t>
      </w:r>
      <w:bookmarkEnd w:id="36"/>
      <w:bookmarkEnd w:id="37"/>
    </w:p>
    <w:p>
      <w:pPr>
        <w:spacing w:line="360" w:lineRule="auto"/>
        <w:jc w:val="both"/>
        <w:rPr>
          <w:color w:val="000000"/>
          <w:sz w:val="24"/>
          <w:szCs w:val="24"/>
          <w:lang w:val="en-GB"/>
        </w:rPr>
      </w:pPr>
      <w:r>
        <w:rPr>
          <w:color w:val="000000"/>
          <w:sz w:val="24"/>
          <w:szCs w:val="24"/>
          <w:lang w:val="en-GB"/>
        </w:rPr>
        <w:t xml:space="preserve">Better management of hypertension for PCC can be ensured by actively involving patients in decision-making processes for educating them about the condition, selecting the best treatment and convincing them of better modifications of lifestyle (Manalili et al., 2022). </w:t>
      </w:r>
    </w:p>
    <w:p>
      <w:pPr>
        <w:spacing w:line="360" w:lineRule="auto"/>
        <w:jc w:val="both"/>
        <w:rPr>
          <w:color w:val="000000"/>
          <w:sz w:val="24"/>
          <w:szCs w:val="24"/>
          <w:lang w:val="en-GB"/>
        </w:rPr>
      </w:pPr>
      <w:r>
        <w:rPr>
          <w:color w:val="000000"/>
          <w:sz w:val="24"/>
          <w:szCs w:val="24"/>
        </w:rPr>
        <w:drawing>
          <wp:inline distT="0" distB="0" distL="0" distR="0">
            <wp:extent cx="2936684" cy="3200400"/>
            <wp:effectExtent l="0" t="0" r="0" b="0"/>
            <wp:docPr id="37" name="图片 37"/>
            <wp:cNvGraphicFramePr>
              <a:graphicFrameLocks noChangeAspect="1"/>
            </wp:cNvGraphicFramePr>
            <a:graphic>
              <a:graphicData uri="http://schemas.openxmlformats.org/drawingml/2006/picture">
                <pic:pic>
                  <pic:nvPicPr>
                    <pic:cNvPr id="39" name="图片 39"/>
                    <pic:cNvPicPr/>
                  </pic:nvPicPr>
                  <pic:blipFill>
                    <a:blip r:embed="rId16"/>
                    <a:stretch>
                      <a:fillRect/>
                    </a:stretch>
                  </pic:blipFill>
                  <pic:spPr>
                    <a:xfrm rot="0">
                      <a:off x="0" y="0"/>
                      <a:ext cx="2936684" cy="3200400"/>
                    </a:xfrm>
                    <a:prstGeom prst="rect"/>
                    <a:noFill/>
                    <a:ln w="9525" cmpd="sng" cap="flat">
                      <a:noFill/>
                      <a:prstDash val="solid"/>
                      <a:miter/>
                    </a:ln>
                  </pic:spPr>
                </pic:pic>
              </a:graphicData>
            </a:graphic>
          </wp:inline>
        </w:drawing>
      </w:r>
    </w:p>
    <w:p>
      <w:pPr>
        <w:spacing w:line="360" w:lineRule="auto"/>
        <w:jc w:val="center"/>
        <w:rPr>
          <w:b/>
          <w:color w:val="000000"/>
          <w:sz w:val="24"/>
          <w:szCs w:val="24"/>
          <w:lang w:val="en-GB"/>
        </w:rPr>
      </w:pPr>
      <w:r>
        <w:rPr>
          <w:b/>
          <w:color w:val="000000"/>
          <w:sz w:val="24"/>
          <w:szCs w:val="24"/>
          <w:lang w:val="en-GB"/>
        </w:rPr>
        <w:t>Figure 13: PCC model</w:t>
      </w:r>
    </w:p>
    <w:p>
      <w:pPr>
        <w:spacing w:line="360" w:lineRule="auto"/>
        <w:jc w:val="center"/>
        <w:rPr>
          <w:color w:val="000000"/>
          <w:sz w:val="24"/>
          <w:szCs w:val="24"/>
          <w:lang w:val="en-GB"/>
        </w:rPr>
      </w:pPr>
      <w:r>
        <w:rPr>
          <w:color w:val="000000"/>
          <w:sz w:val="24"/>
          <w:szCs w:val="24"/>
          <w:lang w:val="en-GB"/>
        </w:rPr>
        <w:t>(Source: Manalili et al., 2022)</w:t>
      </w:r>
    </w:p>
    <w:p>
      <w:pPr>
        <w:spacing w:line="360" w:lineRule="auto"/>
        <w:jc w:val="both"/>
        <w:rPr>
          <w:color w:val="000000"/>
          <w:sz w:val="24"/>
          <w:szCs w:val="24"/>
          <w:lang w:val="en-GB"/>
        </w:rPr>
      </w:pPr>
      <w:r>
        <w:rPr>
          <w:color w:val="000000"/>
          <w:sz w:val="24"/>
          <w:szCs w:val="24"/>
          <w:lang w:val="en-GB"/>
        </w:rPr>
        <w:t xml:space="preserve">In this way, healthcare professionals are recommended to adopt a collaborative decision-making approach so that patients can interact with them clearly and receive personalised, coordinated and enabled care. </w:t>
      </w:r>
    </w:p>
    <w:p>
      <w:pPr>
        <w:pStyle w:val="2"/>
        <w:rPr>
          <w:color w:val="000000"/>
          <w:lang w:val="en-GB"/>
        </w:rPr>
      </w:pPr>
      <w:bookmarkStart w:id="38" w:name="_Toc223723748"/>
      <w:bookmarkStart w:id="39" w:name="_Toc224496025"/>
      <w:r>
        <w:rPr>
          <w:color w:val="000000"/>
          <w:lang w:val="en-GB"/>
        </w:rPr>
        <w:t>4.2 Self-management support</w:t>
      </w:r>
      <w:bookmarkEnd w:id="38"/>
      <w:bookmarkEnd w:id="39"/>
    </w:p>
    <w:p>
      <w:pPr>
        <w:spacing w:line="360" w:lineRule="auto"/>
        <w:jc w:val="both"/>
        <w:rPr>
          <w:color w:val="000000"/>
          <w:sz w:val="24"/>
          <w:szCs w:val="24"/>
          <w:lang w:val="en-GB"/>
        </w:rPr>
      </w:pPr>
      <w:r>
        <w:rPr>
          <w:color w:val="000000"/>
          <w:sz w:val="24"/>
          <w:szCs w:val="24"/>
          <w:lang w:val="en-GB"/>
        </w:rPr>
        <w:t>Retaining controlled health management of patients diagnosed with hypertension depends on self-management. Apart from healthcare literacy, patients should be informed about monitoring blood pressure at home, be aware of inclusion and exclusion criteria, increase physical exercise and reduce sodium intake (Chappell et al., 2022). Community pharmacies and primary care givers can offer healthcare literacy to the patients affected by hypertension and boost their emotional strength regarding overcoming the condition systematically. In this way, with professional caregiving support and at-home monitoring of blood pressure level patients can improve faster.</w:t>
      </w:r>
    </w:p>
    <w:p>
      <w:pPr>
        <w:rPr>
          <w:b/>
          <w:color w:val="000000"/>
          <w:sz w:val="24"/>
          <w:szCs w:val="32"/>
          <w:lang w:val="en-GB"/>
        </w:rPr>
      </w:pPr>
      <w:bookmarkStart w:id="40" w:name="_Toc223723749"/>
      <w:bookmarkStart w:id="41" w:name="_Toc224496026"/>
      <w:r>
        <w:rPr>
          <w:color w:val="000000"/>
          <w:lang w:val="en-GB"/>
        </w:rPr>
        <w:br w:type="page"/>
      </w:r>
    </w:p>
    <w:p>
      <w:pPr>
        <w:pStyle w:val="2"/>
        <w:rPr>
          <w:color w:val="000000"/>
          <w:lang w:val="en-GB"/>
        </w:rPr>
      </w:pPr>
      <w:r>
        <w:rPr>
          <w:color w:val="000000"/>
          <w:lang w:val="en-GB"/>
        </w:rPr>
        <w:t>4.3 End-of-Life care</w:t>
      </w:r>
      <w:bookmarkEnd w:id="40"/>
      <w:bookmarkEnd w:id="41"/>
    </w:p>
    <w:p>
      <w:pPr>
        <w:spacing w:line="360" w:lineRule="auto"/>
        <w:jc w:val="both"/>
        <w:rPr>
          <w:color w:val="000000"/>
          <w:sz w:val="24"/>
          <w:szCs w:val="24"/>
          <w:lang w:val="en-GB"/>
        </w:rPr>
      </w:pPr>
      <w:r>
        <w:rPr>
          <w:color w:val="000000"/>
          <w:sz w:val="24"/>
          <w:szCs w:val="24"/>
        </w:rPr>
        <w:drawing>
          <wp:anchor distT="0" distB="0" distL="114300" distR="114300" simplePos="0" relativeHeight="36" behindDoc="0" locked="0" layoutInCell="1" hidden="0" allowOverlap="1">
            <wp:simplePos x="0" y="0"/>
            <wp:positionH relativeFrom="column">
              <wp:posOffset>-474344</wp:posOffset>
            </wp:positionH>
            <wp:positionV relativeFrom="paragraph">
              <wp:posOffset>168910</wp:posOffset>
            </wp:positionV>
            <wp:extent cx="3303270" cy="3454399"/>
            <wp:effectExtent l="0" t="0" r="0" b="0"/>
            <wp:wrapThrough wrapText="bothSides">
              <wp:wrapPolygon>
                <wp:start x="-12" y="-32"/>
                <wp:lineTo x="-12" y="21587"/>
                <wp:lineTo x="21599" y="21587"/>
                <wp:lineTo x="21599" y="-32"/>
                <wp:lineTo x="-12" y="-32"/>
              </wp:wrapPolygon>
            </wp:wrapThrough>
            <wp:docPr id="40" name="图片 40" descr="A diagram of the Five Principles"/>
            <wp:cNvGraphicFramePr>
              <a:graphicFrameLocks noChangeAspect="1"/>
            </wp:cNvGraphicFramePr>
            <a:graphic>
              <a:graphicData uri="http://schemas.openxmlformats.org/drawingml/2006/picture">
                <pic:pic>
                  <pic:nvPicPr>
                    <pic:cNvPr id="42" name="图片 42"/>
                    <pic:cNvPicPr/>
                  </pic:nvPicPr>
                  <pic:blipFill>
                    <a:blip r:embed="rId17"/>
                    <a:srcRect t="11565"/>
                    <a:stretch>
                      <a:fillRect/>
                    </a:stretch>
                  </pic:blipFill>
                  <pic:spPr>
                    <a:xfrm rot="0">
                      <a:off x="0" y="0"/>
                      <a:ext cx="3303270" cy="3454399"/>
                    </a:xfrm>
                    <a:prstGeom prst="rect"/>
                    <a:noFill/>
                    <a:ln w="9525" cmpd="sng" cap="flat">
                      <a:noFill/>
                      <a:prstDash val="solid"/>
                      <a:miter/>
                    </a:ln>
                  </pic:spPr>
                </pic:pic>
              </a:graphicData>
            </a:graphic>
          </wp:anchor>
        </w:drawing>
      </w:r>
    </w:p>
    <w:p>
      <w:pPr>
        <w:spacing w:line="360" w:lineRule="auto"/>
        <w:jc w:val="center"/>
        <w:rPr>
          <w:b/>
          <w:color w:val="000000"/>
          <w:sz w:val="24"/>
          <w:szCs w:val="24"/>
          <w:lang w:val="en-GB"/>
        </w:rPr>
      </w:pPr>
      <w:r>
        <w:rPr>
          <w:b/>
          <w:color w:val="000000"/>
          <w:sz w:val="24"/>
          <w:szCs w:val="24"/>
          <w:lang w:val="en-GB"/>
        </w:rPr>
        <w:t>Figure 14: EOL care</w:t>
      </w:r>
    </w:p>
    <w:p>
      <w:pPr>
        <w:spacing w:line="360" w:lineRule="auto"/>
        <w:jc w:val="center"/>
        <w:rPr>
          <w:color w:val="000000"/>
          <w:sz w:val="24"/>
          <w:szCs w:val="24"/>
          <w:lang w:val="en-GB"/>
        </w:rPr>
      </w:pPr>
      <w:r>
        <w:rPr>
          <w:color w:val="000000"/>
          <w:sz w:val="24"/>
          <w:szCs w:val="24"/>
          <w:lang w:val="en-GB"/>
        </w:rPr>
        <w:t>(Source: Kulkarni et al., 2023)</w:t>
      </w:r>
    </w:p>
    <w:p>
      <w:pPr>
        <w:spacing w:line="360" w:lineRule="auto"/>
        <w:jc w:val="both"/>
        <w:rPr>
          <w:color w:val="000000"/>
          <w:sz w:val="24"/>
          <w:szCs w:val="24"/>
          <w:lang w:val="en-GB"/>
        </w:rPr>
      </w:pPr>
      <w:r>
        <w:rPr>
          <w:color w:val="000000"/>
          <w:sz w:val="24"/>
          <w:szCs w:val="24"/>
          <w:lang w:val="en-GB"/>
        </w:rPr>
        <w:t>In case of severe cardiovascular diseases such as heart attack and stroke, person-centred palliative care is essential for controlling the situation to prevent further acceleration. This care service needs to revolve around effective management and detection of symptoms, protecting the dignity of patients and facilitating their families to engage in decision-making for selecting treatment options (Kulkarni et al., 2023). Besides improving the quality of life, early discussions regarding the care preference are recommended so that the individual's values are matched with the chosen treatment and care of hypertension.</w:t>
      </w:r>
    </w:p>
    <w:p>
      <w:pPr>
        <w:rPr>
          <w:b/>
          <w:color w:val="000000"/>
          <w:sz w:val="28"/>
          <w:szCs w:val="40"/>
          <w:lang w:val="en-GB"/>
        </w:rPr>
      </w:pPr>
      <w:bookmarkStart w:id="42" w:name="_Toc223723750"/>
      <w:bookmarkStart w:id="43" w:name="_Toc224496027"/>
      <w:r>
        <w:rPr>
          <w:color w:val="000000"/>
          <w:lang w:val="en-GB"/>
        </w:rPr>
        <w:br w:type="page"/>
      </w:r>
    </w:p>
    <w:p>
      <w:pPr>
        <w:pStyle w:val="1"/>
        <w:rPr>
          <w:color w:val="000000"/>
          <w:lang w:val="en-GB"/>
        </w:rPr>
      </w:pPr>
      <w:r>
        <w:rPr>
          <w:color w:val="000000"/>
          <w:lang w:val="en-GB"/>
        </w:rPr>
        <w:t>Conclusion</w:t>
      </w:r>
      <w:bookmarkEnd w:id="42"/>
      <w:bookmarkEnd w:id="43"/>
    </w:p>
    <w:p>
      <w:pPr>
        <w:spacing w:line="360" w:lineRule="auto"/>
        <w:jc w:val="both"/>
        <w:rPr>
          <w:color w:val="000000"/>
          <w:sz w:val="24"/>
          <w:szCs w:val="24"/>
          <w:lang w:val="en-GB"/>
        </w:rPr>
      </w:pPr>
      <w:r>
        <w:rPr>
          <w:color w:val="000000"/>
          <w:sz w:val="24"/>
          <w:szCs w:val="24"/>
          <w:lang w:val="en-GB"/>
        </w:rPr>
        <w:t>Hypertension is a major public health concern in the UK and worldwide as it is one of the leading factors of deaths, including early deaths, affecting the physical, psychological and social well-being of an individual. Considering the significance of the severity and its implications the chronic condition requires structured detection, diagnosis, treatment and prevention care. Evidence based treatments available in the UK covers the majority of these suspects including pharmacological therapy, at home monitoring and modification of lifestyle. These collective measures control the blood pressure level and prevent further worsening of the long-term condition. Additionally, the national and local health and social care agendas facilitated these strategies by adopting proactive approaches for positive patient outcomes. It is expected that the recommended person centred approaches with improved in life care and self management strategies can facilitate positive patient outcome for hypertension.</w:t>
      </w:r>
    </w:p>
    <w:p>
      <w:pPr>
        <w:rPr>
          <w:b/>
          <w:color w:val="000000"/>
          <w:sz w:val="28"/>
          <w:szCs w:val="28"/>
        </w:rPr>
      </w:pPr>
      <w:bookmarkStart w:id="44" w:name="_Toc223723751"/>
      <w:bookmarkStart w:id="45" w:name="_Toc224496028"/>
      <w:r>
        <w:rPr>
          <w:color w:val="000000"/>
          <w:szCs w:val="28"/>
        </w:rPr>
        <w:br w:type="page"/>
      </w:r>
    </w:p>
    <w:p>
      <w:pPr>
        <w:pStyle w:val="1"/>
        <w:rPr>
          <w:color w:val="000000"/>
          <w:sz w:val="24"/>
          <w:szCs w:val="24"/>
          <w:lang w:val="en-GB"/>
        </w:rPr>
      </w:pPr>
      <w:r>
        <w:rPr>
          <w:color w:val="000000"/>
          <w:szCs w:val="28"/>
        </w:rPr>
        <w:t>References</w:t>
      </w:r>
      <w:bookmarkEnd w:id="44"/>
      <w:bookmarkEnd w:id="45"/>
    </w:p>
    <w:p>
      <w:pPr>
        <w:spacing w:before="240" w:line="360" w:lineRule="auto"/>
        <w:jc w:val="both"/>
        <w:rPr>
          <w:color w:val="000000"/>
          <w:sz w:val="24"/>
          <w:szCs w:val="24"/>
          <w:lang w:val="en-GB"/>
        </w:rPr>
      </w:pPr>
      <w:r>
        <w:rPr>
          <w:color w:val="000000"/>
          <w:sz w:val="24"/>
          <w:szCs w:val="24"/>
          <w:lang w:val="en-GB"/>
        </w:rPr>
        <w:t>Ahmad, H., Khan, H., Haque, S., Ahmad, S., Srivastava, N. and Khan, A. (2023) ‘Angiotensin-converting enzyme and hypertension: a systemic analysis of various ACE inhibitors, their side effects, and bioactive peptides as a putative therapy for hypertension’, Journal of the Renin-Angiotensin-Aldosterone System, 2023, p.7890188. Available at: https://doi.org/10.1155/2023/7890188</w:t>
      </w:r>
    </w:p>
    <w:p>
      <w:pPr>
        <w:spacing w:before="240" w:line="360" w:lineRule="auto"/>
        <w:jc w:val="both"/>
        <w:rPr>
          <w:color w:val="000000"/>
          <w:sz w:val="24"/>
          <w:szCs w:val="24"/>
          <w:lang w:val="en-GB"/>
        </w:rPr>
      </w:pPr>
      <w:r>
        <w:rPr>
          <w:color w:val="000000"/>
          <w:sz w:val="24"/>
          <w:szCs w:val="24"/>
          <w:lang w:val="en-GB"/>
        </w:rPr>
        <w:t>Alliance Scotland (2026) The House of Care Model. Available at: https://www.alliance-scotland.org.uk/past-work-and-projects/scotlands-house-of-care/the-house-of-care-model/ (Accessed: 1st March 2026)</w:t>
      </w:r>
    </w:p>
    <w:p>
      <w:pPr>
        <w:spacing w:before="240" w:line="360" w:lineRule="auto"/>
        <w:jc w:val="both"/>
        <w:rPr>
          <w:color w:val="000000"/>
          <w:sz w:val="24"/>
          <w:szCs w:val="24"/>
          <w:lang w:val="en-GB"/>
        </w:rPr>
      </w:pPr>
      <w:r>
        <w:rPr>
          <w:color w:val="000000"/>
          <w:sz w:val="24"/>
          <w:szCs w:val="24"/>
          <w:lang w:val="en-GB"/>
        </w:rPr>
        <w:t>BHF (2026) Person-centred care and the House of Care. Available at: https://www.bhf.org.uk/for-professionals/healthcare-professionals/innovation-in-care/person-centred-care-and-the-house-of-care (Accessed: 2nd March 2026)</w:t>
      </w:r>
    </w:p>
    <w:p>
      <w:pPr>
        <w:spacing w:before="240" w:line="360" w:lineRule="auto"/>
        <w:jc w:val="both"/>
        <w:rPr>
          <w:color w:val="000000"/>
          <w:sz w:val="24"/>
          <w:szCs w:val="24"/>
          <w:lang w:val="en-GB"/>
        </w:rPr>
      </w:pPr>
      <w:r>
        <w:rPr>
          <w:color w:val="000000"/>
          <w:sz w:val="24"/>
          <w:szCs w:val="24"/>
          <w:lang w:val="en-GB"/>
        </w:rPr>
        <w:t>Carey, R.M., Wright Jr, J.T., Taler, S.J. and Whelton, P.K. (2021) ‘Guideline-driven management of hypertension: an evidence-based update’, Circulation research, 128(7), pp.827-846. Available at: https://doi.org/10.1161/CIRCRESAHA.121.318083</w:t>
      </w:r>
    </w:p>
    <w:p>
      <w:pPr>
        <w:spacing w:before="240" w:line="360" w:lineRule="auto"/>
        <w:jc w:val="both"/>
        <w:rPr>
          <w:color w:val="000000"/>
          <w:sz w:val="24"/>
          <w:szCs w:val="24"/>
          <w:lang w:val="en-GB"/>
        </w:rPr>
      </w:pPr>
      <w:r>
        <w:rPr>
          <w:color w:val="000000"/>
          <w:sz w:val="24"/>
          <w:szCs w:val="24"/>
          <w:lang w:val="en-GB"/>
        </w:rPr>
        <w:t>Chappell, L.C., Tucker, K.L., Galal, U., Yu, L.M., Campbell, H., Rivero-Arias, O., Allen, J., Band, R., Chisholm, A., Crawford, C. and Dougall, G. (2022) ‘Effect of self-monitoring of blood pressure on blood pressure control in pregnant individuals with chronic or gestational hypertension: the BUMP 2 randomized clinical trial’, Jama, 327(17), pp.1666-1678. Available at: https://doi.org/10.1001/jama.2022.4726</w:t>
      </w:r>
    </w:p>
    <w:p>
      <w:pPr>
        <w:spacing w:before="240" w:line="360" w:lineRule="auto"/>
        <w:jc w:val="both"/>
        <w:rPr>
          <w:color w:val="000000"/>
          <w:sz w:val="24"/>
          <w:szCs w:val="24"/>
          <w:lang w:val="en-GB"/>
        </w:rPr>
      </w:pPr>
      <w:r>
        <w:rPr>
          <w:color w:val="000000"/>
          <w:sz w:val="24"/>
          <w:szCs w:val="24"/>
          <w:lang w:val="en-GB"/>
        </w:rPr>
        <w:t>Conklin, A.I. and Guo, P.N ( 2024) ‘Gender and Social Connections as Determinants of Hypertension: A Systematic Review of Longitudinal Studies’, Reviews in Cardiovascular Medicine, 25(11), p.424. Available at: https://doi.org/10.31083/j.rcm2511424</w:t>
      </w:r>
    </w:p>
    <w:p>
      <w:pPr>
        <w:spacing w:before="240" w:line="360" w:lineRule="auto"/>
        <w:jc w:val="both"/>
        <w:rPr>
          <w:color w:val="000000"/>
          <w:sz w:val="24"/>
          <w:szCs w:val="24"/>
          <w:lang w:val="en-GB"/>
        </w:rPr>
      </w:pPr>
      <w:r>
        <w:rPr>
          <w:color w:val="000000"/>
          <w:sz w:val="24"/>
          <w:szCs w:val="24"/>
          <w:lang w:val="en-GB"/>
        </w:rPr>
        <w:t>De Bhailis, Á.M. and Kalra, P.A. (2022) ‘Hypertension and the kidneys’, British journal of hospital medicine, 83(5), pp.1-11. Available at: https://doi.org/10.12968/hmed.2021.0440</w:t>
      </w:r>
    </w:p>
    <w:p>
      <w:pPr>
        <w:spacing w:before="240" w:line="360" w:lineRule="auto"/>
        <w:jc w:val="both"/>
        <w:rPr>
          <w:color w:val="000000"/>
          <w:sz w:val="24"/>
          <w:szCs w:val="24"/>
          <w:lang w:val="en-GB"/>
        </w:rPr>
      </w:pPr>
      <w:r>
        <w:rPr>
          <w:color w:val="000000"/>
          <w:sz w:val="24"/>
          <w:szCs w:val="24"/>
          <w:lang w:val="en-GB"/>
        </w:rPr>
        <w:t>Dziedziak, J., Zaleska-Żmijewska, A., Szaflik, J.P. and Cudnoch-Jędrzejewska, A. (2022) ‘Impact of arterial hypertension on the eye: a review of the pathogenesis, diagnostic methods, and treatment of hypertensive retinopathy’, Medical Science Monitor: International Medical Journal of Experimental and Clinical Research, 28, pp.e935135-1. Available at: https://doi.org/10.12659/MSM.935135</w:t>
      </w:r>
    </w:p>
    <w:p>
      <w:pPr>
        <w:spacing w:before="240" w:line="360" w:lineRule="auto"/>
        <w:jc w:val="both"/>
        <w:rPr>
          <w:color w:val="000000"/>
          <w:sz w:val="24"/>
          <w:szCs w:val="24"/>
          <w:lang w:val="en-GB"/>
        </w:rPr>
      </w:pPr>
      <w:r>
        <w:rPr>
          <w:color w:val="000000"/>
          <w:sz w:val="24"/>
          <w:szCs w:val="24"/>
          <w:lang w:val="en-GB"/>
        </w:rPr>
        <w:t>ESCARDIO (2025) Understanding the Burden of CVD. Available at: https://www.escardio.org/data-science/data-collection/leveraging-data/understanding-the-burden-of-cvd-facts-and-figures/ (Accessed: 1st March 2026)</w:t>
      </w:r>
    </w:p>
    <w:p>
      <w:pPr>
        <w:spacing w:before="240" w:line="360" w:lineRule="auto"/>
        <w:jc w:val="both"/>
        <w:rPr>
          <w:color w:val="000000"/>
          <w:sz w:val="24"/>
          <w:szCs w:val="24"/>
          <w:lang w:val="en-GB"/>
        </w:rPr>
      </w:pPr>
      <w:r>
        <w:rPr>
          <w:color w:val="000000"/>
          <w:sz w:val="24"/>
          <w:szCs w:val="24"/>
          <w:lang w:val="en-GB"/>
        </w:rPr>
        <w:t>Fuge, J., Park, D.H., von Lengerke, T., Richter, M.J., Gall, H., Ghofrani, H.A., Kamp, J.C., Hoeper, M.M. and Olsson, K.M. (2022) ‘Impact of pulmonary arterial hypertension on employment, work productivity, and quality of life-results of a cross-sectional multi-center study’, Frontiers in psychiatry, 12, p.781532. Available at: https://doi.org/10.3389/fpsyt.2021.781532</w:t>
      </w:r>
    </w:p>
    <w:p>
      <w:pPr>
        <w:spacing w:before="240" w:line="360" w:lineRule="auto"/>
        <w:jc w:val="both"/>
        <w:rPr>
          <w:color w:val="000000"/>
          <w:sz w:val="24"/>
          <w:szCs w:val="24"/>
          <w:lang w:val="en-GB"/>
        </w:rPr>
      </w:pPr>
      <w:r>
        <w:rPr>
          <w:color w:val="000000"/>
          <w:sz w:val="24"/>
          <w:szCs w:val="24"/>
          <w:lang w:val="en-GB"/>
        </w:rPr>
        <w:t>Grudniewicz, A., Gray, C.S., Boeckxstaens, P., De Maeseneer, J. and Mold, J. (2023) ‘Operationalizing the chronic care model with goal-oriented care’, The Patient-Patient-Centered Outcomes Research, 16(6), pp.569-578. Available at: https://doi.org/10.1007/s40271-023-00645-8</w:t>
      </w:r>
    </w:p>
    <w:p>
      <w:pPr>
        <w:spacing w:before="240" w:line="360" w:lineRule="auto"/>
        <w:jc w:val="both"/>
        <w:rPr>
          <w:color w:val="000000"/>
          <w:sz w:val="24"/>
          <w:szCs w:val="24"/>
          <w:lang w:val="en-GB"/>
        </w:rPr>
      </w:pPr>
      <w:r>
        <w:rPr>
          <w:color w:val="000000"/>
          <w:sz w:val="24"/>
          <w:szCs w:val="24"/>
          <w:lang w:val="en-GB"/>
        </w:rPr>
        <w:t>Hamam, M.S., Kunjummen, E., Hussain, M.S., Nasereldin, M., Bennett, S. and Miller, J. (2020) ‘Anxiety, depression, and pain: considerations in the treatment of patients with uncontrolled hypertension’, Current hypertension reports, 22(12), p.106. Available at: https://doi.org/10.1007/s11906-020-01117-2</w:t>
      </w:r>
    </w:p>
    <w:p>
      <w:pPr>
        <w:spacing w:before="240" w:line="360" w:lineRule="auto"/>
        <w:jc w:val="both"/>
        <w:rPr>
          <w:color w:val="000000"/>
          <w:sz w:val="24"/>
          <w:szCs w:val="24"/>
          <w:lang w:val="en-GB"/>
        </w:rPr>
      </w:pPr>
      <w:r>
        <w:rPr>
          <w:color w:val="000000"/>
          <w:sz w:val="24"/>
          <w:szCs w:val="24"/>
          <w:lang w:val="en-GB"/>
        </w:rPr>
        <w:t>Healthdata (2025) Global Burden of Disease (GBD). Available at: https://www.healthdata.org/research-analysis/gbd-key-findings (Accessed: 27 February 2026)</w:t>
      </w:r>
    </w:p>
    <w:p>
      <w:pPr>
        <w:spacing w:before="240" w:line="360" w:lineRule="auto"/>
        <w:jc w:val="both"/>
        <w:rPr>
          <w:color w:val="000000"/>
          <w:sz w:val="24"/>
          <w:szCs w:val="24"/>
          <w:lang w:val="en-GB"/>
        </w:rPr>
      </w:pPr>
      <w:r>
        <w:rPr>
          <w:color w:val="000000"/>
          <w:sz w:val="24"/>
          <w:szCs w:val="24"/>
          <w:lang w:val="en-GB"/>
        </w:rPr>
        <w:t>Healthdata (2025) Health Survey for England, 2021 part 2. Available at: https://digital.nhs.uk/data-and-information/publications/statistical/health-survey-for-england/2021-part-2/adult-health-hypertension (Accessed: 28 February 2026)</w:t>
      </w:r>
    </w:p>
    <w:p>
      <w:pPr>
        <w:spacing w:before="240" w:line="360" w:lineRule="auto"/>
        <w:jc w:val="both"/>
        <w:rPr>
          <w:color w:val="000000"/>
          <w:sz w:val="24"/>
          <w:szCs w:val="24"/>
          <w:lang w:val="en-GB"/>
        </w:rPr>
      </w:pPr>
      <w:r>
        <w:rPr>
          <w:color w:val="000000"/>
          <w:sz w:val="24"/>
          <w:szCs w:val="24"/>
          <w:lang w:val="en-GB"/>
        </w:rPr>
        <w:t>Hendry, A. (2020) ‘House of Care: Enabling integrated care through collaborative care and support planning in different context and cultures’, International Journal of Integrated Care, 21(S1), p.352. Available at: https://doi.org/10.5334/ijic.ICIC20469</w:t>
      </w:r>
    </w:p>
    <w:p>
      <w:pPr>
        <w:spacing w:before="240" w:line="360" w:lineRule="auto"/>
        <w:jc w:val="both"/>
        <w:rPr>
          <w:color w:val="000000"/>
          <w:sz w:val="24"/>
          <w:szCs w:val="24"/>
          <w:lang w:val="en-GB"/>
        </w:rPr>
      </w:pPr>
      <w:r>
        <w:rPr>
          <w:color w:val="000000"/>
          <w:sz w:val="24"/>
          <w:szCs w:val="24"/>
          <w:lang w:val="en-GB"/>
        </w:rPr>
        <w:t>Huang, L., Trieu, K., Yoshimura, S., Neal, B., Woodward, M., Campbell, N.R., Li, Q., Lackland, D.T., Leung, A.A., Anderson, C.A. and MacGregor, G.A. (2020) ‘Effect of dose and duration of reduction in dietary sodium on blood pressure levels: systematic review and meta-analysis of randomised trials’, bmj, 368. Available at: https://doi.org/10.1136/bmj.m315</w:t>
      </w:r>
    </w:p>
    <w:p>
      <w:pPr>
        <w:spacing w:before="240" w:line="360" w:lineRule="auto"/>
        <w:jc w:val="both"/>
        <w:rPr>
          <w:color w:val="000000"/>
          <w:sz w:val="24"/>
          <w:szCs w:val="24"/>
          <w:lang w:val="en-GB"/>
        </w:rPr>
      </w:pPr>
      <w:r>
        <w:rPr>
          <w:color w:val="000000"/>
          <w:sz w:val="24"/>
          <w:szCs w:val="24"/>
          <w:lang w:val="en-GB"/>
        </w:rPr>
        <w:t>Jones, N.R., McCormack, T., Constanti, M. and McManus, R.J. (2020) ‘Diagnosis and management of hypertension in adults: NICE guideline update 2019’, The British Journal of General Practice, 70(691), p.90. Available at: https://doi.org/10.3399/bjgp20X708053</w:t>
      </w:r>
    </w:p>
    <w:p>
      <w:pPr>
        <w:spacing w:before="240" w:line="360" w:lineRule="auto"/>
        <w:jc w:val="both"/>
        <w:rPr>
          <w:color w:val="000000"/>
          <w:sz w:val="24"/>
          <w:szCs w:val="24"/>
          <w:lang w:val="en-GB"/>
        </w:rPr>
      </w:pPr>
      <w:r>
        <w:rPr>
          <w:color w:val="000000"/>
          <w:sz w:val="24"/>
          <w:szCs w:val="24"/>
          <w:lang w:val="en-GB"/>
        </w:rPr>
        <w:t>Kandasamy, G., Subramani, T., Almanasef, M., Orayj, K., Shorog, E., Alshahrani, A.M., Alsaab, A., Alshahrani, Z.M. and Palayakkodan, S. (2025) ‘Mental health and hypertension: assessing the prevalence of anxiety and depression and their associated factors in a tertiary care population’, Frontiers in Public Health, 13, p.1545386. Available at: https://doi.org/10.3389/fpubh.2025.1545386</w:t>
      </w:r>
    </w:p>
    <w:p>
      <w:pPr>
        <w:spacing w:before="240" w:line="360" w:lineRule="auto"/>
        <w:jc w:val="both"/>
        <w:rPr>
          <w:color w:val="000000"/>
          <w:sz w:val="24"/>
          <w:szCs w:val="24"/>
          <w:lang w:val="en-GB"/>
        </w:rPr>
      </w:pPr>
      <w:r>
        <w:rPr>
          <w:color w:val="000000"/>
          <w:sz w:val="24"/>
          <w:szCs w:val="24"/>
          <w:lang w:val="en-GB"/>
        </w:rPr>
        <w:t>Kario, K. (2022). Essential manual of 24-hour blood pressure management: from morning to nocturnal hypertension. Thousand Oaks: John Wiley &amp; Sons.</w:t>
      </w:r>
    </w:p>
    <w:p>
      <w:pPr>
        <w:spacing w:before="240" w:line="360" w:lineRule="auto"/>
        <w:jc w:val="both"/>
        <w:rPr>
          <w:color w:val="000000"/>
          <w:sz w:val="24"/>
          <w:szCs w:val="24"/>
          <w:lang w:val="en-GB"/>
        </w:rPr>
      </w:pPr>
      <w:r>
        <w:rPr>
          <w:color w:val="000000"/>
          <w:sz w:val="24"/>
          <w:szCs w:val="24"/>
          <w:lang w:val="en-GB"/>
        </w:rPr>
        <w:t>Kramer, J., Gupta, A., Ellis, S., Reed, J., McWilliams, A., Pokharel, Y., Debinski, B., Watson, B., Sparks, N., Daniel, S. and Taylor, Y.J. (2025) ‘Relationships matter: Exploring the impact of patients’ familial, community, and provider relationships on hypertension management’, Journal of General Internal Medicine, pp.1-10. Available at: https://doi.org/10.1007/s11606-025-09470-1</w:t>
      </w:r>
    </w:p>
    <w:p>
      <w:pPr>
        <w:spacing w:before="240" w:line="360" w:lineRule="auto"/>
        <w:jc w:val="both"/>
        <w:rPr>
          <w:color w:val="000000"/>
          <w:sz w:val="24"/>
          <w:szCs w:val="24"/>
          <w:lang w:val="en-GB"/>
        </w:rPr>
      </w:pPr>
      <w:r>
        <w:rPr>
          <w:color w:val="000000"/>
          <w:sz w:val="24"/>
          <w:szCs w:val="24"/>
          <w:lang w:val="en-GB"/>
        </w:rPr>
        <w:t>Kulkarni, S., Glover, M., Kapil, V., Abrams, S.M.L., Partridge, S., McCormack, T., Sever, P., Delles, C. and Wilkinson, I.B. (2023) ‘Management of hypertensive crisis: British and Irish hypertension society position document’, Journal of human hypertension, 37(10), pp.863-879. Available at: https://doi.org/10.1038/s41371-022-00776-9</w:t>
      </w:r>
    </w:p>
    <w:p>
      <w:pPr>
        <w:spacing w:before="240" w:line="360" w:lineRule="auto"/>
        <w:jc w:val="both"/>
        <w:rPr>
          <w:color w:val="000000"/>
          <w:sz w:val="24"/>
          <w:szCs w:val="24"/>
          <w:lang w:val="en-GB"/>
        </w:rPr>
      </w:pPr>
      <w:r>
        <w:rPr>
          <w:color w:val="000000"/>
          <w:sz w:val="24"/>
          <w:szCs w:val="24"/>
          <w:lang w:val="en-GB"/>
        </w:rPr>
        <w:t>Lay-Flurrie, S.L., Sheppard, J.P., Stevens, R.J., Mallen, C., Heneghan, C., Hobbs, F.R., Williams, B., Mant, J. and McManus, R.J. (2020) ‘Impact of changes to national hypertension guidelines on hypertension management and outcomes in the United Kingdom’, Hypertension, 75(2), pp.356-364. Available at: https://doi.org/10.1161/HYPERTENSIONAHA.119.13926</w:t>
      </w:r>
    </w:p>
    <w:p>
      <w:pPr>
        <w:spacing w:before="240" w:line="360" w:lineRule="auto"/>
        <w:jc w:val="both"/>
        <w:rPr>
          <w:color w:val="000000"/>
          <w:sz w:val="24"/>
          <w:szCs w:val="24"/>
          <w:lang w:val="en-GB"/>
        </w:rPr>
      </w:pPr>
      <w:r>
        <w:rPr>
          <w:color w:val="000000"/>
          <w:sz w:val="24"/>
          <w:szCs w:val="24"/>
          <w:lang w:val="en-GB"/>
        </w:rPr>
        <w:t>Lee, E.K., Poon, P., Yip, B.H., Bo, Y., Zhu, M.T., Yu, C.P., Ngai, A.C., Wong, M.C. and Wong, S.Y. (2022) ‘Global burden, regional differences, trends, and health consequences of medication nonadherence for hypertension during 2010 to 2020: a meta</w:t>
      </w:r>
      <w:r>
        <w:rPr>
          <w:rFonts w:ascii="Cambria Math" w:hAnsi="Cambria Math"/>
          <w:color w:val="000000"/>
          <w:sz w:val="24"/>
          <w:szCs w:val="24"/>
          <w:lang w:val="en-GB"/>
        </w:rPr>
        <w:t>‐</w:t>
      </w:r>
      <w:r>
        <w:rPr>
          <w:color w:val="000000"/>
          <w:sz w:val="24"/>
          <w:szCs w:val="24"/>
          <w:lang w:val="en-GB"/>
        </w:rPr>
        <w:t>analysis involving 27 million patients’, Journal of the American Heart Association, 11(17), p.e026582. Available at: https://doi.org/10.1161/JAHA.122.026582</w:t>
      </w:r>
    </w:p>
    <w:p>
      <w:pPr>
        <w:spacing w:before="240" w:line="360" w:lineRule="auto"/>
        <w:jc w:val="both"/>
        <w:rPr>
          <w:color w:val="000000"/>
          <w:sz w:val="24"/>
          <w:szCs w:val="24"/>
          <w:lang w:val="en-GB"/>
        </w:rPr>
      </w:pPr>
      <w:r>
        <w:rPr>
          <w:color w:val="000000"/>
          <w:sz w:val="24"/>
          <w:szCs w:val="24"/>
          <w:lang w:val="en-GB"/>
        </w:rPr>
        <w:t>Ling, T., Fahy, N. and Dawney, J. (2025) ‘Reframing the evaluation of Integrated Care; examples from the NHS in England’, Health Policy, p.105418. Available at: https://doi.org/10.1016/j.healthpol.2025.105418</w:t>
      </w:r>
    </w:p>
    <w:p>
      <w:pPr>
        <w:spacing w:before="240" w:line="360" w:lineRule="auto"/>
        <w:jc w:val="both"/>
        <w:rPr>
          <w:color w:val="000000"/>
          <w:sz w:val="24"/>
          <w:szCs w:val="24"/>
          <w:lang w:val="en-GB"/>
        </w:rPr>
      </w:pPr>
      <w:r>
        <w:rPr>
          <w:color w:val="000000"/>
          <w:sz w:val="24"/>
          <w:szCs w:val="24"/>
          <w:lang w:val="en-GB"/>
        </w:rPr>
        <w:t>Lip, G.Y., Lane, D.A., Lenarczyk, R., Boriani, G., Doehner, W., Benjamin, L.A., Fisher, M., Lowe, D., Sacco, R.L., Schnabel, R. and Watkins, C. (2022) ‘Integrated care for optimizing the management of stroke and associated heart disease: a position paper of the European Society of Cardiology Council on Stroke’, European heart journal, 43(26), pp.2442-2460. Available at: https://doi.org/10.1093/eurheartj/ehac245</w:t>
      </w:r>
    </w:p>
    <w:p>
      <w:pPr>
        <w:spacing w:before="240" w:line="360" w:lineRule="auto"/>
        <w:jc w:val="both"/>
        <w:rPr>
          <w:color w:val="000000"/>
          <w:sz w:val="24"/>
          <w:szCs w:val="24"/>
          <w:lang w:val="en-GB"/>
        </w:rPr>
      </w:pPr>
      <w:r>
        <w:rPr>
          <w:color w:val="000000"/>
          <w:sz w:val="24"/>
          <w:szCs w:val="24"/>
          <w:lang w:val="en-GB"/>
        </w:rPr>
        <w:t>Manalili, K., Lorenzetti, D.L., Egunsola, O., O'Beirne, M., Hemmelgarn, B., Scott, C.M. and Santana, M.J. (2022) ‘The effectiveness of person</w:t>
      </w:r>
      <w:r>
        <w:rPr>
          <w:rFonts w:ascii="Cambria Math" w:hAnsi="Cambria Math"/>
          <w:color w:val="000000"/>
          <w:sz w:val="24"/>
          <w:szCs w:val="24"/>
          <w:lang w:val="en-GB"/>
        </w:rPr>
        <w:t>‐</w:t>
      </w:r>
      <w:r>
        <w:rPr>
          <w:color w:val="000000"/>
          <w:sz w:val="24"/>
          <w:szCs w:val="24"/>
          <w:lang w:val="en-GB"/>
        </w:rPr>
        <w:t>centred quality improvement strategies on the management and control of hypertension in primary care: A systematic review and meta</w:t>
      </w:r>
      <w:r>
        <w:rPr>
          <w:rFonts w:ascii="Cambria Math" w:hAnsi="Cambria Math"/>
          <w:color w:val="000000"/>
          <w:sz w:val="24"/>
          <w:szCs w:val="24"/>
          <w:lang w:val="en-GB"/>
        </w:rPr>
        <w:t>‐</w:t>
      </w:r>
      <w:r>
        <w:rPr>
          <w:color w:val="000000"/>
          <w:sz w:val="24"/>
          <w:szCs w:val="24"/>
          <w:lang w:val="en-GB"/>
        </w:rPr>
        <w:t>analysis’, Journal of Evaluation in Clinical Practice, 28(2), pp.260-277. . Available at: https://doi.org/10.1111/jep.13618</w:t>
      </w:r>
    </w:p>
    <w:p>
      <w:pPr>
        <w:spacing w:before="240" w:line="360" w:lineRule="auto"/>
        <w:jc w:val="both"/>
        <w:rPr>
          <w:color w:val="000000"/>
          <w:sz w:val="24"/>
          <w:szCs w:val="24"/>
          <w:lang w:val="en-GB"/>
        </w:rPr>
      </w:pPr>
      <w:r>
        <w:rPr>
          <w:color w:val="000000"/>
          <w:sz w:val="24"/>
          <w:szCs w:val="24"/>
          <w:lang w:val="en-GB"/>
        </w:rPr>
        <w:t>Mishima, E., Funayama, Y., Suzuki, T., Mishima, F., Nitta, F., Toyohara, T., Kikuchi, K., Kunikata, H., Hashimoto, J., Miyazaki, M. and Harigae, H. (2021) ‘Concurrent analogous organ damage in the brain, eyes, and kidneys in malignant hypertension: reversible encephalopathy, serous retinal detachment, and proteinuria’, Hypertension Research, 44(1), pp.88-97. Available at: https://doi.org/10.1038/s41440-020-0521-2</w:t>
      </w:r>
    </w:p>
    <w:p>
      <w:pPr>
        <w:spacing w:before="240" w:line="360" w:lineRule="auto"/>
        <w:jc w:val="both"/>
        <w:rPr>
          <w:color w:val="000000"/>
          <w:sz w:val="24"/>
          <w:szCs w:val="24"/>
          <w:lang w:val="en-GB"/>
        </w:rPr>
      </w:pPr>
      <w:r>
        <w:rPr>
          <w:color w:val="000000"/>
          <w:sz w:val="24"/>
          <w:szCs w:val="24"/>
          <w:lang w:val="en-GB"/>
        </w:rPr>
        <w:t>NHS (2026a) Fit for the Future: 10 Year Health Plan for England. Available at: https://www.england.nhs.uk/long-term-plan/ (Accessed: 3rd March 2026)</w:t>
      </w:r>
    </w:p>
    <w:p>
      <w:pPr>
        <w:spacing w:before="240" w:line="360" w:lineRule="auto"/>
        <w:jc w:val="both"/>
        <w:rPr>
          <w:color w:val="000000"/>
          <w:sz w:val="24"/>
          <w:szCs w:val="24"/>
          <w:lang w:val="en-GB"/>
        </w:rPr>
      </w:pPr>
      <w:r>
        <w:rPr>
          <w:color w:val="000000"/>
          <w:sz w:val="24"/>
          <w:szCs w:val="24"/>
          <w:lang w:val="en-GB"/>
        </w:rPr>
        <w:t>NHS (2026b) Cardiovascular disease (CVD). Available at: https://www.england.nhs.uk/ourwork/clinical-policy/cvd/ (Accessed: 3rd March 2026)</w:t>
      </w:r>
    </w:p>
    <w:p>
      <w:pPr>
        <w:spacing w:before="240" w:line="360" w:lineRule="auto"/>
        <w:jc w:val="both"/>
        <w:rPr>
          <w:color w:val="000000"/>
          <w:sz w:val="24"/>
          <w:szCs w:val="24"/>
          <w:lang w:val="en-GB"/>
        </w:rPr>
      </w:pPr>
      <w:r>
        <w:rPr>
          <w:color w:val="000000"/>
          <w:sz w:val="24"/>
          <w:szCs w:val="24"/>
          <w:lang w:val="en-GB"/>
        </w:rPr>
        <w:t>NICE (2025) Hypertension in adults: diagnosis and treatment. Available at: https://www.nice.org.uk/guidance/ng136/resources/visual-summary-pdf-6899919517 ((Accessed: 3rd March 2026)</w:t>
      </w:r>
    </w:p>
    <w:p>
      <w:pPr>
        <w:spacing w:before="240" w:line="360" w:lineRule="auto"/>
        <w:jc w:val="both"/>
        <w:rPr>
          <w:color w:val="000000"/>
          <w:sz w:val="24"/>
          <w:szCs w:val="24"/>
          <w:lang w:val="en-GB"/>
        </w:rPr>
      </w:pPr>
      <w:r>
        <w:rPr>
          <w:color w:val="000000"/>
          <w:sz w:val="24"/>
          <w:szCs w:val="24"/>
          <w:lang w:val="en-GB"/>
        </w:rPr>
        <w:t>Ojangba, T., Boamah, S., Miao, Y., Guo, X., Fen, Y., Agboyibor, C., Yuan, J. and Dong, W. (2023) ‘Comprehensive effects of lifestyle reform, adherence, and related factors on hypertension control: A review’, The Journal of Clinical Hypertension, 25(6), pp.509-520. Available at: https://doi.org/10.1111/jch.14653</w:t>
      </w:r>
    </w:p>
    <w:p>
      <w:pPr>
        <w:spacing w:before="240" w:line="360" w:lineRule="auto"/>
        <w:jc w:val="both"/>
        <w:rPr>
          <w:color w:val="000000"/>
          <w:sz w:val="24"/>
          <w:szCs w:val="24"/>
          <w:lang w:val="en-GB"/>
        </w:rPr>
      </w:pPr>
      <w:r>
        <w:rPr>
          <w:color w:val="000000"/>
          <w:sz w:val="24"/>
          <w:szCs w:val="24"/>
          <w:lang w:val="en-GB"/>
        </w:rPr>
        <w:t>Pringle, P. (2019) Four million people are living with untreated high blood pressure, new estimates show. Available at: https://www.bhf.org.uk/what-we-do/news-from-the-bhf/news-archive/2019/may/four-million-people-are-living-with-untreated-high-blood-pressure (Accessed: 28 February 2026)</w:t>
      </w:r>
    </w:p>
    <w:p>
      <w:pPr>
        <w:spacing w:before="240" w:line="360" w:lineRule="auto"/>
        <w:jc w:val="both"/>
        <w:rPr>
          <w:color w:val="000000"/>
          <w:sz w:val="24"/>
          <w:szCs w:val="24"/>
          <w:lang w:val="en-GB"/>
        </w:rPr>
      </w:pPr>
      <w:r>
        <w:rPr>
          <w:color w:val="000000"/>
          <w:sz w:val="24"/>
          <w:szCs w:val="24"/>
          <w:lang w:val="en-GB"/>
        </w:rPr>
        <w:t>Roy, M. and Chakraborty, S. (2024) ‘How does the stiffness of blood vessel walls and deposited plaques impact coronary artery diseases?’, Physics of Fluids, 36(8). Available at: https://doi.org/10.1063/5.0226771</w:t>
      </w:r>
    </w:p>
    <w:p>
      <w:pPr>
        <w:spacing w:before="240" w:line="360" w:lineRule="auto"/>
        <w:jc w:val="both"/>
        <w:rPr>
          <w:color w:val="000000"/>
          <w:sz w:val="24"/>
          <w:szCs w:val="24"/>
          <w:lang w:val="en-GB"/>
        </w:rPr>
      </w:pPr>
      <w:r>
        <w:rPr>
          <w:color w:val="000000"/>
          <w:sz w:val="24"/>
          <w:szCs w:val="24"/>
          <w:lang w:val="en-GB"/>
        </w:rPr>
        <w:t>Sierra, C. (2020) ‘Hypertension and the risk of dementia’, Frontiers in cardiovascular medicine, 7, p.5. Available at: https://doi.org/10.3389/fcvm.2020.00005</w:t>
      </w:r>
    </w:p>
    <w:p>
      <w:pPr>
        <w:spacing w:before="240" w:line="360" w:lineRule="auto"/>
        <w:jc w:val="both"/>
        <w:rPr>
          <w:color w:val="000000"/>
          <w:sz w:val="24"/>
          <w:szCs w:val="24"/>
          <w:lang w:val="en-GB"/>
        </w:rPr>
      </w:pPr>
      <w:r>
        <w:rPr>
          <w:color w:val="000000"/>
          <w:sz w:val="24"/>
          <w:szCs w:val="24"/>
          <w:lang w:val="en-GB"/>
        </w:rPr>
        <w:t>Silva, G.O., Andrade-Lima, A., Germano-Soares, A.H., Lima-Junior, D.D., Rodrigues, S.L., Ritti-Dias, R.M. and Farah, B.Q. (2020) ‘Factors associated with quality of life in patients with systemic arterial hypertension’, International Journal of Cardiovascular Sciences, 33, pp.133-142. Available at: https://doi.org/10.5935/2359-4802.20190092</w:t>
      </w:r>
    </w:p>
    <w:p>
      <w:pPr>
        <w:spacing w:before="240" w:line="360" w:lineRule="auto"/>
        <w:jc w:val="both"/>
        <w:rPr>
          <w:color w:val="000000"/>
          <w:sz w:val="24"/>
          <w:szCs w:val="24"/>
          <w:lang w:val="en-GB"/>
        </w:rPr>
      </w:pPr>
      <w:r>
        <w:rPr>
          <w:color w:val="000000"/>
          <w:sz w:val="24"/>
          <w:szCs w:val="24"/>
          <w:lang w:val="en-GB"/>
        </w:rPr>
        <w:t>Sinnott, S.J., Douglas, I.J., Smeeth, L., Williamson, E. and Tomlinson, L.A. (2020) ‘First line drug treatment for hypertension and reductions in blood pressure according to age and ethnicity: cohort study in UK primary care’, bmj, 371. Available at: https://doi.org/10.1136/bmj.m4080</w:t>
      </w:r>
    </w:p>
    <w:p>
      <w:pPr>
        <w:spacing w:before="240" w:line="360" w:lineRule="auto"/>
        <w:jc w:val="both"/>
        <w:rPr>
          <w:color w:val="000000"/>
          <w:sz w:val="24"/>
          <w:szCs w:val="24"/>
          <w:lang w:val="en-GB"/>
        </w:rPr>
      </w:pPr>
      <w:r>
        <w:rPr>
          <w:color w:val="000000"/>
          <w:sz w:val="24"/>
          <w:szCs w:val="24"/>
          <w:lang w:val="en-GB"/>
        </w:rPr>
        <w:t>Tanner, L., Kenny, R.P.W., Still, M., Ling, J., Pearson, F., Thompson, K. and Bhardwaj-Gosling, R. (2022) ‘NHS Health Check programme: a rapid review update’, BMJ open, 12(2), p.e052832. Available at: https://doi.org/10.1136/bmjopen-2021-052832</w:t>
      </w:r>
    </w:p>
    <w:p>
      <w:pPr>
        <w:spacing w:before="240" w:line="360" w:lineRule="auto"/>
        <w:jc w:val="both"/>
        <w:rPr>
          <w:color w:val="000000"/>
          <w:sz w:val="24"/>
          <w:szCs w:val="24"/>
          <w:lang w:val="en-GB"/>
        </w:rPr>
      </w:pPr>
      <w:r>
        <w:rPr>
          <w:color w:val="000000"/>
          <w:sz w:val="24"/>
          <w:szCs w:val="24"/>
          <w:lang w:val="en-GB"/>
        </w:rPr>
        <w:t>Towfighi, A., Cheng, E.M., Ayala-Rivera, M., Barry, F., McCreath, H., Ganz, D.A., Lee, M.L., Sanossian, N., Mehta, B., Dutta, T. and Razmara, A. (2021) ‘Effect of a coordinated community and chronic care model team intervention vs usual care on systolic blood pressure in patients with stroke or transient ischemic attack: the SUCCEED randomized clinical trial’, JAMA network open, 4(2), p.e2036227. Available at: https://doi.org/10.1001/jamanetworkopen.2020.36227</w:t>
      </w:r>
    </w:p>
    <w:p>
      <w:pPr>
        <w:spacing w:before="240" w:line="360" w:lineRule="auto"/>
        <w:jc w:val="both"/>
        <w:rPr>
          <w:color w:val="000000"/>
          <w:sz w:val="24"/>
          <w:szCs w:val="24"/>
          <w:lang w:val="en-GB"/>
        </w:rPr>
      </w:pPr>
      <w:r>
        <w:rPr>
          <w:color w:val="000000"/>
          <w:sz w:val="24"/>
          <w:szCs w:val="24"/>
          <w:lang w:val="en-GB"/>
        </w:rPr>
        <w:t>WHO (2025)Hypertension. Available at: https://www.who.int/news-room/fact-sheets/detail/hypertension (Accessed: 27 February 2026)</w:t>
      </w:r>
    </w:p>
    <w:p>
      <w:pPr>
        <w:spacing w:before="240" w:line="360" w:lineRule="auto"/>
        <w:jc w:val="both"/>
        <w:rPr>
          <w:color w:val="000000"/>
          <w:sz w:val="24"/>
          <w:szCs w:val="24"/>
          <w:lang w:val="en-GB"/>
        </w:rPr>
      </w:pPr>
      <w:r>
        <w:rPr>
          <w:color w:val="000000"/>
          <w:sz w:val="24"/>
          <w:szCs w:val="24"/>
          <w:lang w:val="en-GB"/>
        </w:rPr>
        <w:t xml:space="preserve">Wierzejska, E., Giernaś, B., Lipiak, A., Karasiewicz, M., Cofta, M. and Staszewski, R. (2020) ‘A global perspective on the costs of hypertension: a systematic review’, Archives of Medical </w:t>
      </w:r>
    </w:p>
    <w:p>
      <w:pPr>
        <w:rPr>
          <w:color w:val="000000"/>
          <w:sz w:val="24"/>
          <w:szCs w:val="24"/>
          <w:lang w:val="en-GB"/>
        </w:rPr>
      </w:pPr>
      <w:r>
        <w:rPr>
          <w:color w:val="000000"/>
          <w:sz w:val="24"/>
          <w:szCs w:val="24"/>
          <w:lang w:val="en-GB"/>
        </w:rPr>
        <w:t>Science, 16(1), pp.1078-1091. Available at: https://doi.org/10.5114/aoms.2020.92689</w:t>
      </w:r>
    </w:p>
    <w:p>
      <w:pPr>
        <w:spacing w:before="240" w:line="360" w:lineRule="auto"/>
        <w:jc w:val="both"/>
        <w:rPr>
          <w:color w:val="000000"/>
          <w:sz w:val="24"/>
          <w:szCs w:val="24"/>
          <w:lang w:val="en-GB"/>
        </w:rPr>
        <w:sectPr>
          <w:type w:val="continuous"/>
          <w:pgSz w:w="12240" w:h="15840"/>
          <w:pgMar w:top="1440" w:right="1440" w:bottom="1440" w:left="1440" w:header="720" w:footer="720" w:gutter="0"/>
          <w:pgNumType w:start="1"/>
          <w:cols w:num="2" w:space="720"/>
          <w:titlePg/>
          <w:docGrid w:linePitch="299" w:charSpace="0"/>
        </w:sectPr>
      </w:pPr>
    </w:p>
    <w:p>
      <w:pPr>
        <w:rPr>
          <w:color w:val="000000"/>
          <w:sz w:val="24"/>
          <w:szCs w:val="24"/>
          <w:lang w:val="en-GB"/>
        </w:rPr>
      </w:pPr>
      <w:r>
        <w:rPr>
          <w:color w:val="000000"/>
          <w:sz w:val="24"/>
          <w:szCs w:val="24"/>
          <w:lang w:val="en-GB"/>
        </w:rPr>
        <w:br w:type="page"/>
      </w:r>
    </w:p>
    <w:sectPr>
      <w:type w:val="continuous"/>
      <w:pgSz w:w="12240" w:h="15840"/>
      <w:pgMar w:top="1440" w:right="1440" w:bottom="1440" w:left="1440" w:header="720" w:footer="720" w:gutter="0"/>
      <w:pgNumType w:start="1"/>
      <w:titlePg/>
      <w:docGrid w:linePitch="299" w:charSpace="0"/>
    </w:sectPr>
  </w:body>
</w:document>
</file>

<file path=word/fontTable.xml><?xml version="1.0" encoding="utf-8"?>
<w:fonts xmlns:w="http://schemas.openxmlformats.org/wordprocessingml/2006/main" xmlns:r="http://schemas.openxmlformats.org/officeDocument/2006/relationships">
  <w:font w:name="Cambria">
    <w:panose1 w:val="02040503050406030204"/>
    <w:charset w:val="00"/>
    <w:family w:val="roman"/>
    <w:pitch w:val="variable"/>
    <w:sig w:usb0="E00006FF" w:usb1="420024FF" w:usb2="02000000" w:usb3="00000000" w:csb0="0000019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7"/>
      <w:tabs>
        <w:tab w:val="center" w:pos="4680"/>
        <w:tab w:val="right" w:pos="9360"/>
      </w:tabs>
      <w:jc w:val="right"/>
    </w:pPr>
    <w:r>
      <w:rPr>
        <w:sz w:val="20"/>
        <w:szCs w:val="20"/>
      </w:rPr>
      <w:fldChar w:fldCharType="begin"/>
    </w:r>
    <w:r>
      <w:rPr>
        <w:sz w:val="20"/>
        <w:szCs w:val="20"/>
      </w:rPr>
      <w:instrText xml:space="preserve"> PAGE   \* MERGEFORMAT </w:instrText>
    </w:r>
    <w:r>
      <w:rPr>
        <w:sz w:val="20"/>
        <w:szCs w:val="20"/>
      </w:rPr>
      <w:fldChar w:fldCharType="separate"/>
    </w:r>
    <w:r>
      <w:rPr>
        <w:sz w:val="20"/>
        <w:szCs w:val="20"/>
      </w:rPr>
      <w:t>3</w:t>
    </w:r>
    <w:r>
      <w:rPr>
        <w:sz w:val="20"/>
        <w:szCs w:val="20"/>
      </w:rPr>
      <w:fldChar w:fldCharType="end"/>
    </w:r>
  </w:p>
  <w:p>
    <w:pPr>
      <w:pStyle w:val="27"/>
      <w:tabs>
        <w:tab w:val="center" w:pos="4680"/>
        <w:tab w:val="right" w:pos="9360"/>
      </w:tabs>
    </w:pPr>
  </w:p>
</w:ftr>
</file>

<file path=word/footer2.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7"/>
      <w:tabs>
        <w:tab w:val="center" w:pos="4680"/>
        <w:tab w:val="right" w:pos="9360"/>
      </w:tabs>
      <w:jc w:val="right"/>
    </w:pPr>
  </w:p>
  <w:p>
    <w:pPr>
      <w:pStyle w:val="27"/>
      <w:tabs>
        <w:tab w:val="center" w:pos="4680"/>
        <w:tab w:val="right" w:pos="9360"/>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15593874"/>
    <w:multiLevelType w:val="hybridMultilevel"/>
    <w:tmpl w:val="1B1C821C"/>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displayBackgroundShape/>
  <w:bordersDoNotSurroundHeader/>
  <w:bordersDoNotSurroundFooter/>
  <w:defaultTabStop w:val="720"/>
  <w:drawingGridHorizontalSpacing w:val="110"/>
  <w:drawingGridVerticalSpacing w:val="156"/>
  <w:displayHorizontalDrawingGridEvery w:val="2"/>
  <w:displayVerticalDrawingGridEvery w:val="1"/>
  <w:compat>
    <w:spaceForUL/>
    <w:growAutofit/>
    <w:compatSetting w:name="compatibilityMode" w:uri="http://schemas.microsoft.com/office/word" w:val="12"/>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val="en-US" w:eastAsia="en-US" w:bidi="ar-SA"/>
    </w:rPr>
  </w:style>
  <w:style w:type="paragraph" w:styleId="1">
    <w:name w:val="heading 1"/>
    <w:basedOn w:val="15"/>
    <w:next w:val="15"/>
    <w:pPr>
      <w:keepNext/>
      <w:keepLines/>
      <w:spacing w:before="400" w:after="120" w:line="360" w:lineRule="auto"/>
      <w:jc w:val="both"/>
      <w:outlineLvl w:val="0"/>
    </w:pPr>
    <w:rPr>
      <w:b/>
      <w:sz w:val="28"/>
      <w:szCs w:val="40"/>
    </w:rPr>
  </w:style>
  <w:style w:type="paragraph" w:styleId="2">
    <w:name w:val="heading 2"/>
    <w:basedOn w:val="15"/>
    <w:next w:val="15"/>
    <w:pPr>
      <w:keepNext/>
      <w:keepLines/>
      <w:spacing w:before="360" w:after="120" w:line="360" w:lineRule="auto"/>
      <w:jc w:val="both"/>
      <w:outlineLvl w:val="1"/>
    </w:pPr>
    <w:rPr>
      <w:b/>
      <w:sz w:val="24"/>
      <w:szCs w:val="32"/>
    </w:rPr>
  </w:style>
  <w:style w:type="paragraph" w:styleId="3">
    <w:name w:val="heading 3"/>
    <w:basedOn w:val="15"/>
    <w:next w:val="15"/>
    <w:pPr>
      <w:keepNext/>
      <w:keepLines/>
      <w:spacing w:before="320" w:after="80"/>
      <w:outlineLvl w:val="2"/>
    </w:pPr>
    <w:rPr>
      <w:color w:val="434343"/>
      <w:sz w:val="28"/>
      <w:szCs w:val="28"/>
    </w:rPr>
  </w:style>
  <w:style w:type="paragraph" w:styleId="4">
    <w:name w:val="heading 4"/>
    <w:basedOn w:val="15"/>
    <w:next w:val="15"/>
    <w:pPr>
      <w:keepNext/>
      <w:keepLines/>
      <w:spacing w:before="280" w:after="80"/>
      <w:outlineLvl w:val="3"/>
    </w:pPr>
    <w:rPr>
      <w:color w:val="666666"/>
      <w:sz w:val="24"/>
      <w:szCs w:val="24"/>
    </w:rPr>
  </w:style>
  <w:style w:type="paragraph" w:styleId="5">
    <w:name w:val="heading 5"/>
    <w:basedOn w:val="15"/>
    <w:next w:val="15"/>
    <w:pPr>
      <w:keepNext/>
      <w:keepLines/>
      <w:spacing w:before="240" w:after="80"/>
      <w:outlineLvl w:val="4"/>
    </w:pPr>
    <w:rPr>
      <w:color w:val="666666"/>
    </w:rPr>
  </w:style>
  <w:style w:type="paragraph" w:styleId="6">
    <w:name w:val="heading 6"/>
    <w:basedOn w:val="15"/>
    <w:next w:val="15"/>
    <w:pPr>
      <w:keepNext/>
      <w:keepLines/>
      <w:spacing w:before="240" w:after="80"/>
      <w:outlineLvl w:val="5"/>
    </w:pPr>
    <w:rPr>
      <w:i/>
      <w:iCs/>
      <w:color w:val="666666"/>
    </w:rPr>
  </w:style>
  <w:style w:type="character" w:default="1" w:styleId="10">
    <w:name w:val="Default Paragraph Font"/>
  </w:style>
  <w:style w:type="paragraph" w:customStyle="1" w:styleId="15">
    <w:name w:val="Normal1"/>
    <w:pPr>
      <w:spacing w:line="276" w:lineRule="auto"/>
    </w:pPr>
    <w:rPr>
      <w:rFonts w:ascii="Arial" w:eastAsia="Arial" w:cs="Arial" w:hAnsi="Arial"/>
      <w:sz w:val="22"/>
      <w:szCs w:val="22"/>
      <w:lang w:val="en-US" w:eastAsia="en-US" w:bidi="ar-SA"/>
    </w:rPr>
  </w:style>
  <w:style w:type="paragraph" w:styleId="16">
    <w:name w:val="Title"/>
    <w:basedOn w:val="15"/>
    <w:next w:val="15"/>
    <w:pPr>
      <w:keepNext/>
      <w:keepLines/>
      <w:spacing w:after="60"/>
    </w:pPr>
    <w:rPr>
      <w:sz w:val="52"/>
      <w:szCs w:val="52"/>
    </w:rPr>
  </w:style>
  <w:style w:type="paragraph" w:styleId="17">
    <w:name w:val="Subtitle"/>
    <w:basedOn w:val="15"/>
    <w:next w:val="15"/>
    <w:pPr>
      <w:keepNext/>
      <w:keepLines/>
      <w:spacing w:after="320"/>
    </w:pPr>
    <w:rPr>
      <w:color w:val="666666"/>
      <w:sz w:val="30"/>
      <w:szCs w:val="30"/>
    </w:rPr>
  </w:style>
  <w:style w:type="paragraph" w:styleId="18">
    <w:name w:val="annotation text"/>
    <w:basedOn w:val="0"/>
    <w:pPr>
      <w:spacing w:line="240" w:lineRule="auto"/>
    </w:pPr>
    <w:rPr>
      <w:sz w:val="20"/>
      <w:szCs w:val="20"/>
    </w:rPr>
  </w:style>
  <w:style w:type="character" w:styleId="19">
    <w:name w:val="annotation reference"/>
    <w:basedOn w:val="10"/>
    <w:rPr>
      <w:sz w:val="16"/>
      <w:szCs w:val="16"/>
    </w:rPr>
  </w:style>
  <w:style w:type="paragraph" w:styleId="20">
    <w:name w:val="Balloon Text"/>
    <w:basedOn w:val="0"/>
    <w:pPr>
      <w:spacing w:line="240" w:lineRule="auto"/>
    </w:pPr>
    <w:rPr>
      <w:rFonts w:ascii="Tahoma" w:cs="Tahoma" w:hAnsi="Tahoma"/>
      <w:sz w:val="16"/>
      <w:szCs w:val="16"/>
    </w:rPr>
  </w:style>
  <w:style w:type="paragraph" w:customStyle="1" w:styleId="21">
    <w:name w:val="TOC Heading"/>
    <w:basedOn w:val="1"/>
    <w:next w:val="0"/>
    <w:pPr>
      <w:spacing w:before="480" w:after="0" w:line="276" w:lineRule="auto"/>
      <w:jc w:val="left"/>
      <w:outlineLvl w:val="9"/>
    </w:pPr>
    <w:rPr>
      <w:rFonts w:ascii="Calibri" w:eastAsia="宋体" w:cs="Times New Roman" w:hAnsi="Calibri"/>
      <w:bCs/>
      <w:color w:val="365F91"/>
      <w:szCs w:val="28"/>
    </w:rPr>
  </w:style>
  <w:style w:type="paragraph" w:styleId="22">
    <w:name w:val="toc 1"/>
    <w:basedOn w:val="0"/>
    <w:autoRedefine/>
    <w:next w:val="0"/>
    <w:pPr>
      <w:spacing w:after="100"/>
    </w:pPr>
  </w:style>
  <w:style w:type="paragraph" w:styleId="23">
    <w:name w:val="toc 2"/>
    <w:basedOn w:val="0"/>
    <w:autoRedefine/>
    <w:next w:val="0"/>
    <w:pPr>
      <w:spacing w:after="100"/>
      <w:ind w:left="220"/>
    </w:pPr>
  </w:style>
  <w:style w:type="paragraph" w:styleId="24">
    <w:name w:val="toc 3"/>
    <w:basedOn w:val="0"/>
    <w:autoRedefine/>
    <w:next w:val="0"/>
    <w:pPr>
      <w:spacing w:after="100"/>
      <w:ind w:left="440"/>
    </w:pPr>
  </w:style>
  <w:style w:type="character" w:styleId="25">
    <w:name w:val="Hyperlink"/>
    <w:basedOn w:val="10"/>
    <w:rPr>
      <w:color w:val="0000FF"/>
      <w:u w:val="single"/>
    </w:rPr>
  </w:style>
  <w:style w:type="paragraph" w:styleId="26">
    <w:name w:val="header"/>
    <w:basedOn w:val="0"/>
    <w:pPr>
      <w:tabs>
        <w:tab w:val="center" w:pos="4680"/>
        <w:tab w:val="right" w:pos="9360"/>
      </w:tabs>
      <w:spacing w:line="240" w:lineRule="auto"/>
    </w:pPr>
  </w:style>
  <w:style w:type="paragraph" w:styleId="27">
    <w:name w:val="footer"/>
    <w:basedOn w:val="0"/>
    <w:pPr>
      <w:tabs>
        <w:tab w:val="center" w:pos="4680"/>
        <w:tab w:val="right" w:pos="9360"/>
      </w:tabs>
      <w:spacing w:line="240" w:lineRule="auto"/>
    </w:pPr>
  </w:style>
  <w:style w:type="paragraph" w:customStyle="1" w:styleId="28">
    <w:name w:val="List Paragraph"/>
    <w:basedOn w:val="0"/>
    <w:pPr>
      <w:ind w:left="720"/>
      <w:contextualSpacing/>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image" Target="media/2.png"/><Relationship Id="rId5" Type="http://schemas.openxmlformats.org/officeDocument/2006/relationships/image" Target="media/5.png"/><Relationship Id="rId6" Type="http://schemas.openxmlformats.org/officeDocument/2006/relationships/image" Target="media/8.png"/><Relationship Id="rId7" Type="http://schemas.openxmlformats.org/officeDocument/2006/relationships/image" Target="media/11.png"/><Relationship Id="rId8" Type="http://schemas.openxmlformats.org/officeDocument/2006/relationships/image" Target="media/14.png"/><Relationship Id="rId9" Type="http://schemas.openxmlformats.org/officeDocument/2006/relationships/image" Target="media/17.jpeg"/><Relationship Id="rId10" Type="http://schemas.openxmlformats.org/officeDocument/2006/relationships/image" Target="media/20.png"/><Relationship Id="rId11" Type="http://schemas.openxmlformats.org/officeDocument/2006/relationships/image" Target="media/23.png"/><Relationship Id="rId12" Type="http://schemas.openxmlformats.org/officeDocument/2006/relationships/image" Target="media/26.png"/><Relationship Id="rId13" Type="http://schemas.openxmlformats.org/officeDocument/2006/relationships/image" Target="media/29.jpeg"/><Relationship Id="rId14" Type="http://schemas.openxmlformats.org/officeDocument/2006/relationships/image" Target="media/32.gif"/><Relationship Id="rId15" Type="http://schemas.openxmlformats.org/officeDocument/2006/relationships/image" Target="media/35.png"/><Relationship Id="rId16" Type="http://schemas.openxmlformats.org/officeDocument/2006/relationships/image" Target="media/38.png"/><Relationship Id="rId17" Type="http://schemas.openxmlformats.org/officeDocument/2006/relationships/image" Target="media/41.png"/><Relationship Id="rId18" Type="http://schemas.openxmlformats.org/officeDocument/2006/relationships/styles" Target="styles.xml"/><Relationship Id="rId19" Type="http://schemas.openxmlformats.org/officeDocument/2006/relationships/numbering" Target="numbering.xml"/><Relationship Id="rId20" Type="http://schemas.openxmlformats.org/officeDocument/2006/relationships/fontTable" Target="fontTable.xml"/></Relationships>
</file>

<file path=docProps/app.xml><?xml version="1.0" encoding="utf-8"?>
<Properties xmlns="http://schemas.openxmlformats.org/officeDocument/2006/extended-properties">
  <Template>Normal.eit</Template>
  <TotalTime>5</TotalTime>
  <Application>Yozo_Office</Application>
  <Pages>29</Pages>
  <Words>4773</Words>
  <Characters>29885</Characters>
  <Lines>1081</Lines>
  <Paragraphs>181</Paragraphs>
  <CharactersWithSpaces>34471</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1</cp:revision>
  <dcterms:created xsi:type="dcterms:W3CDTF">2026-03-05T14:41:00Z</dcterms:created>
  <dcterms:modified xsi:type="dcterms:W3CDTF">2026-03-18T05:37:29Z</dcterms:modified>
</cp:coreProperties>
</file>