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C61A9" w14:textId="73ADB3F7" w:rsidR="00537D4C" w:rsidRDefault="00690792">
      <w:r>
        <w:rPr>
          <w:noProof/>
        </w:rPr>
        <mc:AlternateContent>
          <mc:Choice Requires="wpg">
            <w:drawing>
              <wp:anchor distT="0" distB="0" distL="114300" distR="114300" simplePos="0" relativeHeight="251659264" behindDoc="1" locked="0" layoutInCell="1" allowOverlap="1" wp14:anchorId="66FC9447" wp14:editId="6DD01157">
                <wp:simplePos x="0" y="0"/>
                <wp:positionH relativeFrom="page">
                  <wp:posOffset>444500</wp:posOffset>
                </wp:positionH>
                <wp:positionV relativeFrom="margin">
                  <wp:align>top</wp:align>
                </wp:positionV>
                <wp:extent cx="6864075" cy="9286875"/>
                <wp:effectExtent l="0" t="0" r="0" b="9525"/>
                <wp:wrapNone/>
                <wp:docPr id="193" name="Group 193"/>
                <wp:cNvGraphicFramePr/>
                <a:graphic xmlns:a="http://schemas.openxmlformats.org/drawingml/2006/main">
                  <a:graphicData uri="http://schemas.microsoft.com/office/word/2010/wordprocessingGroup">
                    <wpg:wgp>
                      <wpg:cNvGrpSpPr/>
                      <wpg:grpSpPr>
                        <a:xfrm>
                          <a:off x="0" y="0"/>
                          <a:ext cx="6864075" cy="9286875"/>
                          <a:chOff x="0" y="0"/>
                          <a:chExt cx="6864075" cy="971867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5245100"/>
                            <a:ext cx="6858000" cy="44735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1F2A882" w14:textId="4F4F4337" w:rsidR="00537D4C" w:rsidRDefault="00537D4C">
                                  <w:pPr>
                                    <w:pStyle w:val="NoSpacing"/>
                                    <w:spacing w:before="120"/>
                                    <w:jc w:val="center"/>
                                    <w:rPr>
                                      <w:color w:val="FFFFFF" w:themeColor="background1"/>
                                    </w:rPr>
                                  </w:pPr>
                                  <w:r>
                                    <w:rPr>
                                      <w:color w:val="FFFFFF" w:themeColor="background1"/>
                                    </w:rPr>
                                    <w:t>Victoria Hole</w:t>
                                  </w:r>
                                </w:p>
                              </w:sdtContent>
                            </w:sdt>
                            <w:p w14:paraId="65375306" w14:textId="609DC69C" w:rsidR="00537D4C" w:rsidRDefault="00D871D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02A1E">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075" y="4937419"/>
                            <a:ext cx="6858000" cy="2111081"/>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9D5BEE0" w14:textId="628EFD42" w:rsidR="00537D4C" w:rsidRPr="001E7BA3" w:rsidRDefault="00BC54AF" w:rsidP="004C20D5">
                                  <w:pPr>
                                    <w:pStyle w:val="NoSpacing"/>
                                    <w:rPr>
                                      <w:rFonts w:asciiTheme="majorHAnsi" w:eastAsiaTheme="majorEastAsia" w:hAnsiTheme="majorHAnsi" w:cstheme="majorBidi"/>
                                      <w:b/>
                                      <w:bCs/>
                                      <w:caps/>
                                      <w:color w:val="000000" w:themeColor="text1"/>
                                      <w:sz w:val="72"/>
                                      <w:szCs w:val="72"/>
                                    </w:rPr>
                                  </w:pPr>
                                  <w:r w:rsidRPr="001E7BA3">
                                    <w:rPr>
                                      <w:rFonts w:asciiTheme="majorHAnsi" w:eastAsiaTheme="majorEastAsia" w:hAnsiTheme="majorHAnsi" w:cstheme="majorBidi"/>
                                      <w:b/>
                                      <w:bCs/>
                                      <w:caps/>
                                      <w:color w:val="000000" w:themeColor="text1"/>
                                      <w:sz w:val="72"/>
                                      <w:szCs w:val="72"/>
                                    </w:rPr>
                                    <w:t xml:space="preserve">Evidence Based practice report by Victoria </w:t>
                                  </w:r>
                                  <w:r w:rsidR="004C20D5" w:rsidRPr="001E7BA3">
                                    <w:rPr>
                                      <w:rFonts w:asciiTheme="majorHAnsi" w:eastAsiaTheme="majorEastAsia" w:hAnsiTheme="majorHAnsi" w:cstheme="majorBidi"/>
                                      <w:b/>
                                      <w:bCs/>
                                      <w:caps/>
                                      <w:color w:val="000000" w:themeColor="text1"/>
                                      <w:sz w:val="72"/>
                                      <w:szCs w:val="72"/>
                                    </w:rPr>
                                    <w:t>HOLE</w:t>
                                  </w:r>
                                  <w:r w:rsidR="0012373E" w:rsidRPr="001E7BA3">
                                    <w:rPr>
                                      <w:rFonts w:asciiTheme="majorHAnsi" w:eastAsiaTheme="majorEastAsia" w:hAnsiTheme="majorHAnsi" w:cstheme="majorBidi"/>
                                      <w:b/>
                                      <w:bCs/>
                                      <w:caps/>
                                      <w:color w:val="000000" w:themeColor="text1"/>
                                      <w:sz w:val="72"/>
                                      <w:szCs w:val="72"/>
                                    </w:rPr>
                                    <w:t xml:space="preserve"> </w:t>
                                  </w:r>
                                  <w:r w:rsidR="00690792" w:rsidRPr="001E7BA3">
                                    <w:rPr>
                                      <w:rFonts w:asciiTheme="majorHAnsi" w:eastAsiaTheme="majorEastAsia" w:hAnsiTheme="majorHAnsi" w:cstheme="majorBidi"/>
                                      <w:b/>
                                      <w:bCs/>
                                      <w:caps/>
                                      <w:color w:val="000000" w:themeColor="text1"/>
                                      <w:sz w:val="72"/>
                                      <w:szCs w:val="72"/>
                                    </w:rPr>
                                    <w:t xml:space="preserve">    </w:t>
                                  </w:r>
                                  <w:r w:rsidR="00197ACC" w:rsidRPr="001E7BA3">
                                    <w:rPr>
                                      <w:rFonts w:asciiTheme="majorHAnsi" w:eastAsiaTheme="majorEastAsia" w:hAnsiTheme="majorHAnsi" w:cstheme="majorBidi"/>
                                      <w:b/>
                                      <w:bCs/>
                                      <w:caps/>
                                      <w:color w:val="000000" w:themeColor="text1"/>
                                      <w:sz w:val="72"/>
                                      <w:szCs w:val="72"/>
                                    </w:rPr>
                                    <w:t>2110551 FOR</w:t>
                                  </w:r>
                                  <w:r w:rsidR="00B83390" w:rsidRPr="001E7BA3">
                                    <w:rPr>
                                      <w:rFonts w:asciiTheme="majorHAnsi" w:eastAsiaTheme="majorEastAsia" w:hAnsiTheme="majorHAnsi" w:cstheme="majorBidi"/>
                                      <w:b/>
                                      <w:bCs/>
                                      <w:caps/>
                                      <w:color w:val="000000" w:themeColor="text1"/>
                                      <w:sz w:val="72"/>
                                      <w:szCs w:val="72"/>
                                    </w:rPr>
                                    <w:t xml:space="preserve"> moddle </w:t>
                                  </w:r>
                                  <w:r w:rsidR="00197ACC" w:rsidRPr="001E7BA3">
                                    <w:rPr>
                                      <w:rFonts w:asciiTheme="majorHAnsi" w:eastAsiaTheme="majorEastAsia" w:hAnsiTheme="majorHAnsi" w:cstheme="majorBidi"/>
                                      <w:b/>
                                      <w:bCs/>
                                      <w:caps/>
                                      <w:color w:val="000000" w:themeColor="text1"/>
                                      <w:sz w:val="72"/>
                                      <w:szCs w:val="72"/>
                                    </w:rPr>
                                    <w:t>4006</w:t>
                                  </w:r>
                                  <w:r w:rsidR="004C20D5" w:rsidRPr="001E7BA3">
                                    <w:rPr>
                                      <w:rFonts w:asciiTheme="majorHAnsi" w:eastAsiaTheme="majorEastAsia" w:hAnsiTheme="majorHAnsi" w:cstheme="majorBidi"/>
                                      <w:b/>
                                      <w:bCs/>
                                      <w:caps/>
                                      <w:color w:val="000000" w:themeColor="text1"/>
                                      <w:sz w:val="72"/>
                                      <w:szCs w:val="72"/>
                                    </w:rPr>
                                    <w: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6FC9447" id="Group 193" o:spid="_x0000_s1026" style="position:absolute;margin-left:35pt;margin-top:0;width:540.5pt;height:731.25pt;z-index:-251657216;mso-width-percent:882;mso-position-horizontal-relative:page;mso-position-vertical:top;mso-position-vertical-relative:margin;mso-width-percent:882" coordsize="68640,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52451;width:68580;height:4473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1F2A882" w14:textId="4F4F4337" w:rsidR="00537D4C" w:rsidRDefault="00537D4C">
                            <w:pPr>
                              <w:pStyle w:val="NoSpacing"/>
                              <w:spacing w:before="120"/>
                              <w:jc w:val="center"/>
                              <w:rPr>
                                <w:color w:val="FFFFFF" w:themeColor="background1"/>
                              </w:rPr>
                            </w:pPr>
                            <w:r>
                              <w:rPr>
                                <w:color w:val="FFFFFF" w:themeColor="background1"/>
                              </w:rPr>
                              <w:t>Victoria Hole</w:t>
                            </w:r>
                          </w:p>
                        </w:sdtContent>
                      </w:sdt>
                      <w:p w14:paraId="65375306" w14:textId="609DC69C" w:rsidR="00537D4C" w:rsidRDefault="00D871D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02A1E">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0;top:49374;width:68580;height:211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9D5BEE0" w14:textId="628EFD42" w:rsidR="00537D4C" w:rsidRPr="001E7BA3" w:rsidRDefault="00BC54AF" w:rsidP="004C20D5">
                            <w:pPr>
                              <w:pStyle w:val="NoSpacing"/>
                              <w:rPr>
                                <w:rFonts w:asciiTheme="majorHAnsi" w:eastAsiaTheme="majorEastAsia" w:hAnsiTheme="majorHAnsi" w:cstheme="majorBidi"/>
                                <w:b/>
                                <w:bCs/>
                                <w:caps/>
                                <w:color w:val="000000" w:themeColor="text1"/>
                                <w:sz w:val="72"/>
                                <w:szCs w:val="72"/>
                              </w:rPr>
                            </w:pPr>
                            <w:r w:rsidRPr="001E7BA3">
                              <w:rPr>
                                <w:rFonts w:asciiTheme="majorHAnsi" w:eastAsiaTheme="majorEastAsia" w:hAnsiTheme="majorHAnsi" w:cstheme="majorBidi"/>
                                <w:b/>
                                <w:bCs/>
                                <w:caps/>
                                <w:color w:val="000000" w:themeColor="text1"/>
                                <w:sz w:val="72"/>
                                <w:szCs w:val="72"/>
                              </w:rPr>
                              <w:t xml:space="preserve">Evidence Based practice report by Victoria </w:t>
                            </w:r>
                            <w:r w:rsidR="004C20D5" w:rsidRPr="001E7BA3">
                              <w:rPr>
                                <w:rFonts w:asciiTheme="majorHAnsi" w:eastAsiaTheme="majorEastAsia" w:hAnsiTheme="majorHAnsi" w:cstheme="majorBidi"/>
                                <w:b/>
                                <w:bCs/>
                                <w:caps/>
                                <w:color w:val="000000" w:themeColor="text1"/>
                                <w:sz w:val="72"/>
                                <w:szCs w:val="72"/>
                              </w:rPr>
                              <w:t>HOLE</w:t>
                            </w:r>
                            <w:r w:rsidR="0012373E" w:rsidRPr="001E7BA3">
                              <w:rPr>
                                <w:rFonts w:asciiTheme="majorHAnsi" w:eastAsiaTheme="majorEastAsia" w:hAnsiTheme="majorHAnsi" w:cstheme="majorBidi"/>
                                <w:b/>
                                <w:bCs/>
                                <w:caps/>
                                <w:color w:val="000000" w:themeColor="text1"/>
                                <w:sz w:val="72"/>
                                <w:szCs w:val="72"/>
                              </w:rPr>
                              <w:t xml:space="preserve"> </w:t>
                            </w:r>
                            <w:r w:rsidR="00690792" w:rsidRPr="001E7BA3">
                              <w:rPr>
                                <w:rFonts w:asciiTheme="majorHAnsi" w:eastAsiaTheme="majorEastAsia" w:hAnsiTheme="majorHAnsi" w:cstheme="majorBidi"/>
                                <w:b/>
                                <w:bCs/>
                                <w:caps/>
                                <w:color w:val="000000" w:themeColor="text1"/>
                                <w:sz w:val="72"/>
                                <w:szCs w:val="72"/>
                              </w:rPr>
                              <w:t xml:space="preserve">    </w:t>
                            </w:r>
                            <w:r w:rsidR="00197ACC" w:rsidRPr="001E7BA3">
                              <w:rPr>
                                <w:rFonts w:asciiTheme="majorHAnsi" w:eastAsiaTheme="majorEastAsia" w:hAnsiTheme="majorHAnsi" w:cstheme="majorBidi"/>
                                <w:b/>
                                <w:bCs/>
                                <w:caps/>
                                <w:color w:val="000000" w:themeColor="text1"/>
                                <w:sz w:val="72"/>
                                <w:szCs w:val="72"/>
                              </w:rPr>
                              <w:t>2110551 FOR</w:t>
                            </w:r>
                            <w:r w:rsidR="00B83390" w:rsidRPr="001E7BA3">
                              <w:rPr>
                                <w:rFonts w:asciiTheme="majorHAnsi" w:eastAsiaTheme="majorEastAsia" w:hAnsiTheme="majorHAnsi" w:cstheme="majorBidi"/>
                                <w:b/>
                                <w:bCs/>
                                <w:caps/>
                                <w:color w:val="000000" w:themeColor="text1"/>
                                <w:sz w:val="72"/>
                                <w:szCs w:val="72"/>
                              </w:rPr>
                              <w:t xml:space="preserve"> moddle </w:t>
                            </w:r>
                            <w:r w:rsidR="00197ACC" w:rsidRPr="001E7BA3">
                              <w:rPr>
                                <w:rFonts w:asciiTheme="majorHAnsi" w:eastAsiaTheme="majorEastAsia" w:hAnsiTheme="majorHAnsi" w:cstheme="majorBidi"/>
                                <w:b/>
                                <w:bCs/>
                                <w:caps/>
                                <w:color w:val="000000" w:themeColor="text1"/>
                                <w:sz w:val="72"/>
                                <w:szCs w:val="72"/>
                              </w:rPr>
                              <w:t>4006</w:t>
                            </w:r>
                            <w:r w:rsidR="004C20D5" w:rsidRPr="001E7BA3">
                              <w:rPr>
                                <w:rFonts w:asciiTheme="majorHAnsi" w:eastAsiaTheme="majorEastAsia" w:hAnsiTheme="majorHAnsi" w:cstheme="majorBidi"/>
                                <w:b/>
                                <w:bCs/>
                                <w:caps/>
                                <w:color w:val="000000" w:themeColor="text1"/>
                                <w:sz w:val="72"/>
                                <w:szCs w:val="72"/>
                              </w:rPr>
                              <w:t>.</w:t>
                            </w:r>
                          </w:p>
                        </w:sdtContent>
                      </w:sdt>
                    </w:txbxContent>
                  </v:textbox>
                </v:shape>
                <w10:wrap anchorx="page" anchory="margin"/>
              </v:group>
            </w:pict>
          </mc:Fallback>
        </mc:AlternateContent>
      </w:r>
      <w:r w:rsidR="00B4321E">
        <w:tab/>
      </w:r>
      <w:r w:rsidR="004263DF">
        <w:t xml:space="preserve"> </w:t>
      </w:r>
      <w:sdt>
        <w:sdtPr>
          <w:id w:val="398797575"/>
          <w:docPartObj>
            <w:docPartGallery w:val="Cover Pages"/>
            <w:docPartUnique/>
          </w:docPartObj>
        </w:sdtPr>
        <w:sdtEndPr/>
        <w:sdtContent>
          <w:r w:rsidR="00537D4C">
            <w:br w:type="page"/>
          </w:r>
        </w:sdtContent>
      </w:sdt>
    </w:p>
    <w:p w14:paraId="50413655" w14:textId="1DD320CD" w:rsidR="00EA4166" w:rsidRDefault="00EA4166">
      <w:pPr>
        <w:rPr>
          <w:b/>
          <w:bCs/>
          <w:sz w:val="48"/>
          <w:szCs w:val="48"/>
          <w:u w:val="single"/>
        </w:rPr>
      </w:pPr>
      <w:r>
        <w:rPr>
          <w:b/>
          <w:bCs/>
          <w:sz w:val="48"/>
          <w:szCs w:val="48"/>
          <w:u w:val="single"/>
        </w:rPr>
        <w:lastRenderedPageBreak/>
        <w:t>Content page.</w:t>
      </w:r>
    </w:p>
    <w:p w14:paraId="7CF923C7" w14:textId="6D6056AC" w:rsidR="0060096C" w:rsidRDefault="00D93BA2">
      <w:pPr>
        <w:rPr>
          <w:sz w:val="48"/>
          <w:szCs w:val="48"/>
        </w:rPr>
      </w:pPr>
      <w:r>
        <w:rPr>
          <w:sz w:val="48"/>
          <w:szCs w:val="48"/>
        </w:rPr>
        <w:t>1, Cover</w:t>
      </w:r>
      <w:r w:rsidR="00E815FC">
        <w:rPr>
          <w:sz w:val="48"/>
          <w:szCs w:val="48"/>
        </w:rPr>
        <w:t xml:space="preserve"> page.</w:t>
      </w:r>
    </w:p>
    <w:p w14:paraId="2E70DB7D" w14:textId="184D0C34" w:rsidR="00E815FC" w:rsidRDefault="00D93BA2">
      <w:pPr>
        <w:rPr>
          <w:sz w:val="48"/>
          <w:szCs w:val="48"/>
        </w:rPr>
      </w:pPr>
      <w:r>
        <w:rPr>
          <w:sz w:val="48"/>
          <w:szCs w:val="48"/>
        </w:rPr>
        <w:t>2, Content</w:t>
      </w:r>
      <w:r w:rsidR="00E815FC">
        <w:rPr>
          <w:sz w:val="48"/>
          <w:szCs w:val="48"/>
        </w:rPr>
        <w:t xml:space="preserve"> page.</w:t>
      </w:r>
    </w:p>
    <w:p w14:paraId="7D94F59E" w14:textId="66D7771A" w:rsidR="0031587B" w:rsidRDefault="00785A0C">
      <w:pPr>
        <w:rPr>
          <w:sz w:val="48"/>
          <w:szCs w:val="48"/>
        </w:rPr>
      </w:pPr>
      <w:r>
        <w:rPr>
          <w:sz w:val="48"/>
          <w:szCs w:val="48"/>
        </w:rPr>
        <w:t>3</w:t>
      </w:r>
      <w:r w:rsidR="00D93BA2">
        <w:rPr>
          <w:sz w:val="48"/>
          <w:szCs w:val="48"/>
        </w:rPr>
        <w:t>, Introduction</w:t>
      </w:r>
    </w:p>
    <w:p w14:paraId="5B845953" w14:textId="0BC483B3" w:rsidR="0031587B" w:rsidRDefault="00785A0C">
      <w:pPr>
        <w:rPr>
          <w:sz w:val="48"/>
          <w:szCs w:val="48"/>
        </w:rPr>
      </w:pPr>
      <w:r>
        <w:rPr>
          <w:sz w:val="48"/>
          <w:szCs w:val="48"/>
        </w:rPr>
        <w:t>4</w:t>
      </w:r>
      <w:r w:rsidR="00D93BA2">
        <w:rPr>
          <w:sz w:val="48"/>
          <w:szCs w:val="48"/>
        </w:rPr>
        <w:t>, Research</w:t>
      </w:r>
      <w:r w:rsidR="0031587B">
        <w:rPr>
          <w:sz w:val="48"/>
          <w:szCs w:val="48"/>
        </w:rPr>
        <w:t>.</w:t>
      </w:r>
    </w:p>
    <w:p w14:paraId="376E243E" w14:textId="63B282EF" w:rsidR="0031587B" w:rsidRDefault="00785A0C">
      <w:pPr>
        <w:rPr>
          <w:sz w:val="48"/>
          <w:szCs w:val="48"/>
        </w:rPr>
      </w:pPr>
      <w:r>
        <w:rPr>
          <w:sz w:val="48"/>
          <w:szCs w:val="48"/>
        </w:rPr>
        <w:t>5</w:t>
      </w:r>
      <w:r w:rsidR="00D93BA2">
        <w:rPr>
          <w:sz w:val="48"/>
          <w:szCs w:val="48"/>
        </w:rPr>
        <w:t>, Evidence</w:t>
      </w:r>
      <w:r w:rsidR="0031587B">
        <w:rPr>
          <w:sz w:val="48"/>
          <w:szCs w:val="48"/>
        </w:rPr>
        <w:t xml:space="preserve"> based practice</w:t>
      </w:r>
      <w:r w:rsidR="00C02219">
        <w:rPr>
          <w:sz w:val="48"/>
          <w:szCs w:val="48"/>
        </w:rPr>
        <w:t>.</w:t>
      </w:r>
    </w:p>
    <w:p w14:paraId="7A1A4571" w14:textId="44C798B4" w:rsidR="00C02219" w:rsidRDefault="00785A0C">
      <w:pPr>
        <w:rPr>
          <w:sz w:val="48"/>
          <w:szCs w:val="48"/>
        </w:rPr>
      </w:pPr>
      <w:r>
        <w:rPr>
          <w:sz w:val="48"/>
          <w:szCs w:val="48"/>
        </w:rPr>
        <w:t>6</w:t>
      </w:r>
      <w:r w:rsidR="00D93BA2">
        <w:rPr>
          <w:sz w:val="48"/>
          <w:szCs w:val="48"/>
        </w:rPr>
        <w:t>, Role</w:t>
      </w:r>
      <w:r w:rsidR="00C02219">
        <w:rPr>
          <w:sz w:val="48"/>
          <w:szCs w:val="48"/>
        </w:rPr>
        <w:t xml:space="preserve"> of government and </w:t>
      </w:r>
      <w:r w:rsidR="00D93BA2">
        <w:rPr>
          <w:sz w:val="48"/>
          <w:szCs w:val="48"/>
        </w:rPr>
        <w:t>organisation</w:t>
      </w:r>
      <w:r w:rsidR="00C02219">
        <w:rPr>
          <w:sz w:val="48"/>
          <w:szCs w:val="48"/>
        </w:rPr>
        <w:t xml:space="preserve"> in </w:t>
      </w:r>
      <w:r w:rsidR="00D93BA2">
        <w:rPr>
          <w:sz w:val="48"/>
          <w:szCs w:val="48"/>
        </w:rPr>
        <w:t xml:space="preserve">research </w:t>
      </w:r>
      <w:r w:rsidR="00C02219">
        <w:rPr>
          <w:sz w:val="48"/>
          <w:szCs w:val="48"/>
        </w:rPr>
        <w:t>and health care</w:t>
      </w:r>
      <w:r w:rsidR="00D93BA2">
        <w:rPr>
          <w:sz w:val="48"/>
          <w:szCs w:val="48"/>
        </w:rPr>
        <w:t xml:space="preserve"> provisions epidemiological.</w:t>
      </w:r>
    </w:p>
    <w:p w14:paraId="039EFBA0" w14:textId="281DCD77" w:rsidR="00D93BA2" w:rsidRDefault="00785A0C">
      <w:pPr>
        <w:rPr>
          <w:sz w:val="48"/>
          <w:szCs w:val="48"/>
        </w:rPr>
      </w:pPr>
      <w:r>
        <w:rPr>
          <w:sz w:val="48"/>
          <w:szCs w:val="48"/>
        </w:rPr>
        <w:t>7</w:t>
      </w:r>
      <w:r w:rsidR="00867E45">
        <w:rPr>
          <w:sz w:val="48"/>
          <w:szCs w:val="48"/>
        </w:rPr>
        <w:t>, Identifying</w:t>
      </w:r>
      <w:r w:rsidR="006617E8">
        <w:rPr>
          <w:sz w:val="48"/>
          <w:szCs w:val="48"/>
        </w:rPr>
        <w:t xml:space="preserve"> practice which has progressed and informed evidence- based practice. </w:t>
      </w:r>
    </w:p>
    <w:p w14:paraId="33F12FB0" w14:textId="751F1585" w:rsidR="00EA4166" w:rsidRPr="009A11B2" w:rsidRDefault="00785A0C">
      <w:pPr>
        <w:rPr>
          <w:sz w:val="48"/>
          <w:szCs w:val="48"/>
        </w:rPr>
      </w:pPr>
      <w:r>
        <w:rPr>
          <w:sz w:val="48"/>
          <w:szCs w:val="48"/>
        </w:rPr>
        <w:t>8</w:t>
      </w:r>
      <w:r w:rsidR="00867E45">
        <w:rPr>
          <w:sz w:val="48"/>
          <w:szCs w:val="48"/>
        </w:rPr>
        <w:t xml:space="preserve">, Reference </w:t>
      </w:r>
      <w:bookmarkStart w:id="0" w:name="_Hlk100657229"/>
      <w:r w:rsidR="001E7BA3">
        <w:rPr>
          <w:sz w:val="48"/>
          <w:szCs w:val="48"/>
        </w:rPr>
        <w:t>page</w:t>
      </w:r>
    </w:p>
    <w:bookmarkEnd w:id="0"/>
    <w:p w14:paraId="304DE9DE" w14:textId="35C7D717" w:rsidR="00EA4166" w:rsidRPr="001E7BA3" w:rsidRDefault="19D38C4B">
      <w:pPr>
        <w:rPr>
          <w:sz w:val="48"/>
          <w:szCs w:val="48"/>
          <w:u w:val="single"/>
        </w:rPr>
      </w:pPr>
      <w:r w:rsidRPr="19D38C4B">
        <w:rPr>
          <w:sz w:val="48"/>
          <w:szCs w:val="48"/>
        </w:rPr>
        <w:t>9 conclusions</w:t>
      </w:r>
    </w:p>
    <w:p w14:paraId="1B54B1CB" w14:textId="77777777" w:rsidR="00EA4166" w:rsidRDefault="00EA4166">
      <w:pPr>
        <w:rPr>
          <w:b/>
          <w:bCs/>
          <w:sz w:val="48"/>
          <w:szCs w:val="48"/>
          <w:u w:val="single"/>
        </w:rPr>
      </w:pPr>
    </w:p>
    <w:p w14:paraId="6DAD7F8C" w14:textId="77777777" w:rsidR="00EA4166" w:rsidRDefault="00EA4166">
      <w:pPr>
        <w:rPr>
          <w:b/>
          <w:bCs/>
          <w:sz w:val="48"/>
          <w:szCs w:val="48"/>
          <w:u w:val="single"/>
        </w:rPr>
      </w:pPr>
    </w:p>
    <w:p w14:paraId="3398F0EA" w14:textId="77777777" w:rsidR="007D2601" w:rsidRDefault="007D2601">
      <w:pPr>
        <w:rPr>
          <w:b/>
          <w:bCs/>
          <w:sz w:val="48"/>
          <w:szCs w:val="48"/>
          <w:u w:val="single"/>
        </w:rPr>
      </w:pPr>
    </w:p>
    <w:p w14:paraId="5840B88D" w14:textId="77777777" w:rsidR="00EA4166" w:rsidRDefault="00EA4166">
      <w:pPr>
        <w:rPr>
          <w:b/>
          <w:bCs/>
          <w:sz w:val="48"/>
          <w:szCs w:val="48"/>
          <w:u w:val="single"/>
        </w:rPr>
      </w:pPr>
    </w:p>
    <w:p w14:paraId="33A9F456" w14:textId="77777777" w:rsidR="0066289A" w:rsidRDefault="0066289A">
      <w:pPr>
        <w:rPr>
          <w:b/>
          <w:bCs/>
          <w:sz w:val="48"/>
          <w:szCs w:val="48"/>
          <w:u w:val="single"/>
        </w:rPr>
      </w:pPr>
    </w:p>
    <w:p w14:paraId="14E6AE8E" w14:textId="24D8FE8C" w:rsidR="00505845" w:rsidRDefault="00383FEF">
      <w:pPr>
        <w:rPr>
          <w:sz w:val="48"/>
          <w:szCs w:val="48"/>
        </w:rPr>
      </w:pPr>
      <w:r w:rsidRPr="00E85CE5">
        <w:rPr>
          <w:b/>
          <w:bCs/>
          <w:sz w:val="48"/>
          <w:szCs w:val="48"/>
          <w:u w:val="single"/>
        </w:rPr>
        <w:lastRenderedPageBreak/>
        <w:t>Introduction</w:t>
      </w:r>
      <w:r>
        <w:rPr>
          <w:b/>
          <w:bCs/>
          <w:sz w:val="48"/>
          <w:szCs w:val="48"/>
          <w:u w:val="single"/>
        </w:rPr>
        <w:t xml:space="preserve"> 200</w:t>
      </w:r>
      <w:r w:rsidR="00E85CE5">
        <w:rPr>
          <w:sz w:val="48"/>
          <w:szCs w:val="48"/>
        </w:rPr>
        <w:t xml:space="preserve"> </w:t>
      </w:r>
    </w:p>
    <w:p w14:paraId="13E3DA08" w14:textId="7E8C764E" w:rsidR="00DC42AB" w:rsidRPr="004D7F1D" w:rsidRDefault="004D7F1D" w:rsidP="00DC42AB">
      <w:pPr>
        <w:rPr>
          <w:sz w:val="36"/>
          <w:szCs w:val="36"/>
        </w:rPr>
      </w:pPr>
      <w:r w:rsidRPr="004D7F1D">
        <w:rPr>
          <w:sz w:val="36"/>
          <w:szCs w:val="36"/>
        </w:rPr>
        <w:t xml:space="preserve">The report below will explain the evidence-based practice and its importance, how it is used in nursing and the broader community within multidisciplinary teams and interdisciplinary teams, and how it has benefited them. It will explain why evidence-based practice paramount within the health sector </w:t>
      </w:r>
      <w:proofErr w:type="gramStart"/>
      <w:r w:rsidRPr="004D7F1D">
        <w:rPr>
          <w:sz w:val="36"/>
          <w:szCs w:val="36"/>
        </w:rPr>
        <w:t>is,</w:t>
      </w:r>
      <w:proofErr w:type="gramEnd"/>
      <w:r w:rsidRPr="004D7F1D">
        <w:rPr>
          <w:sz w:val="36"/>
          <w:szCs w:val="36"/>
        </w:rPr>
        <w:t xml:space="preserve"> what types of evidence resource is essential and what area of practice has been influenced by evidence-based practice. It is also going to explain the five stages of evidence-based practice. It shows the importance of evidence-based practice and how it has improved the quality of patient care throughout the process, from introducing rules and regulations and person-centred care and following structure from the nursing and midwifery, also known as the (nmc2018). As well as talking about the government and organisation in research and health provisions epidemiological, (</w:t>
      </w:r>
      <w:proofErr w:type="spellStart"/>
      <w:r w:rsidR="00E10B3F" w:rsidRPr="004D7F1D">
        <w:rPr>
          <w:sz w:val="36"/>
          <w:szCs w:val="36"/>
        </w:rPr>
        <w:t>markides</w:t>
      </w:r>
      <w:proofErr w:type="spellEnd"/>
      <w:r w:rsidR="00E10B3F" w:rsidRPr="004D7F1D">
        <w:rPr>
          <w:sz w:val="36"/>
          <w:szCs w:val="36"/>
        </w:rPr>
        <w:t>, et</w:t>
      </w:r>
      <w:r w:rsidRPr="004D7F1D">
        <w:rPr>
          <w:sz w:val="36"/>
          <w:szCs w:val="36"/>
        </w:rPr>
        <w:t>-al,2014) talks about the (health and social act 2012) and the federal health services and how it has all changed with the (health and social act 2012,) The report also explains the five critical points of the health and safety act suggested by (Blumenthal-al 2015).</w:t>
      </w:r>
    </w:p>
    <w:p w14:paraId="6E0D6342" w14:textId="77777777" w:rsidR="00DC42AB" w:rsidRDefault="00DC42AB">
      <w:pPr>
        <w:rPr>
          <w:sz w:val="48"/>
          <w:szCs w:val="48"/>
        </w:rPr>
      </w:pPr>
    </w:p>
    <w:p w14:paraId="3F8922E8" w14:textId="77777777" w:rsidR="00505845" w:rsidRDefault="00505845">
      <w:pPr>
        <w:rPr>
          <w:sz w:val="48"/>
          <w:szCs w:val="48"/>
        </w:rPr>
      </w:pPr>
    </w:p>
    <w:p w14:paraId="622E3696" w14:textId="77777777" w:rsidR="009A425D" w:rsidRDefault="009A425D">
      <w:pPr>
        <w:rPr>
          <w:b/>
          <w:bCs/>
          <w:sz w:val="48"/>
          <w:szCs w:val="48"/>
          <w:u w:val="single"/>
        </w:rPr>
      </w:pPr>
    </w:p>
    <w:p w14:paraId="269C029A" w14:textId="77777777" w:rsidR="00743BF9" w:rsidRDefault="00743BF9">
      <w:pPr>
        <w:rPr>
          <w:b/>
          <w:bCs/>
          <w:sz w:val="48"/>
          <w:szCs w:val="48"/>
          <w:u w:val="single"/>
        </w:rPr>
      </w:pPr>
    </w:p>
    <w:p w14:paraId="45E25846" w14:textId="77777777" w:rsidR="00743BF9" w:rsidRDefault="00743BF9">
      <w:pPr>
        <w:rPr>
          <w:b/>
          <w:bCs/>
          <w:sz w:val="48"/>
          <w:szCs w:val="48"/>
          <w:u w:val="single"/>
        </w:rPr>
      </w:pPr>
    </w:p>
    <w:p w14:paraId="099B4DB8" w14:textId="77777777" w:rsidR="00743BF9" w:rsidRDefault="00743BF9">
      <w:pPr>
        <w:rPr>
          <w:b/>
          <w:bCs/>
          <w:sz w:val="48"/>
          <w:szCs w:val="48"/>
          <w:u w:val="single"/>
        </w:rPr>
      </w:pPr>
    </w:p>
    <w:p w14:paraId="187123C4" w14:textId="77777777" w:rsidR="00743BF9" w:rsidRDefault="00743BF9">
      <w:pPr>
        <w:rPr>
          <w:b/>
          <w:bCs/>
          <w:sz w:val="48"/>
          <w:szCs w:val="48"/>
          <w:u w:val="single"/>
        </w:rPr>
      </w:pPr>
    </w:p>
    <w:p w14:paraId="0F08AFE4" w14:textId="77777777" w:rsidR="00743BF9" w:rsidRDefault="00743BF9">
      <w:pPr>
        <w:rPr>
          <w:b/>
          <w:bCs/>
          <w:sz w:val="48"/>
          <w:szCs w:val="48"/>
          <w:u w:val="single"/>
        </w:rPr>
      </w:pPr>
    </w:p>
    <w:p w14:paraId="5DCFEF02" w14:textId="3B7D5841" w:rsidR="008A379F" w:rsidRDefault="00505845">
      <w:pPr>
        <w:rPr>
          <w:b/>
          <w:bCs/>
          <w:sz w:val="48"/>
          <w:szCs w:val="48"/>
          <w:u w:val="single"/>
        </w:rPr>
      </w:pPr>
      <w:r w:rsidRPr="00505845">
        <w:rPr>
          <w:b/>
          <w:bCs/>
          <w:sz w:val="48"/>
          <w:szCs w:val="48"/>
          <w:u w:val="single"/>
        </w:rPr>
        <w:t>Research</w:t>
      </w:r>
    </w:p>
    <w:p w14:paraId="16C3C7F3" w14:textId="6ED8A716" w:rsidR="003C281C" w:rsidRPr="0066289A" w:rsidRDefault="003C281C" w:rsidP="0066289A">
      <w:pPr>
        <w:pStyle w:val="NormalWeb"/>
        <w:spacing w:before="0" w:beforeAutospacing="0" w:after="0" w:afterAutospacing="0" w:line="360" w:lineRule="auto"/>
        <w:rPr>
          <w:color w:val="0E101A"/>
          <w:sz w:val="32"/>
          <w:szCs w:val="32"/>
        </w:rPr>
      </w:pPr>
      <w:r w:rsidRPr="0066289A">
        <w:rPr>
          <w:color w:val="0E101A"/>
          <w:sz w:val="32"/>
          <w:szCs w:val="32"/>
        </w:rPr>
        <w:t>According to Capezuti (2008)</w:t>
      </w:r>
      <w:r w:rsidRPr="0066289A">
        <w:rPr>
          <w:rStyle w:val="Strong"/>
          <w:color w:val="0E101A"/>
          <w:sz w:val="32"/>
          <w:szCs w:val="32"/>
        </w:rPr>
        <w:t>, </w:t>
      </w:r>
      <w:r w:rsidRPr="0066289A">
        <w:rPr>
          <w:color w:val="0E101A"/>
          <w:sz w:val="32"/>
          <w:szCs w:val="32"/>
        </w:rPr>
        <w:t xml:space="preserve">Research is a foundation of knowledge for an essential source of information providing guidelines and solving problems. It enables us to understand new developments efficiently. </w:t>
      </w:r>
      <w:r w:rsidR="008A379F" w:rsidRPr="0066289A">
        <w:rPr>
          <w:color w:val="0E101A"/>
          <w:sz w:val="32"/>
          <w:szCs w:val="32"/>
        </w:rPr>
        <w:t>Fortune</w:t>
      </w:r>
      <w:r w:rsidRPr="0066289A">
        <w:rPr>
          <w:color w:val="0E101A"/>
          <w:sz w:val="32"/>
          <w:szCs w:val="32"/>
        </w:rPr>
        <w:t xml:space="preserve"> (2010) emphasises the importance of research in nursing. It is essential to determine what kind of treatment to give a patient and how well something may be working, gathering </w:t>
      </w:r>
      <w:r w:rsidR="008A379F" w:rsidRPr="0066289A">
        <w:rPr>
          <w:color w:val="0E101A"/>
          <w:sz w:val="32"/>
          <w:szCs w:val="32"/>
        </w:rPr>
        <w:t>information,</w:t>
      </w:r>
      <w:r w:rsidRPr="0066289A">
        <w:rPr>
          <w:color w:val="0E101A"/>
          <w:sz w:val="32"/>
          <w:szCs w:val="32"/>
        </w:rPr>
        <w:t xml:space="preserve"> and then passing on (The nmc2018) states that nurses should always practice with the best available evidence. For them to achieve this. </w:t>
      </w:r>
      <w:r w:rsidRPr="0066289A">
        <w:rPr>
          <w:rStyle w:val="Strong"/>
          <w:color w:val="0E101A"/>
          <w:sz w:val="32"/>
          <w:szCs w:val="32"/>
        </w:rPr>
        <w:t>6.1</w:t>
      </w:r>
      <w:r w:rsidR="008A379F" w:rsidRPr="0066289A">
        <w:rPr>
          <w:rStyle w:val="Strong"/>
          <w:color w:val="0E101A"/>
          <w:sz w:val="32"/>
          <w:szCs w:val="32"/>
        </w:rPr>
        <w:t>(from</w:t>
      </w:r>
      <w:r w:rsidRPr="0066289A">
        <w:rPr>
          <w:rStyle w:val="Strong"/>
          <w:color w:val="0E101A"/>
          <w:sz w:val="32"/>
          <w:szCs w:val="32"/>
        </w:rPr>
        <w:t xml:space="preserve"> the nmc2018)</w:t>
      </w:r>
      <w:r w:rsidRPr="0066289A">
        <w:rPr>
          <w:color w:val="0E101A"/>
          <w:sz w:val="32"/>
          <w:szCs w:val="32"/>
        </w:rPr>
        <w:t> states that any information or advice given is evidence-based, including information relating to any health care products or services. As well, </w:t>
      </w:r>
      <w:r w:rsidRPr="0066289A">
        <w:rPr>
          <w:rStyle w:val="Strong"/>
          <w:color w:val="0E101A"/>
          <w:sz w:val="32"/>
          <w:szCs w:val="32"/>
        </w:rPr>
        <w:t>6.2</w:t>
      </w:r>
      <w:r w:rsidRPr="0066289A">
        <w:rPr>
          <w:color w:val="0E101A"/>
          <w:sz w:val="32"/>
          <w:szCs w:val="32"/>
        </w:rPr>
        <w:t xml:space="preserve"> From the (nmc2018a) states that nurses should always maintain the knowledge and skills they need for safe and effective practice, The (nmc2018a) also suggests that sharing their skills, </w:t>
      </w:r>
      <w:r w:rsidR="008A379F" w:rsidRPr="0066289A">
        <w:rPr>
          <w:color w:val="0E101A"/>
          <w:sz w:val="32"/>
          <w:szCs w:val="32"/>
        </w:rPr>
        <w:t>knowledge,</w:t>
      </w:r>
      <w:r w:rsidRPr="0066289A">
        <w:rPr>
          <w:color w:val="0E101A"/>
          <w:sz w:val="32"/>
          <w:szCs w:val="32"/>
        </w:rPr>
        <w:t xml:space="preserve"> and experience for the benefit of people receiving care as well as collages, will benefit everyone by providing honest, accurate and constructive feedback. </w:t>
      </w:r>
      <w:proofErr w:type="spellStart"/>
      <w:proofErr w:type="gramStart"/>
      <w:r w:rsidRPr="0066289A">
        <w:rPr>
          <w:color w:val="0E101A"/>
          <w:sz w:val="32"/>
          <w:szCs w:val="32"/>
        </w:rPr>
        <w:t>Pope,c</w:t>
      </w:r>
      <w:proofErr w:type="spellEnd"/>
      <w:proofErr w:type="gramEnd"/>
      <w:r w:rsidRPr="0066289A">
        <w:rPr>
          <w:color w:val="0E101A"/>
          <w:sz w:val="32"/>
          <w:szCs w:val="32"/>
        </w:rPr>
        <w:t xml:space="preserve"> et al. (2020) emphasises that several types of resources are conducted in health care. Behavioural studies are conducted by testing </w:t>
      </w:r>
      <w:r w:rsidRPr="0066289A">
        <w:rPr>
          <w:color w:val="0E101A"/>
          <w:sz w:val="32"/>
          <w:szCs w:val="32"/>
        </w:rPr>
        <w:lastRenderedPageBreak/>
        <w:t xml:space="preserve">patients on how they may act in different ways in different situations and clinical trials. These are studies of a drug, surgeries, or even medical advice in healthy volunteers or even people who have a specific disease, such as </w:t>
      </w:r>
      <w:r w:rsidR="00BD4AE3" w:rsidRPr="0066289A">
        <w:rPr>
          <w:color w:val="0E101A"/>
          <w:sz w:val="32"/>
          <w:szCs w:val="32"/>
        </w:rPr>
        <w:t>Tylor (</w:t>
      </w:r>
      <w:r w:rsidRPr="0066289A">
        <w:rPr>
          <w:color w:val="0E101A"/>
          <w:sz w:val="32"/>
          <w:szCs w:val="32"/>
        </w:rPr>
        <w:t>2018)</w:t>
      </w:r>
      <w:r w:rsidRPr="0066289A">
        <w:rPr>
          <w:rStyle w:val="Strong"/>
          <w:color w:val="0E101A"/>
          <w:sz w:val="32"/>
          <w:szCs w:val="32"/>
        </w:rPr>
        <w:t> </w:t>
      </w:r>
      <w:r w:rsidRPr="0066289A">
        <w:rPr>
          <w:color w:val="0E101A"/>
          <w:sz w:val="32"/>
          <w:szCs w:val="32"/>
        </w:rPr>
        <w:t xml:space="preserve">emphasises clinical and behavioural studies. There is also public health research, </w:t>
      </w:r>
      <w:r w:rsidR="00BD4AE3" w:rsidRPr="0066289A">
        <w:rPr>
          <w:color w:val="0E101A"/>
          <w:sz w:val="32"/>
          <w:szCs w:val="32"/>
        </w:rPr>
        <w:t>this</w:t>
      </w:r>
      <w:r w:rsidRPr="0066289A">
        <w:rPr>
          <w:color w:val="0E101A"/>
          <w:sz w:val="32"/>
          <w:szCs w:val="32"/>
        </w:rPr>
        <w:t xml:space="preserve"> type of resource is often a combination of Genetic studies, observation studies and community-based participatory research. Public health resource tries to improve the quality of the well-being of people from the population level perspective. There are many pros and cons to Research, especially within health care. </w:t>
      </w:r>
      <w:proofErr w:type="spellStart"/>
      <w:r w:rsidRPr="0066289A">
        <w:rPr>
          <w:color w:val="0E101A"/>
          <w:sz w:val="32"/>
          <w:szCs w:val="32"/>
        </w:rPr>
        <w:t>Afessa</w:t>
      </w:r>
      <w:proofErr w:type="spellEnd"/>
      <w:r w:rsidRPr="0066289A">
        <w:rPr>
          <w:color w:val="0E101A"/>
          <w:sz w:val="32"/>
          <w:szCs w:val="32"/>
        </w:rPr>
        <w:t xml:space="preserve"> (2004) emphasises that the benefits of Research are that doing Research has helped prevent the further development of disease and ill health and has reduced the number of people living with an illness. It has also helped to improve surgical waiting times. It has increased the number of people who are cured of long live illnesses, as well as improved the quality of the lives of people living with prolonged lifelong illnesses, </w:t>
      </w:r>
      <w:proofErr w:type="spellStart"/>
      <w:r w:rsidRPr="0066289A">
        <w:rPr>
          <w:color w:val="0E101A"/>
          <w:sz w:val="32"/>
          <w:szCs w:val="32"/>
        </w:rPr>
        <w:t>Upadhuau</w:t>
      </w:r>
      <w:proofErr w:type="spellEnd"/>
      <w:r w:rsidRPr="0066289A">
        <w:rPr>
          <w:color w:val="0E101A"/>
          <w:sz w:val="32"/>
          <w:szCs w:val="32"/>
        </w:rPr>
        <w:t xml:space="preserve"> et al. (2010)suggests that the benefits also help nurses and professional organisations become better at their roles because they can be more critically advanced in the field they work in, Evaluating new evidence and providing better care, Research also expands the knowledge, which in contrast helps provides evidenced-based improved treatment and care. There are also cons and some negativity around evidence-based practice in nursing, suggested by </w:t>
      </w:r>
      <w:r w:rsidR="008A379F" w:rsidRPr="0066289A">
        <w:rPr>
          <w:color w:val="0E101A"/>
          <w:sz w:val="32"/>
          <w:szCs w:val="32"/>
        </w:rPr>
        <w:t>Roxburgh (</w:t>
      </w:r>
      <w:r w:rsidRPr="0066289A">
        <w:rPr>
          <w:color w:val="0E101A"/>
          <w:sz w:val="32"/>
          <w:szCs w:val="32"/>
        </w:rPr>
        <w:t>2006)</w:t>
      </w:r>
      <w:r w:rsidR="008A379F">
        <w:rPr>
          <w:color w:val="0E101A"/>
          <w:sz w:val="32"/>
          <w:szCs w:val="32"/>
        </w:rPr>
        <w:t xml:space="preserve"> </w:t>
      </w:r>
      <w:r w:rsidRPr="0066289A">
        <w:rPr>
          <w:color w:val="0E101A"/>
          <w:sz w:val="32"/>
          <w:szCs w:val="32"/>
        </w:rPr>
        <w:t xml:space="preserve">that treatment is not always </w:t>
      </w:r>
      <w:r w:rsidR="00BD4AE3" w:rsidRPr="0066289A">
        <w:rPr>
          <w:color w:val="0E101A"/>
          <w:sz w:val="32"/>
          <w:szCs w:val="32"/>
        </w:rPr>
        <w:t>efficient,</w:t>
      </w:r>
      <w:r w:rsidRPr="0066289A">
        <w:rPr>
          <w:color w:val="0E101A"/>
          <w:sz w:val="32"/>
          <w:szCs w:val="32"/>
        </w:rPr>
        <w:t xml:space="preserve"> and some people may experience side effects; also, patients may find some treatment works </w:t>
      </w:r>
      <w:r w:rsidRPr="0066289A">
        <w:rPr>
          <w:color w:val="0E101A"/>
          <w:sz w:val="32"/>
          <w:szCs w:val="32"/>
        </w:rPr>
        <w:lastRenderedPageBreak/>
        <w:t>better for them, but now others also do not all treatment is being studied are always correct and better than standard care.</w:t>
      </w:r>
    </w:p>
    <w:p w14:paraId="6FDA69CD" w14:textId="77777777" w:rsidR="003C281C" w:rsidRDefault="003C281C" w:rsidP="003C281C">
      <w:pPr>
        <w:pStyle w:val="NormalWeb"/>
        <w:spacing w:before="0" w:beforeAutospacing="0" w:after="0" w:afterAutospacing="0"/>
        <w:rPr>
          <w:color w:val="0E101A"/>
        </w:rPr>
      </w:pPr>
    </w:p>
    <w:p w14:paraId="37481148" w14:textId="77777777" w:rsidR="003C281C" w:rsidRPr="003C281C" w:rsidRDefault="003C281C">
      <w:pPr>
        <w:rPr>
          <w:b/>
          <w:bCs/>
          <w:sz w:val="32"/>
          <w:szCs w:val="32"/>
          <w:u w:val="single"/>
        </w:rPr>
      </w:pPr>
    </w:p>
    <w:p w14:paraId="40D0A96F" w14:textId="296CA69B" w:rsidR="009B4D74" w:rsidRDefault="009B4D74">
      <w:pPr>
        <w:rPr>
          <w:sz w:val="48"/>
          <w:szCs w:val="48"/>
        </w:rPr>
      </w:pPr>
      <w:r>
        <w:rPr>
          <w:b/>
          <w:bCs/>
          <w:sz w:val="48"/>
          <w:szCs w:val="48"/>
          <w:u w:val="single"/>
        </w:rPr>
        <w:t xml:space="preserve"> </w:t>
      </w:r>
    </w:p>
    <w:p w14:paraId="5A0D797C" w14:textId="63D1FAD6" w:rsidR="009B4D74" w:rsidRDefault="009B4D74">
      <w:pPr>
        <w:rPr>
          <w:sz w:val="48"/>
          <w:szCs w:val="48"/>
        </w:rPr>
      </w:pPr>
    </w:p>
    <w:p w14:paraId="1412E8C8" w14:textId="77777777" w:rsidR="00140228" w:rsidRDefault="00140228">
      <w:pPr>
        <w:rPr>
          <w:sz w:val="48"/>
          <w:szCs w:val="48"/>
        </w:rPr>
      </w:pPr>
    </w:p>
    <w:p w14:paraId="21907320" w14:textId="77777777" w:rsidR="00140228" w:rsidRDefault="00140228">
      <w:pPr>
        <w:rPr>
          <w:sz w:val="48"/>
          <w:szCs w:val="48"/>
        </w:rPr>
      </w:pPr>
    </w:p>
    <w:p w14:paraId="594BBA70" w14:textId="70FA0D38" w:rsidR="00140228" w:rsidRDefault="00140228">
      <w:pPr>
        <w:rPr>
          <w:b/>
          <w:bCs/>
          <w:sz w:val="48"/>
          <w:szCs w:val="48"/>
          <w:u w:val="single"/>
        </w:rPr>
      </w:pPr>
      <w:r w:rsidRPr="00F91ACD">
        <w:rPr>
          <w:b/>
          <w:bCs/>
          <w:sz w:val="48"/>
          <w:szCs w:val="48"/>
          <w:u w:val="single"/>
        </w:rPr>
        <w:t>Evidence based practice</w:t>
      </w:r>
      <w:r w:rsidR="00F91ACD" w:rsidRPr="00F91ACD">
        <w:rPr>
          <w:b/>
          <w:bCs/>
          <w:sz w:val="48"/>
          <w:szCs w:val="48"/>
          <w:u w:val="single"/>
        </w:rPr>
        <w:t>.</w:t>
      </w:r>
    </w:p>
    <w:p w14:paraId="70824AF9" w14:textId="77777777" w:rsidR="0066289A" w:rsidRDefault="0066289A">
      <w:pPr>
        <w:rPr>
          <w:b/>
          <w:bCs/>
          <w:sz w:val="32"/>
          <w:szCs w:val="32"/>
          <w:u w:val="single"/>
        </w:rPr>
      </w:pPr>
    </w:p>
    <w:p w14:paraId="5A37F32C" w14:textId="0D20BF40" w:rsidR="00C81F5D" w:rsidRPr="0066289A" w:rsidRDefault="008A379F" w:rsidP="0066289A">
      <w:pPr>
        <w:pStyle w:val="NormalWeb"/>
        <w:spacing w:before="0" w:beforeAutospacing="0" w:after="0" w:afterAutospacing="0" w:line="360" w:lineRule="auto"/>
        <w:rPr>
          <w:color w:val="0E101A"/>
          <w:sz w:val="32"/>
          <w:szCs w:val="32"/>
        </w:rPr>
      </w:pPr>
      <w:r w:rsidRPr="0066289A">
        <w:rPr>
          <w:color w:val="0E101A"/>
          <w:sz w:val="32"/>
          <w:szCs w:val="32"/>
        </w:rPr>
        <w:t>Parahoo (</w:t>
      </w:r>
      <w:r w:rsidR="00C81F5D" w:rsidRPr="0066289A">
        <w:rPr>
          <w:color w:val="0E101A"/>
          <w:sz w:val="32"/>
          <w:szCs w:val="32"/>
        </w:rPr>
        <w:t xml:space="preserve">2014) emphasises that evidenced-based practice is a three-way combination, Available evidence, Clinical evidence, and Patient wishes. </w:t>
      </w:r>
      <w:proofErr w:type="spellStart"/>
      <w:r w:rsidR="00C81F5D" w:rsidRPr="0066289A">
        <w:rPr>
          <w:color w:val="0E101A"/>
          <w:sz w:val="32"/>
          <w:szCs w:val="32"/>
        </w:rPr>
        <w:t>Prahoo</w:t>
      </w:r>
      <w:proofErr w:type="spellEnd"/>
      <w:r w:rsidR="00C81F5D" w:rsidRPr="0066289A">
        <w:rPr>
          <w:color w:val="0E101A"/>
          <w:sz w:val="32"/>
          <w:szCs w:val="32"/>
        </w:rPr>
        <w:t xml:space="preserve"> (2014) also suggests that evidenced-based practice is based on experience, person-centred care, reading and Research, which helps multidisciplinary or interdisciplinary teams make well-informed decisions about policies, programs and projects by putting the best available evidence from research at the heart of policies, developments and implementations, Evidence-based practice is paramount in nursing, The (nmc2018a,p6) states that nurses need to deliver or advise on treatment, give help, including prevention or rehabilitative care, without too much delay. To the best of their abilities, based on the best available evidence. They need to communicate effectively, keep clear and accurate records and skills, </w:t>
      </w:r>
      <w:r w:rsidR="00C81F5D" w:rsidRPr="0066289A">
        <w:rPr>
          <w:color w:val="0E101A"/>
          <w:sz w:val="32"/>
          <w:szCs w:val="32"/>
        </w:rPr>
        <w:lastRenderedPageBreak/>
        <w:t xml:space="preserve">and share knowledge and experiences where appropriate. They reflect and act on any feedback they receive to help them improve their practice. </w:t>
      </w:r>
      <w:proofErr w:type="spellStart"/>
      <w:proofErr w:type="gramStart"/>
      <w:r w:rsidR="00C81F5D" w:rsidRPr="0066289A">
        <w:rPr>
          <w:color w:val="0E101A"/>
          <w:sz w:val="32"/>
          <w:szCs w:val="32"/>
        </w:rPr>
        <w:t>Rainhart</w:t>
      </w:r>
      <w:proofErr w:type="spellEnd"/>
      <w:r w:rsidR="00C81F5D" w:rsidRPr="0066289A">
        <w:rPr>
          <w:color w:val="0E101A"/>
          <w:sz w:val="32"/>
          <w:szCs w:val="32"/>
        </w:rPr>
        <w:t>(</w:t>
      </w:r>
      <w:proofErr w:type="gramEnd"/>
      <w:r w:rsidR="00C81F5D" w:rsidRPr="0066289A">
        <w:rPr>
          <w:color w:val="0E101A"/>
          <w:sz w:val="32"/>
          <w:szCs w:val="32"/>
        </w:rPr>
        <w:t xml:space="preserve">2020) suggests that documentation is part of the evidence that nurses document throughout the day and is then forwarded to the other staff members and continued to do so on every shift. Sanders et al. (2017) emphasise five stages of evidence-based practice, Step1. To frame your clinical practice, Meaning </w:t>
      </w:r>
      <w:r w:rsidR="00A44562" w:rsidRPr="0066289A">
        <w:rPr>
          <w:color w:val="0E101A"/>
          <w:sz w:val="32"/>
          <w:szCs w:val="32"/>
        </w:rPr>
        <w:t>frames</w:t>
      </w:r>
      <w:r w:rsidR="00C81F5D" w:rsidRPr="0066289A">
        <w:rPr>
          <w:color w:val="0E101A"/>
          <w:sz w:val="32"/>
          <w:szCs w:val="32"/>
        </w:rPr>
        <w:t xml:space="preserve"> a relevant and answerable question based on their patient's case. Step2, Are the evidence, meaning chooses valuable resources and perform a search. Step3, Appraise the evidence for its validity and relevance, meaning examine the articles to determine the validity and applicability to search. step4. Apply the Research to inpatient care decisions, meaning use the evidence in conjunction with the clinical knowledge and patients' values and expectations to make patient care decisions. Step five, Assess the process to improve it, meaning evaluate the performance throughout the process and review their outcome to determine </w:t>
      </w:r>
      <w:proofErr w:type="gramStart"/>
      <w:r w:rsidR="00C81F5D" w:rsidRPr="0066289A">
        <w:rPr>
          <w:color w:val="0E101A"/>
          <w:sz w:val="32"/>
          <w:szCs w:val="32"/>
        </w:rPr>
        <w:t>if and when</w:t>
      </w:r>
      <w:proofErr w:type="gramEnd"/>
      <w:r w:rsidR="00C81F5D" w:rsidRPr="0066289A">
        <w:rPr>
          <w:color w:val="0E101A"/>
          <w:sz w:val="32"/>
          <w:szCs w:val="32"/>
        </w:rPr>
        <w:t xml:space="preserve"> they could improve. </w:t>
      </w:r>
      <w:proofErr w:type="spellStart"/>
      <w:proofErr w:type="gramStart"/>
      <w:r w:rsidR="00C81F5D" w:rsidRPr="0066289A">
        <w:rPr>
          <w:color w:val="0E101A"/>
          <w:sz w:val="32"/>
          <w:szCs w:val="32"/>
        </w:rPr>
        <w:t>Lam,et</w:t>
      </w:r>
      <w:proofErr w:type="spellEnd"/>
      <w:proofErr w:type="gramEnd"/>
      <w:r w:rsidR="00C81F5D" w:rsidRPr="0066289A">
        <w:rPr>
          <w:color w:val="0E101A"/>
          <w:sz w:val="32"/>
          <w:szCs w:val="32"/>
        </w:rPr>
        <w:t>-al(2019) suggests that evidence-based practice is essential in care because it integrates evidence, clinical expertise and patients' preferences. This approach to clinical practice encourages nurses to provide individual patient care</w:t>
      </w:r>
      <w:r w:rsidR="00C81F5D" w:rsidRPr="0066289A">
        <w:rPr>
          <w:rStyle w:val="Strong"/>
          <w:color w:val="0E101A"/>
          <w:sz w:val="32"/>
          <w:szCs w:val="32"/>
        </w:rPr>
        <w:t>. </w:t>
      </w:r>
      <w:r w:rsidR="00C81F5D" w:rsidRPr="0066289A">
        <w:rPr>
          <w:color w:val="0E101A"/>
          <w:sz w:val="32"/>
          <w:szCs w:val="32"/>
        </w:rPr>
        <w:t>Upton et-at (2016)</w:t>
      </w:r>
      <w:r w:rsidR="00C81F5D" w:rsidRPr="0066289A">
        <w:rPr>
          <w:rStyle w:val="Strong"/>
          <w:color w:val="0E101A"/>
          <w:sz w:val="32"/>
          <w:szCs w:val="32"/>
        </w:rPr>
        <w:t> </w:t>
      </w:r>
      <w:r w:rsidR="00C81F5D" w:rsidRPr="0066289A">
        <w:rPr>
          <w:color w:val="0E101A"/>
          <w:sz w:val="32"/>
          <w:szCs w:val="32"/>
        </w:rPr>
        <w:t xml:space="preserve">also suggests that evidence-based practice also provides nurses with Scientific Research to make well-informed decisions. Nurses can also stay updated about new medical protocols for their patient care. They can search for </w:t>
      </w:r>
      <w:r w:rsidR="00C81F5D" w:rsidRPr="0066289A">
        <w:rPr>
          <w:color w:val="0E101A"/>
          <w:sz w:val="32"/>
          <w:szCs w:val="32"/>
        </w:rPr>
        <w:lastRenderedPageBreak/>
        <w:t>documentation interventions that fit their patients' or residents' profiles, which in contrast, can increase their patient's recovery.</w:t>
      </w:r>
    </w:p>
    <w:p w14:paraId="5FCA26D5" w14:textId="77777777" w:rsidR="003C281C" w:rsidRPr="003C281C" w:rsidRDefault="003C281C" w:rsidP="0066289A">
      <w:pPr>
        <w:spacing w:line="360" w:lineRule="auto"/>
        <w:rPr>
          <w:b/>
          <w:bCs/>
          <w:sz w:val="32"/>
          <w:szCs w:val="32"/>
          <w:u w:val="single"/>
        </w:rPr>
      </w:pPr>
    </w:p>
    <w:p w14:paraId="1F3C91BF" w14:textId="77777777" w:rsidR="00F91ACD" w:rsidRDefault="00F91ACD">
      <w:pPr>
        <w:rPr>
          <w:b/>
          <w:bCs/>
          <w:sz w:val="48"/>
          <w:szCs w:val="48"/>
          <w:u w:val="single"/>
        </w:rPr>
      </w:pPr>
    </w:p>
    <w:p w14:paraId="5C0A4022" w14:textId="77777777" w:rsidR="009A425D" w:rsidRDefault="009A425D">
      <w:pPr>
        <w:rPr>
          <w:b/>
          <w:bCs/>
          <w:sz w:val="48"/>
          <w:szCs w:val="48"/>
          <w:u w:val="single"/>
        </w:rPr>
      </w:pPr>
    </w:p>
    <w:p w14:paraId="2BB9F787" w14:textId="77777777" w:rsidR="00F91ACD" w:rsidRDefault="00F91ACD">
      <w:pPr>
        <w:rPr>
          <w:b/>
          <w:bCs/>
          <w:sz w:val="48"/>
          <w:szCs w:val="48"/>
          <w:u w:val="single"/>
        </w:rPr>
      </w:pPr>
    </w:p>
    <w:p w14:paraId="451F0A17" w14:textId="77777777" w:rsidR="00F91ACD" w:rsidRDefault="00F91ACD">
      <w:pPr>
        <w:rPr>
          <w:b/>
          <w:bCs/>
          <w:sz w:val="48"/>
          <w:szCs w:val="48"/>
          <w:u w:val="single"/>
        </w:rPr>
      </w:pPr>
    </w:p>
    <w:p w14:paraId="7EFD9D5F" w14:textId="2EEA855C" w:rsidR="00F91ACD" w:rsidRDefault="00F91ACD">
      <w:pPr>
        <w:rPr>
          <w:b/>
          <w:bCs/>
          <w:sz w:val="48"/>
          <w:szCs w:val="48"/>
          <w:u w:val="single"/>
        </w:rPr>
      </w:pPr>
      <w:r>
        <w:rPr>
          <w:b/>
          <w:bCs/>
          <w:sz w:val="48"/>
          <w:szCs w:val="48"/>
          <w:u w:val="single"/>
        </w:rPr>
        <w:t xml:space="preserve">Role of government and </w:t>
      </w:r>
      <w:r w:rsidR="00E975F8">
        <w:rPr>
          <w:b/>
          <w:bCs/>
          <w:sz w:val="48"/>
          <w:szCs w:val="48"/>
          <w:u w:val="single"/>
        </w:rPr>
        <w:t>organisations in</w:t>
      </w:r>
      <w:r>
        <w:rPr>
          <w:b/>
          <w:bCs/>
          <w:sz w:val="48"/>
          <w:szCs w:val="48"/>
          <w:u w:val="single"/>
        </w:rPr>
        <w:t xml:space="preserve"> research and health care provisions epidem</w:t>
      </w:r>
      <w:r w:rsidR="008829AC">
        <w:rPr>
          <w:b/>
          <w:bCs/>
          <w:sz w:val="48"/>
          <w:szCs w:val="48"/>
          <w:u w:val="single"/>
        </w:rPr>
        <w:t xml:space="preserve">iological </w:t>
      </w:r>
    </w:p>
    <w:p w14:paraId="19094979" w14:textId="77777777" w:rsidR="0066289A" w:rsidRPr="0066289A" w:rsidRDefault="0066289A" w:rsidP="0066289A">
      <w:pPr>
        <w:spacing w:line="360" w:lineRule="auto"/>
        <w:rPr>
          <w:b/>
          <w:bCs/>
          <w:sz w:val="32"/>
          <w:szCs w:val="32"/>
          <w:u w:val="single"/>
        </w:rPr>
      </w:pPr>
    </w:p>
    <w:p w14:paraId="5ADE4814" w14:textId="03FB1E8E" w:rsidR="002D3F2D" w:rsidRPr="0066289A" w:rsidRDefault="002D3F2D" w:rsidP="0066289A">
      <w:pPr>
        <w:spacing w:line="360" w:lineRule="auto"/>
        <w:rPr>
          <w:sz w:val="32"/>
          <w:szCs w:val="32"/>
        </w:rPr>
      </w:pPr>
      <w:proofErr w:type="spellStart"/>
      <w:proofErr w:type="gramStart"/>
      <w:r w:rsidRPr="0066289A">
        <w:rPr>
          <w:sz w:val="32"/>
          <w:szCs w:val="32"/>
        </w:rPr>
        <w:t>Markides,et</w:t>
      </w:r>
      <w:proofErr w:type="spellEnd"/>
      <w:proofErr w:type="gramEnd"/>
      <w:r w:rsidRPr="0066289A">
        <w:rPr>
          <w:sz w:val="32"/>
          <w:szCs w:val="32"/>
        </w:rPr>
        <w:t xml:space="preserve">-al(2014) emphasises that the health and social care act 2012 is an act from the </w:t>
      </w:r>
      <w:r w:rsidR="008A379F" w:rsidRPr="0066289A">
        <w:rPr>
          <w:sz w:val="32"/>
          <w:szCs w:val="32"/>
        </w:rPr>
        <w:t>Parliament</w:t>
      </w:r>
      <w:r w:rsidRPr="0066289A">
        <w:rPr>
          <w:sz w:val="32"/>
          <w:szCs w:val="32"/>
        </w:rPr>
        <w:t xml:space="preserve"> of the united kingdom. It was invented to provide the most extensive structure recognition to the national health services in Wales and England. The federal health services are also known as the NHS. It changed with the health and social care act2012, bringing in the wide-ranging reforms of the NHS since it was first founded in 1984. The main changes were set out in April 2013, and the act came into play. Most parts of the national health services were affected in one way or another. According to </w:t>
      </w:r>
      <w:proofErr w:type="spellStart"/>
      <w:r w:rsidR="008B746A" w:rsidRPr="0066289A">
        <w:rPr>
          <w:sz w:val="32"/>
          <w:szCs w:val="32"/>
        </w:rPr>
        <w:t>Godefrov</w:t>
      </w:r>
      <w:proofErr w:type="spellEnd"/>
      <w:r w:rsidR="008B746A" w:rsidRPr="0066289A">
        <w:rPr>
          <w:sz w:val="32"/>
          <w:szCs w:val="32"/>
        </w:rPr>
        <w:t xml:space="preserve"> (</w:t>
      </w:r>
      <w:r w:rsidRPr="0066289A">
        <w:rPr>
          <w:sz w:val="32"/>
          <w:szCs w:val="32"/>
        </w:rPr>
        <w:t xml:space="preserve">2015), the health and social act 2012 is now the law, </w:t>
      </w:r>
      <w:proofErr w:type="gramStart"/>
      <w:r w:rsidRPr="0066289A">
        <w:rPr>
          <w:sz w:val="32"/>
          <w:szCs w:val="32"/>
        </w:rPr>
        <w:t>That</w:t>
      </w:r>
      <w:proofErr w:type="gramEnd"/>
      <w:r w:rsidRPr="0066289A">
        <w:rPr>
          <w:sz w:val="32"/>
          <w:szCs w:val="32"/>
        </w:rPr>
        <w:t xml:space="preserve"> </w:t>
      </w:r>
      <w:r w:rsidRPr="0066289A">
        <w:rPr>
          <w:sz w:val="32"/>
          <w:szCs w:val="32"/>
        </w:rPr>
        <w:lastRenderedPageBreak/>
        <w:t xml:space="preserve">is in place for adult care. It requires local authorities to ensure that anyone needing care in the area is provided and act quickly to prevent their care needs from becoming more severe or delayed. </w:t>
      </w:r>
      <w:proofErr w:type="spellStart"/>
      <w:proofErr w:type="gramStart"/>
      <w:r w:rsidRPr="0066289A">
        <w:rPr>
          <w:sz w:val="32"/>
          <w:szCs w:val="32"/>
        </w:rPr>
        <w:t>Ye,et</w:t>
      </w:r>
      <w:proofErr w:type="spellEnd"/>
      <w:proofErr w:type="gramEnd"/>
      <w:r w:rsidRPr="0066289A">
        <w:rPr>
          <w:sz w:val="32"/>
          <w:szCs w:val="32"/>
        </w:rPr>
        <w:t xml:space="preserve">-al(2021) emphasise that the aim of the health and social care act is to help empower the patients, to give them a voice and self-control over their care. It was invented to put patients at the centre of commissioning, to help free up providers to innovate and focus on patient care. </w:t>
      </w:r>
      <w:r w:rsidR="000A7EB4" w:rsidRPr="0066289A">
        <w:rPr>
          <w:sz w:val="32"/>
          <w:szCs w:val="32"/>
        </w:rPr>
        <w:t>Blumenthal</w:t>
      </w:r>
      <w:r w:rsidR="009F7A4C">
        <w:rPr>
          <w:sz w:val="32"/>
          <w:szCs w:val="32"/>
        </w:rPr>
        <w:t>-</w:t>
      </w:r>
      <w:r w:rsidRPr="0066289A">
        <w:rPr>
          <w:sz w:val="32"/>
          <w:szCs w:val="32"/>
        </w:rPr>
        <w:t>al</w:t>
      </w:r>
      <w:r w:rsidR="000A7EB4">
        <w:rPr>
          <w:sz w:val="32"/>
          <w:szCs w:val="32"/>
        </w:rPr>
        <w:t xml:space="preserve"> </w:t>
      </w:r>
      <w:r w:rsidRPr="0066289A">
        <w:rPr>
          <w:sz w:val="32"/>
          <w:szCs w:val="32"/>
        </w:rPr>
        <w:t>(</w:t>
      </w:r>
      <w:r w:rsidR="002976ED" w:rsidRPr="0066289A">
        <w:rPr>
          <w:sz w:val="32"/>
          <w:szCs w:val="32"/>
        </w:rPr>
        <w:t>2015) suggests</w:t>
      </w:r>
      <w:r w:rsidRPr="0066289A">
        <w:rPr>
          <w:sz w:val="32"/>
          <w:szCs w:val="32"/>
        </w:rPr>
        <w:t xml:space="preserve"> that there are five critical points of the health and safety act, and they are, one- presumption of capacity, 2- individuals are supported in making their decisions, 3- unwise choices, 4- have the best interests, 5- be a less restrictive option. The </w:t>
      </w:r>
      <w:r w:rsidR="009F7A4C" w:rsidRPr="0066289A">
        <w:rPr>
          <w:sz w:val="32"/>
          <w:szCs w:val="32"/>
        </w:rPr>
        <w:t>focus</w:t>
      </w:r>
      <w:r w:rsidRPr="0066289A">
        <w:rPr>
          <w:sz w:val="32"/>
          <w:szCs w:val="32"/>
        </w:rPr>
        <w:t xml:space="preserve"> is to ensure that every adult has the right to make their own decisions, and they must not assume that because someone has a particular disability, they cannot </w:t>
      </w:r>
      <w:r w:rsidR="008B746A" w:rsidRPr="0066289A">
        <w:rPr>
          <w:sz w:val="32"/>
          <w:szCs w:val="32"/>
        </w:rPr>
        <w:t>decide</w:t>
      </w:r>
      <w:r w:rsidRPr="0066289A">
        <w:rPr>
          <w:sz w:val="32"/>
          <w:szCs w:val="32"/>
        </w:rPr>
        <w:t xml:space="preserve"> </w:t>
      </w:r>
      <w:r w:rsidR="002976ED" w:rsidRPr="0066289A">
        <w:rPr>
          <w:sz w:val="32"/>
          <w:szCs w:val="32"/>
        </w:rPr>
        <w:t>their</w:t>
      </w:r>
      <w:r w:rsidRPr="0066289A">
        <w:rPr>
          <w:sz w:val="32"/>
          <w:szCs w:val="32"/>
        </w:rPr>
        <w:t xml:space="preserve"> </w:t>
      </w:r>
      <w:proofErr w:type="gramStart"/>
      <w:r w:rsidR="008B746A" w:rsidRPr="0066289A">
        <w:rPr>
          <w:sz w:val="32"/>
          <w:szCs w:val="32"/>
        </w:rPr>
        <w:t>self’s</w:t>
      </w:r>
      <w:proofErr w:type="gramEnd"/>
      <w:r w:rsidRPr="0066289A">
        <w:rPr>
          <w:sz w:val="32"/>
          <w:szCs w:val="32"/>
        </w:rPr>
        <w:t xml:space="preserve"> for their best interest.</w:t>
      </w:r>
    </w:p>
    <w:p w14:paraId="328B26D6" w14:textId="77777777" w:rsidR="008829AC" w:rsidRDefault="008829AC">
      <w:pPr>
        <w:rPr>
          <w:sz w:val="48"/>
          <w:szCs w:val="48"/>
        </w:rPr>
      </w:pPr>
    </w:p>
    <w:p w14:paraId="6774D404" w14:textId="77777777" w:rsidR="008829AC" w:rsidRDefault="008829AC">
      <w:pPr>
        <w:rPr>
          <w:sz w:val="48"/>
          <w:szCs w:val="48"/>
        </w:rPr>
      </w:pPr>
    </w:p>
    <w:p w14:paraId="1AAC2BF9" w14:textId="77777777" w:rsidR="008829AC" w:rsidRDefault="008829AC">
      <w:pPr>
        <w:rPr>
          <w:sz w:val="48"/>
          <w:szCs w:val="48"/>
        </w:rPr>
      </w:pPr>
    </w:p>
    <w:p w14:paraId="09E4B173" w14:textId="77777777" w:rsidR="004C20D5" w:rsidRDefault="004C20D5">
      <w:pPr>
        <w:rPr>
          <w:sz w:val="48"/>
          <w:szCs w:val="48"/>
        </w:rPr>
      </w:pPr>
    </w:p>
    <w:p w14:paraId="64428D7E" w14:textId="77777777" w:rsidR="009A425D" w:rsidRDefault="009A425D">
      <w:pPr>
        <w:rPr>
          <w:b/>
          <w:bCs/>
          <w:sz w:val="48"/>
          <w:szCs w:val="48"/>
          <w:u w:val="single"/>
        </w:rPr>
      </w:pPr>
    </w:p>
    <w:p w14:paraId="3B5C1EF6" w14:textId="77777777" w:rsidR="009A425D" w:rsidRDefault="009A425D">
      <w:pPr>
        <w:rPr>
          <w:b/>
          <w:bCs/>
          <w:sz w:val="48"/>
          <w:szCs w:val="48"/>
          <w:u w:val="single"/>
        </w:rPr>
      </w:pPr>
    </w:p>
    <w:p w14:paraId="5E65B94D" w14:textId="77777777" w:rsidR="009A425D" w:rsidRDefault="009A425D">
      <w:pPr>
        <w:rPr>
          <w:b/>
          <w:bCs/>
          <w:sz w:val="48"/>
          <w:szCs w:val="48"/>
          <w:u w:val="single"/>
        </w:rPr>
      </w:pPr>
    </w:p>
    <w:p w14:paraId="5374A99F" w14:textId="581CA7FF" w:rsidR="008829AC" w:rsidRDefault="00383FEF">
      <w:pPr>
        <w:rPr>
          <w:b/>
          <w:bCs/>
          <w:sz w:val="48"/>
          <w:szCs w:val="48"/>
          <w:u w:val="single"/>
        </w:rPr>
      </w:pPr>
      <w:r w:rsidRPr="00383FEF">
        <w:rPr>
          <w:b/>
          <w:bCs/>
          <w:sz w:val="48"/>
          <w:szCs w:val="48"/>
          <w:u w:val="single"/>
        </w:rPr>
        <w:t xml:space="preserve">Identify practice which has progressed and informed evidence-based practice </w:t>
      </w:r>
    </w:p>
    <w:p w14:paraId="1B8B8463" w14:textId="6FBDF2BD" w:rsidR="005F557E" w:rsidRPr="0066289A" w:rsidRDefault="005F557E" w:rsidP="0066289A">
      <w:pPr>
        <w:pStyle w:val="NormalWeb"/>
        <w:spacing w:before="0" w:beforeAutospacing="0" w:after="0" w:afterAutospacing="0" w:line="360" w:lineRule="auto"/>
        <w:rPr>
          <w:color w:val="0E101A"/>
          <w:sz w:val="32"/>
          <w:szCs w:val="32"/>
        </w:rPr>
      </w:pPr>
      <w:proofErr w:type="spellStart"/>
      <w:r w:rsidRPr="0066289A">
        <w:rPr>
          <w:color w:val="0E101A"/>
          <w:sz w:val="32"/>
          <w:szCs w:val="32"/>
        </w:rPr>
        <w:t>Donnapfel</w:t>
      </w:r>
      <w:proofErr w:type="spellEnd"/>
      <w:r w:rsidRPr="0066289A">
        <w:rPr>
          <w:color w:val="0E101A"/>
          <w:sz w:val="32"/>
          <w:szCs w:val="32"/>
        </w:rPr>
        <w:t xml:space="preserve"> et al. (2015) emphasise that evidence has its roots in evidence-based practice, which was initially known as evidence-based medicine in the early 90s. It emerged to help evidence-based practice because it was considered methodologically weak. However, the rise of evidence-based practice has led to a broader focus on the importance of more overall uptake of research in health and social care and nursing. Evidence-based practice in nursing helps nurses decide the health and social care needs based on the best available evidence. These decisions should be made by someone receiving care informed by the knowledge of those providing the respect within the most recent available evidence. </w:t>
      </w:r>
      <w:proofErr w:type="spellStart"/>
      <w:proofErr w:type="gramStart"/>
      <w:r w:rsidRPr="0066289A">
        <w:rPr>
          <w:color w:val="0E101A"/>
          <w:sz w:val="32"/>
          <w:szCs w:val="32"/>
        </w:rPr>
        <w:t>Lien,et</w:t>
      </w:r>
      <w:proofErr w:type="spellEnd"/>
      <w:proofErr w:type="gramEnd"/>
      <w:r w:rsidRPr="0066289A">
        <w:rPr>
          <w:color w:val="0E101A"/>
          <w:sz w:val="32"/>
          <w:szCs w:val="32"/>
        </w:rPr>
        <w:t xml:space="preserve">-al(2016) emphasises that nursing has been influenced by evidence-based practice. It has affected nurses to provide individual patient care, improve time management by driving efficiently in nursing, and increase patient chances for recovery because decisions are based on documented interventions that are aliased with patient profiles. </w:t>
      </w:r>
      <w:proofErr w:type="spellStart"/>
      <w:proofErr w:type="gramStart"/>
      <w:r w:rsidR="002976ED" w:rsidRPr="0066289A">
        <w:rPr>
          <w:color w:val="0E101A"/>
          <w:sz w:val="32"/>
          <w:szCs w:val="32"/>
        </w:rPr>
        <w:t>LeVine</w:t>
      </w:r>
      <w:r w:rsidR="002976ED">
        <w:rPr>
          <w:color w:val="0E101A"/>
          <w:sz w:val="32"/>
          <w:szCs w:val="32"/>
        </w:rPr>
        <w:t>,et</w:t>
      </w:r>
      <w:proofErr w:type="spellEnd"/>
      <w:proofErr w:type="gramEnd"/>
      <w:r w:rsidRPr="0066289A">
        <w:rPr>
          <w:color w:val="0E101A"/>
          <w:sz w:val="32"/>
          <w:szCs w:val="32"/>
        </w:rPr>
        <w:t xml:space="preserve">-al(2006) suggests that examples of evidence-based practice are infection control and evidence-based. Policies exist in every medical organisation, and their importance has been continually verified. This includes keeping the health care setting clean and disinfected, wearing personal protective </w:t>
      </w:r>
      <w:proofErr w:type="gramStart"/>
      <w:r w:rsidRPr="0066289A">
        <w:rPr>
          <w:color w:val="0E101A"/>
          <w:sz w:val="32"/>
          <w:szCs w:val="32"/>
        </w:rPr>
        <w:t>clothing</w:t>
      </w:r>
      <w:proofErr w:type="gramEnd"/>
      <w:r w:rsidRPr="0066289A">
        <w:rPr>
          <w:color w:val="0E101A"/>
          <w:sz w:val="32"/>
          <w:szCs w:val="32"/>
        </w:rPr>
        <w:t xml:space="preserve"> and using the correct hand washing.</w:t>
      </w:r>
    </w:p>
    <w:p w14:paraId="52629711" w14:textId="52F86B67" w:rsidR="005F557E" w:rsidRPr="0066289A" w:rsidRDefault="005F557E" w:rsidP="0066289A">
      <w:pPr>
        <w:pStyle w:val="NormalWeb"/>
        <w:spacing w:before="0" w:beforeAutospacing="0" w:after="0" w:afterAutospacing="0" w:line="360" w:lineRule="auto"/>
        <w:rPr>
          <w:color w:val="0E101A"/>
          <w:sz w:val="32"/>
          <w:szCs w:val="32"/>
        </w:rPr>
      </w:pPr>
      <w:r w:rsidRPr="0066289A">
        <w:rPr>
          <w:color w:val="0E101A"/>
          <w:sz w:val="32"/>
          <w:szCs w:val="32"/>
        </w:rPr>
        <w:lastRenderedPageBreak/>
        <w:t>Also, oxygen is used in COPD patients because of evidence-based practice resources and the proper treatment to help prevent hypoxia and organ failure in patients with chronic obstructive pulmonary disease. Also, following evidence-based practice research, treatment for angina has concluded multiple treatment options to manage angina effectively. It includes nitrates, clot preventing drugs, statins, beta-blockers, and something simple like aspirin. As well as examples of evidence-based practice, there are also levels of evidence in the quality of improvements in the health care setting. Kirk et al. (2020)</w:t>
      </w:r>
      <w:r w:rsidRPr="0066289A">
        <w:rPr>
          <w:rStyle w:val="Strong"/>
          <w:color w:val="0E101A"/>
          <w:sz w:val="32"/>
          <w:szCs w:val="32"/>
        </w:rPr>
        <w:t> </w:t>
      </w:r>
      <w:r w:rsidRPr="0066289A">
        <w:rPr>
          <w:color w:val="0E101A"/>
          <w:sz w:val="32"/>
          <w:szCs w:val="32"/>
        </w:rPr>
        <w:t>emphasise that they come in four levels. The first level1, The more reliable level. Because the evidence is required from randomised contain trials, Level2. The proof is required from quality designed central studies, uncontrolled studies, epidemiological studies, and qualitative or quantitative studies, for example, studying heart disease after exposure to nine years of second-hand smoke. </w:t>
      </w:r>
    </w:p>
    <w:p w14:paraId="2B4A3D7F" w14:textId="77777777" w:rsidR="005F557E" w:rsidRPr="0066289A" w:rsidRDefault="005F557E" w:rsidP="0066289A">
      <w:pPr>
        <w:pStyle w:val="NormalWeb"/>
        <w:spacing w:before="0" w:beforeAutospacing="0" w:after="0" w:afterAutospacing="0" w:line="360" w:lineRule="auto"/>
        <w:rPr>
          <w:color w:val="0E101A"/>
          <w:sz w:val="32"/>
          <w:szCs w:val="32"/>
        </w:rPr>
      </w:pPr>
      <w:r w:rsidRPr="0066289A">
        <w:rPr>
          <w:color w:val="0E101A"/>
          <w:sz w:val="32"/>
          <w:szCs w:val="32"/>
        </w:rPr>
        <w:t>Level3. Evidence is acquired from consensus viewpoints, expert opinions, and mete-syntheses, typically used when no quality data is available about a specific condition. Experts reach an agreement by reviewing the limited evidence available to them. </w:t>
      </w:r>
    </w:p>
    <w:p w14:paraId="5A25EE34" w14:textId="4B551D5D" w:rsidR="005F557E" w:rsidRPr="0066289A" w:rsidRDefault="005F557E" w:rsidP="0066289A">
      <w:pPr>
        <w:pStyle w:val="NormalWeb"/>
        <w:spacing w:before="0" w:beforeAutospacing="0" w:after="0" w:afterAutospacing="0" w:line="360" w:lineRule="auto"/>
        <w:rPr>
          <w:color w:val="0E101A"/>
          <w:sz w:val="32"/>
          <w:szCs w:val="32"/>
        </w:rPr>
      </w:pPr>
      <w:r w:rsidRPr="0066289A">
        <w:rPr>
          <w:color w:val="0E101A"/>
          <w:sz w:val="32"/>
          <w:szCs w:val="32"/>
        </w:rPr>
        <w:t xml:space="preserve">level 4. (multilevel) evidence is acquired from more than one level of evidence defined in the rating chart. This level is generally applied to more complex severe care needs, for example, concluding that invasive surgery due to removing a mass from pancreas cancer would be extremely high risk due to patient age and the place the tumour is. In contrast, the sugary risk in older adults has been studied </w:t>
      </w:r>
      <w:r w:rsidRPr="0066289A">
        <w:rPr>
          <w:color w:val="0E101A"/>
          <w:sz w:val="32"/>
          <w:szCs w:val="32"/>
        </w:rPr>
        <w:lastRenderedPageBreak/>
        <w:t>extensively. As stated in level3 above, information about a rare form of pancreatic cancer could be as rare as its condition. Hence the course of treatment would have to rely on heavily based evidence.</w:t>
      </w:r>
    </w:p>
    <w:p w14:paraId="7C301C26" w14:textId="77777777" w:rsidR="005F557E" w:rsidRPr="0066289A" w:rsidRDefault="005F557E" w:rsidP="0066289A">
      <w:pPr>
        <w:pStyle w:val="NormalWeb"/>
        <w:spacing w:before="0" w:beforeAutospacing="0" w:after="0" w:afterAutospacing="0" w:line="360" w:lineRule="auto"/>
        <w:rPr>
          <w:color w:val="0E101A"/>
          <w:sz w:val="32"/>
          <w:szCs w:val="32"/>
        </w:rPr>
      </w:pPr>
    </w:p>
    <w:p w14:paraId="5CB4E726" w14:textId="77777777" w:rsidR="005F557E" w:rsidRPr="0066289A" w:rsidRDefault="005F557E" w:rsidP="0066289A">
      <w:pPr>
        <w:pStyle w:val="NormalWeb"/>
        <w:spacing w:before="0" w:beforeAutospacing="0" w:after="0" w:afterAutospacing="0" w:line="360" w:lineRule="auto"/>
        <w:rPr>
          <w:color w:val="0E101A"/>
          <w:sz w:val="32"/>
          <w:szCs w:val="32"/>
        </w:rPr>
      </w:pPr>
    </w:p>
    <w:p w14:paraId="589C2DBB" w14:textId="77777777" w:rsidR="005F557E" w:rsidRPr="0066289A" w:rsidRDefault="005F557E" w:rsidP="0066289A">
      <w:pPr>
        <w:spacing w:line="360" w:lineRule="auto"/>
        <w:rPr>
          <w:b/>
          <w:bCs/>
          <w:sz w:val="32"/>
          <w:szCs w:val="32"/>
          <w:u w:val="single"/>
        </w:rPr>
      </w:pPr>
    </w:p>
    <w:p w14:paraId="285D41FF" w14:textId="77777777" w:rsidR="009B4D74" w:rsidRDefault="009B4D74">
      <w:pPr>
        <w:rPr>
          <w:sz w:val="48"/>
          <w:szCs w:val="48"/>
        </w:rPr>
      </w:pPr>
    </w:p>
    <w:p w14:paraId="32A7D1C2" w14:textId="5B8ABF8F" w:rsidR="19D38C4B" w:rsidRDefault="19D38C4B" w:rsidP="19D38C4B">
      <w:pPr>
        <w:rPr>
          <w:sz w:val="48"/>
          <w:szCs w:val="48"/>
        </w:rPr>
      </w:pPr>
    </w:p>
    <w:p w14:paraId="559B9EC5" w14:textId="1AF42A7B" w:rsidR="19D38C4B" w:rsidRDefault="19D38C4B" w:rsidP="19D38C4B">
      <w:pPr>
        <w:rPr>
          <w:sz w:val="48"/>
          <w:szCs w:val="48"/>
        </w:rPr>
      </w:pPr>
    </w:p>
    <w:p w14:paraId="3391399F" w14:textId="7F7BDA6E" w:rsidR="19D38C4B" w:rsidRDefault="19D38C4B" w:rsidP="19D38C4B">
      <w:pPr>
        <w:rPr>
          <w:sz w:val="48"/>
          <w:szCs w:val="48"/>
        </w:rPr>
      </w:pPr>
    </w:p>
    <w:p w14:paraId="13C8D60F" w14:textId="36F19BDE" w:rsidR="19D38C4B" w:rsidRDefault="19D38C4B" w:rsidP="19D38C4B">
      <w:pPr>
        <w:rPr>
          <w:sz w:val="48"/>
          <w:szCs w:val="48"/>
        </w:rPr>
      </w:pPr>
    </w:p>
    <w:p w14:paraId="03F7ECF3" w14:textId="0687C720" w:rsidR="19D38C4B" w:rsidRDefault="19D38C4B" w:rsidP="19D38C4B">
      <w:pPr>
        <w:rPr>
          <w:sz w:val="48"/>
          <w:szCs w:val="48"/>
        </w:rPr>
      </w:pPr>
    </w:p>
    <w:p w14:paraId="06BDA287" w14:textId="35EFA909" w:rsidR="19D38C4B" w:rsidRDefault="19D38C4B" w:rsidP="19D38C4B">
      <w:pPr>
        <w:rPr>
          <w:sz w:val="48"/>
          <w:szCs w:val="48"/>
        </w:rPr>
      </w:pPr>
    </w:p>
    <w:p w14:paraId="726F89CF" w14:textId="3F752840" w:rsidR="19D38C4B" w:rsidRDefault="19D38C4B" w:rsidP="19D38C4B">
      <w:pPr>
        <w:rPr>
          <w:sz w:val="48"/>
          <w:szCs w:val="48"/>
        </w:rPr>
      </w:pPr>
    </w:p>
    <w:p w14:paraId="6AD6F40A" w14:textId="3C2882A8" w:rsidR="19D38C4B" w:rsidRDefault="19D38C4B" w:rsidP="19D38C4B">
      <w:pPr>
        <w:rPr>
          <w:sz w:val="48"/>
          <w:szCs w:val="48"/>
        </w:rPr>
      </w:pPr>
    </w:p>
    <w:p w14:paraId="412486AF" w14:textId="727A1FDE" w:rsidR="0051189C" w:rsidRDefault="000573E4" w:rsidP="19D38C4B">
      <w:pPr>
        <w:rPr>
          <w:b/>
          <w:bCs/>
          <w:sz w:val="48"/>
          <w:szCs w:val="48"/>
          <w:u w:val="single"/>
        </w:rPr>
      </w:pPr>
      <w:r w:rsidRPr="19D38C4B">
        <w:rPr>
          <w:b/>
          <w:bCs/>
          <w:sz w:val="48"/>
          <w:szCs w:val="48"/>
          <w:u w:val="single"/>
        </w:rPr>
        <w:t>C</w:t>
      </w:r>
      <w:r w:rsidR="19D38C4B" w:rsidRPr="19D38C4B">
        <w:rPr>
          <w:b/>
          <w:bCs/>
          <w:sz w:val="48"/>
          <w:szCs w:val="48"/>
          <w:u w:val="single"/>
        </w:rPr>
        <w:t>onclusion</w:t>
      </w:r>
    </w:p>
    <w:p w14:paraId="611D3D4E" w14:textId="14B5C8BF" w:rsidR="000573E4" w:rsidRPr="00D871D2" w:rsidRDefault="00D850EC" w:rsidP="00D871D2">
      <w:pPr>
        <w:spacing w:line="360" w:lineRule="auto"/>
        <w:rPr>
          <w:rFonts w:cstheme="minorHAnsi"/>
          <w:sz w:val="36"/>
          <w:szCs w:val="36"/>
        </w:rPr>
      </w:pPr>
      <w:r w:rsidRPr="00D871D2">
        <w:rPr>
          <w:rFonts w:cstheme="minorHAnsi"/>
          <w:sz w:val="36"/>
          <w:szCs w:val="36"/>
        </w:rPr>
        <w:t xml:space="preserve">Since evidence-based practice has been used in nursing, it is paramount that it has improved care and enhanced patient outcomes. It has progressed the nurses and most professional organisations to excel in these jobs. The essay </w:t>
      </w:r>
      <w:r w:rsidRPr="00D871D2">
        <w:rPr>
          <w:rFonts w:cstheme="minorHAnsi"/>
          <w:sz w:val="36"/>
          <w:szCs w:val="36"/>
        </w:rPr>
        <w:lastRenderedPageBreak/>
        <w:t xml:space="preserve">has also explained the five stages of evidence-based practice, which are paramount for any nurse to follow. The five stages were stated above. The piece also presents examples from the </w:t>
      </w:r>
      <w:proofErr w:type="spellStart"/>
      <w:r w:rsidRPr="00D871D2">
        <w:rPr>
          <w:rFonts w:cstheme="minorHAnsi"/>
          <w:sz w:val="36"/>
          <w:szCs w:val="36"/>
        </w:rPr>
        <w:t>nmc</w:t>
      </w:r>
      <w:proofErr w:type="spellEnd"/>
      <w:r w:rsidRPr="00D871D2">
        <w:rPr>
          <w:rFonts w:cstheme="minorHAnsi"/>
          <w:sz w:val="36"/>
          <w:szCs w:val="36"/>
        </w:rPr>
        <w:t>, another form of evidence-based research that all nurses follow. Following them all, including the rules and regulations, makes the nurses unique.</w:t>
      </w:r>
    </w:p>
    <w:p w14:paraId="5CEC8378" w14:textId="77777777" w:rsidR="0051189C" w:rsidRDefault="0051189C">
      <w:pPr>
        <w:rPr>
          <w:sz w:val="48"/>
          <w:szCs w:val="48"/>
        </w:rPr>
      </w:pPr>
    </w:p>
    <w:p w14:paraId="5BCE082A" w14:textId="77777777" w:rsidR="0051189C" w:rsidRDefault="0051189C">
      <w:pPr>
        <w:rPr>
          <w:sz w:val="48"/>
          <w:szCs w:val="48"/>
        </w:rPr>
      </w:pPr>
    </w:p>
    <w:p w14:paraId="70A54FF5" w14:textId="77777777" w:rsidR="0051189C" w:rsidRDefault="0051189C">
      <w:pPr>
        <w:rPr>
          <w:sz w:val="48"/>
          <w:szCs w:val="48"/>
        </w:rPr>
      </w:pPr>
    </w:p>
    <w:p w14:paraId="27733C6F" w14:textId="77777777" w:rsidR="00250B43" w:rsidRDefault="00250B43">
      <w:pPr>
        <w:rPr>
          <w:sz w:val="48"/>
          <w:szCs w:val="48"/>
        </w:rPr>
      </w:pPr>
    </w:p>
    <w:p w14:paraId="22373020" w14:textId="77777777" w:rsidR="00250B43" w:rsidRDefault="00250B43">
      <w:pPr>
        <w:rPr>
          <w:sz w:val="48"/>
          <w:szCs w:val="48"/>
        </w:rPr>
      </w:pPr>
    </w:p>
    <w:p w14:paraId="1C244D35" w14:textId="77777777" w:rsidR="00E975F8" w:rsidRDefault="00E975F8">
      <w:pPr>
        <w:rPr>
          <w:b/>
          <w:bCs/>
          <w:sz w:val="48"/>
          <w:szCs w:val="48"/>
          <w:u w:val="single"/>
        </w:rPr>
      </w:pPr>
    </w:p>
    <w:p w14:paraId="5A09643A" w14:textId="77777777" w:rsidR="00E975F8" w:rsidRDefault="00E975F8">
      <w:pPr>
        <w:rPr>
          <w:b/>
          <w:bCs/>
          <w:sz w:val="48"/>
          <w:szCs w:val="48"/>
          <w:u w:val="single"/>
        </w:rPr>
      </w:pPr>
    </w:p>
    <w:p w14:paraId="60ACA293" w14:textId="77777777" w:rsidR="00E975F8" w:rsidRDefault="00E975F8">
      <w:pPr>
        <w:rPr>
          <w:b/>
          <w:bCs/>
          <w:sz w:val="48"/>
          <w:szCs w:val="48"/>
          <w:u w:val="single"/>
        </w:rPr>
      </w:pPr>
    </w:p>
    <w:p w14:paraId="5E77FDBE" w14:textId="77777777" w:rsidR="00E975F8" w:rsidRDefault="00E975F8">
      <w:pPr>
        <w:rPr>
          <w:b/>
          <w:bCs/>
          <w:sz w:val="48"/>
          <w:szCs w:val="48"/>
          <w:u w:val="single"/>
        </w:rPr>
      </w:pPr>
    </w:p>
    <w:p w14:paraId="250CE8E7" w14:textId="77777777" w:rsidR="00E975F8" w:rsidRDefault="00E975F8">
      <w:pPr>
        <w:rPr>
          <w:b/>
          <w:bCs/>
          <w:sz w:val="48"/>
          <w:szCs w:val="48"/>
          <w:u w:val="single"/>
        </w:rPr>
      </w:pPr>
    </w:p>
    <w:p w14:paraId="383B03AC" w14:textId="77777777" w:rsidR="00E975F8" w:rsidRDefault="00E975F8">
      <w:pPr>
        <w:rPr>
          <w:b/>
          <w:bCs/>
          <w:sz w:val="48"/>
          <w:szCs w:val="48"/>
          <w:u w:val="single"/>
        </w:rPr>
      </w:pPr>
    </w:p>
    <w:p w14:paraId="34792DF2" w14:textId="77777777" w:rsidR="009A425D" w:rsidRDefault="009A425D">
      <w:pPr>
        <w:rPr>
          <w:b/>
          <w:bCs/>
          <w:sz w:val="48"/>
          <w:szCs w:val="48"/>
          <w:u w:val="single"/>
        </w:rPr>
      </w:pPr>
    </w:p>
    <w:p w14:paraId="3D43A491" w14:textId="77777777" w:rsidR="009A425D" w:rsidRDefault="009A425D">
      <w:pPr>
        <w:rPr>
          <w:b/>
          <w:bCs/>
          <w:sz w:val="48"/>
          <w:szCs w:val="48"/>
          <w:u w:val="single"/>
        </w:rPr>
      </w:pPr>
    </w:p>
    <w:p w14:paraId="09579B36" w14:textId="7BD53194" w:rsidR="00743BF9" w:rsidRDefault="00743BF9">
      <w:pPr>
        <w:rPr>
          <w:b/>
          <w:bCs/>
          <w:sz w:val="48"/>
          <w:szCs w:val="48"/>
          <w:u w:val="single"/>
        </w:rPr>
      </w:pPr>
      <w:r>
        <w:rPr>
          <w:b/>
          <w:bCs/>
          <w:sz w:val="48"/>
          <w:szCs w:val="48"/>
          <w:u w:val="single"/>
        </w:rPr>
        <w:t xml:space="preserve">      </w:t>
      </w:r>
    </w:p>
    <w:p w14:paraId="2F9BE088" w14:textId="77777777" w:rsidR="00743BF9" w:rsidRDefault="00743BF9">
      <w:pPr>
        <w:rPr>
          <w:b/>
          <w:bCs/>
          <w:sz w:val="48"/>
          <w:szCs w:val="48"/>
          <w:u w:val="single"/>
        </w:rPr>
      </w:pPr>
    </w:p>
    <w:p w14:paraId="6D9F4543" w14:textId="6C868797" w:rsidR="00FF6B76" w:rsidRPr="00FF6B76" w:rsidRDefault="00EA26EB" w:rsidP="00D72470">
      <w:pPr>
        <w:rPr>
          <w:b/>
          <w:bCs/>
          <w:sz w:val="48"/>
          <w:szCs w:val="48"/>
          <w:u w:val="single"/>
        </w:rPr>
      </w:pPr>
      <w:r w:rsidRPr="00EA26EB">
        <w:rPr>
          <w:b/>
          <w:bCs/>
          <w:sz w:val="48"/>
          <w:szCs w:val="48"/>
          <w:u w:val="single"/>
        </w:rPr>
        <w:t>Reference page</w:t>
      </w:r>
    </w:p>
    <w:p w14:paraId="1230FDF3" w14:textId="77777777" w:rsidR="00FF6B76" w:rsidRPr="00FF6B76" w:rsidRDefault="00FF6B76" w:rsidP="00FF6B76">
      <w:pPr>
        <w:rPr>
          <w:sz w:val="28"/>
          <w:szCs w:val="28"/>
        </w:rPr>
      </w:pPr>
    </w:p>
    <w:p w14:paraId="7C8B0840" w14:textId="77777777" w:rsidR="00FF6B76" w:rsidRDefault="00FF6B76" w:rsidP="00D72470">
      <w:pPr>
        <w:rPr>
          <w:sz w:val="28"/>
          <w:szCs w:val="28"/>
        </w:rPr>
      </w:pPr>
    </w:p>
    <w:p w14:paraId="6C6B7348" w14:textId="77777777" w:rsidR="00F97988" w:rsidRPr="00F97988" w:rsidRDefault="00F97988" w:rsidP="00D72470">
      <w:pPr>
        <w:rPr>
          <w:sz w:val="28"/>
          <w:szCs w:val="28"/>
        </w:rPr>
      </w:pPr>
    </w:p>
    <w:p w14:paraId="713275EF" w14:textId="77777777" w:rsidR="00F97988" w:rsidRPr="00F97988" w:rsidRDefault="00F97988" w:rsidP="00FC1CBE">
      <w:pPr>
        <w:rPr>
          <w:sz w:val="28"/>
          <w:szCs w:val="28"/>
        </w:rPr>
      </w:pPr>
    </w:p>
    <w:p w14:paraId="37E33781" w14:textId="77777777" w:rsidR="00F97988" w:rsidRPr="00F97988" w:rsidRDefault="00F97988" w:rsidP="00CA02B1">
      <w:pPr>
        <w:rPr>
          <w:sz w:val="28"/>
          <w:szCs w:val="28"/>
        </w:rPr>
      </w:pPr>
    </w:p>
    <w:p w14:paraId="22D51613" w14:textId="77777777" w:rsidR="00F97988" w:rsidRPr="00F97988" w:rsidRDefault="00F97988" w:rsidP="00F97988">
      <w:pPr>
        <w:spacing w:line="600" w:lineRule="auto"/>
        <w:rPr>
          <w:sz w:val="28"/>
          <w:szCs w:val="28"/>
        </w:rPr>
      </w:pPr>
    </w:p>
    <w:p w14:paraId="63BC91F2" w14:textId="77777777" w:rsidR="00F97988" w:rsidRPr="00F97988" w:rsidRDefault="19D38C4B" w:rsidP="00D72470">
      <w:pPr>
        <w:rPr>
          <w:sz w:val="28"/>
          <w:szCs w:val="28"/>
        </w:rPr>
      </w:pPr>
      <w:r w:rsidRPr="19D38C4B">
        <w:rPr>
          <w:sz w:val="28"/>
          <w:szCs w:val="28"/>
        </w:rPr>
        <w:t xml:space="preserve">. Petra </w:t>
      </w:r>
      <w:proofErr w:type="spellStart"/>
      <w:r w:rsidRPr="19D38C4B">
        <w:rPr>
          <w:sz w:val="28"/>
          <w:szCs w:val="28"/>
        </w:rPr>
        <w:t>Dannapfel</w:t>
      </w:r>
      <w:proofErr w:type="spellEnd"/>
      <w:r w:rsidRPr="19D38C4B">
        <w:rPr>
          <w:sz w:val="28"/>
          <w:szCs w:val="28"/>
        </w:rPr>
        <w:t xml:space="preserve">, </w:t>
      </w:r>
      <w:proofErr w:type="spellStart"/>
      <w:r w:rsidRPr="19D38C4B">
        <w:rPr>
          <w:sz w:val="28"/>
          <w:szCs w:val="28"/>
        </w:rPr>
        <w:t>Anneli</w:t>
      </w:r>
      <w:proofErr w:type="spellEnd"/>
      <w:r w:rsidRPr="19D38C4B">
        <w:rPr>
          <w:sz w:val="28"/>
          <w:szCs w:val="28"/>
        </w:rPr>
        <w:t xml:space="preserve"> </w:t>
      </w:r>
      <w:proofErr w:type="spellStart"/>
      <w:r w:rsidRPr="19D38C4B">
        <w:rPr>
          <w:sz w:val="28"/>
          <w:szCs w:val="28"/>
        </w:rPr>
        <w:t>Peolsson</w:t>
      </w:r>
      <w:proofErr w:type="spellEnd"/>
      <w:r w:rsidRPr="19D38C4B">
        <w:rPr>
          <w:sz w:val="28"/>
          <w:szCs w:val="28"/>
        </w:rPr>
        <w:t xml:space="preserve">, Christian </w:t>
      </w:r>
      <w:proofErr w:type="spellStart"/>
      <w:r w:rsidRPr="19D38C4B">
        <w:rPr>
          <w:sz w:val="28"/>
          <w:szCs w:val="28"/>
        </w:rPr>
        <w:t>Ståhl</w:t>
      </w:r>
      <w:proofErr w:type="spellEnd"/>
      <w:r w:rsidRPr="19D38C4B">
        <w:rPr>
          <w:sz w:val="28"/>
          <w:szCs w:val="28"/>
        </w:rPr>
        <w:t xml:space="preserve">, Birgitta </w:t>
      </w:r>
      <w:proofErr w:type="spellStart"/>
      <w:r w:rsidRPr="19D38C4B">
        <w:rPr>
          <w:sz w:val="28"/>
          <w:szCs w:val="28"/>
        </w:rPr>
        <w:t>Öberg</w:t>
      </w:r>
      <w:proofErr w:type="spellEnd"/>
      <w:r w:rsidRPr="19D38C4B">
        <w:rPr>
          <w:sz w:val="28"/>
          <w:szCs w:val="28"/>
        </w:rPr>
        <w:t xml:space="preserve">, and Per Nilsen (2013): </w:t>
      </w:r>
      <w:r w:rsidRPr="19D38C4B">
        <w:rPr>
          <w:rFonts w:asciiTheme="majorHAnsi" w:eastAsiaTheme="majorEastAsia" w:hAnsiTheme="majorHAnsi" w:cstheme="majorBidi"/>
          <w:b/>
          <w:bCs/>
          <w:sz w:val="28"/>
          <w:szCs w:val="28"/>
        </w:rPr>
        <w:t xml:space="preserve">Applying Self-Determination Theory for improved understanding of physiotherapists’ rationale for using research in clinical practice: </w:t>
      </w:r>
      <w:r w:rsidRPr="19D38C4B">
        <w:rPr>
          <w:sz w:val="28"/>
          <w:szCs w:val="28"/>
        </w:rPr>
        <w:t>a qualitative study in Sweden. Physiotherapy Theory and Practice, 30, 20-28</w:t>
      </w:r>
    </w:p>
    <w:p w14:paraId="5437CFD9" w14:textId="77777777" w:rsidR="00F97988" w:rsidRPr="00F97988" w:rsidRDefault="19D38C4B" w:rsidP="00D72470">
      <w:pPr>
        <w:rPr>
          <w:sz w:val="28"/>
          <w:szCs w:val="28"/>
        </w:rPr>
      </w:pPr>
      <w:r w:rsidRPr="19D38C4B">
        <w:rPr>
          <w:sz w:val="28"/>
          <w:szCs w:val="28"/>
        </w:rPr>
        <w:t xml:space="preserve">. Petra </w:t>
      </w:r>
      <w:proofErr w:type="spellStart"/>
      <w:r w:rsidRPr="19D38C4B">
        <w:rPr>
          <w:sz w:val="28"/>
          <w:szCs w:val="28"/>
        </w:rPr>
        <w:t>Dannapfel</w:t>
      </w:r>
      <w:proofErr w:type="spellEnd"/>
      <w:r w:rsidRPr="19D38C4B">
        <w:rPr>
          <w:sz w:val="28"/>
          <w:szCs w:val="28"/>
        </w:rPr>
        <w:t xml:space="preserve">, </w:t>
      </w:r>
      <w:proofErr w:type="spellStart"/>
      <w:r w:rsidRPr="19D38C4B">
        <w:rPr>
          <w:sz w:val="28"/>
          <w:szCs w:val="28"/>
        </w:rPr>
        <w:t>Anneli</w:t>
      </w:r>
      <w:proofErr w:type="spellEnd"/>
      <w:r w:rsidRPr="19D38C4B">
        <w:rPr>
          <w:sz w:val="28"/>
          <w:szCs w:val="28"/>
        </w:rPr>
        <w:t xml:space="preserve"> </w:t>
      </w:r>
      <w:proofErr w:type="spellStart"/>
      <w:r w:rsidRPr="19D38C4B">
        <w:rPr>
          <w:sz w:val="28"/>
          <w:szCs w:val="28"/>
        </w:rPr>
        <w:t>Peolsson</w:t>
      </w:r>
      <w:proofErr w:type="spellEnd"/>
      <w:r w:rsidRPr="19D38C4B">
        <w:rPr>
          <w:sz w:val="28"/>
          <w:szCs w:val="28"/>
        </w:rPr>
        <w:t xml:space="preserve">, Per Nilsen (2013): </w:t>
      </w:r>
      <w:r w:rsidRPr="19D38C4B">
        <w:rPr>
          <w:rFonts w:asciiTheme="majorHAnsi" w:eastAsiaTheme="majorEastAsia" w:hAnsiTheme="majorHAnsi" w:cstheme="majorBidi"/>
          <w:b/>
          <w:bCs/>
          <w:sz w:val="28"/>
          <w:szCs w:val="28"/>
        </w:rPr>
        <w:t>What supports physiotherapists' use of research in clinical practice?</w:t>
      </w:r>
      <w:r w:rsidRPr="19D38C4B">
        <w:rPr>
          <w:sz w:val="28"/>
          <w:szCs w:val="28"/>
        </w:rPr>
        <w:t xml:space="preserve"> A qualitative study in Sweden. Implementation Science, 8:31</w:t>
      </w:r>
    </w:p>
    <w:p w14:paraId="7C2D96FD" w14:textId="77777777" w:rsidR="00F97988" w:rsidRPr="00F97988" w:rsidRDefault="19D38C4B" w:rsidP="00BE3FFB">
      <w:pPr>
        <w:rPr>
          <w:sz w:val="28"/>
          <w:szCs w:val="28"/>
        </w:rPr>
      </w:pPr>
      <w:r w:rsidRPr="19D38C4B">
        <w:rPr>
          <w:sz w:val="28"/>
          <w:szCs w:val="28"/>
        </w:rPr>
        <w:t xml:space="preserve">  </w:t>
      </w:r>
      <w:proofErr w:type="spellStart"/>
      <w:r w:rsidRPr="19D38C4B">
        <w:rPr>
          <w:sz w:val="28"/>
          <w:szCs w:val="28"/>
        </w:rPr>
        <w:t>Afessa</w:t>
      </w:r>
      <w:proofErr w:type="spellEnd"/>
      <w:r w:rsidRPr="19D38C4B">
        <w:rPr>
          <w:sz w:val="28"/>
          <w:szCs w:val="28"/>
        </w:rPr>
        <w:t>, B. (2004) ‘</w:t>
      </w:r>
      <w:r w:rsidRPr="19D38C4B">
        <w:rPr>
          <w:rFonts w:asciiTheme="majorHAnsi" w:eastAsiaTheme="majorEastAsia" w:hAnsiTheme="majorHAnsi" w:cstheme="majorBidi"/>
          <w:b/>
          <w:bCs/>
          <w:sz w:val="28"/>
          <w:szCs w:val="28"/>
        </w:rPr>
        <w:t>From “Pro and Con” Debate to Evidence-Based Practice’,</w:t>
      </w:r>
      <w:r w:rsidRPr="19D38C4B">
        <w:rPr>
          <w:sz w:val="28"/>
          <w:szCs w:val="28"/>
        </w:rPr>
        <w:t xml:space="preserve"> Chest, 125(5), pp. 1600–1602</w:t>
      </w:r>
    </w:p>
    <w:p w14:paraId="7C065BF9" w14:textId="77777777" w:rsidR="00F97988" w:rsidRPr="00F97988" w:rsidRDefault="19D38C4B" w:rsidP="00FF6B76">
      <w:pPr>
        <w:rPr>
          <w:sz w:val="28"/>
          <w:szCs w:val="28"/>
        </w:rPr>
      </w:pPr>
      <w:r w:rsidRPr="19D38C4B">
        <w:rPr>
          <w:sz w:val="28"/>
          <w:szCs w:val="28"/>
        </w:rPr>
        <w:t xml:space="preserve">  Blumenthal, D., Abrams, M. and </w:t>
      </w:r>
      <w:proofErr w:type="spellStart"/>
      <w:r w:rsidRPr="19D38C4B">
        <w:rPr>
          <w:sz w:val="28"/>
          <w:szCs w:val="28"/>
        </w:rPr>
        <w:t>Nuzum</w:t>
      </w:r>
      <w:proofErr w:type="spellEnd"/>
      <w:r w:rsidRPr="19D38C4B">
        <w:rPr>
          <w:sz w:val="28"/>
          <w:szCs w:val="28"/>
        </w:rPr>
        <w:t>, R. (2015) ‘</w:t>
      </w:r>
      <w:r w:rsidRPr="19D38C4B">
        <w:rPr>
          <w:rFonts w:asciiTheme="majorHAnsi" w:eastAsiaTheme="majorEastAsia" w:hAnsiTheme="majorHAnsi" w:cstheme="majorBidi"/>
          <w:b/>
          <w:bCs/>
          <w:sz w:val="28"/>
          <w:szCs w:val="28"/>
        </w:rPr>
        <w:t>The Affordable Care Act at 5 Years’,</w:t>
      </w:r>
      <w:r w:rsidRPr="19D38C4B">
        <w:rPr>
          <w:sz w:val="28"/>
          <w:szCs w:val="28"/>
        </w:rPr>
        <w:t xml:space="preserve"> The New England journal of medicine, 372(25), pp. 2451–2458. doi:10.1056/NEJMhpr1503614.</w:t>
      </w:r>
    </w:p>
    <w:p w14:paraId="1B03473C" w14:textId="77777777" w:rsidR="00F97988" w:rsidRPr="00F97988" w:rsidRDefault="19D38C4B" w:rsidP="00E45E78">
      <w:pPr>
        <w:rPr>
          <w:sz w:val="28"/>
          <w:szCs w:val="28"/>
        </w:rPr>
      </w:pPr>
      <w:r w:rsidRPr="19D38C4B">
        <w:rPr>
          <w:sz w:val="28"/>
          <w:szCs w:val="28"/>
        </w:rPr>
        <w:t xml:space="preserve">  Capezuti, L. (2008) </w:t>
      </w:r>
      <w:r w:rsidRPr="19D38C4B">
        <w:rPr>
          <w:rFonts w:asciiTheme="majorHAnsi" w:eastAsiaTheme="majorEastAsia" w:hAnsiTheme="majorHAnsi" w:cstheme="majorBidi"/>
          <w:b/>
          <w:bCs/>
          <w:sz w:val="28"/>
          <w:szCs w:val="28"/>
        </w:rPr>
        <w:t>Evidence-based geriatric nursing protocols for best practice</w:t>
      </w:r>
      <w:r w:rsidRPr="19D38C4B">
        <w:rPr>
          <w:sz w:val="28"/>
          <w:szCs w:val="28"/>
        </w:rPr>
        <w:t>. 3rd ed. New York: Springer Pub.</w:t>
      </w:r>
    </w:p>
    <w:p w14:paraId="67D0924D" w14:textId="77777777" w:rsidR="00F97988" w:rsidRPr="00F97988" w:rsidRDefault="19D38C4B" w:rsidP="003835E0">
      <w:pPr>
        <w:rPr>
          <w:sz w:val="28"/>
          <w:szCs w:val="28"/>
        </w:rPr>
      </w:pPr>
      <w:r w:rsidRPr="19D38C4B">
        <w:rPr>
          <w:sz w:val="28"/>
          <w:szCs w:val="28"/>
        </w:rPr>
        <w:t xml:space="preserve">  Fortune, A.E., McCallion, P. and Briar-Lawson, K. (2010)</w:t>
      </w:r>
      <w:r w:rsidRPr="19D38C4B">
        <w:rPr>
          <w:rFonts w:asciiTheme="majorHAnsi" w:eastAsiaTheme="majorEastAsia" w:hAnsiTheme="majorHAnsi" w:cstheme="majorBidi"/>
          <w:b/>
          <w:bCs/>
          <w:sz w:val="28"/>
          <w:szCs w:val="28"/>
        </w:rPr>
        <w:t xml:space="preserve"> Social work practice research for the twenty-first century.</w:t>
      </w:r>
      <w:r w:rsidRPr="19D38C4B">
        <w:rPr>
          <w:sz w:val="28"/>
          <w:szCs w:val="28"/>
        </w:rPr>
        <w:t xml:space="preserve"> New York: Columbia University Press. </w:t>
      </w:r>
    </w:p>
    <w:p w14:paraId="47897514" w14:textId="10F5AB4F" w:rsidR="00F97988" w:rsidRPr="00F97988" w:rsidRDefault="19D38C4B" w:rsidP="00B578D4">
      <w:pPr>
        <w:rPr>
          <w:sz w:val="28"/>
          <w:szCs w:val="28"/>
        </w:rPr>
      </w:pPr>
      <w:r w:rsidRPr="19D38C4B">
        <w:rPr>
          <w:sz w:val="28"/>
          <w:szCs w:val="28"/>
        </w:rPr>
        <w:lastRenderedPageBreak/>
        <w:t xml:space="preserve">  </w:t>
      </w:r>
      <w:r w:rsidR="00A41822" w:rsidRPr="19D38C4B">
        <w:rPr>
          <w:sz w:val="28"/>
          <w:szCs w:val="28"/>
        </w:rPr>
        <w:t>Godfrey</w:t>
      </w:r>
      <w:r w:rsidRPr="19D38C4B">
        <w:rPr>
          <w:sz w:val="28"/>
          <w:szCs w:val="28"/>
        </w:rPr>
        <w:t>, S. (2015)</w:t>
      </w:r>
      <w:r w:rsidRPr="19D38C4B">
        <w:rPr>
          <w:rFonts w:asciiTheme="majorHAnsi" w:eastAsiaTheme="majorEastAsia" w:hAnsiTheme="majorHAnsi" w:cstheme="majorBidi"/>
          <w:b/>
          <w:bCs/>
          <w:sz w:val="28"/>
          <w:szCs w:val="28"/>
        </w:rPr>
        <w:t xml:space="preserve"> Mental health &amp; mental capacity law for social </w:t>
      </w:r>
      <w:proofErr w:type="gramStart"/>
      <w:r w:rsidRPr="19D38C4B">
        <w:rPr>
          <w:rFonts w:asciiTheme="majorHAnsi" w:eastAsiaTheme="majorEastAsia" w:hAnsiTheme="majorHAnsi" w:cstheme="majorBidi"/>
          <w:b/>
          <w:bCs/>
          <w:sz w:val="28"/>
          <w:szCs w:val="28"/>
        </w:rPr>
        <w:t>workers :</w:t>
      </w:r>
      <w:proofErr w:type="gramEnd"/>
      <w:r w:rsidRPr="19D38C4B">
        <w:rPr>
          <w:rFonts w:asciiTheme="majorHAnsi" w:eastAsiaTheme="majorEastAsia" w:hAnsiTheme="majorHAnsi" w:cstheme="majorBidi"/>
          <w:b/>
          <w:bCs/>
          <w:sz w:val="28"/>
          <w:szCs w:val="28"/>
        </w:rPr>
        <w:t xml:space="preserve"> an introduction</w:t>
      </w:r>
      <w:r w:rsidRPr="19D38C4B">
        <w:rPr>
          <w:sz w:val="28"/>
          <w:szCs w:val="28"/>
        </w:rPr>
        <w:t>. 1st edition. Los Angeles, CA: SAGE Publications, Inc.</w:t>
      </w:r>
    </w:p>
    <w:p w14:paraId="7F5D69B0" w14:textId="4EE229DF" w:rsidR="00F97988" w:rsidRPr="00F97988" w:rsidRDefault="19D38C4B" w:rsidP="00CA02B1">
      <w:pPr>
        <w:rPr>
          <w:sz w:val="28"/>
          <w:szCs w:val="28"/>
        </w:rPr>
      </w:pPr>
      <w:r w:rsidRPr="19D38C4B">
        <w:rPr>
          <w:sz w:val="28"/>
          <w:szCs w:val="28"/>
        </w:rPr>
        <w:t xml:space="preserve">  Kirk Hamilton, D. (2020) </w:t>
      </w:r>
      <w:r w:rsidRPr="19D38C4B">
        <w:rPr>
          <w:rFonts w:asciiTheme="majorHAnsi" w:eastAsiaTheme="majorEastAsia" w:hAnsiTheme="majorHAnsi" w:cstheme="majorBidi"/>
          <w:b/>
          <w:bCs/>
          <w:sz w:val="28"/>
          <w:szCs w:val="28"/>
        </w:rPr>
        <w:t>‘Evidence-Based Practice</w:t>
      </w:r>
      <w:r w:rsidRPr="19D38C4B">
        <w:rPr>
          <w:sz w:val="28"/>
          <w:szCs w:val="28"/>
        </w:rPr>
        <w:t>: Four Levels Revisited’, HERD, 13(3), pp. 26–29.</w:t>
      </w:r>
    </w:p>
    <w:p w14:paraId="3DAC7495" w14:textId="3581C7FE" w:rsidR="00F97988" w:rsidRPr="00F97988" w:rsidRDefault="19D38C4B" w:rsidP="003A23AD">
      <w:pPr>
        <w:rPr>
          <w:sz w:val="28"/>
          <w:szCs w:val="28"/>
        </w:rPr>
      </w:pPr>
      <w:r w:rsidRPr="19D38C4B">
        <w:rPr>
          <w:sz w:val="28"/>
          <w:szCs w:val="28"/>
        </w:rPr>
        <w:t xml:space="preserve">  Lam, C.K. and Schubert, C. (2019) ‘</w:t>
      </w:r>
      <w:r w:rsidRPr="19D38C4B">
        <w:rPr>
          <w:rFonts w:asciiTheme="majorHAnsi" w:eastAsiaTheme="majorEastAsia" w:hAnsiTheme="majorHAnsi" w:cstheme="majorBidi"/>
          <w:b/>
          <w:bCs/>
          <w:sz w:val="28"/>
          <w:szCs w:val="28"/>
        </w:rPr>
        <w:t xml:space="preserve">Evidence‐Based Practice Competence in Nursing Students: An Exploratory Study </w:t>
      </w:r>
      <w:proofErr w:type="gramStart"/>
      <w:r w:rsidRPr="19D38C4B">
        <w:rPr>
          <w:rFonts w:asciiTheme="majorHAnsi" w:eastAsiaTheme="majorEastAsia" w:hAnsiTheme="majorHAnsi" w:cstheme="majorBidi"/>
          <w:b/>
          <w:bCs/>
          <w:sz w:val="28"/>
          <w:szCs w:val="28"/>
        </w:rPr>
        <w:t>With</w:t>
      </w:r>
      <w:proofErr w:type="gramEnd"/>
      <w:r w:rsidRPr="19D38C4B">
        <w:rPr>
          <w:rFonts w:asciiTheme="majorHAnsi" w:eastAsiaTheme="majorEastAsia" w:hAnsiTheme="majorHAnsi" w:cstheme="majorBidi"/>
          <w:b/>
          <w:bCs/>
          <w:sz w:val="28"/>
          <w:szCs w:val="28"/>
        </w:rPr>
        <w:t xml:space="preserve"> Important Implications for Educators’</w:t>
      </w:r>
      <w:r w:rsidRPr="19D38C4B">
        <w:rPr>
          <w:sz w:val="28"/>
          <w:szCs w:val="28"/>
        </w:rPr>
        <w:t xml:space="preserve">, Worldviews on evidence-based nursing, 16(2), pp. 161–168. </w:t>
      </w:r>
    </w:p>
    <w:p w14:paraId="1C01447C" w14:textId="556D3E9B" w:rsidR="00F97988" w:rsidRPr="00F97988" w:rsidRDefault="19D38C4B" w:rsidP="00FC1CBE">
      <w:pPr>
        <w:rPr>
          <w:sz w:val="28"/>
          <w:szCs w:val="28"/>
        </w:rPr>
      </w:pPr>
      <w:r w:rsidRPr="19D38C4B">
        <w:rPr>
          <w:sz w:val="28"/>
          <w:szCs w:val="28"/>
        </w:rPr>
        <w:t xml:space="preserve">  Lien, C. et al. (2021) </w:t>
      </w:r>
      <w:r w:rsidRPr="19D38C4B">
        <w:rPr>
          <w:rFonts w:asciiTheme="majorHAnsi" w:eastAsiaTheme="majorEastAsia" w:hAnsiTheme="majorHAnsi" w:cstheme="majorBidi"/>
          <w:b/>
          <w:bCs/>
          <w:sz w:val="28"/>
          <w:szCs w:val="28"/>
        </w:rPr>
        <w:t xml:space="preserve">‘Evidenced‐based practice of decision‐making process in </w:t>
      </w:r>
      <w:proofErr w:type="spellStart"/>
      <w:r w:rsidRPr="19D38C4B">
        <w:rPr>
          <w:rFonts w:asciiTheme="majorHAnsi" w:eastAsiaTheme="majorEastAsia" w:hAnsiTheme="majorHAnsi" w:cstheme="majorBidi"/>
          <w:b/>
          <w:bCs/>
          <w:sz w:val="28"/>
          <w:szCs w:val="28"/>
        </w:rPr>
        <w:t>oncofertility</w:t>
      </w:r>
      <w:proofErr w:type="spellEnd"/>
      <w:r w:rsidRPr="19D38C4B">
        <w:rPr>
          <w:rFonts w:asciiTheme="majorHAnsi" w:eastAsiaTheme="majorEastAsia" w:hAnsiTheme="majorHAnsi" w:cstheme="majorBidi"/>
          <w:b/>
          <w:bCs/>
          <w:sz w:val="28"/>
          <w:szCs w:val="28"/>
        </w:rPr>
        <w:t xml:space="preserve"> care among registered nurses</w:t>
      </w:r>
      <w:r w:rsidRPr="19D38C4B">
        <w:rPr>
          <w:sz w:val="28"/>
          <w:szCs w:val="28"/>
        </w:rPr>
        <w:t xml:space="preserve">: A qualitative study’, Nursing open, 8(2), pp. 799–807. </w:t>
      </w:r>
    </w:p>
    <w:p w14:paraId="77AD000B" w14:textId="5B079E0B" w:rsidR="00F97988" w:rsidRPr="00F97988" w:rsidRDefault="19D38C4B" w:rsidP="00C565F1">
      <w:pPr>
        <w:rPr>
          <w:sz w:val="28"/>
          <w:szCs w:val="28"/>
        </w:rPr>
      </w:pPr>
      <w:r w:rsidRPr="19D38C4B">
        <w:rPr>
          <w:sz w:val="28"/>
          <w:szCs w:val="28"/>
        </w:rPr>
        <w:t xml:space="preserve">  </w:t>
      </w:r>
      <w:proofErr w:type="spellStart"/>
      <w:r w:rsidRPr="19D38C4B">
        <w:rPr>
          <w:sz w:val="28"/>
          <w:szCs w:val="28"/>
        </w:rPr>
        <w:t>Markides</w:t>
      </w:r>
      <w:proofErr w:type="spellEnd"/>
      <w:r w:rsidRPr="19D38C4B">
        <w:rPr>
          <w:sz w:val="28"/>
          <w:szCs w:val="28"/>
        </w:rPr>
        <w:t>, G.A. and Newman, C.M. (2014) ‘</w:t>
      </w:r>
      <w:r w:rsidRPr="19D38C4B">
        <w:rPr>
          <w:rFonts w:asciiTheme="majorHAnsi" w:eastAsiaTheme="majorEastAsia" w:hAnsiTheme="majorHAnsi" w:cstheme="majorBidi"/>
          <w:b/>
          <w:bCs/>
          <w:sz w:val="28"/>
          <w:szCs w:val="28"/>
        </w:rPr>
        <w:t>Medical malpractice claims in relation to colorectal malignancy in the National Health Service</w:t>
      </w:r>
      <w:r w:rsidRPr="19D38C4B">
        <w:rPr>
          <w:sz w:val="28"/>
          <w:szCs w:val="28"/>
        </w:rPr>
        <w:t xml:space="preserve">’, Colorectal disease, 16(1), pp. 48–56. </w:t>
      </w:r>
    </w:p>
    <w:p w14:paraId="42E78C46" w14:textId="77777777" w:rsidR="00F97988" w:rsidRPr="00F97988" w:rsidRDefault="19D38C4B" w:rsidP="003835E0">
      <w:pPr>
        <w:rPr>
          <w:sz w:val="28"/>
          <w:szCs w:val="28"/>
        </w:rPr>
      </w:pPr>
      <w:r w:rsidRPr="19D38C4B">
        <w:rPr>
          <w:sz w:val="28"/>
          <w:szCs w:val="28"/>
        </w:rPr>
        <w:t xml:space="preserve">  Pope, C., Pope, C. and Mays, N. (2020) </w:t>
      </w:r>
      <w:r w:rsidRPr="19D38C4B">
        <w:rPr>
          <w:rFonts w:asciiTheme="majorHAnsi" w:eastAsiaTheme="majorEastAsia" w:hAnsiTheme="majorHAnsi" w:cstheme="majorBidi"/>
          <w:b/>
          <w:bCs/>
          <w:sz w:val="28"/>
          <w:szCs w:val="28"/>
        </w:rPr>
        <w:t>Qualitative research in health care</w:t>
      </w:r>
      <w:r w:rsidRPr="19D38C4B">
        <w:rPr>
          <w:sz w:val="28"/>
          <w:szCs w:val="28"/>
        </w:rPr>
        <w:t>. Fourth edition. Edited by C. Pope and N. Mays. Hoboken, New Jersey: Wiley Blackwell.</w:t>
      </w:r>
    </w:p>
    <w:p w14:paraId="47FD3105" w14:textId="1250AC87" w:rsidR="00F97988" w:rsidRPr="00F97988" w:rsidRDefault="19D38C4B" w:rsidP="003C35D4">
      <w:pPr>
        <w:rPr>
          <w:sz w:val="28"/>
          <w:szCs w:val="28"/>
        </w:rPr>
      </w:pPr>
      <w:proofErr w:type="spellStart"/>
      <w:proofErr w:type="gramStart"/>
      <w:r w:rsidRPr="19D38C4B">
        <w:rPr>
          <w:sz w:val="28"/>
          <w:szCs w:val="28"/>
        </w:rPr>
        <w:t>Prahoo,K</w:t>
      </w:r>
      <w:proofErr w:type="spellEnd"/>
      <w:r w:rsidRPr="19D38C4B">
        <w:rPr>
          <w:sz w:val="28"/>
          <w:szCs w:val="28"/>
        </w:rPr>
        <w:t>.</w:t>
      </w:r>
      <w:proofErr w:type="gramEnd"/>
      <w:r w:rsidRPr="19D38C4B">
        <w:rPr>
          <w:sz w:val="28"/>
          <w:szCs w:val="28"/>
        </w:rPr>
        <w:t xml:space="preserve">(2014) </w:t>
      </w:r>
      <w:r w:rsidRPr="00D871D2">
        <w:rPr>
          <w:rFonts w:asciiTheme="majorHAnsi" w:eastAsiaTheme="majorEastAsia" w:hAnsiTheme="majorHAnsi" w:cstheme="majorBidi"/>
          <w:sz w:val="28"/>
          <w:szCs w:val="28"/>
        </w:rPr>
        <w:t xml:space="preserve">nursing </w:t>
      </w:r>
      <w:proofErr w:type="spellStart"/>
      <w:r w:rsidRPr="00D871D2">
        <w:rPr>
          <w:rFonts w:asciiTheme="majorHAnsi" w:eastAsiaTheme="majorEastAsia" w:hAnsiTheme="majorHAnsi" w:cstheme="majorBidi"/>
          <w:sz w:val="28"/>
          <w:szCs w:val="28"/>
        </w:rPr>
        <w:t>research;principles</w:t>
      </w:r>
      <w:proofErr w:type="spellEnd"/>
      <w:r w:rsidRPr="00D871D2">
        <w:rPr>
          <w:rFonts w:asciiTheme="majorHAnsi" w:eastAsiaTheme="majorEastAsia" w:hAnsiTheme="majorHAnsi" w:cstheme="majorBidi"/>
          <w:sz w:val="28"/>
          <w:szCs w:val="28"/>
        </w:rPr>
        <w:t xml:space="preserve">, </w:t>
      </w:r>
      <w:proofErr w:type="spellStart"/>
      <w:r w:rsidRPr="00D871D2">
        <w:rPr>
          <w:rFonts w:asciiTheme="majorHAnsi" w:eastAsiaTheme="majorEastAsia" w:hAnsiTheme="majorHAnsi" w:cstheme="majorBidi"/>
          <w:sz w:val="28"/>
          <w:szCs w:val="28"/>
        </w:rPr>
        <w:t>prossess</w:t>
      </w:r>
      <w:proofErr w:type="spellEnd"/>
      <w:r w:rsidRPr="00D871D2">
        <w:rPr>
          <w:rFonts w:asciiTheme="majorHAnsi" w:eastAsiaTheme="majorEastAsia" w:hAnsiTheme="majorHAnsi" w:cstheme="majorBidi"/>
          <w:sz w:val="28"/>
          <w:szCs w:val="28"/>
        </w:rPr>
        <w:t xml:space="preserve"> and </w:t>
      </w:r>
      <w:proofErr w:type="spellStart"/>
      <w:r w:rsidRPr="00D871D2">
        <w:rPr>
          <w:rFonts w:asciiTheme="majorHAnsi" w:eastAsiaTheme="majorEastAsia" w:hAnsiTheme="majorHAnsi" w:cstheme="majorBidi"/>
          <w:sz w:val="28"/>
          <w:szCs w:val="28"/>
        </w:rPr>
        <w:t>issus</w:t>
      </w:r>
      <w:proofErr w:type="spellEnd"/>
      <w:r w:rsidRPr="00D871D2">
        <w:rPr>
          <w:sz w:val="28"/>
          <w:szCs w:val="28"/>
        </w:rPr>
        <w:t xml:space="preserve">. </w:t>
      </w:r>
      <w:r w:rsidRPr="19D38C4B">
        <w:rPr>
          <w:sz w:val="28"/>
          <w:szCs w:val="28"/>
        </w:rPr>
        <w:t xml:space="preserve">Third edition. Basingstoke.  </w:t>
      </w:r>
    </w:p>
    <w:p w14:paraId="574E739E" w14:textId="77777777" w:rsidR="00F97988" w:rsidRPr="00F97988" w:rsidRDefault="19D38C4B" w:rsidP="008F4F1D">
      <w:pPr>
        <w:rPr>
          <w:sz w:val="28"/>
          <w:szCs w:val="28"/>
        </w:rPr>
      </w:pPr>
      <w:r w:rsidRPr="19D38C4B">
        <w:rPr>
          <w:sz w:val="28"/>
          <w:szCs w:val="28"/>
        </w:rPr>
        <w:t xml:space="preserve">  Saunders, H. and </w:t>
      </w:r>
      <w:proofErr w:type="spellStart"/>
      <w:r w:rsidRPr="19D38C4B">
        <w:rPr>
          <w:sz w:val="28"/>
          <w:szCs w:val="28"/>
        </w:rPr>
        <w:t>Vehviläinen‐Julkunen</w:t>
      </w:r>
      <w:proofErr w:type="spellEnd"/>
      <w:r w:rsidRPr="19D38C4B">
        <w:rPr>
          <w:sz w:val="28"/>
          <w:szCs w:val="28"/>
        </w:rPr>
        <w:t>, K. (2017</w:t>
      </w:r>
      <w:r w:rsidRPr="00D871D2">
        <w:rPr>
          <w:sz w:val="28"/>
          <w:szCs w:val="28"/>
        </w:rPr>
        <w:t>) ‘</w:t>
      </w:r>
      <w:r w:rsidRPr="00D871D2">
        <w:rPr>
          <w:rFonts w:asciiTheme="majorHAnsi" w:eastAsiaTheme="majorEastAsia" w:hAnsiTheme="majorHAnsi" w:cstheme="majorBidi"/>
          <w:sz w:val="28"/>
          <w:szCs w:val="28"/>
        </w:rPr>
        <w:t>Nurses’ Evidence‐Based Practice Beliefs and the Role of Evidence‐Based Practice Mentors at University Hospitals in Finland’</w:t>
      </w:r>
      <w:r w:rsidRPr="00D871D2">
        <w:rPr>
          <w:sz w:val="28"/>
          <w:szCs w:val="28"/>
        </w:rPr>
        <w:t xml:space="preserve">, </w:t>
      </w:r>
      <w:r w:rsidRPr="19D38C4B">
        <w:rPr>
          <w:sz w:val="28"/>
          <w:szCs w:val="28"/>
        </w:rPr>
        <w:t>Worldviews on evidence-based nursing, 14(1), pp. 35–</w:t>
      </w:r>
      <w:proofErr w:type="gramStart"/>
      <w:r w:rsidRPr="19D38C4B">
        <w:rPr>
          <w:sz w:val="28"/>
          <w:szCs w:val="28"/>
        </w:rPr>
        <w:t>45..</w:t>
      </w:r>
      <w:proofErr w:type="gramEnd"/>
    </w:p>
    <w:p w14:paraId="77B65654" w14:textId="77777777" w:rsidR="00F97988" w:rsidRPr="00F97988" w:rsidRDefault="19D38C4B" w:rsidP="007B03B1">
      <w:pPr>
        <w:rPr>
          <w:sz w:val="28"/>
          <w:szCs w:val="28"/>
        </w:rPr>
      </w:pPr>
      <w:r w:rsidRPr="19D38C4B">
        <w:rPr>
          <w:sz w:val="28"/>
          <w:szCs w:val="28"/>
        </w:rPr>
        <w:t xml:space="preserve">  Taylor, S.E. (2018) </w:t>
      </w:r>
      <w:r w:rsidRPr="19D38C4B">
        <w:rPr>
          <w:rFonts w:asciiTheme="majorHAnsi" w:eastAsiaTheme="majorEastAsia" w:hAnsiTheme="majorHAnsi" w:cstheme="majorBidi"/>
          <w:b/>
          <w:bCs/>
          <w:sz w:val="28"/>
          <w:szCs w:val="28"/>
        </w:rPr>
        <w:t>Health psychology</w:t>
      </w:r>
      <w:r w:rsidRPr="19D38C4B">
        <w:rPr>
          <w:sz w:val="28"/>
          <w:szCs w:val="28"/>
        </w:rPr>
        <w:t>. Tenth edition. New York, NY: McGraw-Hill Education.</w:t>
      </w:r>
    </w:p>
    <w:p w14:paraId="291ABDDE" w14:textId="77777777" w:rsidR="00F97988" w:rsidRPr="00F97988" w:rsidRDefault="19D38C4B" w:rsidP="008F4F1D">
      <w:pPr>
        <w:rPr>
          <w:sz w:val="28"/>
          <w:szCs w:val="28"/>
        </w:rPr>
      </w:pPr>
      <w:r w:rsidRPr="19D38C4B">
        <w:rPr>
          <w:sz w:val="28"/>
          <w:szCs w:val="28"/>
        </w:rPr>
        <w:t xml:space="preserve">  Upadhyay, U.D., Cockrill, </w:t>
      </w:r>
      <w:proofErr w:type="gramStart"/>
      <w:r w:rsidRPr="19D38C4B">
        <w:rPr>
          <w:sz w:val="28"/>
          <w:szCs w:val="28"/>
        </w:rPr>
        <w:t>K.</w:t>
      </w:r>
      <w:proofErr w:type="gramEnd"/>
      <w:r w:rsidRPr="19D38C4B">
        <w:rPr>
          <w:sz w:val="28"/>
          <w:szCs w:val="28"/>
        </w:rPr>
        <w:t xml:space="preserve"> and Freedman, L.R. (2010) ‘</w:t>
      </w:r>
      <w:r w:rsidRPr="00D871D2">
        <w:rPr>
          <w:rFonts w:asciiTheme="majorHAnsi" w:eastAsiaTheme="majorEastAsia" w:hAnsiTheme="majorHAnsi" w:cstheme="majorBidi"/>
          <w:sz w:val="28"/>
          <w:szCs w:val="28"/>
        </w:rPr>
        <w:t xml:space="preserve">Informing abortion </w:t>
      </w:r>
      <w:proofErr w:type="spellStart"/>
      <w:r w:rsidRPr="00D871D2">
        <w:rPr>
          <w:rFonts w:asciiTheme="majorHAnsi" w:eastAsiaTheme="majorEastAsia" w:hAnsiTheme="majorHAnsi" w:cstheme="majorBidi"/>
          <w:sz w:val="28"/>
          <w:szCs w:val="28"/>
        </w:rPr>
        <w:t>counseling</w:t>
      </w:r>
      <w:proofErr w:type="spellEnd"/>
      <w:r w:rsidRPr="00D871D2">
        <w:rPr>
          <w:rFonts w:asciiTheme="majorHAnsi" w:eastAsiaTheme="majorEastAsia" w:hAnsiTheme="majorHAnsi" w:cstheme="majorBidi"/>
          <w:sz w:val="28"/>
          <w:szCs w:val="28"/>
        </w:rPr>
        <w:t>:</w:t>
      </w:r>
      <w:r w:rsidRPr="00D871D2">
        <w:rPr>
          <w:sz w:val="28"/>
          <w:szCs w:val="28"/>
        </w:rPr>
        <w:t xml:space="preserve"> An examination of evidence-based practices used in emotional care for other stigmatized and sensitive health issues</w:t>
      </w:r>
      <w:r w:rsidRPr="19D38C4B">
        <w:rPr>
          <w:sz w:val="28"/>
          <w:szCs w:val="28"/>
        </w:rPr>
        <w:t xml:space="preserve">’, Patient education and </w:t>
      </w:r>
      <w:proofErr w:type="spellStart"/>
      <w:r w:rsidRPr="19D38C4B">
        <w:rPr>
          <w:sz w:val="28"/>
          <w:szCs w:val="28"/>
        </w:rPr>
        <w:t>counseling</w:t>
      </w:r>
      <w:proofErr w:type="spellEnd"/>
      <w:r w:rsidRPr="19D38C4B">
        <w:rPr>
          <w:sz w:val="28"/>
          <w:szCs w:val="28"/>
        </w:rPr>
        <w:t xml:space="preserve">, 81(3), pp. 415–421. </w:t>
      </w:r>
    </w:p>
    <w:p w14:paraId="01F2B01D" w14:textId="77777777" w:rsidR="00F97988" w:rsidRPr="00F97988" w:rsidRDefault="19D38C4B" w:rsidP="00A1184B">
      <w:pPr>
        <w:rPr>
          <w:sz w:val="28"/>
          <w:szCs w:val="28"/>
        </w:rPr>
      </w:pPr>
      <w:r w:rsidRPr="19D38C4B">
        <w:rPr>
          <w:sz w:val="28"/>
          <w:szCs w:val="28"/>
        </w:rPr>
        <w:t xml:space="preserve">  Upton, P., Scurlock-Evans, L. and Upton, D. (2016) ‘</w:t>
      </w:r>
      <w:r w:rsidRPr="19D38C4B">
        <w:rPr>
          <w:rFonts w:asciiTheme="majorHAnsi" w:eastAsiaTheme="majorEastAsia" w:hAnsiTheme="majorHAnsi" w:cstheme="majorBidi"/>
          <w:b/>
          <w:bCs/>
          <w:sz w:val="28"/>
          <w:szCs w:val="28"/>
        </w:rPr>
        <w:t>Development of the Student Evidence-based Practice Questionnaire</w:t>
      </w:r>
      <w:r w:rsidRPr="19D38C4B">
        <w:rPr>
          <w:sz w:val="28"/>
          <w:szCs w:val="28"/>
        </w:rPr>
        <w:t xml:space="preserve"> (S-EBPQ)’, Nurse education today, 37, pp. 38–44. </w:t>
      </w:r>
    </w:p>
    <w:p w14:paraId="565B006E" w14:textId="77777777" w:rsidR="00F97988" w:rsidRPr="00F97988" w:rsidRDefault="19D38C4B" w:rsidP="00D72470">
      <w:pPr>
        <w:rPr>
          <w:sz w:val="28"/>
          <w:szCs w:val="28"/>
        </w:rPr>
      </w:pPr>
      <w:r w:rsidRPr="19D38C4B">
        <w:rPr>
          <w:sz w:val="28"/>
          <w:szCs w:val="28"/>
        </w:rPr>
        <w:t xml:space="preserve">  Ye, W. and Rodriguez, J.M. (2021) ‘</w:t>
      </w:r>
      <w:r w:rsidRPr="19D38C4B">
        <w:rPr>
          <w:rFonts w:asciiTheme="majorHAnsi" w:eastAsiaTheme="majorEastAsia" w:hAnsiTheme="majorHAnsi" w:cstheme="majorBidi"/>
          <w:b/>
          <w:bCs/>
          <w:sz w:val="28"/>
          <w:szCs w:val="28"/>
        </w:rPr>
        <w:t xml:space="preserve">Highly vulnerable communities and the Affordable Care Act: </w:t>
      </w:r>
      <w:r w:rsidRPr="19D38C4B">
        <w:rPr>
          <w:sz w:val="28"/>
          <w:szCs w:val="28"/>
        </w:rPr>
        <w:t xml:space="preserve">Health insurance coverage effects, 2010–2018’, Social science &amp; medicine (1982), 270, pp. 113670–113670. </w:t>
      </w:r>
    </w:p>
    <w:p w14:paraId="7C6EEB8C" w14:textId="77777777" w:rsidR="005B33CA" w:rsidRDefault="005B33CA" w:rsidP="003C35D4">
      <w:pPr>
        <w:rPr>
          <w:sz w:val="28"/>
          <w:szCs w:val="28"/>
        </w:rPr>
      </w:pPr>
    </w:p>
    <w:p w14:paraId="5CC9EFCE" w14:textId="77777777" w:rsidR="00777032" w:rsidRPr="00777032" w:rsidRDefault="00777032" w:rsidP="00777032">
      <w:pPr>
        <w:rPr>
          <w:rFonts w:asciiTheme="majorHAnsi" w:eastAsiaTheme="majorEastAsia" w:hAnsi="Sitka Subheading" w:cstheme="majorBidi"/>
          <w:color w:val="FFFFFF" w:themeColor="background1"/>
          <w:kern w:val="24"/>
          <w:sz w:val="32"/>
          <w:szCs w:val="32"/>
        </w:rPr>
      </w:pPr>
    </w:p>
    <w:p w14:paraId="11983D80" w14:textId="1F22B1F4" w:rsidR="00743BF9" w:rsidRPr="003C35D4" w:rsidRDefault="00777032" w:rsidP="00777032">
      <w:pPr>
        <w:rPr>
          <w:sz w:val="28"/>
          <w:szCs w:val="28"/>
        </w:rPr>
      </w:pPr>
      <w:r w:rsidRPr="00777032">
        <w:rPr>
          <w:rFonts w:asciiTheme="majorHAnsi" w:eastAsiaTheme="majorEastAsia" w:hAnsi="Sitka Subheading" w:cstheme="majorBidi"/>
          <w:color w:val="FFFFFF" w:themeColor="background1"/>
          <w:kern w:val="24"/>
          <w:sz w:val="32"/>
          <w:szCs w:val="32"/>
        </w:rPr>
        <w:t xml:space="preserve">  </w:t>
      </w:r>
      <w:r w:rsidRPr="00777032">
        <w:rPr>
          <w:rFonts w:asciiTheme="majorHAnsi" w:eastAsiaTheme="majorEastAsia" w:hAnsi="Sitka Subheading" w:cstheme="majorBidi"/>
          <w:color w:val="FFFFFF" w:themeColor="background1"/>
          <w:kern w:val="24"/>
          <w:sz w:val="32"/>
          <w:szCs w:val="32"/>
        </w:rPr>
        <w:t>‘</w:t>
      </w:r>
      <w:r w:rsidRPr="00777032">
        <w:rPr>
          <w:rFonts w:asciiTheme="majorHAnsi" w:eastAsiaTheme="majorEastAsia" w:hAnsi="Sitka Subheading" w:cstheme="majorBidi"/>
          <w:color w:val="FFFFFF" w:themeColor="background1"/>
          <w:kern w:val="24"/>
          <w:sz w:val="32"/>
          <w:szCs w:val="32"/>
        </w:rPr>
        <w:t>Supervision and assessment: the new Nursing and Midwifery Council standards</w:t>
      </w:r>
      <w:r w:rsidRPr="00777032">
        <w:rPr>
          <w:rFonts w:asciiTheme="majorHAnsi" w:eastAsiaTheme="majorEastAsia" w:hAnsi="Sitka Subheading" w:cstheme="majorBidi"/>
          <w:color w:val="FFFFFF" w:themeColor="background1"/>
          <w:kern w:val="24"/>
          <w:sz w:val="32"/>
          <w:szCs w:val="32"/>
        </w:rPr>
        <w:t>’</w:t>
      </w:r>
      <w:r w:rsidRPr="00777032">
        <w:rPr>
          <w:rFonts w:asciiTheme="majorHAnsi" w:eastAsiaTheme="majorEastAsia" w:hAnsi="Sitka Subheading" w:cstheme="majorBidi"/>
          <w:color w:val="FFFFFF" w:themeColor="background1"/>
          <w:kern w:val="24"/>
          <w:sz w:val="32"/>
          <w:szCs w:val="32"/>
        </w:rPr>
        <w:t xml:space="preserve"> (2018) Nursing management (Harrow, London, England), 25(3), pp. 17</w:t>
      </w:r>
      <w:r w:rsidRPr="00777032">
        <w:rPr>
          <w:rFonts w:asciiTheme="majorHAnsi" w:eastAsiaTheme="majorEastAsia" w:hAnsi="Sitka Subheading" w:cstheme="majorBidi"/>
          <w:color w:val="FFFFFF" w:themeColor="background1"/>
          <w:kern w:val="24"/>
          <w:sz w:val="32"/>
          <w:szCs w:val="32"/>
        </w:rPr>
        <w:t>–</w:t>
      </w:r>
      <w:r w:rsidRPr="00777032">
        <w:rPr>
          <w:rFonts w:asciiTheme="majorHAnsi" w:eastAsiaTheme="majorEastAsia" w:hAnsi="Sitka Subheading" w:cstheme="majorBidi"/>
          <w:color w:val="FFFFFF" w:themeColor="background1"/>
          <w:kern w:val="24"/>
          <w:sz w:val="32"/>
          <w:szCs w:val="32"/>
        </w:rPr>
        <w:t>21. doi:10.7748/nm.2018.7</w:t>
      </w:r>
      <w:r w:rsidR="003A23AD" w:rsidRPr="003A23AD">
        <w:rPr>
          <w:rFonts w:asciiTheme="majorHAnsi" w:eastAsiaTheme="majorEastAsia" w:hAnsi="Sitka Subheading" w:cstheme="majorBidi"/>
          <w:color w:val="FFFFFF" w:themeColor="background1"/>
          <w:kern w:val="24"/>
          <w:sz w:val="32"/>
          <w:szCs w:val="32"/>
        </w:rPr>
        <w:t xml:space="preserve">. and Schubert, C. (2019) </w:t>
      </w:r>
      <w:r w:rsidR="003A23AD" w:rsidRPr="003A23AD">
        <w:rPr>
          <w:rFonts w:asciiTheme="majorHAnsi" w:eastAsiaTheme="majorEastAsia" w:hAnsi="Sitka Subheading" w:cstheme="majorBidi"/>
          <w:color w:val="FFFFFF" w:themeColor="background1"/>
          <w:kern w:val="24"/>
          <w:sz w:val="32"/>
          <w:szCs w:val="32"/>
        </w:rPr>
        <w:t>‘</w:t>
      </w:r>
      <w:r w:rsidR="003A23AD" w:rsidRPr="003A23AD">
        <w:rPr>
          <w:rFonts w:asciiTheme="majorHAnsi" w:eastAsiaTheme="majorEastAsia" w:hAnsi="Sitka Subheading" w:cstheme="majorBidi"/>
          <w:color w:val="FFFFFF" w:themeColor="background1"/>
          <w:kern w:val="24"/>
          <w:sz w:val="32"/>
          <w:szCs w:val="32"/>
        </w:rPr>
        <w:t>Evidence</w:t>
      </w:r>
      <w:r w:rsidR="003A23AD" w:rsidRPr="003A23AD">
        <w:rPr>
          <w:rFonts w:asciiTheme="majorHAnsi" w:eastAsiaTheme="majorEastAsia" w:hAnsi="Sitka Subheading" w:cstheme="majorBidi"/>
          <w:color w:val="FFFFFF" w:themeColor="background1"/>
          <w:kern w:val="24"/>
          <w:sz w:val="32"/>
          <w:szCs w:val="32"/>
        </w:rPr>
        <w:t>‐</w:t>
      </w:r>
      <w:r w:rsidR="003A23AD" w:rsidRPr="003A23AD">
        <w:rPr>
          <w:rFonts w:asciiTheme="majorHAnsi" w:eastAsiaTheme="majorEastAsia" w:hAnsi="Sitka Subheading" w:cstheme="majorBidi"/>
          <w:color w:val="FFFFFF" w:themeColor="background1"/>
          <w:kern w:val="24"/>
          <w:sz w:val="32"/>
          <w:szCs w:val="32"/>
        </w:rPr>
        <w:t xml:space="preserve">Based </w:t>
      </w:r>
    </w:p>
    <w:p w14:paraId="1AF615B2" w14:textId="7E097693" w:rsidR="00D41C0D" w:rsidRPr="008F4F1D" w:rsidRDefault="008F4F1D" w:rsidP="003A23AD">
      <w:pPr>
        <w:rPr>
          <w:sz w:val="28"/>
          <w:szCs w:val="28"/>
        </w:rPr>
      </w:pPr>
      <w:r w:rsidRPr="008F4F1D">
        <w:rPr>
          <w:rFonts w:asciiTheme="majorHAnsi" w:eastAsiaTheme="majorEastAsia" w:hAnsi="Sitka Subheading" w:cstheme="majorBidi"/>
          <w:color w:val="FFFFFF" w:themeColor="background1"/>
          <w:kern w:val="24"/>
          <w:sz w:val="32"/>
          <w:szCs w:val="32"/>
        </w:rPr>
        <w:t>Based Practice Mentors at University Hospitals in Finland</w:t>
      </w:r>
      <w:r w:rsidRPr="008F4F1D">
        <w:rPr>
          <w:rFonts w:asciiTheme="majorHAnsi" w:eastAsiaTheme="majorEastAsia" w:hAnsi="Sitka Subheading" w:cstheme="majorBidi"/>
          <w:color w:val="FFFFFF" w:themeColor="background1"/>
          <w:kern w:val="24"/>
          <w:sz w:val="32"/>
          <w:szCs w:val="32"/>
        </w:rPr>
        <w:t>’</w:t>
      </w:r>
      <w:r w:rsidRPr="008F4F1D">
        <w:rPr>
          <w:rFonts w:asciiTheme="majorHAnsi" w:eastAsiaTheme="majorEastAsia" w:hAnsi="Sitka Subheading" w:cstheme="majorBidi"/>
          <w:color w:val="FFFFFF" w:themeColor="background1"/>
          <w:kern w:val="24"/>
          <w:sz w:val="32"/>
          <w:szCs w:val="32"/>
        </w:rPr>
        <w:t>, Worldviews on evidence-based nursing, 14(1), pp. 35</w:t>
      </w:r>
      <w:r w:rsidRPr="008F4F1D">
        <w:rPr>
          <w:rFonts w:asciiTheme="majorHAnsi" w:eastAsiaTheme="majorEastAsia" w:hAnsi="Sitka Subheading" w:cstheme="majorBidi"/>
          <w:color w:val="FFFFFF" w:themeColor="background1"/>
          <w:kern w:val="24"/>
          <w:sz w:val="32"/>
          <w:szCs w:val="32"/>
        </w:rPr>
        <w:t>–</w:t>
      </w:r>
      <w:r w:rsidRPr="008F4F1D">
        <w:rPr>
          <w:rFonts w:asciiTheme="majorHAnsi" w:eastAsiaTheme="majorEastAsia" w:hAnsi="Sitka Subheading" w:cstheme="majorBidi"/>
          <w:color w:val="FFFFFF" w:themeColor="background1"/>
          <w:kern w:val="24"/>
          <w:sz w:val="32"/>
          <w:szCs w:val="32"/>
        </w:rPr>
        <w:t>45. (1), pp. 35</w:t>
      </w:r>
      <w:r w:rsidRPr="008F4F1D">
        <w:rPr>
          <w:rFonts w:asciiTheme="majorHAnsi" w:eastAsiaTheme="majorEastAsia" w:hAnsi="Sitka Subheading" w:cstheme="majorBidi"/>
          <w:color w:val="FFFFFF" w:themeColor="background1"/>
          <w:kern w:val="24"/>
          <w:sz w:val="32"/>
          <w:szCs w:val="32"/>
        </w:rPr>
        <w:t>–</w:t>
      </w:r>
      <w:r w:rsidRPr="008F4F1D">
        <w:rPr>
          <w:rFonts w:asciiTheme="majorHAnsi" w:eastAsiaTheme="majorEastAsia" w:hAnsi="Sitka Subheading" w:cstheme="majorBidi"/>
          <w:color w:val="FFFFFF" w:themeColor="background1"/>
          <w:kern w:val="24"/>
          <w:sz w:val="32"/>
          <w:szCs w:val="32"/>
        </w:rPr>
        <w:t>45. doi:10.1111/wvn.12189.</w:t>
      </w:r>
    </w:p>
    <w:p w14:paraId="3B8BCC77" w14:textId="23AE83E7" w:rsidR="00EA26EB" w:rsidRPr="006F6B75" w:rsidRDefault="0014472C">
      <w:pPr>
        <w:rPr>
          <w:sz w:val="48"/>
          <w:szCs w:val="48"/>
        </w:rPr>
      </w:pPr>
      <w:r>
        <w:rPr>
          <w:rFonts w:asciiTheme="majorHAnsi" w:eastAsiaTheme="majorEastAsia" w:hAnsi="Sitka Subheading" w:cstheme="majorBidi"/>
          <w:color w:val="FFFFFF" w:themeColor="background1"/>
          <w:kern w:val="24"/>
          <w:sz w:val="32"/>
          <w:szCs w:val="32"/>
        </w:rPr>
        <w:t>2022.</w:t>
      </w:r>
      <w:r w:rsidR="00CE0EF6">
        <w:rPr>
          <w:rFonts w:asciiTheme="majorHAnsi" w:eastAsiaTheme="majorEastAsia" w:hAnsi="Sitka Subheading" w:cstheme="majorBidi"/>
          <w:color w:val="FFFFFF" w:themeColor="background1"/>
          <w:kern w:val="24"/>
          <w:sz w:val="32"/>
          <w:szCs w:val="32"/>
        </w:rPr>
        <w:t>ou</w:t>
      </w:r>
    </w:p>
    <w:sectPr w:rsidR="00EA26EB" w:rsidRPr="006F6B75" w:rsidSect="00CB59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tka Subheading">
    <w:panose1 w:val="00000000000000000000"/>
    <w:charset w:val="00"/>
    <w:family w:val="auto"/>
    <w:pitch w:val="variable"/>
    <w:sig w:usb0="A00002EF" w:usb1="4000204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CAF"/>
    <w:rsid w:val="000573E4"/>
    <w:rsid w:val="000669D6"/>
    <w:rsid w:val="0007401F"/>
    <w:rsid w:val="00094524"/>
    <w:rsid w:val="000A7EB4"/>
    <w:rsid w:val="000D7398"/>
    <w:rsid w:val="00116CE1"/>
    <w:rsid w:val="0012373E"/>
    <w:rsid w:val="00140228"/>
    <w:rsid w:val="0014472C"/>
    <w:rsid w:val="00197ACC"/>
    <w:rsid w:val="001D36ED"/>
    <w:rsid w:val="001D435E"/>
    <w:rsid w:val="001E7BA3"/>
    <w:rsid w:val="001F37D7"/>
    <w:rsid w:val="00202A1E"/>
    <w:rsid w:val="00250B43"/>
    <w:rsid w:val="00254A07"/>
    <w:rsid w:val="0029179A"/>
    <w:rsid w:val="002976ED"/>
    <w:rsid w:val="00297C82"/>
    <w:rsid w:val="002D3F2D"/>
    <w:rsid w:val="0031587B"/>
    <w:rsid w:val="00337E54"/>
    <w:rsid w:val="003749CC"/>
    <w:rsid w:val="003835E0"/>
    <w:rsid w:val="00383FEF"/>
    <w:rsid w:val="003A23AD"/>
    <w:rsid w:val="003C281C"/>
    <w:rsid w:val="003C35D4"/>
    <w:rsid w:val="003E7A82"/>
    <w:rsid w:val="004263DF"/>
    <w:rsid w:val="004730D8"/>
    <w:rsid w:val="00485798"/>
    <w:rsid w:val="004C20D5"/>
    <w:rsid w:val="004D7F1D"/>
    <w:rsid w:val="00505845"/>
    <w:rsid w:val="0051189C"/>
    <w:rsid w:val="00537D4C"/>
    <w:rsid w:val="00551DEC"/>
    <w:rsid w:val="0056725F"/>
    <w:rsid w:val="00567CF2"/>
    <w:rsid w:val="005B33CA"/>
    <w:rsid w:val="005E4810"/>
    <w:rsid w:val="005F557E"/>
    <w:rsid w:val="0060096C"/>
    <w:rsid w:val="00656DF8"/>
    <w:rsid w:val="006617E8"/>
    <w:rsid w:val="0066289A"/>
    <w:rsid w:val="00675754"/>
    <w:rsid w:val="00690792"/>
    <w:rsid w:val="006D621C"/>
    <w:rsid w:val="006D69C7"/>
    <w:rsid w:val="006E7D5B"/>
    <w:rsid w:val="006F3370"/>
    <w:rsid w:val="006F6B75"/>
    <w:rsid w:val="00702CA0"/>
    <w:rsid w:val="0073057E"/>
    <w:rsid w:val="00743BF9"/>
    <w:rsid w:val="00777032"/>
    <w:rsid w:val="00785A0C"/>
    <w:rsid w:val="007B03B1"/>
    <w:rsid w:val="007C58FA"/>
    <w:rsid w:val="007D2601"/>
    <w:rsid w:val="00807C0E"/>
    <w:rsid w:val="00867E45"/>
    <w:rsid w:val="008829AC"/>
    <w:rsid w:val="008A379F"/>
    <w:rsid w:val="008B746A"/>
    <w:rsid w:val="008F4D68"/>
    <w:rsid w:val="008F4F1D"/>
    <w:rsid w:val="009121AD"/>
    <w:rsid w:val="00945455"/>
    <w:rsid w:val="009610F9"/>
    <w:rsid w:val="009A11B2"/>
    <w:rsid w:val="009A425D"/>
    <w:rsid w:val="009B4D74"/>
    <w:rsid w:val="009E4488"/>
    <w:rsid w:val="009F4590"/>
    <w:rsid w:val="009F7A4C"/>
    <w:rsid w:val="00A1184B"/>
    <w:rsid w:val="00A41822"/>
    <w:rsid w:val="00A44562"/>
    <w:rsid w:val="00A600EE"/>
    <w:rsid w:val="00B4321E"/>
    <w:rsid w:val="00B578D4"/>
    <w:rsid w:val="00B83390"/>
    <w:rsid w:val="00BB03FF"/>
    <w:rsid w:val="00BC54AF"/>
    <w:rsid w:val="00BD4AE3"/>
    <w:rsid w:val="00BE3FFB"/>
    <w:rsid w:val="00BF31C8"/>
    <w:rsid w:val="00BF31D8"/>
    <w:rsid w:val="00C02219"/>
    <w:rsid w:val="00C2229B"/>
    <w:rsid w:val="00C565F1"/>
    <w:rsid w:val="00C81F5D"/>
    <w:rsid w:val="00CA02B1"/>
    <w:rsid w:val="00CB59C4"/>
    <w:rsid w:val="00CD2463"/>
    <w:rsid w:val="00CE0EF6"/>
    <w:rsid w:val="00CF73E4"/>
    <w:rsid w:val="00D26AF7"/>
    <w:rsid w:val="00D41C0D"/>
    <w:rsid w:val="00D55239"/>
    <w:rsid w:val="00D72470"/>
    <w:rsid w:val="00D850EC"/>
    <w:rsid w:val="00D871D2"/>
    <w:rsid w:val="00D93BA2"/>
    <w:rsid w:val="00DC42AB"/>
    <w:rsid w:val="00DD0736"/>
    <w:rsid w:val="00DD0C63"/>
    <w:rsid w:val="00E10B3F"/>
    <w:rsid w:val="00E10B7F"/>
    <w:rsid w:val="00E216F8"/>
    <w:rsid w:val="00E2663F"/>
    <w:rsid w:val="00E45E78"/>
    <w:rsid w:val="00E80C90"/>
    <w:rsid w:val="00E815FC"/>
    <w:rsid w:val="00E85CE5"/>
    <w:rsid w:val="00E975F8"/>
    <w:rsid w:val="00EA26EB"/>
    <w:rsid w:val="00EA4166"/>
    <w:rsid w:val="00F17CAF"/>
    <w:rsid w:val="00F91ACD"/>
    <w:rsid w:val="00F95932"/>
    <w:rsid w:val="00F97988"/>
    <w:rsid w:val="00FB5C52"/>
    <w:rsid w:val="00FC1CBE"/>
    <w:rsid w:val="00FF6B76"/>
    <w:rsid w:val="19D38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BDC8A"/>
  <w15:chartTrackingRefBased/>
  <w15:docId w15:val="{295E0725-E193-4418-989E-748D6B3A4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7D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7D4C"/>
    <w:rPr>
      <w:rFonts w:eastAsiaTheme="minorEastAsia"/>
      <w:lang w:val="en-US"/>
    </w:rPr>
  </w:style>
  <w:style w:type="character" w:styleId="LineNumber">
    <w:name w:val="line number"/>
    <w:basedOn w:val="DefaultParagraphFont"/>
    <w:uiPriority w:val="99"/>
    <w:semiHidden/>
    <w:unhideWhenUsed/>
    <w:rsid w:val="00CB59C4"/>
  </w:style>
  <w:style w:type="paragraph" w:styleId="NormalWeb">
    <w:name w:val="Normal (Web)"/>
    <w:basedOn w:val="Normal"/>
    <w:uiPriority w:val="99"/>
    <w:semiHidden/>
    <w:unhideWhenUsed/>
    <w:rsid w:val="005F55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F55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75461">
      <w:bodyDiv w:val="1"/>
      <w:marLeft w:val="0"/>
      <w:marRight w:val="0"/>
      <w:marTop w:val="0"/>
      <w:marBottom w:val="0"/>
      <w:divBdr>
        <w:top w:val="none" w:sz="0" w:space="0" w:color="auto"/>
        <w:left w:val="none" w:sz="0" w:space="0" w:color="auto"/>
        <w:bottom w:val="none" w:sz="0" w:space="0" w:color="auto"/>
        <w:right w:val="none" w:sz="0" w:space="0" w:color="auto"/>
      </w:divBdr>
    </w:div>
    <w:div w:id="1525709077">
      <w:bodyDiv w:val="1"/>
      <w:marLeft w:val="0"/>
      <w:marRight w:val="0"/>
      <w:marTop w:val="0"/>
      <w:marBottom w:val="0"/>
      <w:divBdr>
        <w:top w:val="none" w:sz="0" w:space="0" w:color="auto"/>
        <w:left w:val="none" w:sz="0" w:space="0" w:color="auto"/>
        <w:bottom w:val="none" w:sz="0" w:space="0" w:color="auto"/>
        <w:right w:val="none" w:sz="0" w:space="0" w:color="auto"/>
      </w:divBdr>
    </w:div>
    <w:div w:id="1897424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388F38-5373-4EB1-8F00-39B0BFC47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16</Pages>
  <Words>2442</Words>
  <Characters>13921</Characters>
  <Application>Microsoft Office Word</Application>
  <DocSecurity>0</DocSecurity>
  <Lines>116</Lines>
  <Paragraphs>32</Paragraphs>
  <ScaleCrop>false</ScaleCrop>
  <Company/>
  <LinksUpToDate>false</LinksUpToDate>
  <CharactersWithSpaces>16331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practice report by Victoria HOLE     2110551 FOR moddle 4006.</dc:title>
  <dc:subject/>
  <dc:creator>Victoria Hole</dc:creator>
  <cp:keywords/>
  <dc:description/>
  <cp:lastModifiedBy>Victoria Hole</cp:lastModifiedBy>
  <cp:revision>129</cp:revision>
  <dcterms:created xsi:type="dcterms:W3CDTF">2022-04-11T08:34:00Z</dcterms:created>
  <dcterms:modified xsi:type="dcterms:W3CDTF">2022-04-25T18:38:00Z</dcterms:modified>
</cp:coreProperties>
</file>