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0B322" w14:textId="77777777" w:rsidR="006E559F" w:rsidRDefault="006E559F" w:rsidP="0059473B">
      <w:pPr>
        <w:spacing w:line="360" w:lineRule="auto"/>
        <w:rPr>
          <w:rFonts w:ascii="Arial" w:hAnsi="Arial" w:cs="Arial"/>
          <w:sz w:val="28"/>
          <w:szCs w:val="28"/>
        </w:rPr>
      </w:pPr>
    </w:p>
    <w:p w14:paraId="4CEB8528" w14:textId="77777777" w:rsidR="006E559F" w:rsidRDefault="006E559F" w:rsidP="0059473B">
      <w:pPr>
        <w:spacing w:line="360" w:lineRule="auto"/>
        <w:rPr>
          <w:rFonts w:ascii="Arial" w:hAnsi="Arial" w:cs="Arial"/>
          <w:sz w:val="28"/>
          <w:szCs w:val="28"/>
        </w:rPr>
      </w:pPr>
    </w:p>
    <w:p w14:paraId="406A58CD" w14:textId="77777777" w:rsidR="006E559F" w:rsidRDefault="006E559F" w:rsidP="0059473B">
      <w:pPr>
        <w:spacing w:line="360" w:lineRule="auto"/>
        <w:rPr>
          <w:rFonts w:ascii="Arial" w:hAnsi="Arial" w:cs="Arial"/>
          <w:sz w:val="28"/>
          <w:szCs w:val="28"/>
        </w:rPr>
      </w:pPr>
    </w:p>
    <w:p w14:paraId="307D42D3" w14:textId="77777777" w:rsidR="006E559F" w:rsidRDefault="006E559F" w:rsidP="0059473B">
      <w:pPr>
        <w:spacing w:line="360" w:lineRule="auto"/>
        <w:rPr>
          <w:rFonts w:ascii="Arial" w:hAnsi="Arial" w:cs="Arial"/>
          <w:sz w:val="28"/>
          <w:szCs w:val="28"/>
        </w:rPr>
      </w:pPr>
    </w:p>
    <w:p w14:paraId="5C44534D" w14:textId="77777777" w:rsidR="006E559F" w:rsidRDefault="006E559F" w:rsidP="0059473B">
      <w:pPr>
        <w:spacing w:line="360" w:lineRule="auto"/>
        <w:rPr>
          <w:rFonts w:ascii="Arial" w:hAnsi="Arial" w:cs="Arial"/>
          <w:sz w:val="28"/>
          <w:szCs w:val="28"/>
        </w:rPr>
      </w:pPr>
    </w:p>
    <w:p w14:paraId="6277F5CB" w14:textId="77777777" w:rsidR="006E559F" w:rsidRDefault="006E559F" w:rsidP="0059473B">
      <w:pPr>
        <w:spacing w:line="360" w:lineRule="auto"/>
        <w:rPr>
          <w:rFonts w:ascii="Arial" w:hAnsi="Arial" w:cs="Arial"/>
          <w:sz w:val="28"/>
          <w:szCs w:val="28"/>
        </w:rPr>
      </w:pPr>
    </w:p>
    <w:p w14:paraId="12015078" w14:textId="77777777" w:rsidR="006E559F" w:rsidRDefault="006E559F" w:rsidP="0059473B">
      <w:pPr>
        <w:spacing w:line="360" w:lineRule="auto"/>
        <w:rPr>
          <w:rFonts w:ascii="Arial" w:hAnsi="Arial" w:cs="Arial"/>
          <w:sz w:val="28"/>
          <w:szCs w:val="28"/>
        </w:rPr>
      </w:pPr>
    </w:p>
    <w:p w14:paraId="36B72CAF" w14:textId="77777777" w:rsidR="006E559F" w:rsidRDefault="006E559F" w:rsidP="0059473B">
      <w:pPr>
        <w:spacing w:line="360" w:lineRule="auto"/>
        <w:rPr>
          <w:rFonts w:ascii="Arial" w:hAnsi="Arial" w:cs="Arial"/>
          <w:sz w:val="28"/>
          <w:szCs w:val="28"/>
        </w:rPr>
      </w:pPr>
    </w:p>
    <w:p w14:paraId="49E42D63" w14:textId="1578091F" w:rsidR="006E559F" w:rsidRPr="006E559F" w:rsidRDefault="006E559F" w:rsidP="0059473B">
      <w:pPr>
        <w:spacing w:line="360" w:lineRule="auto"/>
        <w:rPr>
          <w:rFonts w:ascii="Arial" w:hAnsi="Arial" w:cs="Arial"/>
          <w:sz w:val="52"/>
          <w:szCs w:val="52"/>
        </w:rPr>
      </w:pPr>
      <w:r w:rsidRPr="006E559F">
        <w:rPr>
          <w:rFonts w:ascii="Arial" w:hAnsi="Arial" w:cs="Arial"/>
          <w:sz w:val="52"/>
          <w:szCs w:val="52"/>
        </w:rPr>
        <w:t>STUDENT NAME: POPA MADALINA</w:t>
      </w:r>
    </w:p>
    <w:p w14:paraId="379A889B" w14:textId="5E5EB92C" w:rsidR="006E559F" w:rsidRPr="006E559F" w:rsidRDefault="006E559F" w:rsidP="0059473B">
      <w:pPr>
        <w:spacing w:line="360" w:lineRule="auto"/>
        <w:rPr>
          <w:rFonts w:ascii="Arial" w:hAnsi="Arial" w:cs="Arial"/>
          <w:sz w:val="52"/>
          <w:szCs w:val="52"/>
        </w:rPr>
      </w:pPr>
      <w:r w:rsidRPr="006E559F">
        <w:rPr>
          <w:rFonts w:ascii="Arial" w:hAnsi="Arial" w:cs="Arial"/>
          <w:sz w:val="52"/>
          <w:szCs w:val="52"/>
        </w:rPr>
        <w:t>STUDENT NUMBER: 2244753</w:t>
      </w:r>
    </w:p>
    <w:p w14:paraId="663DED0D" w14:textId="18FFD389" w:rsidR="006E559F" w:rsidRPr="006E559F" w:rsidRDefault="006E559F" w:rsidP="0059473B">
      <w:pPr>
        <w:spacing w:line="360" w:lineRule="auto"/>
        <w:rPr>
          <w:rFonts w:ascii="Arial" w:hAnsi="Arial" w:cs="Arial"/>
          <w:sz w:val="52"/>
          <w:szCs w:val="52"/>
        </w:rPr>
      </w:pPr>
      <w:r w:rsidRPr="006E559F">
        <w:rPr>
          <w:rFonts w:ascii="Arial" w:hAnsi="Arial" w:cs="Arial"/>
          <w:sz w:val="52"/>
          <w:szCs w:val="52"/>
        </w:rPr>
        <w:t>MODULE NAME: CRIMINAL LAW</w:t>
      </w:r>
    </w:p>
    <w:p w14:paraId="526BB29A" w14:textId="352A2866" w:rsidR="006E559F" w:rsidRDefault="006E559F" w:rsidP="0059473B">
      <w:pPr>
        <w:spacing w:line="360" w:lineRule="auto"/>
        <w:rPr>
          <w:rFonts w:ascii="Arial" w:hAnsi="Arial" w:cs="Arial"/>
          <w:sz w:val="28"/>
          <w:szCs w:val="28"/>
        </w:rPr>
      </w:pPr>
    </w:p>
    <w:p w14:paraId="1D694EF1" w14:textId="77777777" w:rsidR="006E559F" w:rsidRDefault="006E559F" w:rsidP="0059473B">
      <w:pPr>
        <w:spacing w:line="360" w:lineRule="auto"/>
        <w:rPr>
          <w:rFonts w:ascii="Arial" w:hAnsi="Arial" w:cs="Arial"/>
          <w:sz w:val="28"/>
          <w:szCs w:val="28"/>
        </w:rPr>
      </w:pPr>
    </w:p>
    <w:p w14:paraId="434D86A1" w14:textId="77777777" w:rsidR="006E559F" w:rsidRDefault="006E559F" w:rsidP="0059473B">
      <w:pPr>
        <w:spacing w:line="360" w:lineRule="auto"/>
        <w:rPr>
          <w:rFonts w:ascii="Arial" w:hAnsi="Arial" w:cs="Arial"/>
          <w:sz w:val="28"/>
          <w:szCs w:val="28"/>
        </w:rPr>
      </w:pPr>
    </w:p>
    <w:p w14:paraId="018A7A8A" w14:textId="77777777" w:rsidR="006E559F" w:rsidRDefault="006E559F" w:rsidP="0059473B">
      <w:pPr>
        <w:spacing w:line="360" w:lineRule="auto"/>
        <w:rPr>
          <w:rFonts w:ascii="Arial" w:hAnsi="Arial" w:cs="Arial"/>
          <w:sz w:val="28"/>
          <w:szCs w:val="28"/>
        </w:rPr>
      </w:pPr>
    </w:p>
    <w:p w14:paraId="600F1505" w14:textId="77777777" w:rsidR="006E559F" w:rsidRDefault="006E559F" w:rsidP="0059473B">
      <w:pPr>
        <w:spacing w:line="360" w:lineRule="auto"/>
        <w:rPr>
          <w:rFonts w:ascii="Arial" w:hAnsi="Arial" w:cs="Arial"/>
          <w:sz w:val="28"/>
          <w:szCs w:val="28"/>
        </w:rPr>
      </w:pPr>
    </w:p>
    <w:p w14:paraId="2EBA5E78" w14:textId="77777777" w:rsidR="006E559F" w:rsidRDefault="006E559F" w:rsidP="0059473B">
      <w:pPr>
        <w:spacing w:line="360" w:lineRule="auto"/>
        <w:rPr>
          <w:rFonts w:ascii="Arial" w:hAnsi="Arial" w:cs="Arial"/>
          <w:sz w:val="28"/>
          <w:szCs w:val="28"/>
        </w:rPr>
      </w:pPr>
    </w:p>
    <w:p w14:paraId="71BFCD78" w14:textId="77777777" w:rsidR="006E559F" w:rsidRDefault="006E559F" w:rsidP="0059473B">
      <w:pPr>
        <w:spacing w:line="360" w:lineRule="auto"/>
        <w:rPr>
          <w:rFonts w:ascii="Arial" w:hAnsi="Arial" w:cs="Arial"/>
          <w:sz w:val="28"/>
          <w:szCs w:val="28"/>
        </w:rPr>
      </w:pPr>
    </w:p>
    <w:p w14:paraId="69D67C58" w14:textId="77777777" w:rsidR="006E559F" w:rsidRDefault="006E559F" w:rsidP="0059473B">
      <w:pPr>
        <w:spacing w:line="360" w:lineRule="auto"/>
        <w:rPr>
          <w:rFonts w:ascii="Arial" w:hAnsi="Arial" w:cs="Arial"/>
          <w:sz w:val="28"/>
          <w:szCs w:val="28"/>
        </w:rPr>
      </w:pPr>
    </w:p>
    <w:p w14:paraId="5EE19924" w14:textId="77777777" w:rsidR="006E559F" w:rsidRDefault="006E559F" w:rsidP="0059473B">
      <w:pPr>
        <w:spacing w:line="360" w:lineRule="auto"/>
        <w:rPr>
          <w:rFonts w:ascii="Arial" w:hAnsi="Arial" w:cs="Arial"/>
          <w:sz w:val="28"/>
          <w:szCs w:val="28"/>
        </w:rPr>
      </w:pPr>
    </w:p>
    <w:p w14:paraId="2F103F0B" w14:textId="1603E09B" w:rsidR="006E559F" w:rsidRDefault="006E559F" w:rsidP="0059473B">
      <w:pPr>
        <w:spacing w:line="360" w:lineRule="auto"/>
        <w:rPr>
          <w:rFonts w:ascii="Arial" w:hAnsi="Arial" w:cs="Arial"/>
          <w:sz w:val="28"/>
          <w:szCs w:val="28"/>
        </w:rPr>
      </w:pPr>
      <w:r>
        <w:rPr>
          <w:rFonts w:ascii="Arial" w:hAnsi="Arial" w:cs="Arial"/>
          <w:sz w:val="28"/>
          <w:szCs w:val="28"/>
        </w:rPr>
        <w:lastRenderedPageBreak/>
        <w:t>UNRAVELLING LEGAL COMPLEXITIES: THE JOURNEY OF CARLA THROUGH CHARGES AND DEFENCES</w:t>
      </w:r>
    </w:p>
    <w:p w14:paraId="5B4B6255" w14:textId="77777777" w:rsidR="006E559F" w:rsidRDefault="006E559F" w:rsidP="0059473B">
      <w:pPr>
        <w:spacing w:line="360" w:lineRule="auto"/>
        <w:rPr>
          <w:rFonts w:ascii="Arial" w:hAnsi="Arial" w:cs="Arial"/>
          <w:sz w:val="28"/>
          <w:szCs w:val="28"/>
        </w:rPr>
      </w:pPr>
    </w:p>
    <w:p w14:paraId="40828B36" w14:textId="2DCC4924" w:rsidR="00C20FFC" w:rsidRPr="0016474F" w:rsidRDefault="00C20FFC" w:rsidP="0059473B">
      <w:pPr>
        <w:spacing w:line="360" w:lineRule="auto"/>
        <w:rPr>
          <w:rFonts w:ascii="Arial" w:hAnsi="Arial" w:cs="Arial"/>
          <w:sz w:val="28"/>
          <w:szCs w:val="28"/>
        </w:rPr>
      </w:pPr>
      <w:r w:rsidRPr="0016474F">
        <w:rPr>
          <w:rFonts w:ascii="Arial" w:hAnsi="Arial" w:cs="Arial"/>
          <w:sz w:val="28"/>
          <w:szCs w:val="28"/>
        </w:rPr>
        <w:t xml:space="preserve">The essay thoroughly investigates the challenges Carla and Jamie, a married couple, confront after a turbulent evening. It analyzes their relationship dynamics, the considerable impact of Jamie’s confession, and the potential legal ramifications. This in-depth exploration illuminates the intricate circumstances, fostering a deep understanding of the situation according to the elements of actus reus and mens rea. Actus reus and </w:t>
      </w:r>
      <w:r w:rsidR="0059473B" w:rsidRPr="0016474F">
        <w:rPr>
          <w:rFonts w:ascii="Arial" w:hAnsi="Arial" w:cs="Arial"/>
          <w:sz w:val="28"/>
          <w:szCs w:val="28"/>
        </w:rPr>
        <w:t>men's</w:t>
      </w:r>
      <w:r w:rsidRPr="0016474F">
        <w:rPr>
          <w:rFonts w:ascii="Arial" w:hAnsi="Arial" w:cs="Arial"/>
          <w:sz w:val="28"/>
          <w:szCs w:val="28"/>
        </w:rPr>
        <w:t xml:space="preserve"> rea are two fundamental principles in criminal law, outlining the elements required for a person to be found guilty of a criminal </w:t>
      </w:r>
      <w:r w:rsidR="0059473B" w:rsidRPr="0016474F">
        <w:rPr>
          <w:rFonts w:ascii="Arial" w:hAnsi="Arial" w:cs="Arial"/>
          <w:sz w:val="28"/>
          <w:szCs w:val="28"/>
        </w:rPr>
        <w:t>offence</w:t>
      </w:r>
      <w:r w:rsidRPr="0016474F">
        <w:rPr>
          <w:rFonts w:ascii="Arial" w:hAnsi="Arial" w:cs="Arial"/>
          <w:sz w:val="28"/>
          <w:szCs w:val="28"/>
        </w:rPr>
        <w:t>.</w:t>
      </w:r>
    </w:p>
    <w:p w14:paraId="2973BC98" w14:textId="61945F78" w:rsidR="00904B95" w:rsidRPr="006E559F" w:rsidRDefault="00C20FFC" w:rsidP="0059473B">
      <w:pPr>
        <w:pStyle w:val="p1"/>
        <w:spacing w:line="360" w:lineRule="auto"/>
        <w:divId w:val="159390794"/>
        <w:rPr>
          <w:rFonts w:ascii="Arial" w:eastAsia="Times New Roman" w:hAnsi="Arial" w:cs="Arial"/>
          <w:color w:val="2C3E50"/>
          <w:sz w:val="28"/>
          <w:szCs w:val="28"/>
          <w:shd w:val="clear" w:color="auto" w:fill="FFFFFF"/>
        </w:rPr>
      </w:pPr>
      <w:r w:rsidRPr="0016474F">
        <w:rPr>
          <w:rFonts w:ascii="Arial" w:hAnsi="Arial" w:cs="Arial"/>
          <w:sz w:val="28"/>
          <w:szCs w:val="28"/>
        </w:rPr>
        <w:t xml:space="preserve">After a chaotic and crucial evening, Carla faces the possibility of serious criminal charges ranging from assault to attempted murder depending on the severity of the harm inflicted on her husband, Jamie. Examining Carla’s legal situation requires a close look at her intentions, the extent of Jamie’s injuries, and potential </w:t>
      </w:r>
      <w:r w:rsidR="0059473B" w:rsidRPr="0016474F">
        <w:rPr>
          <w:rFonts w:ascii="Arial" w:hAnsi="Arial" w:cs="Arial"/>
          <w:sz w:val="28"/>
          <w:szCs w:val="28"/>
        </w:rPr>
        <w:t>defences</w:t>
      </w:r>
      <w:r w:rsidRPr="0016474F">
        <w:rPr>
          <w:rFonts w:ascii="Arial" w:hAnsi="Arial" w:cs="Arial"/>
          <w:sz w:val="28"/>
          <w:szCs w:val="28"/>
        </w:rPr>
        <w:t xml:space="preserve"> that may influence her legal path.</w:t>
      </w:r>
      <w:r w:rsidR="00E912D6" w:rsidRPr="0016474F">
        <w:rPr>
          <w:rFonts w:ascii="Arial" w:hAnsi="Arial" w:cs="Arial"/>
          <w:sz w:val="28"/>
          <w:szCs w:val="28"/>
        </w:rPr>
        <w:t xml:space="preserve"> Attempted murder, contrary to section 1(1) Criminal Attempts Act 1981, may be a charge Carla could potentially face depending on the specific circumstances surrounding the incident and the severity of Jamie’s injuries</w:t>
      </w:r>
      <w:r w:rsidR="009B4F47" w:rsidRPr="0016474F">
        <w:rPr>
          <w:rFonts w:ascii="Arial" w:hAnsi="Arial" w:cs="Arial"/>
          <w:sz w:val="28"/>
          <w:szCs w:val="28"/>
        </w:rPr>
        <w:t xml:space="preserve"> </w:t>
      </w:r>
      <w:r w:rsidR="00E912D6" w:rsidRPr="0016474F">
        <w:rPr>
          <w:rFonts w:ascii="Arial" w:hAnsi="Arial" w:cs="Arial"/>
          <w:sz w:val="28"/>
          <w:szCs w:val="28"/>
        </w:rPr>
        <w:t xml:space="preserve"> </w:t>
      </w:r>
      <w:r w:rsidR="00045B95" w:rsidRPr="0016474F">
        <w:rPr>
          <w:rStyle w:val="s1"/>
          <w:rFonts w:ascii="Arial" w:hAnsi="Arial" w:cs="Arial"/>
          <w:sz w:val="28"/>
          <w:szCs w:val="28"/>
        </w:rPr>
        <w:t>(Sprack, 2011).</w:t>
      </w:r>
      <w:r w:rsidR="0059473B" w:rsidRPr="0016474F">
        <w:rPr>
          <w:rStyle w:val="s1"/>
          <w:rFonts w:ascii="Arial" w:hAnsi="Arial" w:cs="Arial"/>
          <w:sz w:val="28"/>
          <w:szCs w:val="28"/>
        </w:rPr>
        <w:t xml:space="preserve"> </w:t>
      </w:r>
      <w:r w:rsidR="00E912D6" w:rsidRPr="0016474F">
        <w:rPr>
          <w:rFonts w:ascii="Arial" w:hAnsi="Arial" w:cs="Arial"/>
          <w:sz w:val="28"/>
          <w:szCs w:val="28"/>
        </w:rPr>
        <w:t>This statutory provision will play a crucial role in determining the legal framework within which Carla’s actions are evaluated and the potential consequences she may face.</w:t>
      </w:r>
      <w:r w:rsidR="00A312A3" w:rsidRPr="0016474F">
        <w:rPr>
          <w:rFonts w:ascii="Arial" w:hAnsi="Arial" w:cs="Arial"/>
          <w:sz w:val="28"/>
          <w:szCs w:val="28"/>
        </w:rPr>
        <w:t xml:space="preserve"> Analyzing the legal situation involves examining Jamie's intentions, the severity of her injuries, and potential defenses that could impact Carla's legal course. Carla's primary defense centers around provocation, arguing that Jamie's actions during a heated argument triggered her emotional response, leading her to act impulsively. This defense might </w:t>
      </w:r>
      <w:r w:rsidR="00A312A3" w:rsidRPr="0016474F">
        <w:rPr>
          <w:rFonts w:ascii="Arial" w:hAnsi="Arial" w:cs="Arial"/>
          <w:sz w:val="28"/>
          <w:szCs w:val="28"/>
        </w:rPr>
        <w:lastRenderedPageBreak/>
        <w:t xml:space="preserve">mitigate a murder charge to manslaughter in certain jurisdictions, contingent upon the perceived reasonableness of the provocation and loss of self-control. Carla's ongoing marital issues are pivotal, as they are scrutinized to determine the plausibility of her actions that night. Furthermore, while Carla's emotional state is pertinent to her </w:t>
      </w:r>
      <w:r w:rsidR="003A0BC5" w:rsidRPr="0016474F">
        <w:rPr>
          <w:rFonts w:ascii="Arial" w:hAnsi="Arial" w:cs="Arial"/>
          <w:sz w:val="28"/>
          <w:szCs w:val="28"/>
        </w:rPr>
        <w:t>defence</w:t>
      </w:r>
      <w:r w:rsidR="00A312A3" w:rsidRPr="0016474F">
        <w:rPr>
          <w:rFonts w:ascii="Arial" w:hAnsi="Arial" w:cs="Arial"/>
          <w:sz w:val="28"/>
          <w:szCs w:val="28"/>
        </w:rPr>
        <w:t>, it may not completely absolve her of liability. Courts typically evaluate the reasonableness of a defendant's reaction, assessing how a typical person in similar circumstances might have behaved.</w:t>
      </w:r>
      <w:r w:rsidR="00C23D38" w:rsidRPr="0016474F">
        <w:rPr>
          <w:rFonts w:ascii="Arial" w:hAnsi="Arial" w:cs="Arial"/>
          <w:sz w:val="28"/>
          <w:szCs w:val="28"/>
        </w:rPr>
        <w:t xml:space="preserve"> Actus reus refers to the "guilty act" in Latin</w:t>
      </w:r>
      <w:r w:rsidR="0059473B" w:rsidRPr="0016474F">
        <w:rPr>
          <w:rFonts w:ascii="Arial" w:hAnsi="Arial" w:cs="Arial"/>
          <w:sz w:val="28"/>
          <w:szCs w:val="28"/>
        </w:rPr>
        <w:t xml:space="preserve">, which </w:t>
      </w:r>
      <w:r w:rsidR="00C23D38" w:rsidRPr="0016474F">
        <w:rPr>
          <w:rFonts w:ascii="Arial" w:hAnsi="Arial" w:cs="Arial"/>
          <w:sz w:val="28"/>
          <w:szCs w:val="28"/>
        </w:rPr>
        <w:t xml:space="preserve">encompasses the physical elements or actions that constitute a criminal </w:t>
      </w:r>
      <w:r w:rsidR="003A0BC5" w:rsidRPr="0016474F">
        <w:rPr>
          <w:rFonts w:ascii="Arial" w:hAnsi="Arial" w:cs="Arial"/>
          <w:sz w:val="28"/>
          <w:szCs w:val="28"/>
        </w:rPr>
        <w:t>offence</w:t>
      </w:r>
      <w:r w:rsidR="0059473B" w:rsidRPr="0016474F">
        <w:rPr>
          <w:rFonts w:ascii="Arial" w:hAnsi="Arial" w:cs="Arial"/>
          <w:sz w:val="28"/>
          <w:szCs w:val="28"/>
        </w:rPr>
        <w:t xml:space="preserve"> (White, 2015)</w:t>
      </w:r>
      <w:r w:rsidR="00C23D38" w:rsidRPr="0016474F">
        <w:rPr>
          <w:rFonts w:ascii="Arial" w:hAnsi="Arial" w:cs="Arial"/>
          <w:sz w:val="28"/>
          <w:szCs w:val="28"/>
        </w:rPr>
        <w:t xml:space="preserve">. </w:t>
      </w:r>
      <w:r w:rsidR="0059473B" w:rsidRPr="0016474F">
        <w:rPr>
          <w:rFonts w:ascii="Arial" w:hAnsi="Arial" w:cs="Arial"/>
          <w:sz w:val="28"/>
          <w:szCs w:val="28"/>
        </w:rPr>
        <w:t xml:space="preserve">According to </w:t>
      </w:r>
      <w:r w:rsidR="003A0BC5" w:rsidRPr="0016474F">
        <w:rPr>
          <w:rFonts w:ascii="Arial" w:hAnsi="Arial" w:cs="Arial"/>
          <w:sz w:val="28"/>
          <w:szCs w:val="28"/>
        </w:rPr>
        <w:t>Clarkson's</w:t>
      </w:r>
      <w:r w:rsidR="0059473B" w:rsidRPr="0016474F">
        <w:rPr>
          <w:rFonts w:ascii="Arial" w:hAnsi="Arial" w:cs="Arial"/>
          <w:sz w:val="28"/>
          <w:szCs w:val="28"/>
        </w:rPr>
        <w:t xml:space="preserve"> (2005)</w:t>
      </w:r>
      <w:r w:rsidR="00C23D38" w:rsidRPr="0016474F">
        <w:rPr>
          <w:rFonts w:ascii="Arial" w:hAnsi="Arial" w:cs="Arial"/>
          <w:sz w:val="28"/>
          <w:szCs w:val="28"/>
        </w:rPr>
        <w:t xml:space="preserve"> legal terms, actus reus focuses on the observable conduct or </w:t>
      </w:r>
      <w:r w:rsidR="003A0BC5" w:rsidRPr="0016474F">
        <w:rPr>
          <w:rFonts w:ascii="Arial" w:hAnsi="Arial" w:cs="Arial"/>
          <w:sz w:val="28"/>
          <w:szCs w:val="28"/>
        </w:rPr>
        <w:t>behaviour</w:t>
      </w:r>
      <w:r w:rsidR="00C23D38" w:rsidRPr="0016474F">
        <w:rPr>
          <w:rFonts w:ascii="Arial" w:hAnsi="Arial" w:cs="Arial"/>
          <w:sz w:val="28"/>
          <w:szCs w:val="28"/>
        </w:rPr>
        <w:t xml:space="preserve"> of an individual that forms the basis of a crime. It includes actions such as physical assault, theft, or other unlawful </w:t>
      </w:r>
      <w:r w:rsidR="003A0BC5" w:rsidRPr="0016474F">
        <w:rPr>
          <w:rFonts w:ascii="Arial" w:hAnsi="Arial" w:cs="Arial"/>
          <w:sz w:val="28"/>
          <w:szCs w:val="28"/>
        </w:rPr>
        <w:t>behaviours</w:t>
      </w:r>
      <w:r w:rsidR="00FB65E6" w:rsidRPr="0016474F">
        <w:rPr>
          <w:rFonts w:ascii="Arial" w:hAnsi="Arial" w:cs="Arial"/>
          <w:sz w:val="28"/>
          <w:szCs w:val="28"/>
        </w:rPr>
        <w:t>.</w:t>
      </w:r>
      <w:r w:rsidR="003A0BC5" w:rsidRPr="0016474F">
        <w:rPr>
          <w:rFonts w:ascii="Arial" w:hAnsi="Arial" w:cs="Arial"/>
          <w:sz w:val="28"/>
          <w:szCs w:val="28"/>
        </w:rPr>
        <w:t xml:space="preserve"> </w:t>
      </w:r>
      <w:r w:rsidR="00C23D38" w:rsidRPr="0016474F">
        <w:rPr>
          <w:rFonts w:ascii="Arial" w:hAnsi="Arial" w:cs="Arial"/>
          <w:sz w:val="28"/>
          <w:szCs w:val="28"/>
        </w:rPr>
        <w:t>Mens rea, on the other hand, translates to "guilty mind" in Latin</w:t>
      </w:r>
      <w:r w:rsidR="003A0BC5" w:rsidRPr="0016474F">
        <w:rPr>
          <w:rFonts w:ascii="Arial" w:hAnsi="Arial" w:cs="Arial"/>
          <w:sz w:val="28"/>
          <w:szCs w:val="28"/>
        </w:rPr>
        <w:t>, which</w:t>
      </w:r>
      <w:r w:rsidR="00C23D38" w:rsidRPr="0016474F">
        <w:rPr>
          <w:rFonts w:ascii="Arial" w:hAnsi="Arial" w:cs="Arial"/>
          <w:sz w:val="28"/>
          <w:szCs w:val="28"/>
        </w:rPr>
        <w:t xml:space="preserve"> pertains to the mental state or intention behind the criminal act</w:t>
      </w:r>
      <w:r w:rsidR="003A0BC5" w:rsidRPr="0016474F">
        <w:rPr>
          <w:rFonts w:ascii="Arial" w:hAnsi="Arial" w:cs="Arial"/>
          <w:sz w:val="28"/>
          <w:szCs w:val="28"/>
        </w:rPr>
        <w:t xml:space="preserve"> (Doe, 2018).Men's</w:t>
      </w:r>
      <w:r w:rsidR="00C23D38" w:rsidRPr="0016474F">
        <w:rPr>
          <w:rFonts w:ascii="Arial" w:hAnsi="Arial" w:cs="Arial"/>
          <w:sz w:val="28"/>
          <w:szCs w:val="28"/>
        </w:rPr>
        <w:t xml:space="preserve"> rea explores the defendant's state of mind at the time of committing the </w:t>
      </w:r>
      <w:r w:rsidR="003A0BC5" w:rsidRPr="0016474F">
        <w:rPr>
          <w:rFonts w:ascii="Arial" w:hAnsi="Arial" w:cs="Arial"/>
          <w:sz w:val="28"/>
          <w:szCs w:val="28"/>
        </w:rPr>
        <w:t>offence</w:t>
      </w:r>
      <w:r w:rsidR="00C23D38" w:rsidRPr="0016474F">
        <w:rPr>
          <w:rFonts w:ascii="Arial" w:hAnsi="Arial" w:cs="Arial"/>
          <w:sz w:val="28"/>
          <w:szCs w:val="28"/>
        </w:rPr>
        <w:t>, including their awareness, purpose, or recklessness regarding their actions</w:t>
      </w:r>
      <w:r w:rsidR="003A0BC5" w:rsidRPr="0016474F">
        <w:rPr>
          <w:rFonts w:ascii="Arial" w:hAnsi="Arial" w:cs="Arial"/>
          <w:sz w:val="28"/>
          <w:szCs w:val="28"/>
        </w:rPr>
        <w:t>, delving</w:t>
      </w:r>
      <w:r w:rsidR="00C23D38" w:rsidRPr="0016474F">
        <w:rPr>
          <w:rFonts w:ascii="Arial" w:hAnsi="Arial" w:cs="Arial"/>
          <w:sz w:val="28"/>
          <w:szCs w:val="28"/>
        </w:rPr>
        <w:t xml:space="preserve"> into whether the individual intended to commit the crime, acted with knowledge of the consequences, or displayed reckless disregard for the law</w:t>
      </w:r>
      <w:r w:rsidR="003A0BC5" w:rsidRPr="0016474F">
        <w:rPr>
          <w:rFonts w:ascii="Arial" w:hAnsi="Arial" w:cs="Arial"/>
          <w:sz w:val="28"/>
          <w:szCs w:val="28"/>
        </w:rPr>
        <w:t xml:space="preserve"> </w:t>
      </w:r>
      <w:r w:rsidR="00594700" w:rsidRPr="006E559F">
        <w:rPr>
          <w:rFonts w:ascii="Arial" w:hAnsi="Arial" w:cs="Arial"/>
          <w:sz w:val="28"/>
          <w:szCs w:val="28"/>
        </w:rPr>
        <w:t>(</w:t>
      </w:r>
      <w:r w:rsidR="00E73822" w:rsidRPr="006E559F">
        <w:rPr>
          <w:rFonts w:ascii="Arial" w:eastAsia="Times New Roman" w:hAnsi="Arial" w:cs="Arial"/>
          <w:sz w:val="28"/>
          <w:szCs w:val="28"/>
          <w:shd w:val="clear" w:color="auto" w:fill="FFFFFF"/>
        </w:rPr>
        <w:t>Garvey, 2020</w:t>
      </w:r>
      <w:r w:rsidR="00594700" w:rsidRPr="006E559F">
        <w:rPr>
          <w:rFonts w:ascii="Arial" w:eastAsia="Times New Roman" w:hAnsi="Arial" w:cs="Arial"/>
          <w:sz w:val="28"/>
          <w:szCs w:val="28"/>
          <w:shd w:val="clear" w:color="auto" w:fill="FFFFFF"/>
        </w:rPr>
        <w:t>)</w:t>
      </w:r>
      <w:r w:rsidR="00567E55" w:rsidRPr="006E559F">
        <w:rPr>
          <w:rFonts w:ascii="Arial" w:eastAsia="Times New Roman" w:hAnsi="Arial" w:cs="Arial"/>
          <w:sz w:val="28"/>
          <w:szCs w:val="28"/>
          <w:shd w:val="clear" w:color="auto" w:fill="FFFFFF"/>
        </w:rPr>
        <w:t>.</w:t>
      </w:r>
    </w:p>
    <w:p w14:paraId="205397A8" w14:textId="05718288" w:rsidR="00904B95" w:rsidRPr="0016474F" w:rsidRDefault="00904B95" w:rsidP="0059473B">
      <w:pPr>
        <w:pStyle w:val="p1"/>
        <w:spacing w:line="360" w:lineRule="auto"/>
        <w:divId w:val="159390794"/>
        <w:rPr>
          <w:rFonts w:ascii="Arial" w:hAnsi="Arial" w:cs="Arial"/>
          <w:sz w:val="28"/>
          <w:szCs w:val="28"/>
        </w:rPr>
      </w:pPr>
      <w:r w:rsidRPr="0016474F">
        <w:rPr>
          <w:rFonts w:ascii="Arial" w:hAnsi="Arial" w:cs="Arial"/>
          <w:sz w:val="28"/>
          <w:szCs w:val="28"/>
        </w:rPr>
        <w:t>In this scenario, the potential wrongdoing is assault, which is characterized by intentionally causing harm or creating a threatening situation</w:t>
      </w:r>
      <w:r w:rsidR="003A0BC5" w:rsidRPr="0016474F">
        <w:rPr>
          <w:rFonts w:ascii="Arial" w:hAnsi="Arial" w:cs="Arial"/>
          <w:sz w:val="28"/>
          <w:szCs w:val="28"/>
        </w:rPr>
        <w:t xml:space="preserve">, which </w:t>
      </w:r>
      <w:r w:rsidRPr="0016474F">
        <w:rPr>
          <w:rFonts w:ascii="Arial" w:hAnsi="Arial" w:cs="Arial"/>
          <w:sz w:val="28"/>
          <w:szCs w:val="28"/>
        </w:rPr>
        <w:t xml:space="preserve">Carla may be accused of assault if it is found that she deliberately harmed Jamie or created circumstances where harm to </w:t>
      </w:r>
      <w:r w:rsidR="003A0BC5" w:rsidRPr="0016474F">
        <w:rPr>
          <w:rFonts w:ascii="Arial" w:hAnsi="Arial" w:cs="Arial"/>
          <w:sz w:val="28"/>
          <w:szCs w:val="28"/>
        </w:rPr>
        <w:t>the victim was probable (Hill, 2012)</w:t>
      </w:r>
      <w:r w:rsidRPr="0016474F">
        <w:rPr>
          <w:rFonts w:ascii="Arial" w:hAnsi="Arial" w:cs="Arial"/>
          <w:sz w:val="28"/>
          <w:szCs w:val="28"/>
        </w:rPr>
        <w:t xml:space="preserve">. This could encompass physical violence, verbal threats, or any behavior that induces fear of imminent harm in Jamie. The seriousness of the offense and Carla's responsibility </w:t>
      </w:r>
      <w:r w:rsidRPr="0016474F">
        <w:rPr>
          <w:rFonts w:ascii="Arial" w:hAnsi="Arial" w:cs="Arial"/>
          <w:sz w:val="28"/>
          <w:szCs w:val="28"/>
        </w:rPr>
        <w:lastRenderedPageBreak/>
        <w:t>will be influenced by factors such as her intentions, actions, and the resulting harm inflicted on Jamie.</w:t>
      </w:r>
    </w:p>
    <w:p w14:paraId="0DBC6ADC" w14:textId="6A60674C" w:rsidR="00E60871" w:rsidRPr="0016474F" w:rsidRDefault="00904B95" w:rsidP="0059473B">
      <w:pPr>
        <w:pStyle w:val="p1"/>
        <w:spacing w:line="360" w:lineRule="auto"/>
        <w:divId w:val="459806322"/>
        <w:rPr>
          <w:rFonts w:ascii="Arial" w:hAnsi="Arial" w:cs="Arial"/>
          <w:sz w:val="28"/>
          <w:szCs w:val="28"/>
        </w:rPr>
      </w:pPr>
      <w:r w:rsidRPr="0016474F">
        <w:rPr>
          <w:rFonts w:ascii="Arial" w:hAnsi="Arial" w:cs="Arial"/>
          <w:sz w:val="28"/>
          <w:szCs w:val="28"/>
        </w:rPr>
        <w:t xml:space="preserve">Regarding assault legislation in the UK, it is governed by the Criminal Justice Act 1988 and the Offences Against the Person Act 1861. These laws establish the legal framework for defining assault, identifying its components, and stipulating potential penalties for individuals convicted of the </w:t>
      </w:r>
      <w:r w:rsidR="006E559F">
        <w:rPr>
          <w:rFonts w:ascii="Arial" w:hAnsi="Arial" w:cs="Arial"/>
          <w:sz w:val="28"/>
          <w:szCs w:val="28"/>
        </w:rPr>
        <w:t>offence</w:t>
      </w:r>
      <w:r w:rsidR="0059473B" w:rsidRPr="0016474F">
        <w:rPr>
          <w:rFonts w:ascii="Arial" w:hAnsi="Arial" w:cs="Arial"/>
          <w:sz w:val="28"/>
          <w:szCs w:val="28"/>
        </w:rPr>
        <w:t xml:space="preserve"> (Legislation GOV, 2011).</w:t>
      </w:r>
      <w:r w:rsidR="0005629F" w:rsidRPr="0016474F">
        <w:rPr>
          <w:rStyle w:val="s1"/>
          <w:rFonts w:ascii="Arial" w:hAnsi="Arial" w:cs="Arial"/>
          <w:sz w:val="28"/>
          <w:szCs w:val="28"/>
        </w:rPr>
        <w:t xml:space="preserve"> </w:t>
      </w:r>
      <w:r w:rsidR="0029701F" w:rsidRPr="0016474F">
        <w:rPr>
          <w:rStyle w:val="s1"/>
          <w:rFonts w:ascii="Arial" w:hAnsi="Arial" w:cs="Arial"/>
          <w:sz w:val="28"/>
          <w:szCs w:val="28"/>
        </w:rPr>
        <w:t>Jamie's admission of infidelity complicates matters by introducing adultery as a potential provocation for Carla's actions. This raises questions about their relationship dynamics and how Jamie's actions impacted Carla emotionally. The legal significance of Jamie's admission hinges on factors such as the timing of the affair relative to the stabbing incident and its effect on Carla's mental state. If the infidelity occurred shortly before the altercation, Carla's actions might be viewed as a response to emotional distress or anger. However, if the affair happened long before the incident and Carla had time to process it, the relevance of adultery as a provocation may diminish. Ultimately, evaluating Jamie's admission requires a thorough examination of the circumstances surrounding the affair and its impact on Carla's mindset during the stabbing.</w:t>
      </w:r>
      <w:r w:rsidR="00130C42" w:rsidRPr="0016474F">
        <w:rPr>
          <w:rStyle w:val="s1"/>
          <w:rFonts w:ascii="Arial" w:hAnsi="Arial" w:cs="Arial"/>
          <w:sz w:val="28"/>
          <w:szCs w:val="28"/>
        </w:rPr>
        <w:t>In</w:t>
      </w:r>
      <w:r w:rsidR="00E60871" w:rsidRPr="0016474F">
        <w:rPr>
          <w:rFonts w:ascii="Arial" w:hAnsi="Arial" w:cs="Arial"/>
          <w:sz w:val="28"/>
          <w:szCs w:val="28"/>
        </w:rPr>
        <w:t xml:space="preserve"> Carla’s legal predicament, her mental state, known as Mens Rea, becomes a crucial aspect of the case, especially within the context of potential assault charges. </w:t>
      </w:r>
      <w:r w:rsidR="003A0BC5" w:rsidRPr="0016474F">
        <w:rPr>
          <w:rFonts w:ascii="Arial" w:hAnsi="Arial" w:cs="Arial"/>
          <w:sz w:val="28"/>
          <w:szCs w:val="28"/>
        </w:rPr>
        <w:t xml:space="preserve">According to Fewtrell (1948), </w:t>
      </w:r>
      <w:r w:rsidR="00E60871" w:rsidRPr="0016474F">
        <w:rPr>
          <w:rFonts w:ascii="Arial" w:hAnsi="Arial" w:cs="Arial"/>
          <w:sz w:val="28"/>
          <w:szCs w:val="28"/>
        </w:rPr>
        <w:t xml:space="preserve">Mens Rea refers to the defendant’s state of mind at the time of the </w:t>
      </w:r>
      <w:r w:rsidR="006E559F">
        <w:rPr>
          <w:rFonts w:ascii="Arial" w:hAnsi="Arial" w:cs="Arial"/>
          <w:sz w:val="28"/>
          <w:szCs w:val="28"/>
        </w:rPr>
        <w:t>offence</w:t>
      </w:r>
      <w:r w:rsidR="00E60871" w:rsidRPr="0016474F">
        <w:rPr>
          <w:rFonts w:ascii="Arial" w:hAnsi="Arial" w:cs="Arial"/>
          <w:sz w:val="28"/>
          <w:szCs w:val="28"/>
        </w:rPr>
        <w:t xml:space="preserve"> and encompasses their knowledge, intentions, and awareness of the potential consequences of their actions.</w:t>
      </w:r>
    </w:p>
    <w:p w14:paraId="3E5CF02A" w14:textId="77777777" w:rsidR="00E60871" w:rsidRPr="0016474F" w:rsidRDefault="00E60871" w:rsidP="0059473B">
      <w:pPr>
        <w:pStyle w:val="p1"/>
        <w:spacing w:line="360" w:lineRule="auto"/>
        <w:divId w:val="459806322"/>
        <w:rPr>
          <w:rFonts w:ascii="Arial" w:hAnsi="Arial" w:cs="Arial"/>
          <w:sz w:val="28"/>
          <w:szCs w:val="28"/>
        </w:rPr>
      </w:pPr>
      <w:r w:rsidRPr="0016474F">
        <w:rPr>
          <w:rFonts w:ascii="Arial" w:hAnsi="Arial" w:cs="Arial"/>
          <w:sz w:val="28"/>
          <w:szCs w:val="28"/>
        </w:rPr>
        <w:t xml:space="preserve">While recklessness is a significant factor in the legal analysis, the prosecution must establish Carla’s Mens Rea beyond a reasonable doubt. This involves scrutinizing whether Carla knowingly engaged in actions carrying a substantial risk of harm to Jamie. The court will closely </w:t>
      </w:r>
      <w:r w:rsidRPr="0016474F">
        <w:rPr>
          <w:rFonts w:ascii="Arial" w:hAnsi="Arial" w:cs="Arial"/>
          <w:sz w:val="28"/>
          <w:szCs w:val="28"/>
        </w:rPr>
        <w:lastRenderedPageBreak/>
        <w:t>examine Carla’s awareness of the potential harm she might inflict upon Jamie during the altercation.</w:t>
      </w:r>
    </w:p>
    <w:p w14:paraId="697DF65A" w14:textId="732D6EE5" w:rsidR="00E60871" w:rsidRPr="0016474F" w:rsidRDefault="00E60871" w:rsidP="0059473B">
      <w:pPr>
        <w:pStyle w:val="p1"/>
        <w:spacing w:line="360" w:lineRule="auto"/>
        <w:divId w:val="459806322"/>
        <w:rPr>
          <w:rFonts w:ascii="Arial" w:hAnsi="Arial" w:cs="Arial"/>
          <w:sz w:val="28"/>
          <w:szCs w:val="28"/>
        </w:rPr>
      </w:pPr>
      <w:r w:rsidRPr="0016474F">
        <w:rPr>
          <w:rFonts w:ascii="Arial" w:hAnsi="Arial" w:cs="Arial"/>
          <w:sz w:val="28"/>
          <w:szCs w:val="28"/>
        </w:rPr>
        <w:t xml:space="preserve">In Carla’s </w:t>
      </w:r>
      <w:r w:rsidR="006E559F">
        <w:rPr>
          <w:rFonts w:ascii="Arial" w:hAnsi="Arial" w:cs="Arial"/>
          <w:sz w:val="28"/>
          <w:szCs w:val="28"/>
        </w:rPr>
        <w:t>defence</w:t>
      </w:r>
      <w:r w:rsidRPr="0016474F">
        <w:rPr>
          <w:rFonts w:ascii="Arial" w:hAnsi="Arial" w:cs="Arial"/>
          <w:sz w:val="28"/>
          <w:szCs w:val="28"/>
        </w:rPr>
        <w:t xml:space="preserve">, her legal team may argue that her actions were provoked by Jamie, suggesting a lack of intent to harm. However, the court must assess Carla’s Mens Rea to determine if her reaction was justified under the circumstances. Carla bears the burden of proving that Jamie’s actions were serious enough to elicit her response, which will significantly impact the viability of her </w:t>
      </w:r>
      <w:r w:rsidR="006E559F">
        <w:rPr>
          <w:rFonts w:ascii="Arial" w:hAnsi="Arial" w:cs="Arial"/>
          <w:sz w:val="28"/>
          <w:szCs w:val="28"/>
        </w:rPr>
        <w:t>defence</w:t>
      </w:r>
      <w:r w:rsidRPr="0016474F">
        <w:rPr>
          <w:rFonts w:ascii="Arial" w:hAnsi="Arial" w:cs="Arial"/>
          <w:sz w:val="28"/>
          <w:szCs w:val="28"/>
        </w:rPr>
        <w:t>.</w:t>
      </w:r>
    </w:p>
    <w:p w14:paraId="106DCF64" w14:textId="0A4DF55F" w:rsidR="00E60871" w:rsidRPr="0016474F" w:rsidRDefault="00E60871" w:rsidP="0059473B">
      <w:pPr>
        <w:pStyle w:val="p1"/>
        <w:spacing w:line="360" w:lineRule="auto"/>
        <w:divId w:val="459806322"/>
        <w:rPr>
          <w:rFonts w:ascii="Arial" w:hAnsi="Arial" w:cs="Arial"/>
          <w:sz w:val="28"/>
          <w:szCs w:val="28"/>
        </w:rPr>
      </w:pPr>
      <w:r w:rsidRPr="0016474F">
        <w:rPr>
          <w:rFonts w:ascii="Arial" w:hAnsi="Arial" w:cs="Arial"/>
          <w:sz w:val="28"/>
          <w:szCs w:val="28"/>
        </w:rPr>
        <w:t xml:space="preserve">Ultimately, understanding Carla’s Mens Rea is essential in determining her </w:t>
      </w:r>
      <w:r w:rsidR="006E559F">
        <w:rPr>
          <w:rFonts w:ascii="Arial" w:hAnsi="Arial" w:cs="Arial"/>
          <w:sz w:val="28"/>
          <w:szCs w:val="28"/>
        </w:rPr>
        <w:t>guilt</w:t>
      </w:r>
      <w:r w:rsidRPr="0016474F">
        <w:rPr>
          <w:rFonts w:ascii="Arial" w:hAnsi="Arial" w:cs="Arial"/>
          <w:sz w:val="28"/>
          <w:szCs w:val="28"/>
        </w:rPr>
        <w:t xml:space="preserve"> and the appropriate legal outcome in the case. It provides valuable insights into Carla’s state of mind and intentions, helping the court make a fair and just decision.</w:t>
      </w:r>
    </w:p>
    <w:p w14:paraId="68760B59" w14:textId="3DA40E07" w:rsidR="00E73FB3" w:rsidRPr="0016474F" w:rsidRDefault="00E73FB3" w:rsidP="0059473B">
      <w:pPr>
        <w:pStyle w:val="p1"/>
        <w:spacing w:line="360" w:lineRule="auto"/>
        <w:divId w:val="459806322"/>
        <w:rPr>
          <w:rFonts w:ascii="Arial" w:hAnsi="Arial" w:cs="Arial"/>
          <w:sz w:val="28"/>
          <w:szCs w:val="28"/>
        </w:rPr>
      </w:pPr>
      <w:r w:rsidRPr="0016474F">
        <w:rPr>
          <w:rFonts w:ascii="Arial" w:hAnsi="Arial" w:cs="Arial"/>
          <w:sz w:val="28"/>
          <w:szCs w:val="28"/>
        </w:rPr>
        <w:t xml:space="preserve">In Carla's legal situation, her </w:t>
      </w:r>
      <w:r w:rsidR="006E559F">
        <w:rPr>
          <w:rFonts w:ascii="Arial" w:hAnsi="Arial" w:cs="Arial"/>
          <w:sz w:val="28"/>
          <w:szCs w:val="28"/>
        </w:rPr>
        <w:t>defence</w:t>
      </w:r>
      <w:r w:rsidRPr="0016474F">
        <w:rPr>
          <w:rFonts w:ascii="Arial" w:hAnsi="Arial" w:cs="Arial"/>
          <w:sz w:val="28"/>
          <w:szCs w:val="28"/>
        </w:rPr>
        <w:t xml:space="preserve"> revolves around the concept of provocation, which asserts that her actions were prompted by Jamie's </w:t>
      </w:r>
      <w:r w:rsidR="006E559F">
        <w:rPr>
          <w:rFonts w:ascii="Arial" w:hAnsi="Arial" w:cs="Arial"/>
          <w:sz w:val="28"/>
          <w:szCs w:val="28"/>
        </w:rPr>
        <w:t>behaviour</w:t>
      </w:r>
      <w:r w:rsidRPr="0016474F">
        <w:rPr>
          <w:rFonts w:ascii="Arial" w:hAnsi="Arial" w:cs="Arial"/>
          <w:sz w:val="28"/>
          <w:szCs w:val="28"/>
        </w:rPr>
        <w:t xml:space="preserve">, leading to an emotional loss of control. This </w:t>
      </w:r>
      <w:r w:rsidR="006E559F">
        <w:rPr>
          <w:rFonts w:ascii="Arial" w:hAnsi="Arial" w:cs="Arial"/>
          <w:sz w:val="28"/>
          <w:szCs w:val="28"/>
        </w:rPr>
        <w:t>defence</w:t>
      </w:r>
      <w:r w:rsidRPr="0016474F">
        <w:rPr>
          <w:rFonts w:ascii="Arial" w:hAnsi="Arial" w:cs="Arial"/>
          <w:sz w:val="28"/>
          <w:szCs w:val="28"/>
        </w:rPr>
        <w:t xml:space="preserve"> argues that Jamie's conduct played a significant role in provoking Carla's reaction and subsequent loss of self-control during the altercation. To support this </w:t>
      </w:r>
      <w:r w:rsidR="006E559F">
        <w:rPr>
          <w:rFonts w:ascii="Arial" w:hAnsi="Arial" w:cs="Arial"/>
          <w:sz w:val="28"/>
          <w:szCs w:val="28"/>
        </w:rPr>
        <w:t>defence</w:t>
      </w:r>
      <w:r w:rsidRPr="0016474F">
        <w:rPr>
          <w:rFonts w:ascii="Arial" w:hAnsi="Arial" w:cs="Arial"/>
          <w:sz w:val="28"/>
          <w:szCs w:val="28"/>
        </w:rPr>
        <w:t xml:space="preserve"> in court, Carla's legal team must demonstrate that Jamie's actions were provocative enough to elicit a similar response from any ordinary person in Carla's position. Essentially, this </w:t>
      </w:r>
      <w:r w:rsidR="006E559F">
        <w:rPr>
          <w:rFonts w:ascii="Arial" w:hAnsi="Arial" w:cs="Arial"/>
          <w:sz w:val="28"/>
          <w:szCs w:val="28"/>
        </w:rPr>
        <w:t>defence</w:t>
      </w:r>
      <w:r w:rsidRPr="0016474F">
        <w:rPr>
          <w:rFonts w:ascii="Arial" w:hAnsi="Arial" w:cs="Arial"/>
          <w:sz w:val="28"/>
          <w:szCs w:val="28"/>
        </w:rPr>
        <w:t xml:space="preserve"> seeks to mitigate the severity of punishment by suggesting that external factors, such as Jamie's provocation, influenced Carla's mental state and contributed to the alleged </w:t>
      </w:r>
      <w:r w:rsidR="006E559F">
        <w:rPr>
          <w:rFonts w:ascii="Arial" w:hAnsi="Arial" w:cs="Arial"/>
          <w:sz w:val="28"/>
          <w:szCs w:val="28"/>
        </w:rPr>
        <w:t>offence (Legal Information Institute, 2020).</w:t>
      </w:r>
    </w:p>
    <w:p w14:paraId="030A17BB" w14:textId="77777777" w:rsidR="00733454" w:rsidRPr="0016474F" w:rsidRDefault="00733454" w:rsidP="0059473B">
      <w:pPr>
        <w:pStyle w:val="p1"/>
        <w:spacing w:line="360" w:lineRule="auto"/>
        <w:divId w:val="459806322"/>
        <w:rPr>
          <w:rFonts w:ascii="Arial" w:hAnsi="Arial" w:cs="Arial"/>
          <w:sz w:val="28"/>
          <w:szCs w:val="28"/>
        </w:rPr>
      </w:pPr>
      <w:r w:rsidRPr="0016474F">
        <w:rPr>
          <w:rFonts w:ascii="Arial" w:hAnsi="Arial" w:cs="Arial"/>
          <w:sz w:val="28"/>
          <w:szCs w:val="28"/>
        </w:rPr>
        <w:t xml:space="preserve">In Carla’s legal predicament, the issue of adultery adds a layer of complexity to the understanding of provocation, further complicating her charges. Adultery, characterized by extramarital romantic or sexual involvement, introduces a myriad of nuances that necessitate a thorough examination of its timing and emotional impact on Carla. The revelation of Jamie’s infidelity not only sheds light on the dynamics of their </w:t>
      </w:r>
      <w:r w:rsidRPr="0016474F">
        <w:rPr>
          <w:rFonts w:ascii="Arial" w:hAnsi="Arial" w:cs="Arial"/>
          <w:sz w:val="28"/>
          <w:szCs w:val="28"/>
        </w:rPr>
        <w:lastRenderedPageBreak/>
        <w:t>relationship but also serves as a catalyst for Carla’s emotional turmoil during the altercation.</w:t>
      </w:r>
    </w:p>
    <w:p w14:paraId="0344D1D3" w14:textId="19CBB0A9" w:rsidR="00733454" w:rsidRPr="0016474F" w:rsidRDefault="00733454" w:rsidP="0059473B">
      <w:pPr>
        <w:pStyle w:val="p1"/>
        <w:spacing w:line="360" w:lineRule="auto"/>
        <w:divId w:val="459806322"/>
        <w:rPr>
          <w:rFonts w:ascii="Arial" w:hAnsi="Arial" w:cs="Arial"/>
          <w:sz w:val="28"/>
          <w:szCs w:val="28"/>
        </w:rPr>
      </w:pPr>
      <w:r w:rsidRPr="0016474F">
        <w:rPr>
          <w:rFonts w:ascii="Arial" w:hAnsi="Arial" w:cs="Arial"/>
          <w:sz w:val="28"/>
          <w:szCs w:val="28"/>
        </w:rPr>
        <w:t xml:space="preserve">The </w:t>
      </w:r>
      <w:r w:rsidR="006E559F">
        <w:rPr>
          <w:rFonts w:ascii="Arial" w:hAnsi="Arial" w:cs="Arial"/>
          <w:sz w:val="28"/>
          <w:szCs w:val="28"/>
        </w:rPr>
        <w:t>defence</w:t>
      </w:r>
      <w:r w:rsidRPr="0016474F">
        <w:rPr>
          <w:rFonts w:ascii="Arial" w:hAnsi="Arial" w:cs="Arial"/>
          <w:sz w:val="28"/>
          <w:szCs w:val="28"/>
        </w:rPr>
        <w:t xml:space="preserve"> associated with adultery posits the concept of temporary insanity, asserting that Carla, overwhelmed by intense emotional distress upon learning of Jamie’s infidelity, momentarily lost control of her actions. This </w:t>
      </w:r>
      <w:r w:rsidR="006E559F">
        <w:rPr>
          <w:rFonts w:ascii="Arial" w:hAnsi="Arial" w:cs="Arial"/>
          <w:sz w:val="28"/>
          <w:szCs w:val="28"/>
        </w:rPr>
        <w:t>defence</w:t>
      </w:r>
      <w:r w:rsidRPr="0016474F">
        <w:rPr>
          <w:rFonts w:ascii="Arial" w:hAnsi="Arial" w:cs="Arial"/>
          <w:sz w:val="28"/>
          <w:szCs w:val="28"/>
        </w:rPr>
        <w:t xml:space="preserve"> strategy seeks to mitigate Carla’s culpability by emphasizing the profound psychological impact of betrayal and emotional turmoil.</w:t>
      </w:r>
    </w:p>
    <w:p w14:paraId="5A4E21F3" w14:textId="107D26A4" w:rsidR="00733454" w:rsidRPr="0016474F" w:rsidRDefault="00733454" w:rsidP="0059473B">
      <w:pPr>
        <w:pStyle w:val="p1"/>
        <w:spacing w:line="360" w:lineRule="auto"/>
        <w:divId w:val="459806322"/>
        <w:rPr>
          <w:rFonts w:ascii="Arial" w:hAnsi="Arial" w:cs="Arial"/>
          <w:sz w:val="28"/>
          <w:szCs w:val="28"/>
        </w:rPr>
      </w:pPr>
      <w:r w:rsidRPr="0016474F">
        <w:rPr>
          <w:rFonts w:ascii="Arial" w:hAnsi="Arial" w:cs="Arial"/>
          <w:sz w:val="28"/>
          <w:szCs w:val="28"/>
        </w:rPr>
        <w:t xml:space="preserve">Success in this </w:t>
      </w:r>
      <w:r w:rsidR="006E559F">
        <w:rPr>
          <w:rFonts w:ascii="Arial" w:hAnsi="Arial" w:cs="Arial"/>
          <w:sz w:val="28"/>
          <w:szCs w:val="28"/>
        </w:rPr>
        <w:t>defence</w:t>
      </w:r>
      <w:r w:rsidRPr="0016474F">
        <w:rPr>
          <w:rFonts w:ascii="Arial" w:hAnsi="Arial" w:cs="Arial"/>
          <w:sz w:val="28"/>
          <w:szCs w:val="28"/>
        </w:rPr>
        <w:t xml:space="preserve"> strategy heavily relies on the presentation of compelling evidence and expert testimony that meticulously scrutinizes Carla’s mental state at the time of the specific incident. Witness testimonies, psychological evaluations, and forensic analysis may be pivotal in establishing the extent of Carla’s emotional distress and its influence on her actions.</w:t>
      </w:r>
    </w:p>
    <w:p w14:paraId="02396EC2" w14:textId="3365D563" w:rsidR="00733454" w:rsidRPr="0016474F" w:rsidRDefault="00733454" w:rsidP="0059473B">
      <w:pPr>
        <w:pStyle w:val="p1"/>
        <w:spacing w:line="360" w:lineRule="auto"/>
        <w:divId w:val="459806322"/>
        <w:rPr>
          <w:rFonts w:ascii="Arial" w:hAnsi="Arial" w:cs="Arial"/>
          <w:sz w:val="28"/>
          <w:szCs w:val="28"/>
        </w:rPr>
      </w:pPr>
      <w:r w:rsidRPr="0016474F">
        <w:rPr>
          <w:rFonts w:ascii="Arial" w:hAnsi="Arial" w:cs="Arial"/>
          <w:sz w:val="28"/>
          <w:szCs w:val="28"/>
        </w:rPr>
        <w:t xml:space="preserve">To strengthen the legal analysis and provide comprehensive context, it is imperative to delve into significant legal precedents. In the landmark case of R v. Duffy, the court laid down a fundamental principle shaping the landscape of provocation </w:t>
      </w:r>
      <w:r w:rsidR="006E559F">
        <w:rPr>
          <w:rFonts w:ascii="Arial" w:hAnsi="Arial" w:cs="Arial"/>
          <w:sz w:val="28"/>
          <w:szCs w:val="28"/>
        </w:rPr>
        <w:t>defences</w:t>
      </w:r>
      <w:r w:rsidRPr="0016474F">
        <w:rPr>
          <w:rFonts w:ascii="Arial" w:hAnsi="Arial" w:cs="Arial"/>
          <w:sz w:val="28"/>
          <w:szCs w:val="28"/>
        </w:rPr>
        <w:t>, emphasizing that provocation must be of such a nature as to cause a loss of self-control</w:t>
      </w:r>
      <w:r w:rsidR="0059473B" w:rsidRPr="0016474F">
        <w:rPr>
          <w:rFonts w:ascii="Arial" w:hAnsi="Arial" w:cs="Arial"/>
          <w:sz w:val="28"/>
          <w:szCs w:val="28"/>
        </w:rPr>
        <w:t xml:space="preserve"> (Smith, Hogan &amp; Ormerod, 2020). </w:t>
      </w:r>
      <w:r w:rsidRPr="0016474F">
        <w:rPr>
          <w:rFonts w:ascii="Arial" w:hAnsi="Arial" w:cs="Arial"/>
          <w:sz w:val="28"/>
          <w:szCs w:val="28"/>
        </w:rPr>
        <w:t>This precedent underscores the critical importance of meticulously examining the specific circumstances surrounding Jamie’s admission of infidelity and its impact on Carla’s emotional state.</w:t>
      </w:r>
    </w:p>
    <w:p w14:paraId="547C5CF2" w14:textId="77777777" w:rsidR="006E559F" w:rsidRDefault="00733454" w:rsidP="0059473B">
      <w:pPr>
        <w:pStyle w:val="p1"/>
        <w:spacing w:line="360" w:lineRule="auto"/>
        <w:divId w:val="459806322"/>
        <w:rPr>
          <w:rFonts w:ascii="Arial" w:hAnsi="Arial" w:cs="Arial"/>
          <w:sz w:val="28"/>
          <w:szCs w:val="28"/>
        </w:rPr>
      </w:pPr>
      <w:r w:rsidRPr="0016474F">
        <w:rPr>
          <w:rFonts w:ascii="Arial" w:hAnsi="Arial" w:cs="Arial"/>
          <w:sz w:val="28"/>
          <w:szCs w:val="28"/>
        </w:rPr>
        <w:t xml:space="preserve">Furthermore, R v. Cunningham stands as a seminal case illuminating the stringent requisites demanded in assault charges. By elucidating the dual requirements of intent and recklessness in establishing assault charges, this case provides valuable insights into the legal framework surrounding Carla’s </w:t>
      </w:r>
      <w:r w:rsidR="006E559F">
        <w:rPr>
          <w:rFonts w:ascii="Arial" w:hAnsi="Arial" w:cs="Arial"/>
          <w:sz w:val="28"/>
          <w:szCs w:val="28"/>
        </w:rPr>
        <w:t>defence</w:t>
      </w:r>
      <w:r w:rsidRPr="0016474F">
        <w:rPr>
          <w:rFonts w:ascii="Arial" w:hAnsi="Arial" w:cs="Arial"/>
          <w:sz w:val="28"/>
          <w:szCs w:val="28"/>
        </w:rPr>
        <w:t xml:space="preserve"> strategy.</w:t>
      </w:r>
    </w:p>
    <w:p w14:paraId="44DA3B26" w14:textId="5A4DC3D6" w:rsidR="008F1683" w:rsidRPr="0016474F" w:rsidRDefault="008F1683" w:rsidP="0059473B">
      <w:pPr>
        <w:pStyle w:val="p1"/>
        <w:spacing w:line="360" w:lineRule="auto"/>
        <w:divId w:val="459806322"/>
        <w:rPr>
          <w:rFonts w:ascii="Arial" w:hAnsi="Arial" w:cs="Arial"/>
          <w:sz w:val="28"/>
          <w:szCs w:val="28"/>
        </w:rPr>
      </w:pPr>
      <w:r w:rsidRPr="0016474F">
        <w:rPr>
          <w:rFonts w:ascii="Arial" w:hAnsi="Arial" w:cs="Arial"/>
          <w:sz w:val="28"/>
          <w:szCs w:val="28"/>
        </w:rPr>
        <w:lastRenderedPageBreak/>
        <w:t xml:space="preserve">Similarly, R v. Thornton focuses on the </w:t>
      </w:r>
      <w:r w:rsidR="006E559F">
        <w:rPr>
          <w:rFonts w:ascii="Arial" w:hAnsi="Arial" w:cs="Arial"/>
          <w:sz w:val="28"/>
          <w:szCs w:val="28"/>
        </w:rPr>
        <w:t>defence</w:t>
      </w:r>
      <w:r w:rsidRPr="0016474F">
        <w:rPr>
          <w:rFonts w:ascii="Arial" w:hAnsi="Arial" w:cs="Arial"/>
          <w:sz w:val="28"/>
          <w:szCs w:val="28"/>
        </w:rPr>
        <w:t xml:space="preserve"> of provocation in fatal situations, establishing benchmarks for evaluating the legitimacy of Carla’s </w:t>
      </w:r>
      <w:r w:rsidR="006E559F">
        <w:rPr>
          <w:rFonts w:ascii="Arial" w:hAnsi="Arial" w:cs="Arial"/>
          <w:sz w:val="28"/>
          <w:szCs w:val="28"/>
        </w:rPr>
        <w:t>defence</w:t>
      </w:r>
      <w:r w:rsidRPr="0016474F">
        <w:rPr>
          <w:rFonts w:ascii="Arial" w:hAnsi="Arial" w:cs="Arial"/>
          <w:sz w:val="28"/>
          <w:szCs w:val="28"/>
        </w:rPr>
        <w:t>, especially considering the ongoing marriage problems and potential accusations of murder.</w:t>
      </w:r>
    </w:p>
    <w:p w14:paraId="7519D95E" w14:textId="745EBEC2" w:rsidR="002575D2" w:rsidRPr="0016474F" w:rsidRDefault="008F1683" w:rsidP="0059473B">
      <w:pPr>
        <w:pStyle w:val="p1"/>
        <w:spacing w:line="360" w:lineRule="auto"/>
        <w:divId w:val="459806322"/>
        <w:rPr>
          <w:rFonts w:ascii="Arial" w:hAnsi="Arial" w:cs="Arial"/>
          <w:sz w:val="28"/>
          <w:szCs w:val="28"/>
        </w:rPr>
      </w:pPr>
      <w:r w:rsidRPr="0016474F">
        <w:rPr>
          <w:rFonts w:ascii="Arial" w:hAnsi="Arial" w:cs="Arial"/>
          <w:sz w:val="28"/>
          <w:szCs w:val="28"/>
        </w:rPr>
        <w:t>Lastly, R v. Clinton explores charges involving attempted murder and a provocation claim, providing nuanced insights applicable to Carla’s potential legal troubles. This case underscores the imperative scrutiny of the defendant’s state of mind and emphasizes the significance of assessing the reasonableness of her reactions in light of relevant events, such as Jamie’s confession</w:t>
      </w:r>
      <w:r w:rsidR="0016474F" w:rsidRPr="0016474F">
        <w:rPr>
          <w:rFonts w:ascii="Arial" w:hAnsi="Arial" w:cs="Arial"/>
          <w:sz w:val="28"/>
          <w:szCs w:val="28"/>
        </w:rPr>
        <w:t xml:space="preserve">. According to Legislation GOV (2010), </w:t>
      </w:r>
      <w:r w:rsidR="002575D2" w:rsidRPr="0016474F">
        <w:rPr>
          <w:rFonts w:ascii="Arial" w:hAnsi="Arial" w:cs="Arial"/>
          <w:sz w:val="28"/>
          <w:szCs w:val="28"/>
        </w:rPr>
        <w:t>these cases underscore the importance of assessing the reasonableness of Carla’s reactions, the nature of provocation, and the potential impact of relevant events, such as Jamie’s confession. As Carla navigates the complexities of potential charges and defenses, these legal precedents serve as guiding principles, shaping the trajectory of her legal journey within the broader legal landscape.</w:t>
      </w:r>
    </w:p>
    <w:p w14:paraId="591E596D" w14:textId="428ED315" w:rsidR="000177FE" w:rsidRPr="0016474F" w:rsidRDefault="000177FE" w:rsidP="0059473B">
      <w:pPr>
        <w:pStyle w:val="p1"/>
        <w:spacing w:line="360" w:lineRule="auto"/>
        <w:rPr>
          <w:rFonts w:ascii="Arial" w:hAnsi="Arial" w:cs="Arial"/>
          <w:sz w:val="28"/>
          <w:szCs w:val="28"/>
        </w:rPr>
      </w:pPr>
      <w:r w:rsidRPr="0016474F">
        <w:rPr>
          <w:rFonts w:ascii="Arial" w:hAnsi="Arial" w:cs="Arial"/>
          <w:sz w:val="28"/>
          <w:szCs w:val="28"/>
        </w:rPr>
        <w:t xml:space="preserve">While summarizing these key points, it is essential to advise Carla about her potential liability and available </w:t>
      </w:r>
      <w:r w:rsidR="006E559F">
        <w:rPr>
          <w:rFonts w:ascii="Arial" w:hAnsi="Arial" w:cs="Arial"/>
          <w:sz w:val="28"/>
          <w:szCs w:val="28"/>
        </w:rPr>
        <w:t>defences</w:t>
      </w:r>
      <w:r w:rsidRPr="0016474F">
        <w:rPr>
          <w:rFonts w:ascii="Arial" w:hAnsi="Arial" w:cs="Arial"/>
          <w:sz w:val="28"/>
          <w:szCs w:val="28"/>
        </w:rPr>
        <w:t xml:space="preserve">. She should be made aware of the complexities surrounding adultery defense, the necessity of robust evidentiary support, and the pivotal role of relevant legal precedents in shaping her </w:t>
      </w:r>
      <w:r w:rsidR="006E559F">
        <w:rPr>
          <w:rFonts w:ascii="Arial" w:hAnsi="Arial" w:cs="Arial"/>
          <w:sz w:val="28"/>
          <w:szCs w:val="28"/>
        </w:rPr>
        <w:t>s</w:t>
      </w:r>
      <w:r w:rsidRPr="0016474F">
        <w:rPr>
          <w:rFonts w:ascii="Arial" w:hAnsi="Arial" w:cs="Arial"/>
          <w:sz w:val="28"/>
          <w:szCs w:val="28"/>
        </w:rPr>
        <w:t>trategy within the broader legal landscape.</w:t>
      </w:r>
    </w:p>
    <w:p w14:paraId="64A4C53C" w14:textId="12FD866E" w:rsidR="002575D2" w:rsidRPr="0016474F" w:rsidRDefault="002575D2" w:rsidP="0059473B">
      <w:pPr>
        <w:pStyle w:val="p1"/>
        <w:spacing w:line="360" w:lineRule="auto"/>
        <w:divId w:val="459806322"/>
        <w:rPr>
          <w:rFonts w:ascii="Arial" w:hAnsi="Arial" w:cs="Arial"/>
          <w:sz w:val="28"/>
          <w:szCs w:val="28"/>
        </w:rPr>
      </w:pPr>
      <w:r w:rsidRPr="0016474F">
        <w:rPr>
          <w:rFonts w:ascii="Arial" w:hAnsi="Arial" w:cs="Arial"/>
          <w:sz w:val="28"/>
          <w:szCs w:val="28"/>
        </w:rPr>
        <w:t xml:space="preserve">In conclusion, Carla’s legal situation is intricate, involving potential charges ranging from assault to attempted murder. The examination of actus reus and men’s rea scrutinizes her actions and mental state, with her </w:t>
      </w:r>
      <w:r w:rsidR="006E559F">
        <w:rPr>
          <w:rFonts w:ascii="Arial" w:hAnsi="Arial" w:cs="Arial"/>
          <w:sz w:val="28"/>
          <w:szCs w:val="28"/>
        </w:rPr>
        <w:t>defence</w:t>
      </w:r>
      <w:r w:rsidRPr="0016474F">
        <w:rPr>
          <w:rFonts w:ascii="Arial" w:hAnsi="Arial" w:cs="Arial"/>
          <w:sz w:val="28"/>
          <w:szCs w:val="28"/>
        </w:rPr>
        <w:t xml:space="preserve"> </w:t>
      </w:r>
      <w:r w:rsidR="006E559F">
        <w:rPr>
          <w:rFonts w:ascii="Arial" w:hAnsi="Arial" w:cs="Arial"/>
          <w:sz w:val="28"/>
          <w:szCs w:val="28"/>
        </w:rPr>
        <w:t>centred</w:t>
      </w:r>
      <w:r w:rsidRPr="0016474F">
        <w:rPr>
          <w:rFonts w:ascii="Arial" w:hAnsi="Arial" w:cs="Arial"/>
          <w:sz w:val="28"/>
          <w:szCs w:val="28"/>
        </w:rPr>
        <w:t xml:space="preserve"> on provocation. The introduction of adultery adds further complexity, prompting questions about timing and emotional impact, which could potentially lead to a temporary insanity.</w:t>
      </w:r>
    </w:p>
    <w:p w14:paraId="5B31C8CF" w14:textId="77777777" w:rsidR="002575D2" w:rsidRPr="0016474F" w:rsidRDefault="002575D2" w:rsidP="0059473B">
      <w:pPr>
        <w:pStyle w:val="p1"/>
        <w:spacing w:line="360" w:lineRule="auto"/>
        <w:divId w:val="459806322"/>
        <w:rPr>
          <w:rFonts w:ascii="Arial" w:hAnsi="Arial" w:cs="Arial"/>
          <w:sz w:val="28"/>
          <w:szCs w:val="28"/>
        </w:rPr>
      </w:pPr>
      <w:r w:rsidRPr="0016474F">
        <w:rPr>
          <w:rFonts w:ascii="Arial" w:hAnsi="Arial" w:cs="Arial"/>
          <w:sz w:val="28"/>
          <w:szCs w:val="28"/>
        </w:rPr>
        <w:t xml:space="preserve">Legal cases such as R v. Duffy, R v. Cunningham, R v. Thornton, and R v. Clinton provide a crucial framework for understanding Carla’s </w:t>
      </w:r>
      <w:r w:rsidRPr="0016474F">
        <w:rPr>
          <w:rFonts w:ascii="Arial" w:hAnsi="Arial" w:cs="Arial"/>
          <w:sz w:val="28"/>
          <w:szCs w:val="28"/>
        </w:rPr>
        <w:lastRenderedPageBreak/>
        <w:t>situation. These cases offer insights into reasonable provocation, assault charges, and defenses in fatal situations, thereby guiding Carla’s legal journey within the broader legal landscape.</w:t>
      </w:r>
    </w:p>
    <w:p w14:paraId="026EB000" w14:textId="1249001D" w:rsidR="002575D2" w:rsidRPr="0016474F" w:rsidRDefault="002575D2" w:rsidP="0059473B">
      <w:pPr>
        <w:pStyle w:val="p1"/>
        <w:spacing w:line="360" w:lineRule="auto"/>
        <w:divId w:val="459806322"/>
        <w:rPr>
          <w:rFonts w:ascii="Arial" w:hAnsi="Arial" w:cs="Arial"/>
          <w:sz w:val="28"/>
          <w:szCs w:val="28"/>
        </w:rPr>
      </w:pPr>
      <w:r w:rsidRPr="0016474F">
        <w:rPr>
          <w:rFonts w:ascii="Arial" w:hAnsi="Arial" w:cs="Arial"/>
          <w:sz w:val="28"/>
          <w:szCs w:val="28"/>
        </w:rPr>
        <w:t>In this complicated legal scenario, Carla’s fate ultimately hinges on how the court interprets the evidence and arguments presented. Finding the right balance between legal principles and the complex emotions involved will be essential in determining Carla’s outcome within the legal system.</w:t>
      </w:r>
    </w:p>
    <w:p w14:paraId="695CD606" w14:textId="77777777" w:rsidR="00733454" w:rsidRPr="0016474F" w:rsidRDefault="00733454" w:rsidP="0059473B">
      <w:pPr>
        <w:pStyle w:val="p1"/>
        <w:spacing w:line="360" w:lineRule="auto"/>
        <w:divId w:val="459806322"/>
        <w:rPr>
          <w:rFonts w:ascii="Arial" w:hAnsi="Arial" w:cs="Arial"/>
          <w:sz w:val="28"/>
          <w:szCs w:val="28"/>
        </w:rPr>
      </w:pPr>
    </w:p>
    <w:p w14:paraId="097AB9C8" w14:textId="77777777" w:rsidR="00277E71" w:rsidRDefault="00277E71" w:rsidP="0059473B">
      <w:pPr>
        <w:pStyle w:val="p1"/>
        <w:spacing w:line="360" w:lineRule="auto"/>
        <w:divId w:val="159390794"/>
        <w:rPr>
          <w:rFonts w:ascii="Arial" w:hAnsi="Arial" w:cs="Arial"/>
          <w:sz w:val="28"/>
          <w:szCs w:val="28"/>
        </w:rPr>
      </w:pPr>
    </w:p>
    <w:p w14:paraId="25D53C3E" w14:textId="77777777" w:rsidR="006E559F" w:rsidRDefault="006E559F" w:rsidP="0059473B">
      <w:pPr>
        <w:pStyle w:val="p1"/>
        <w:spacing w:line="360" w:lineRule="auto"/>
        <w:divId w:val="159390794"/>
        <w:rPr>
          <w:rFonts w:ascii="Arial" w:hAnsi="Arial" w:cs="Arial"/>
          <w:sz w:val="28"/>
          <w:szCs w:val="28"/>
        </w:rPr>
      </w:pPr>
    </w:p>
    <w:p w14:paraId="20ABF7AB" w14:textId="77777777" w:rsidR="006E559F" w:rsidRDefault="006E559F" w:rsidP="0059473B">
      <w:pPr>
        <w:pStyle w:val="p1"/>
        <w:spacing w:line="360" w:lineRule="auto"/>
        <w:divId w:val="159390794"/>
        <w:rPr>
          <w:rFonts w:ascii="Arial" w:hAnsi="Arial" w:cs="Arial"/>
          <w:sz w:val="28"/>
          <w:szCs w:val="28"/>
        </w:rPr>
      </w:pPr>
    </w:p>
    <w:p w14:paraId="0E969730" w14:textId="77777777" w:rsidR="006E559F" w:rsidRDefault="006E559F" w:rsidP="0059473B">
      <w:pPr>
        <w:pStyle w:val="p1"/>
        <w:spacing w:line="360" w:lineRule="auto"/>
        <w:divId w:val="159390794"/>
        <w:rPr>
          <w:rFonts w:ascii="Arial" w:hAnsi="Arial" w:cs="Arial"/>
          <w:sz w:val="28"/>
          <w:szCs w:val="28"/>
        </w:rPr>
      </w:pPr>
    </w:p>
    <w:p w14:paraId="3264C82E" w14:textId="77777777" w:rsidR="006E559F" w:rsidRPr="0016474F" w:rsidRDefault="006E559F" w:rsidP="0059473B">
      <w:pPr>
        <w:pStyle w:val="p1"/>
        <w:spacing w:line="360" w:lineRule="auto"/>
        <w:divId w:val="159390794"/>
        <w:rPr>
          <w:rFonts w:ascii="Arial" w:hAnsi="Arial" w:cs="Arial"/>
          <w:sz w:val="28"/>
          <w:szCs w:val="28"/>
        </w:rPr>
      </w:pPr>
    </w:p>
    <w:p w14:paraId="5101223C" w14:textId="77777777" w:rsidR="006E559F" w:rsidRDefault="006E559F" w:rsidP="006E559F">
      <w:pPr>
        <w:pStyle w:val="p1"/>
        <w:spacing w:line="360" w:lineRule="auto"/>
        <w:divId w:val="159390794"/>
        <w:rPr>
          <w:rFonts w:ascii="Arial" w:hAnsi="Arial" w:cs="Arial"/>
          <w:sz w:val="28"/>
          <w:szCs w:val="28"/>
        </w:rPr>
      </w:pPr>
      <w:r>
        <w:rPr>
          <w:rFonts w:ascii="Arial" w:hAnsi="Arial" w:cs="Arial"/>
          <w:sz w:val="28"/>
          <w:szCs w:val="28"/>
        </w:rPr>
        <w:t>CASE LIST</w:t>
      </w:r>
    </w:p>
    <w:p w14:paraId="338B3EAD" w14:textId="77777777" w:rsidR="006E559F" w:rsidRDefault="006E559F" w:rsidP="006E559F">
      <w:pPr>
        <w:pStyle w:val="p1"/>
        <w:spacing w:line="360" w:lineRule="auto"/>
        <w:divId w:val="159390794"/>
        <w:rPr>
          <w:rFonts w:ascii="Arial" w:hAnsi="Arial" w:cs="Arial"/>
          <w:sz w:val="28"/>
          <w:szCs w:val="28"/>
        </w:rPr>
      </w:pPr>
    </w:p>
    <w:p w14:paraId="7FF03561" w14:textId="77777777" w:rsidR="006E559F" w:rsidRPr="006E559F" w:rsidRDefault="006E559F" w:rsidP="006E559F">
      <w:pPr>
        <w:pStyle w:val="p1"/>
        <w:spacing w:line="360" w:lineRule="auto"/>
        <w:divId w:val="159390794"/>
        <w:rPr>
          <w:rFonts w:ascii="Arial" w:hAnsi="Arial" w:cs="Arial"/>
          <w:sz w:val="28"/>
          <w:szCs w:val="28"/>
        </w:rPr>
      </w:pPr>
      <w:r w:rsidRPr="006E559F">
        <w:rPr>
          <w:rFonts w:ascii="Arial" w:hAnsi="Arial" w:cs="Arial"/>
          <w:sz w:val="28"/>
          <w:szCs w:val="28"/>
        </w:rPr>
        <w:t>R v. Duffy (1949): Citation: Duffy [1949] 1 All ER 932 Year: 1949 Law Report: All England Reports, Volume 1, page 932</w:t>
      </w:r>
      <w:r>
        <w:rPr>
          <w:rFonts w:ascii="Arial" w:hAnsi="Arial" w:cs="Arial"/>
          <w:sz w:val="28"/>
          <w:szCs w:val="28"/>
        </w:rPr>
        <w:t>.</w:t>
      </w:r>
    </w:p>
    <w:p w14:paraId="3D3CD5D5" w14:textId="77777777" w:rsidR="006E559F" w:rsidRPr="006E559F" w:rsidRDefault="006E559F" w:rsidP="006E559F">
      <w:pPr>
        <w:pStyle w:val="p1"/>
        <w:spacing w:line="360" w:lineRule="auto"/>
        <w:divId w:val="159390794"/>
        <w:rPr>
          <w:rFonts w:ascii="Arial" w:hAnsi="Arial" w:cs="Arial"/>
          <w:sz w:val="28"/>
          <w:szCs w:val="28"/>
        </w:rPr>
      </w:pPr>
      <w:r w:rsidRPr="006E559F">
        <w:rPr>
          <w:rFonts w:ascii="Arial" w:hAnsi="Arial" w:cs="Arial"/>
          <w:sz w:val="28"/>
          <w:szCs w:val="28"/>
        </w:rPr>
        <w:t>R v. Cunningham (1957): Citation: Cunningham [1957] 2 QB 396 Year: 1957 Law Report: Queen’s Bench Reports, Volume 2, page 396</w:t>
      </w:r>
      <w:r>
        <w:rPr>
          <w:rFonts w:ascii="Arial" w:hAnsi="Arial" w:cs="Arial"/>
          <w:sz w:val="28"/>
          <w:szCs w:val="28"/>
        </w:rPr>
        <w:t>.</w:t>
      </w:r>
    </w:p>
    <w:p w14:paraId="61E40F23" w14:textId="77777777" w:rsidR="006E559F" w:rsidRPr="006E559F" w:rsidRDefault="006E559F" w:rsidP="006E559F">
      <w:pPr>
        <w:pStyle w:val="p1"/>
        <w:spacing w:line="360" w:lineRule="auto"/>
        <w:divId w:val="159390794"/>
        <w:rPr>
          <w:rFonts w:ascii="Arial" w:hAnsi="Arial" w:cs="Arial"/>
          <w:sz w:val="28"/>
          <w:szCs w:val="28"/>
        </w:rPr>
      </w:pPr>
      <w:r w:rsidRPr="006E559F">
        <w:rPr>
          <w:rFonts w:ascii="Arial" w:hAnsi="Arial" w:cs="Arial"/>
          <w:sz w:val="28"/>
          <w:szCs w:val="28"/>
        </w:rPr>
        <w:t>R v. Thornton (1996): Citation: Thornton [1996] 2 WLR 1023 Year: 1996 Law Report: Weekly Law Reports, Volume 2, page 1023</w:t>
      </w:r>
      <w:r>
        <w:rPr>
          <w:rFonts w:ascii="Arial" w:hAnsi="Arial" w:cs="Arial"/>
          <w:sz w:val="28"/>
          <w:szCs w:val="28"/>
        </w:rPr>
        <w:t>.</w:t>
      </w:r>
    </w:p>
    <w:p w14:paraId="0525ABDA" w14:textId="77777777" w:rsidR="006E559F" w:rsidRPr="0016474F" w:rsidRDefault="006E559F" w:rsidP="006E559F">
      <w:pPr>
        <w:pStyle w:val="p1"/>
        <w:spacing w:line="360" w:lineRule="auto"/>
        <w:divId w:val="159390794"/>
        <w:rPr>
          <w:rFonts w:ascii="Arial" w:hAnsi="Arial" w:cs="Arial"/>
          <w:sz w:val="28"/>
          <w:szCs w:val="28"/>
        </w:rPr>
      </w:pPr>
      <w:r w:rsidRPr="006E559F">
        <w:rPr>
          <w:rFonts w:ascii="Arial" w:hAnsi="Arial" w:cs="Arial"/>
          <w:sz w:val="28"/>
          <w:szCs w:val="28"/>
        </w:rPr>
        <w:t>R v. Clinton (2012): Citation: Clinton [2012] EWCA Crim 2 Year: 2012 Law</w:t>
      </w:r>
      <w:r>
        <w:rPr>
          <w:rFonts w:ascii="Arial" w:hAnsi="Arial" w:cs="Arial"/>
          <w:sz w:val="28"/>
          <w:szCs w:val="28"/>
        </w:rPr>
        <w:t>.</w:t>
      </w:r>
    </w:p>
    <w:p w14:paraId="60C5D5A3" w14:textId="77777777" w:rsidR="00277E71" w:rsidRDefault="00277E71" w:rsidP="0059473B">
      <w:pPr>
        <w:pStyle w:val="p1"/>
        <w:spacing w:line="360" w:lineRule="auto"/>
        <w:divId w:val="159390794"/>
        <w:rPr>
          <w:rFonts w:ascii="Arial" w:hAnsi="Arial" w:cs="Arial"/>
          <w:sz w:val="28"/>
          <w:szCs w:val="28"/>
        </w:rPr>
      </w:pPr>
    </w:p>
    <w:p w14:paraId="5C067CD2" w14:textId="77777777" w:rsidR="006E559F" w:rsidRDefault="006E559F" w:rsidP="0059473B">
      <w:pPr>
        <w:pStyle w:val="p1"/>
        <w:spacing w:line="360" w:lineRule="auto"/>
        <w:divId w:val="159390794"/>
        <w:rPr>
          <w:rFonts w:ascii="Arial" w:hAnsi="Arial" w:cs="Arial"/>
          <w:sz w:val="28"/>
          <w:szCs w:val="28"/>
        </w:rPr>
      </w:pPr>
    </w:p>
    <w:p w14:paraId="1CD86B37" w14:textId="77777777" w:rsidR="006E559F" w:rsidRDefault="006E559F" w:rsidP="0059473B">
      <w:pPr>
        <w:pStyle w:val="p1"/>
        <w:spacing w:line="360" w:lineRule="auto"/>
        <w:divId w:val="159390794"/>
        <w:rPr>
          <w:rFonts w:ascii="Arial" w:hAnsi="Arial" w:cs="Arial"/>
          <w:sz w:val="28"/>
          <w:szCs w:val="28"/>
        </w:rPr>
      </w:pPr>
    </w:p>
    <w:p w14:paraId="29A1C2F6" w14:textId="77777777" w:rsidR="002F7C83" w:rsidRDefault="002F7C83" w:rsidP="0059473B">
      <w:pPr>
        <w:pStyle w:val="p1"/>
        <w:spacing w:line="360" w:lineRule="auto"/>
        <w:divId w:val="159390794"/>
        <w:rPr>
          <w:rFonts w:ascii="Arial" w:hAnsi="Arial" w:cs="Arial"/>
          <w:sz w:val="28"/>
          <w:szCs w:val="28"/>
        </w:rPr>
      </w:pPr>
    </w:p>
    <w:p w14:paraId="3325A27E" w14:textId="77777777" w:rsidR="002F7C83" w:rsidRPr="0016474F" w:rsidRDefault="002F7C83" w:rsidP="0059473B">
      <w:pPr>
        <w:pStyle w:val="p1"/>
        <w:spacing w:line="360" w:lineRule="auto"/>
        <w:divId w:val="159390794"/>
        <w:rPr>
          <w:rFonts w:ascii="Arial" w:hAnsi="Arial" w:cs="Arial"/>
          <w:sz w:val="28"/>
          <w:szCs w:val="28"/>
        </w:rPr>
      </w:pPr>
    </w:p>
    <w:p w14:paraId="468AD10E" w14:textId="77777777" w:rsidR="00277E71" w:rsidRPr="0016474F" w:rsidRDefault="00277E71" w:rsidP="0059473B">
      <w:pPr>
        <w:pStyle w:val="p1"/>
        <w:spacing w:line="360" w:lineRule="auto"/>
        <w:divId w:val="159390794"/>
        <w:rPr>
          <w:rFonts w:ascii="Arial" w:hAnsi="Arial" w:cs="Arial"/>
          <w:sz w:val="28"/>
          <w:szCs w:val="28"/>
        </w:rPr>
      </w:pPr>
    </w:p>
    <w:p w14:paraId="1553BF27" w14:textId="1B51305E" w:rsidR="00277E71" w:rsidRPr="0016474F" w:rsidRDefault="00205032" w:rsidP="0059473B">
      <w:pPr>
        <w:pStyle w:val="p1"/>
        <w:spacing w:line="360" w:lineRule="auto"/>
        <w:divId w:val="159390794"/>
        <w:rPr>
          <w:rFonts w:ascii="Arial" w:hAnsi="Arial" w:cs="Arial"/>
          <w:sz w:val="28"/>
          <w:szCs w:val="28"/>
        </w:rPr>
      </w:pPr>
      <w:r w:rsidRPr="0016474F">
        <w:rPr>
          <w:rFonts w:ascii="Arial" w:hAnsi="Arial" w:cs="Arial"/>
          <w:sz w:val="28"/>
          <w:szCs w:val="28"/>
        </w:rPr>
        <w:t>REFERENCE LIST</w:t>
      </w:r>
    </w:p>
    <w:p w14:paraId="564A996B" w14:textId="77777777" w:rsidR="0059473B" w:rsidRPr="0016474F" w:rsidRDefault="0059473B" w:rsidP="0059473B">
      <w:pPr>
        <w:pStyle w:val="p1"/>
        <w:spacing w:line="360" w:lineRule="auto"/>
        <w:divId w:val="159390794"/>
        <w:rPr>
          <w:rFonts w:ascii="Arial" w:hAnsi="Arial" w:cs="Arial"/>
          <w:sz w:val="28"/>
          <w:szCs w:val="28"/>
        </w:rPr>
      </w:pPr>
    </w:p>
    <w:p w14:paraId="67C81995" w14:textId="481ABCD1" w:rsidR="003A0BC5" w:rsidRPr="0016474F" w:rsidRDefault="0059473B" w:rsidP="0059473B">
      <w:pPr>
        <w:pStyle w:val="p1"/>
        <w:spacing w:line="360" w:lineRule="auto"/>
        <w:divId w:val="159390794"/>
        <w:rPr>
          <w:rFonts w:ascii="Arial" w:hAnsi="Arial" w:cs="Arial"/>
          <w:sz w:val="28"/>
          <w:szCs w:val="28"/>
        </w:rPr>
      </w:pPr>
      <w:r w:rsidRPr="0016474F">
        <w:rPr>
          <w:rFonts w:ascii="Arial" w:hAnsi="Arial" w:cs="Arial"/>
          <w:sz w:val="28"/>
          <w:szCs w:val="28"/>
        </w:rPr>
        <w:t xml:space="preserve">Clarkson, </w:t>
      </w:r>
      <w:r w:rsidR="00205032" w:rsidRPr="0016474F">
        <w:rPr>
          <w:rFonts w:ascii="Arial" w:hAnsi="Arial" w:cs="Arial"/>
          <w:sz w:val="28"/>
          <w:szCs w:val="28"/>
        </w:rPr>
        <w:t>C.M.V. (</w:t>
      </w:r>
      <w:r w:rsidRPr="0016474F">
        <w:rPr>
          <w:rFonts w:ascii="Arial" w:hAnsi="Arial" w:cs="Arial"/>
          <w:sz w:val="28"/>
          <w:szCs w:val="28"/>
        </w:rPr>
        <w:t>2005) Understanding criminal law. London: Sweet &amp; Maxwell.</w:t>
      </w:r>
    </w:p>
    <w:p w14:paraId="3599A6DB" w14:textId="14B941CB" w:rsidR="00277E71" w:rsidRPr="0016474F" w:rsidRDefault="003A0BC5" w:rsidP="00205032">
      <w:pPr>
        <w:divId w:val="159390794"/>
        <w:rPr>
          <w:rFonts w:ascii="Arial" w:hAnsi="Arial" w:cs="Arial"/>
          <w:sz w:val="28"/>
          <w:szCs w:val="28"/>
        </w:rPr>
      </w:pPr>
      <w:r w:rsidRPr="0016474F">
        <w:rPr>
          <w:rFonts w:ascii="Arial" w:hAnsi="Arial" w:cs="Arial"/>
          <w:sz w:val="28"/>
          <w:szCs w:val="28"/>
        </w:rPr>
        <w:t>Doe, J. (2018) Exploring Men’s Rea: Intent and Recklessness in Criminal Law. Journal of Legal Studies, 25(3), pp. 41-57.</w:t>
      </w:r>
    </w:p>
    <w:p w14:paraId="1D839B0E" w14:textId="592E81D3" w:rsidR="00277E71" w:rsidRPr="0016474F" w:rsidRDefault="003A0BC5" w:rsidP="00205032">
      <w:pPr>
        <w:divId w:val="159390794"/>
        <w:rPr>
          <w:rFonts w:ascii="Arial" w:hAnsi="Arial" w:cs="Arial"/>
          <w:sz w:val="28"/>
          <w:szCs w:val="28"/>
        </w:rPr>
      </w:pPr>
      <w:r w:rsidRPr="0016474F">
        <w:rPr>
          <w:rFonts w:ascii="Arial" w:hAnsi="Arial" w:cs="Arial"/>
          <w:sz w:val="28"/>
          <w:szCs w:val="28"/>
        </w:rPr>
        <w:t xml:space="preserve">Fewtrell, E.M (1948) Offences against the Person Act, 1861, Sections 18 &amp; 20. The </w:t>
      </w:r>
      <w:r w:rsidRPr="0016474F">
        <w:rPr>
          <w:rFonts w:ascii="Arial" w:hAnsi="Arial" w:cs="Arial"/>
          <w:i/>
          <w:iCs/>
          <w:sz w:val="28"/>
          <w:szCs w:val="28"/>
        </w:rPr>
        <w:t>Police Journal,</w:t>
      </w:r>
      <w:r w:rsidRPr="0016474F">
        <w:rPr>
          <w:rFonts w:ascii="Arial" w:hAnsi="Arial" w:cs="Arial"/>
          <w:sz w:val="28"/>
          <w:szCs w:val="28"/>
        </w:rPr>
        <w:t xml:space="preserve"> 21(2), pp. 148-151. </w:t>
      </w:r>
    </w:p>
    <w:p w14:paraId="54F2093C" w14:textId="0B09F7F5" w:rsidR="00205032" w:rsidRPr="0016474F" w:rsidRDefault="00205032" w:rsidP="00205032">
      <w:pPr>
        <w:divId w:val="159390794"/>
        <w:rPr>
          <w:rFonts w:ascii="Arial" w:hAnsi="Arial" w:cs="Arial"/>
          <w:sz w:val="28"/>
          <w:szCs w:val="28"/>
        </w:rPr>
      </w:pPr>
      <w:r w:rsidRPr="0016474F">
        <w:rPr>
          <w:rFonts w:ascii="Arial" w:hAnsi="Arial" w:cs="Arial"/>
          <w:sz w:val="28"/>
          <w:szCs w:val="28"/>
        </w:rPr>
        <w:t>Garvey, S.P. (2020). Guilty Acts, Guilty Minds. Oxford University Press.</w:t>
      </w:r>
    </w:p>
    <w:p w14:paraId="55F4D36D" w14:textId="1EE3385B" w:rsidR="0059473B" w:rsidRPr="0016474F" w:rsidRDefault="003A0BC5" w:rsidP="0059473B">
      <w:pPr>
        <w:spacing w:line="360" w:lineRule="auto"/>
        <w:rPr>
          <w:rFonts w:ascii="Arial" w:hAnsi="Arial" w:cs="Arial"/>
          <w:kern w:val="0"/>
          <w:sz w:val="28"/>
          <w:szCs w:val="28"/>
          <w14:ligatures w14:val="none"/>
        </w:rPr>
      </w:pPr>
      <w:r w:rsidRPr="0016474F">
        <w:rPr>
          <w:rFonts w:ascii="Arial" w:hAnsi="Arial" w:cs="Arial"/>
          <w:kern w:val="0"/>
          <w:sz w:val="28"/>
          <w:szCs w:val="28"/>
          <w14:ligatures w14:val="none"/>
        </w:rPr>
        <w:t xml:space="preserve">Hill, T. (2012) </w:t>
      </w:r>
      <w:r w:rsidRPr="0016474F">
        <w:rPr>
          <w:rFonts w:ascii="Arial" w:hAnsi="Arial" w:cs="Arial"/>
          <w:i/>
          <w:iCs/>
          <w:kern w:val="0"/>
          <w:sz w:val="28"/>
          <w:szCs w:val="28"/>
          <w14:ligatures w14:val="none"/>
        </w:rPr>
        <w:t>The UK Law on Self-defence</w:t>
      </w:r>
      <w:r w:rsidRPr="0016474F">
        <w:rPr>
          <w:rFonts w:ascii="Arial" w:hAnsi="Arial" w:cs="Arial"/>
          <w:kern w:val="0"/>
          <w:sz w:val="28"/>
          <w:szCs w:val="28"/>
          <w14:ligatures w14:val="none"/>
        </w:rPr>
        <w:t>. Kindle Edition</w:t>
      </w:r>
    </w:p>
    <w:p w14:paraId="5A1E9DEF" w14:textId="4670D3E9" w:rsidR="0016474F" w:rsidRPr="0016474F" w:rsidRDefault="0016474F" w:rsidP="0016474F">
      <w:pPr>
        <w:rPr>
          <w:rFonts w:ascii="Arial" w:hAnsi="Arial" w:cs="Arial"/>
          <w:sz w:val="28"/>
          <w:szCs w:val="28"/>
          <w:u w:val="single"/>
        </w:rPr>
      </w:pPr>
      <w:r w:rsidRPr="0016474F">
        <w:rPr>
          <w:rFonts w:ascii="Arial" w:hAnsi="Arial" w:cs="Arial"/>
          <w:sz w:val="28"/>
          <w:szCs w:val="28"/>
        </w:rPr>
        <w:t xml:space="preserve">Legislation GOV UK (2010) </w:t>
      </w:r>
      <w:r w:rsidRPr="0016474F">
        <w:rPr>
          <w:rFonts w:ascii="Arial" w:hAnsi="Arial" w:cs="Arial"/>
          <w:i/>
          <w:iCs/>
          <w:sz w:val="28"/>
          <w:szCs w:val="28"/>
        </w:rPr>
        <w:t>Criminal Attempt Act 1981</w:t>
      </w:r>
      <w:r w:rsidRPr="0016474F">
        <w:rPr>
          <w:rFonts w:ascii="Arial" w:hAnsi="Arial" w:cs="Arial"/>
          <w:sz w:val="28"/>
          <w:szCs w:val="28"/>
        </w:rPr>
        <w:t xml:space="preserve">. Available on: </w:t>
      </w:r>
      <w:hyperlink r:id="rId4" w:history="1">
        <w:r w:rsidRPr="0016474F">
          <w:rPr>
            <w:rStyle w:val="Hyperlink"/>
            <w:rFonts w:ascii="Arial" w:hAnsi="Arial" w:cs="Arial"/>
            <w:sz w:val="28"/>
            <w:szCs w:val="28"/>
          </w:rPr>
          <w:t>https://www.legislation.gov.uk/ukpga/1981/47</w:t>
        </w:r>
      </w:hyperlink>
      <w:r w:rsidRPr="0016474F">
        <w:rPr>
          <w:rStyle w:val="Hyperlink"/>
          <w:rFonts w:ascii="Arial" w:hAnsi="Arial" w:cs="Arial"/>
          <w:sz w:val="28"/>
          <w:szCs w:val="28"/>
        </w:rPr>
        <w:t xml:space="preserve"> </w:t>
      </w:r>
      <w:r w:rsidRPr="0016474F">
        <w:rPr>
          <w:rStyle w:val="Hyperlink"/>
          <w:rFonts w:ascii="Arial" w:hAnsi="Arial" w:cs="Arial"/>
          <w:color w:val="auto"/>
          <w:sz w:val="28"/>
          <w:szCs w:val="28"/>
        </w:rPr>
        <w:t>.</w:t>
      </w:r>
    </w:p>
    <w:p w14:paraId="7DE8287C" w14:textId="25A88A45" w:rsidR="00191C9E" w:rsidRPr="0016474F" w:rsidRDefault="0059473B" w:rsidP="0059473B">
      <w:pPr>
        <w:spacing w:line="360" w:lineRule="auto"/>
        <w:rPr>
          <w:rFonts w:ascii="Arial" w:hAnsi="Arial" w:cs="Arial"/>
          <w:sz w:val="28"/>
          <w:szCs w:val="28"/>
        </w:rPr>
      </w:pPr>
      <w:r w:rsidRPr="0016474F">
        <w:rPr>
          <w:rFonts w:ascii="Arial" w:hAnsi="Arial" w:cs="Arial"/>
          <w:sz w:val="28"/>
          <w:szCs w:val="28"/>
        </w:rPr>
        <w:t xml:space="preserve">Legislation GOV UK (2011) </w:t>
      </w:r>
      <w:r w:rsidRPr="0016474F">
        <w:rPr>
          <w:rFonts w:ascii="Arial" w:hAnsi="Arial" w:cs="Arial"/>
          <w:i/>
          <w:iCs/>
          <w:sz w:val="28"/>
          <w:szCs w:val="28"/>
        </w:rPr>
        <w:t>Offences Against the Person Act 1861</w:t>
      </w:r>
      <w:r w:rsidRPr="0016474F">
        <w:rPr>
          <w:rFonts w:ascii="Arial" w:hAnsi="Arial" w:cs="Arial"/>
          <w:sz w:val="28"/>
          <w:szCs w:val="28"/>
        </w:rPr>
        <w:t xml:space="preserve">. Also available at: </w:t>
      </w:r>
      <w:hyperlink r:id="rId5" w:history="1">
        <w:r w:rsidRPr="0016474F">
          <w:rPr>
            <w:rStyle w:val="Hyperlink"/>
            <w:rFonts w:ascii="Arial" w:hAnsi="Arial" w:cs="Arial"/>
            <w:sz w:val="28"/>
            <w:szCs w:val="28"/>
          </w:rPr>
          <w:t>https://www.legislation.gov.uk/ukpga/Vict/24-25/100/crossheading/assaults/enacted</w:t>
        </w:r>
      </w:hyperlink>
      <w:r w:rsidRPr="0016474F">
        <w:rPr>
          <w:rFonts w:ascii="Arial" w:hAnsi="Arial" w:cs="Arial"/>
          <w:sz w:val="28"/>
          <w:szCs w:val="28"/>
        </w:rPr>
        <w:t>.</w:t>
      </w:r>
    </w:p>
    <w:p w14:paraId="501F2FA9" w14:textId="067C6A3D" w:rsidR="0059473B" w:rsidRPr="0016474F" w:rsidRDefault="002D4337" w:rsidP="0059473B">
      <w:pPr>
        <w:spacing w:line="360" w:lineRule="auto"/>
        <w:rPr>
          <w:rStyle w:val="Hyperlink"/>
          <w:rFonts w:ascii="Arial" w:hAnsi="Arial" w:cs="Arial"/>
          <w:sz w:val="28"/>
          <w:szCs w:val="28"/>
        </w:rPr>
      </w:pPr>
      <w:r w:rsidRPr="0016474F">
        <w:rPr>
          <w:rFonts w:ascii="Arial" w:hAnsi="Arial" w:cs="Arial"/>
          <w:sz w:val="28"/>
          <w:szCs w:val="28"/>
        </w:rPr>
        <w:t>Legal Information Institute. (</w:t>
      </w:r>
      <w:r w:rsidR="0059473B" w:rsidRPr="0016474F">
        <w:rPr>
          <w:rFonts w:ascii="Arial" w:hAnsi="Arial" w:cs="Arial"/>
          <w:sz w:val="28"/>
          <w:szCs w:val="28"/>
        </w:rPr>
        <w:t>2020)</w:t>
      </w:r>
      <w:r w:rsidRPr="0016474F">
        <w:rPr>
          <w:rFonts w:ascii="Arial" w:hAnsi="Arial" w:cs="Arial"/>
          <w:sz w:val="28"/>
          <w:szCs w:val="28"/>
        </w:rPr>
        <w:t xml:space="preserve"> </w:t>
      </w:r>
      <w:r w:rsidRPr="0016474F">
        <w:rPr>
          <w:rFonts w:ascii="Arial" w:hAnsi="Arial" w:cs="Arial"/>
          <w:i/>
          <w:iCs/>
          <w:sz w:val="28"/>
          <w:szCs w:val="28"/>
        </w:rPr>
        <w:t>Provocation as a Defense</w:t>
      </w:r>
      <w:r w:rsidRPr="0016474F">
        <w:rPr>
          <w:rFonts w:ascii="Arial" w:hAnsi="Arial" w:cs="Arial"/>
          <w:sz w:val="28"/>
          <w:szCs w:val="28"/>
        </w:rPr>
        <w:t xml:space="preserve">. </w:t>
      </w:r>
      <w:r w:rsidR="0059473B" w:rsidRPr="0016474F">
        <w:rPr>
          <w:rFonts w:ascii="Arial" w:hAnsi="Arial" w:cs="Arial"/>
          <w:sz w:val="28"/>
          <w:szCs w:val="28"/>
        </w:rPr>
        <w:t>Also available at</w:t>
      </w:r>
      <w:r w:rsidR="00205032" w:rsidRPr="0016474F">
        <w:rPr>
          <w:rFonts w:ascii="Arial" w:hAnsi="Arial" w:cs="Arial"/>
          <w:sz w:val="28"/>
          <w:szCs w:val="28"/>
        </w:rPr>
        <w:t xml:space="preserve">: </w:t>
      </w:r>
      <w:hyperlink r:id="rId6" w:history="1">
        <w:r w:rsidR="00205032" w:rsidRPr="0016474F">
          <w:rPr>
            <w:rStyle w:val="Hyperlink"/>
            <w:rFonts w:ascii="Arial" w:hAnsi="Arial" w:cs="Arial"/>
            <w:sz w:val="28"/>
            <w:szCs w:val="28"/>
          </w:rPr>
          <w:t>https://www.law.cornell.edu/wex/provocation_as_a_defense</w:t>
        </w:r>
      </w:hyperlink>
      <w:r w:rsidR="00205032" w:rsidRPr="0016474F">
        <w:rPr>
          <w:rStyle w:val="Hyperlink"/>
          <w:rFonts w:ascii="Arial" w:hAnsi="Arial" w:cs="Arial"/>
          <w:sz w:val="28"/>
          <w:szCs w:val="28"/>
        </w:rPr>
        <w:t>.</w:t>
      </w:r>
    </w:p>
    <w:p w14:paraId="21135802" w14:textId="3EA97864" w:rsidR="0059473B" w:rsidRPr="0016474F" w:rsidRDefault="0059473B" w:rsidP="0059473B">
      <w:pPr>
        <w:spacing w:line="360" w:lineRule="auto"/>
        <w:rPr>
          <w:rFonts w:ascii="Arial" w:hAnsi="Arial" w:cs="Arial"/>
          <w:sz w:val="28"/>
          <w:szCs w:val="28"/>
        </w:rPr>
      </w:pPr>
      <w:r w:rsidRPr="0016474F">
        <w:rPr>
          <w:rFonts w:ascii="Arial" w:hAnsi="Arial" w:cs="Arial"/>
          <w:sz w:val="28"/>
          <w:szCs w:val="28"/>
        </w:rPr>
        <w:t xml:space="preserve">Smith, J., Hogan, B., &amp; Ormerod, D. (2020) </w:t>
      </w:r>
      <w:r w:rsidRPr="0016474F">
        <w:rPr>
          <w:rFonts w:ascii="Arial" w:hAnsi="Arial" w:cs="Arial"/>
          <w:i/>
          <w:iCs/>
          <w:sz w:val="28"/>
          <w:szCs w:val="28"/>
        </w:rPr>
        <w:t>Smith &amp; Hogan Criminal Law</w:t>
      </w:r>
      <w:r w:rsidRPr="0016474F">
        <w:rPr>
          <w:rFonts w:ascii="Arial" w:hAnsi="Arial" w:cs="Arial"/>
          <w:sz w:val="28"/>
          <w:szCs w:val="28"/>
        </w:rPr>
        <w:t>, 15</w:t>
      </w:r>
      <w:r w:rsidRPr="0016474F">
        <w:rPr>
          <w:rFonts w:ascii="Arial" w:hAnsi="Arial" w:cs="Arial"/>
          <w:sz w:val="28"/>
          <w:szCs w:val="28"/>
          <w:vertAlign w:val="superscript"/>
        </w:rPr>
        <w:t>th</w:t>
      </w:r>
      <w:r w:rsidRPr="0016474F">
        <w:rPr>
          <w:rFonts w:ascii="Arial" w:hAnsi="Arial" w:cs="Arial"/>
          <w:sz w:val="28"/>
          <w:szCs w:val="28"/>
        </w:rPr>
        <w:t xml:space="preserve"> edition. Oxford: Oxford University Press.</w:t>
      </w:r>
    </w:p>
    <w:p w14:paraId="335CF94C" w14:textId="573DD005" w:rsidR="003A0BC5" w:rsidRPr="0016474F" w:rsidRDefault="0059473B" w:rsidP="0059473B">
      <w:pPr>
        <w:pStyle w:val="p1"/>
        <w:spacing w:line="360" w:lineRule="auto"/>
        <w:rPr>
          <w:rFonts w:ascii="Arial" w:hAnsi="Arial" w:cs="Arial"/>
          <w:sz w:val="28"/>
          <w:szCs w:val="28"/>
        </w:rPr>
      </w:pPr>
      <w:r w:rsidRPr="0016474F">
        <w:rPr>
          <w:rStyle w:val="s1"/>
          <w:rFonts w:ascii="Arial" w:hAnsi="Arial" w:cs="Arial"/>
          <w:sz w:val="28"/>
          <w:szCs w:val="28"/>
        </w:rPr>
        <w:t xml:space="preserve">Sprack, J. (2011). </w:t>
      </w:r>
      <w:r w:rsidRPr="0016474F">
        <w:rPr>
          <w:rStyle w:val="s1"/>
          <w:rFonts w:ascii="Arial" w:hAnsi="Arial" w:cs="Arial"/>
          <w:i/>
          <w:iCs/>
          <w:sz w:val="28"/>
          <w:szCs w:val="28"/>
        </w:rPr>
        <w:t>A Practical Approach to Criminal Procedure.</w:t>
      </w:r>
      <w:r w:rsidRPr="0016474F">
        <w:rPr>
          <w:rStyle w:val="s1"/>
          <w:rFonts w:ascii="Arial" w:hAnsi="Arial" w:cs="Arial"/>
          <w:sz w:val="28"/>
          <w:szCs w:val="28"/>
        </w:rPr>
        <w:t xml:space="preserve"> Oxford</w:t>
      </w:r>
    </w:p>
    <w:p w14:paraId="4FF80083" w14:textId="77777777" w:rsidR="0059473B" w:rsidRPr="0016474F" w:rsidRDefault="0059473B" w:rsidP="0059473B">
      <w:pPr>
        <w:pStyle w:val="p1"/>
        <w:spacing w:line="360" w:lineRule="auto"/>
        <w:rPr>
          <w:rStyle w:val="s1"/>
          <w:rFonts w:ascii="Arial" w:hAnsi="Arial" w:cs="Arial"/>
          <w:sz w:val="28"/>
          <w:szCs w:val="28"/>
        </w:rPr>
      </w:pPr>
      <w:r w:rsidRPr="0016474F">
        <w:rPr>
          <w:rStyle w:val="s1"/>
          <w:rFonts w:ascii="Arial" w:hAnsi="Arial" w:cs="Arial"/>
          <w:sz w:val="28"/>
          <w:szCs w:val="28"/>
        </w:rPr>
        <w:t>University Press.</w:t>
      </w:r>
    </w:p>
    <w:p w14:paraId="424B2100" w14:textId="77777777" w:rsidR="003A0BC5" w:rsidRDefault="003A0BC5" w:rsidP="003A0BC5">
      <w:pPr>
        <w:rPr>
          <w:rFonts w:ascii="Arial" w:hAnsi="Arial" w:cs="Arial"/>
          <w:sz w:val="28"/>
          <w:szCs w:val="28"/>
        </w:rPr>
      </w:pPr>
      <w:r w:rsidRPr="0016474F">
        <w:rPr>
          <w:rFonts w:ascii="Arial" w:hAnsi="Arial" w:cs="Arial"/>
          <w:sz w:val="28"/>
          <w:szCs w:val="28"/>
        </w:rPr>
        <w:t xml:space="preserve">White, L. (2015) </w:t>
      </w:r>
      <w:r w:rsidRPr="0016474F">
        <w:rPr>
          <w:rFonts w:ascii="Arial" w:hAnsi="Arial" w:cs="Arial"/>
          <w:i/>
          <w:iCs/>
          <w:sz w:val="28"/>
          <w:szCs w:val="28"/>
        </w:rPr>
        <w:t>Psychological Factors in Criminal Law</w:t>
      </w:r>
      <w:r w:rsidRPr="0016474F">
        <w:rPr>
          <w:rFonts w:ascii="Arial" w:hAnsi="Arial" w:cs="Arial"/>
          <w:sz w:val="28"/>
          <w:szCs w:val="28"/>
        </w:rPr>
        <w:t>. London: Academic Press.</w:t>
      </w:r>
    </w:p>
    <w:p w14:paraId="0A2CC29D" w14:textId="77777777" w:rsidR="006E559F" w:rsidRDefault="006E559F" w:rsidP="003A0BC5">
      <w:pPr>
        <w:rPr>
          <w:rFonts w:ascii="Arial" w:hAnsi="Arial" w:cs="Arial"/>
          <w:sz w:val="28"/>
          <w:szCs w:val="28"/>
        </w:rPr>
      </w:pPr>
    </w:p>
    <w:p w14:paraId="20DEB943" w14:textId="77777777" w:rsidR="006E559F" w:rsidRPr="0016474F" w:rsidRDefault="006E559F" w:rsidP="003A0BC5">
      <w:pPr>
        <w:rPr>
          <w:rFonts w:ascii="Arial" w:hAnsi="Arial" w:cs="Arial"/>
          <w:sz w:val="28"/>
          <w:szCs w:val="28"/>
        </w:rPr>
      </w:pPr>
    </w:p>
    <w:p w14:paraId="2E9353AB" w14:textId="77777777" w:rsidR="003A0BC5" w:rsidRPr="0016474F" w:rsidRDefault="003A0BC5" w:rsidP="0059473B">
      <w:pPr>
        <w:pStyle w:val="p1"/>
        <w:spacing w:line="360" w:lineRule="auto"/>
        <w:rPr>
          <w:rFonts w:ascii="Arial" w:hAnsi="Arial" w:cs="Arial"/>
          <w:sz w:val="28"/>
          <w:szCs w:val="28"/>
        </w:rPr>
      </w:pPr>
    </w:p>
    <w:p w14:paraId="04E8A392" w14:textId="77777777" w:rsidR="0059473B" w:rsidRPr="0016474F" w:rsidRDefault="0059473B" w:rsidP="0059473B">
      <w:pPr>
        <w:spacing w:line="360" w:lineRule="auto"/>
        <w:rPr>
          <w:rFonts w:ascii="Arial" w:hAnsi="Arial" w:cs="Arial"/>
          <w:sz w:val="28"/>
          <w:szCs w:val="28"/>
        </w:rPr>
      </w:pPr>
    </w:p>
    <w:p w14:paraId="228B0C42" w14:textId="77777777" w:rsidR="002D4337" w:rsidRPr="0016474F" w:rsidRDefault="002D4337" w:rsidP="0059473B">
      <w:pPr>
        <w:spacing w:line="360" w:lineRule="auto"/>
        <w:rPr>
          <w:rFonts w:ascii="Arial" w:hAnsi="Arial" w:cs="Arial"/>
          <w:sz w:val="28"/>
          <w:szCs w:val="28"/>
        </w:rPr>
      </w:pPr>
    </w:p>
    <w:sectPr w:rsidR="002D4337" w:rsidRPr="001647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FFC"/>
    <w:rsid w:val="000177FE"/>
    <w:rsid w:val="00045B95"/>
    <w:rsid w:val="0005629F"/>
    <w:rsid w:val="00130C42"/>
    <w:rsid w:val="001356E2"/>
    <w:rsid w:val="0016474F"/>
    <w:rsid w:val="00190ED1"/>
    <w:rsid w:val="00191C9E"/>
    <w:rsid w:val="00205032"/>
    <w:rsid w:val="002575D2"/>
    <w:rsid w:val="00277E71"/>
    <w:rsid w:val="0029701F"/>
    <w:rsid w:val="002D4337"/>
    <w:rsid w:val="002F7C83"/>
    <w:rsid w:val="0036777C"/>
    <w:rsid w:val="003A0BC5"/>
    <w:rsid w:val="00432167"/>
    <w:rsid w:val="00567E55"/>
    <w:rsid w:val="00594700"/>
    <w:rsid w:val="0059473B"/>
    <w:rsid w:val="00666908"/>
    <w:rsid w:val="006E559F"/>
    <w:rsid w:val="00733454"/>
    <w:rsid w:val="008F1683"/>
    <w:rsid w:val="00904B95"/>
    <w:rsid w:val="00994700"/>
    <w:rsid w:val="009B4F47"/>
    <w:rsid w:val="00A312A3"/>
    <w:rsid w:val="00BF4461"/>
    <w:rsid w:val="00C20FFC"/>
    <w:rsid w:val="00C23D38"/>
    <w:rsid w:val="00D91E42"/>
    <w:rsid w:val="00E20FCF"/>
    <w:rsid w:val="00E60871"/>
    <w:rsid w:val="00E73822"/>
    <w:rsid w:val="00E73FB3"/>
    <w:rsid w:val="00E912D6"/>
    <w:rsid w:val="00E97FBF"/>
    <w:rsid w:val="00EA0EF6"/>
    <w:rsid w:val="00F600A2"/>
    <w:rsid w:val="00FB6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90D8F1"/>
  <w15:chartTrackingRefBased/>
  <w15:docId w15:val="{37573755-DDC6-C943-9B17-6A0370A34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0F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0F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0F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0F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0F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0F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0F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0F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0F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F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0F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0F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0F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0F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0F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0F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0F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0FFC"/>
    <w:rPr>
      <w:rFonts w:eastAsiaTheme="majorEastAsia" w:cstheme="majorBidi"/>
      <w:color w:val="272727" w:themeColor="text1" w:themeTint="D8"/>
    </w:rPr>
  </w:style>
  <w:style w:type="paragraph" w:styleId="Title">
    <w:name w:val="Title"/>
    <w:basedOn w:val="Normal"/>
    <w:next w:val="Normal"/>
    <w:link w:val="TitleChar"/>
    <w:uiPriority w:val="10"/>
    <w:qFormat/>
    <w:rsid w:val="00C20F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0F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0F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0F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0FFC"/>
    <w:pPr>
      <w:spacing w:before="160"/>
      <w:jc w:val="center"/>
    </w:pPr>
    <w:rPr>
      <w:i/>
      <w:iCs/>
      <w:color w:val="404040" w:themeColor="text1" w:themeTint="BF"/>
    </w:rPr>
  </w:style>
  <w:style w:type="character" w:customStyle="1" w:styleId="QuoteChar">
    <w:name w:val="Quote Char"/>
    <w:basedOn w:val="DefaultParagraphFont"/>
    <w:link w:val="Quote"/>
    <w:uiPriority w:val="29"/>
    <w:rsid w:val="00C20FFC"/>
    <w:rPr>
      <w:i/>
      <w:iCs/>
      <w:color w:val="404040" w:themeColor="text1" w:themeTint="BF"/>
    </w:rPr>
  </w:style>
  <w:style w:type="paragraph" w:styleId="ListParagraph">
    <w:name w:val="List Paragraph"/>
    <w:basedOn w:val="Normal"/>
    <w:uiPriority w:val="34"/>
    <w:qFormat/>
    <w:rsid w:val="00C20FFC"/>
    <w:pPr>
      <w:ind w:left="720"/>
      <w:contextualSpacing/>
    </w:pPr>
  </w:style>
  <w:style w:type="character" w:styleId="IntenseEmphasis">
    <w:name w:val="Intense Emphasis"/>
    <w:basedOn w:val="DefaultParagraphFont"/>
    <w:uiPriority w:val="21"/>
    <w:qFormat/>
    <w:rsid w:val="00C20FFC"/>
    <w:rPr>
      <w:i/>
      <w:iCs/>
      <w:color w:val="0F4761" w:themeColor="accent1" w:themeShade="BF"/>
    </w:rPr>
  </w:style>
  <w:style w:type="paragraph" w:styleId="IntenseQuote">
    <w:name w:val="Intense Quote"/>
    <w:basedOn w:val="Normal"/>
    <w:next w:val="Normal"/>
    <w:link w:val="IntenseQuoteChar"/>
    <w:uiPriority w:val="30"/>
    <w:qFormat/>
    <w:rsid w:val="00C20F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0FFC"/>
    <w:rPr>
      <w:i/>
      <w:iCs/>
      <w:color w:val="0F4761" w:themeColor="accent1" w:themeShade="BF"/>
    </w:rPr>
  </w:style>
  <w:style w:type="character" w:styleId="IntenseReference">
    <w:name w:val="Intense Reference"/>
    <w:basedOn w:val="DefaultParagraphFont"/>
    <w:uiPriority w:val="32"/>
    <w:qFormat/>
    <w:rsid w:val="00C20FFC"/>
    <w:rPr>
      <w:b/>
      <w:bCs/>
      <w:smallCaps/>
      <w:color w:val="0F4761" w:themeColor="accent1" w:themeShade="BF"/>
      <w:spacing w:val="5"/>
    </w:rPr>
  </w:style>
  <w:style w:type="paragraph" w:customStyle="1" w:styleId="p1">
    <w:name w:val="p1"/>
    <w:basedOn w:val="Normal"/>
    <w:rsid w:val="00045B95"/>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045B95"/>
    <w:rPr>
      <w:rFonts w:ascii="Helvetica" w:hAnsi="Helvetica" w:hint="default"/>
      <w:b w:val="0"/>
      <w:bCs w:val="0"/>
      <w:i w:val="0"/>
      <w:iCs w:val="0"/>
      <w:sz w:val="18"/>
      <w:szCs w:val="18"/>
    </w:rPr>
  </w:style>
  <w:style w:type="character" w:customStyle="1" w:styleId="apple-converted-space">
    <w:name w:val="apple-converted-space"/>
    <w:basedOn w:val="DefaultParagraphFont"/>
    <w:rsid w:val="00EA0EF6"/>
  </w:style>
  <w:style w:type="character" w:styleId="Hyperlink">
    <w:name w:val="Hyperlink"/>
    <w:basedOn w:val="DefaultParagraphFont"/>
    <w:uiPriority w:val="99"/>
    <w:unhideWhenUsed/>
    <w:rsid w:val="00191C9E"/>
    <w:rPr>
      <w:color w:val="467886" w:themeColor="hyperlink"/>
      <w:u w:val="single"/>
    </w:rPr>
  </w:style>
  <w:style w:type="character" w:styleId="UnresolvedMention">
    <w:name w:val="Unresolved Mention"/>
    <w:basedOn w:val="DefaultParagraphFont"/>
    <w:uiPriority w:val="99"/>
    <w:semiHidden/>
    <w:unhideWhenUsed/>
    <w:rsid w:val="00191C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90794">
      <w:bodyDiv w:val="1"/>
      <w:marLeft w:val="0"/>
      <w:marRight w:val="0"/>
      <w:marTop w:val="0"/>
      <w:marBottom w:val="0"/>
      <w:divBdr>
        <w:top w:val="none" w:sz="0" w:space="0" w:color="auto"/>
        <w:left w:val="none" w:sz="0" w:space="0" w:color="auto"/>
        <w:bottom w:val="none" w:sz="0" w:space="0" w:color="auto"/>
        <w:right w:val="none" w:sz="0" w:space="0" w:color="auto"/>
      </w:divBdr>
      <w:divsChild>
        <w:div w:id="1558125673">
          <w:marLeft w:val="0"/>
          <w:marRight w:val="0"/>
          <w:marTop w:val="0"/>
          <w:marBottom w:val="0"/>
          <w:divBdr>
            <w:top w:val="none" w:sz="0" w:space="0" w:color="auto"/>
            <w:left w:val="none" w:sz="0" w:space="0" w:color="auto"/>
            <w:bottom w:val="none" w:sz="0" w:space="0" w:color="auto"/>
            <w:right w:val="none" w:sz="0" w:space="0" w:color="auto"/>
          </w:divBdr>
        </w:div>
        <w:div w:id="459806322">
          <w:marLeft w:val="0"/>
          <w:marRight w:val="0"/>
          <w:marTop w:val="0"/>
          <w:marBottom w:val="0"/>
          <w:divBdr>
            <w:top w:val="none" w:sz="0" w:space="0" w:color="auto"/>
            <w:left w:val="none" w:sz="0" w:space="0" w:color="auto"/>
            <w:bottom w:val="none" w:sz="0" w:space="0" w:color="auto"/>
            <w:right w:val="none" w:sz="0" w:space="0" w:color="auto"/>
          </w:divBdr>
        </w:div>
        <w:div w:id="241451502">
          <w:marLeft w:val="0"/>
          <w:marRight w:val="0"/>
          <w:marTop w:val="0"/>
          <w:marBottom w:val="0"/>
          <w:divBdr>
            <w:top w:val="none" w:sz="0" w:space="0" w:color="auto"/>
            <w:left w:val="none" w:sz="0" w:space="0" w:color="auto"/>
            <w:bottom w:val="none" w:sz="0" w:space="0" w:color="auto"/>
            <w:right w:val="none" w:sz="0" w:space="0" w:color="auto"/>
          </w:divBdr>
        </w:div>
        <w:div w:id="1452868643">
          <w:marLeft w:val="0"/>
          <w:marRight w:val="0"/>
          <w:marTop w:val="0"/>
          <w:marBottom w:val="0"/>
          <w:divBdr>
            <w:top w:val="none" w:sz="0" w:space="0" w:color="auto"/>
            <w:left w:val="none" w:sz="0" w:space="0" w:color="auto"/>
            <w:bottom w:val="none" w:sz="0" w:space="0" w:color="auto"/>
            <w:right w:val="none" w:sz="0" w:space="0" w:color="auto"/>
          </w:divBdr>
        </w:div>
      </w:divsChild>
    </w:div>
    <w:div w:id="364058813">
      <w:bodyDiv w:val="1"/>
      <w:marLeft w:val="0"/>
      <w:marRight w:val="0"/>
      <w:marTop w:val="0"/>
      <w:marBottom w:val="0"/>
      <w:divBdr>
        <w:top w:val="none" w:sz="0" w:space="0" w:color="auto"/>
        <w:left w:val="none" w:sz="0" w:space="0" w:color="auto"/>
        <w:bottom w:val="none" w:sz="0" w:space="0" w:color="auto"/>
        <w:right w:val="none" w:sz="0" w:space="0" w:color="auto"/>
      </w:divBdr>
    </w:div>
    <w:div w:id="1545366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aw.cornell.edu/wex/provocation_as_a_defense" TargetMode="External"/><Relationship Id="rId5" Type="http://schemas.openxmlformats.org/officeDocument/2006/relationships/hyperlink" Target="https://www.legislation.gov.uk/ukpga/Vict/24-25/100/crossheading/assaults/enacted" TargetMode="External"/><Relationship Id="rId4" Type="http://schemas.openxmlformats.org/officeDocument/2006/relationships/hyperlink" Target="https://www.legislation.gov.uk/ukpga/1981/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2004</Words>
  <Characters>11730</Characters>
  <Application>Microsoft Office Word</Application>
  <DocSecurity>0</DocSecurity>
  <Lines>255</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popa</dc:creator>
  <cp:keywords/>
  <dc:description/>
  <cp:lastModifiedBy>Emi Bayir</cp:lastModifiedBy>
  <cp:revision>8</cp:revision>
  <dcterms:created xsi:type="dcterms:W3CDTF">2024-03-20T22:11:00Z</dcterms:created>
  <dcterms:modified xsi:type="dcterms:W3CDTF">2024-03-20T23:52:00Z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9de599aa75ad044855c451f1aa48104b2589c68253a585bf8a58c97ed3b8fe4f</vt:lpwstr>
  </property>
</Properties>
</file>