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8EDD3" w14:textId="77777777" w:rsidR="007B002A" w:rsidRDefault="007B002A" w:rsidP="007B002A">
      <w:pPr>
        <w:spacing w:line="360" w:lineRule="auto"/>
        <w:jc w:val="both"/>
        <w:rPr>
          <w:rFonts w:ascii="Arial" w:hAnsi="Arial" w:cs="Arial"/>
        </w:rPr>
      </w:pPr>
    </w:p>
    <w:p w14:paraId="6B489370" w14:textId="77777777" w:rsidR="007B002A" w:rsidRDefault="007B002A" w:rsidP="007B002A">
      <w:pPr>
        <w:spacing w:line="360" w:lineRule="auto"/>
        <w:jc w:val="both"/>
      </w:pPr>
      <w:r>
        <w:rPr>
          <w:rFonts w:ascii="Arial" w:hAnsi="Arial" w:cs="Arial"/>
          <w:b/>
          <w:bCs/>
          <w:noProof/>
        </w:rPr>
        <w:drawing>
          <wp:anchor distT="0" distB="0" distL="114300" distR="114300" simplePos="0" relativeHeight="251659264" behindDoc="0" locked="0" layoutInCell="1" allowOverlap="1" wp14:anchorId="742394FE" wp14:editId="1417BD67">
            <wp:simplePos x="0" y="0"/>
            <wp:positionH relativeFrom="column">
              <wp:align>left</wp:align>
            </wp:positionH>
            <wp:positionV relativeFrom="paragraph">
              <wp:align>top</wp:align>
            </wp:positionV>
            <wp:extent cx="2209803" cy="742950"/>
            <wp:effectExtent l="0" t="0" r="0" b="0"/>
            <wp:wrapSquare wrapText="bothSides"/>
            <wp:docPr id="930578656"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09803" cy="742950"/>
                    </a:xfrm>
                    <a:prstGeom prst="rect">
                      <a:avLst/>
                    </a:prstGeom>
                    <a:noFill/>
                    <a:ln>
                      <a:noFill/>
                      <a:prstDash/>
                    </a:ln>
                  </pic:spPr>
                </pic:pic>
              </a:graphicData>
            </a:graphic>
          </wp:anchor>
        </w:drawing>
      </w:r>
      <w:r>
        <w:rPr>
          <w:rFonts w:ascii="Arial" w:hAnsi="Arial" w:cs="Arial"/>
        </w:rPr>
        <w:br/>
      </w:r>
    </w:p>
    <w:p w14:paraId="5A4D1D15" w14:textId="77777777" w:rsidR="007B002A" w:rsidRDefault="007B002A" w:rsidP="007B002A">
      <w:pPr>
        <w:spacing w:line="360" w:lineRule="auto"/>
        <w:jc w:val="both"/>
        <w:rPr>
          <w:rFonts w:ascii="Arial" w:hAnsi="Arial" w:cs="Arial"/>
        </w:rPr>
      </w:pPr>
    </w:p>
    <w:p w14:paraId="5B618FF6" w14:textId="77777777" w:rsidR="007B002A" w:rsidRDefault="007B002A" w:rsidP="007B002A">
      <w:pPr>
        <w:spacing w:line="360" w:lineRule="auto"/>
        <w:rPr>
          <w:rFonts w:ascii="Arial" w:hAnsi="Arial" w:cs="Arial"/>
          <w:sz w:val="22"/>
          <w:szCs w:val="22"/>
        </w:rPr>
      </w:pPr>
      <w:r>
        <w:rPr>
          <w:rFonts w:ascii="Arial" w:hAnsi="Arial" w:cs="Arial"/>
          <w:sz w:val="22"/>
          <w:szCs w:val="22"/>
        </w:rPr>
        <w:t>Applied Leadership and Management in the Workplace</w:t>
      </w:r>
      <w:r>
        <w:rPr>
          <w:rFonts w:ascii="Arial" w:hAnsi="Arial" w:cs="Arial"/>
          <w:sz w:val="22"/>
          <w:szCs w:val="22"/>
        </w:rPr>
        <w:br/>
        <w:t xml:space="preserve">Module Assignment Submission </w:t>
      </w:r>
      <w:r>
        <w:rPr>
          <w:rFonts w:ascii="Arial" w:hAnsi="Arial" w:cs="Arial"/>
          <w:sz w:val="22"/>
          <w:szCs w:val="22"/>
        </w:rPr>
        <w:br/>
      </w:r>
      <w:r>
        <w:rPr>
          <w:rFonts w:ascii="Arial" w:hAnsi="Arial" w:cs="Arial"/>
          <w:sz w:val="22"/>
          <w:szCs w:val="22"/>
        </w:rPr>
        <w:br/>
      </w:r>
    </w:p>
    <w:tbl>
      <w:tblPr>
        <w:tblW w:w="8784" w:type="dxa"/>
        <w:tblCellMar>
          <w:left w:w="10" w:type="dxa"/>
          <w:right w:w="10" w:type="dxa"/>
        </w:tblCellMar>
        <w:tblLook w:val="04A0" w:firstRow="1" w:lastRow="0" w:firstColumn="1" w:lastColumn="0" w:noHBand="0" w:noVBand="1"/>
      </w:tblPr>
      <w:tblGrid>
        <w:gridCol w:w="2016"/>
        <w:gridCol w:w="6768"/>
      </w:tblGrid>
      <w:tr w:rsidR="007B002A" w14:paraId="3669FA39"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48DCA855" w14:textId="77777777" w:rsidR="007B002A" w:rsidRDefault="007B002A">
            <w:pPr>
              <w:spacing w:line="360" w:lineRule="auto"/>
              <w:jc w:val="both"/>
              <w:rPr>
                <w:rFonts w:ascii="Arial" w:hAnsi="Arial" w:cs="Arial"/>
              </w:rPr>
            </w:pPr>
            <w:r>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432A828" w14:textId="77777777" w:rsidR="007B002A" w:rsidRDefault="007B002A">
            <w:pPr>
              <w:spacing w:line="360" w:lineRule="auto"/>
              <w:jc w:val="both"/>
              <w:rPr>
                <w:rFonts w:ascii="Arial" w:hAnsi="Arial" w:cs="Arial"/>
              </w:rPr>
            </w:pPr>
            <w:r>
              <w:rPr>
                <w:rFonts w:ascii="Arial" w:hAnsi="Arial" w:cs="Arial"/>
              </w:rPr>
              <w:t>Kelly Keefe </w:t>
            </w:r>
          </w:p>
        </w:tc>
      </w:tr>
      <w:tr w:rsidR="007B002A" w14:paraId="71ADEB68"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1AB12192" w14:textId="77777777" w:rsidR="007B002A" w:rsidRDefault="007B002A">
            <w:pPr>
              <w:spacing w:line="360" w:lineRule="auto"/>
              <w:jc w:val="both"/>
              <w:rPr>
                <w:rFonts w:ascii="Arial" w:hAnsi="Arial" w:cs="Arial"/>
              </w:rPr>
            </w:pPr>
            <w:r>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8618EBF" w14:textId="77777777" w:rsidR="007B002A" w:rsidRDefault="007B002A">
            <w:pPr>
              <w:spacing w:line="360" w:lineRule="auto"/>
              <w:jc w:val="both"/>
              <w:rPr>
                <w:rFonts w:ascii="Arial" w:hAnsi="Arial" w:cs="Arial"/>
              </w:rPr>
            </w:pPr>
            <w:r>
              <w:rPr>
                <w:rFonts w:ascii="Arial" w:hAnsi="Arial" w:cs="Arial"/>
              </w:rPr>
              <w:t>2318120</w:t>
            </w:r>
          </w:p>
        </w:tc>
      </w:tr>
      <w:tr w:rsidR="007B002A" w14:paraId="26C916D0"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382CF390" w14:textId="77777777" w:rsidR="007B002A" w:rsidRDefault="007B002A">
            <w:pPr>
              <w:spacing w:line="360" w:lineRule="auto"/>
              <w:jc w:val="both"/>
              <w:rPr>
                <w:rFonts w:ascii="Arial" w:hAnsi="Arial" w:cs="Arial"/>
              </w:rPr>
            </w:pPr>
            <w:r>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F889BAD" w14:textId="0EAD6263" w:rsidR="007B002A" w:rsidRDefault="007B002A">
            <w:pPr>
              <w:spacing w:line="360" w:lineRule="auto"/>
              <w:jc w:val="both"/>
              <w:rPr>
                <w:rFonts w:ascii="Arial" w:hAnsi="Arial" w:cs="Arial"/>
              </w:rPr>
            </w:pPr>
            <w:r>
              <w:rPr>
                <w:rFonts w:ascii="Arial" w:hAnsi="Arial" w:cs="Arial"/>
              </w:rPr>
              <w:t>BMSK5009</w:t>
            </w:r>
          </w:p>
        </w:tc>
      </w:tr>
      <w:tr w:rsidR="007B002A" w14:paraId="0294DB15" w14:textId="77777777">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B7CF0AC" w14:textId="77777777" w:rsidR="007B002A" w:rsidRDefault="007B002A">
            <w:pPr>
              <w:spacing w:line="360" w:lineRule="auto"/>
              <w:jc w:val="both"/>
              <w:rPr>
                <w:rFonts w:ascii="Arial" w:hAnsi="Arial" w:cs="Arial"/>
              </w:rPr>
            </w:pPr>
            <w:r>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329B86C" w14:textId="1D49D6E0" w:rsidR="007B002A" w:rsidRDefault="007B002A">
            <w:pPr>
              <w:spacing w:line="360" w:lineRule="auto"/>
              <w:jc w:val="both"/>
              <w:rPr>
                <w:rFonts w:ascii="Arial" w:hAnsi="Arial" w:cs="Arial"/>
              </w:rPr>
            </w:pPr>
            <w:r>
              <w:rPr>
                <w:rFonts w:ascii="Arial" w:hAnsi="Arial" w:cs="Arial"/>
                <w:b/>
                <w:color w:val="000000"/>
              </w:rPr>
              <w:t>Developing a High-Performance Culture</w:t>
            </w:r>
          </w:p>
        </w:tc>
      </w:tr>
    </w:tbl>
    <w:p w14:paraId="23A571EC" w14:textId="77777777" w:rsidR="007B002A" w:rsidRDefault="007B002A" w:rsidP="007B002A">
      <w:pPr>
        <w:spacing w:line="360" w:lineRule="auto"/>
        <w:jc w:val="both"/>
        <w:rPr>
          <w:rFonts w:ascii="Arial" w:hAnsi="Arial" w:cs="Arial"/>
        </w:rPr>
      </w:pPr>
    </w:p>
    <w:p w14:paraId="1D10348B" w14:textId="77777777" w:rsidR="007B002A" w:rsidRDefault="007B002A" w:rsidP="007B002A">
      <w:pPr>
        <w:spacing w:line="360" w:lineRule="auto"/>
        <w:jc w:val="both"/>
      </w:pPr>
      <w:r>
        <w:rPr>
          <w:rFonts w:ascii="Arial" w:hAnsi="Arial" w:cs="Arial"/>
          <w:b/>
          <w:bCs/>
        </w:rPr>
        <w:t>Statement of Confirmation of Authenticity</w:t>
      </w:r>
    </w:p>
    <w:p w14:paraId="11BC7FC2" w14:textId="77777777" w:rsidR="007B002A" w:rsidRDefault="007B002A" w:rsidP="007B002A">
      <w:pPr>
        <w:spacing w:line="360" w:lineRule="auto"/>
        <w:jc w:val="both"/>
        <w:rPr>
          <w:rFonts w:ascii="Arial" w:hAnsi="Arial" w:cs="Arial"/>
          <w:sz w:val="22"/>
          <w:szCs w:val="22"/>
        </w:rPr>
      </w:pPr>
      <w:r>
        <w:rPr>
          <w:rFonts w:ascii="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77DDEFE" w14:textId="77777777" w:rsidR="007B002A" w:rsidRDefault="007B002A" w:rsidP="007B002A">
      <w:pPr>
        <w:spacing w:line="360" w:lineRule="auto"/>
        <w:jc w:val="both"/>
        <w:rPr>
          <w:rFonts w:ascii="Arial" w:hAnsi="Arial" w:cs="Arial"/>
          <w:sz w:val="22"/>
          <w:szCs w:val="22"/>
        </w:rPr>
      </w:pPr>
      <w:r>
        <w:rPr>
          <w:rFonts w:ascii="Arial" w:hAnsi="Arial" w:cs="Arial"/>
          <w:sz w:val="22"/>
          <w:szCs w:val="22"/>
        </w:rPr>
        <w:t>Attention is drawn to the plagiarism and unfair practice policies of both the University and of ILM.</w:t>
      </w:r>
    </w:p>
    <w:p w14:paraId="71B6B4CA" w14:textId="02E05B84" w:rsidR="007B002A" w:rsidRDefault="007B002A" w:rsidP="007B002A">
      <w:r>
        <w:rPr>
          <w:rFonts w:ascii="Arial" w:hAnsi="Arial" w:cs="Arial"/>
        </w:rPr>
        <w:br/>
      </w:r>
    </w:p>
    <w:p w14:paraId="3E206FC2" w14:textId="77777777" w:rsidR="007B002A" w:rsidRDefault="007B002A" w:rsidP="007B002A"/>
    <w:p w14:paraId="3B27EAB9" w14:textId="77777777" w:rsidR="007B002A" w:rsidRDefault="007B002A" w:rsidP="007B002A"/>
    <w:p w14:paraId="7B9D62B9" w14:textId="77777777" w:rsidR="007B002A" w:rsidRDefault="007B002A" w:rsidP="007B002A"/>
    <w:p w14:paraId="60330CF2" w14:textId="77777777" w:rsidR="007B002A" w:rsidRDefault="007B002A" w:rsidP="007B002A"/>
    <w:sdt>
      <w:sdtPr>
        <w:rPr>
          <w:rFonts w:ascii="Aptos" w:eastAsia="Aptos" w:hAnsi="Aptos" w:cs="Times New Roman"/>
          <w:color w:val="auto"/>
          <w:kern w:val="3"/>
          <w:sz w:val="24"/>
          <w:szCs w:val="24"/>
          <w:lang w:val="en-GB"/>
        </w:rPr>
        <w:id w:val="-1171177902"/>
        <w:docPartObj>
          <w:docPartGallery w:val="Table of Contents"/>
          <w:docPartUnique/>
        </w:docPartObj>
      </w:sdtPr>
      <w:sdtEndPr>
        <w:rPr>
          <w:b/>
          <w:bCs/>
          <w:noProof/>
        </w:rPr>
      </w:sdtEndPr>
      <w:sdtContent>
        <w:p w14:paraId="58D2A6B7" w14:textId="70E0047B" w:rsidR="00BA2D87" w:rsidRDefault="00BA2D87">
          <w:pPr>
            <w:pStyle w:val="TOCHeading"/>
          </w:pPr>
          <w:r>
            <w:t>Table of Contents</w:t>
          </w:r>
        </w:p>
        <w:p w14:paraId="6E7AF29A" w14:textId="37AE7CEB" w:rsidR="00BA2D87" w:rsidRDefault="00BA2D87">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13332601" w:history="1">
            <w:r w:rsidRPr="00814A8B">
              <w:rPr>
                <w:rStyle w:val="Hyperlink"/>
                <w:noProof/>
              </w:rPr>
              <w:t>Developing a High-Performance Culture</w:t>
            </w:r>
            <w:r>
              <w:rPr>
                <w:noProof/>
                <w:webHidden/>
              </w:rPr>
              <w:tab/>
            </w:r>
            <w:r>
              <w:rPr>
                <w:noProof/>
                <w:webHidden/>
              </w:rPr>
              <w:fldChar w:fldCharType="begin"/>
            </w:r>
            <w:r>
              <w:rPr>
                <w:noProof/>
                <w:webHidden/>
              </w:rPr>
              <w:instrText xml:space="preserve"> PAGEREF _Toc213332601 \h </w:instrText>
            </w:r>
            <w:r>
              <w:rPr>
                <w:noProof/>
                <w:webHidden/>
              </w:rPr>
            </w:r>
            <w:r>
              <w:rPr>
                <w:noProof/>
                <w:webHidden/>
              </w:rPr>
              <w:fldChar w:fldCharType="separate"/>
            </w:r>
            <w:r>
              <w:rPr>
                <w:noProof/>
                <w:webHidden/>
              </w:rPr>
              <w:t>3</w:t>
            </w:r>
            <w:r>
              <w:rPr>
                <w:noProof/>
                <w:webHidden/>
              </w:rPr>
              <w:fldChar w:fldCharType="end"/>
            </w:r>
          </w:hyperlink>
        </w:p>
        <w:p w14:paraId="7DB9EE42" w14:textId="2CE143AD" w:rsidR="00BA2D87" w:rsidRDefault="00BA2D87">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3332602" w:history="1">
            <w:r w:rsidRPr="00814A8B">
              <w:rPr>
                <w:rStyle w:val="Hyperlink"/>
                <w:noProof/>
              </w:rPr>
              <w:t>1.</w:t>
            </w:r>
            <w:r>
              <w:rPr>
                <w:rFonts w:asciiTheme="minorHAnsi" w:eastAsiaTheme="minorEastAsia" w:hAnsiTheme="minorHAnsi" w:cstheme="minorBidi"/>
                <w:noProof/>
                <w:kern w:val="2"/>
                <w:lang w:eastAsia="en-GB"/>
                <w14:ligatures w14:val="standardContextual"/>
              </w:rPr>
              <w:tab/>
            </w:r>
            <w:r w:rsidRPr="00814A8B">
              <w:rPr>
                <w:rStyle w:val="Hyperlink"/>
                <w:noProof/>
              </w:rPr>
              <w:t>Executive Summary</w:t>
            </w:r>
            <w:r>
              <w:rPr>
                <w:noProof/>
                <w:webHidden/>
              </w:rPr>
              <w:tab/>
            </w:r>
            <w:r>
              <w:rPr>
                <w:noProof/>
                <w:webHidden/>
              </w:rPr>
              <w:fldChar w:fldCharType="begin"/>
            </w:r>
            <w:r>
              <w:rPr>
                <w:noProof/>
                <w:webHidden/>
              </w:rPr>
              <w:instrText xml:space="preserve"> PAGEREF _Toc213332602 \h </w:instrText>
            </w:r>
            <w:r>
              <w:rPr>
                <w:noProof/>
                <w:webHidden/>
              </w:rPr>
            </w:r>
            <w:r>
              <w:rPr>
                <w:noProof/>
                <w:webHidden/>
              </w:rPr>
              <w:fldChar w:fldCharType="separate"/>
            </w:r>
            <w:r>
              <w:rPr>
                <w:noProof/>
                <w:webHidden/>
              </w:rPr>
              <w:t>3</w:t>
            </w:r>
            <w:r>
              <w:rPr>
                <w:noProof/>
                <w:webHidden/>
              </w:rPr>
              <w:fldChar w:fldCharType="end"/>
            </w:r>
          </w:hyperlink>
        </w:p>
        <w:p w14:paraId="60F664F8" w14:textId="41186491" w:rsidR="00BA2D87" w:rsidRDefault="00BA2D87">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3332603" w:history="1">
            <w:r w:rsidRPr="00814A8B">
              <w:rPr>
                <w:rStyle w:val="Hyperlink"/>
                <w:noProof/>
              </w:rPr>
              <w:t>2.</w:t>
            </w:r>
            <w:r>
              <w:rPr>
                <w:rFonts w:asciiTheme="minorHAnsi" w:eastAsiaTheme="minorEastAsia" w:hAnsiTheme="minorHAnsi" w:cstheme="minorBidi"/>
                <w:noProof/>
                <w:kern w:val="2"/>
                <w:lang w:eastAsia="en-GB"/>
                <w14:ligatures w14:val="standardContextual"/>
              </w:rPr>
              <w:tab/>
            </w:r>
            <w:r w:rsidRPr="00814A8B">
              <w:rPr>
                <w:rStyle w:val="Hyperlink"/>
                <w:noProof/>
              </w:rPr>
              <w:t>Introduction</w:t>
            </w:r>
            <w:r>
              <w:rPr>
                <w:noProof/>
                <w:webHidden/>
              </w:rPr>
              <w:tab/>
            </w:r>
            <w:r>
              <w:rPr>
                <w:noProof/>
                <w:webHidden/>
              </w:rPr>
              <w:fldChar w:fldCharType="begin"/>
            </w:r>
            <w:r>
              <w:rPr>
                <w:noProof/>
                <w:webHidden/>
              </w:rPr>
              <w:instrText xml:space="preserve"> PAGEREF _Toc213332603 \h </w:instrText>
            </w:r>
            <w:r>
              <w:rPr>
                <w:noProof/>
                <w:webHidden/>
              </w:rPr>
            </w:r>
            <w:r>
              <w:rPr>
                <w:noProof/>
                <w:webHidden/>
              </w:rPr>
              <w:fldChar w:fldCharType="separate"/>
            </w:r>
            <w:r>
              <w:rPr>
                <w:noProof/>
                <w:webHidden/>
              </w:rPr>
              <w:t>3</w:t>
            </w:r>
            <w:r>
              <w:rPr>
                <w:noProof/>
                <w:webHidden/>
              </w:rPr>
              <w:fldChar w:fldCharType="end"/>
            </w:r>
          </w:hyperlink>
        </w:p>
        <w:p w14:paraId="678C55D5" w14:textId="5421306C" w:rsidR="00BA2D87" w:rsidRDefault="00BA2D8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32604" w:history="1">
            <w:r w:rsidRPr="00814A8B">
              <w:rPr>
                <w:rStyle w:val="Hyperlink"/>
                <w:noProof/>
              </w:rPr>
              <w:t>3.  Assessing the Culture and Context of the Aesthetic Salon</w:t>
            </w:r>
            <w:r>
              <w:rPr>
                <w:noProof/>
                <w:webHidden/>
              </w:rPr>
              <w:tab/>
            </w:r>
            <w:r>
              <w:rPr>
                <w:noProof/>
                <w:webHidden/>
              </w:rPr>
              <w:fldChar w:fldCharType="begin"/>
            </w:r>
            <w:r>
              <w:rPr>
                <w:noProof/>
                <w:webHidden/>
              </w:rPr>
              <w:instrText xml:space="preserve"> PAGEREF _Toc213332604 \h </w:instrText>
            </w:r>
            <w:r>
              <w:rPr>
                <w:noProof/>
                <w:webHidden/>
              </w:rPr>
            </w:r>
            <w:r>
              <w:rPr>
                <w:noProof/>
                <w:webHidden/>
              </w:rPr>
              <w:fldChar w:fldCharType="separate"/>
            </w:r>
            <w:r>
              <w:rPr>
                <w:noProof/>
                <w:webHidden/>
              </w:rPr>
              <w:t>4</w:t>
            </w:r>
            <w:r>
              <w:rPr>
                <w:noProof/>
                <w:webHidden/>
              </w:rPr>
              <w:fldChar w:fldCharType="end"/>
            </w:r>
          </w:hyperlink>
        </w:p>
        <w:p w14:paraId="0DC5C11F" w14:textId="26789126"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05" w:history="1">
            <w:r w:rsidRPr="00814A8B">
              <w:rPr>
                <w:rStyle w:val="Hyperlink"/>
                <w:noProof/>
              </w:rPr>
              <w:t>3.1 Organisational Context</w:t>
            </w:r>
            <w:r>
              <w:rPr>
                <w:noProof/>
                <w:webHidden/>
              </w:rPr>
              <w:tab/>
            </w:r>
            <w:r>
              <w:rPr>
                <w:noProof/>
                <w:webHidden/>
              </w:rPr>
              <w:fldChar w:fldCharType="begin"/>
            </w:r>
            <w:r>
              <w:rPr>
                <w:noProof/>
                <w:webHidden/>
              </w:rPr>
              <w:instrText xml:space="preserve"> PAGEREF _Toc213332605 \h </w:instrText>
            </w:r>
            <w:r>
              <w:rPr>
                <w:noProof/>
                <w:webHidden/>
              </w:rPr>
            </w:r>
            <w:r>
              <w:rPr>
                <w:noProof/>
                <w:webHidden/>
              </w:rPr>
              <w:fldChar w:fldCharType="separate"/>
            </w:r>
            <w:r>
              <w:rPr>
                <w:noProof/>
                <w:webHidden/>
              </w:rPr>
              <w:t>4</w:t>
            </w:r>
            <w:r>
              <w:rPr>
                <w:noProof/>
                <w:webHidden/>
              </w:rPr>
              <w:fldChar w:fldCharType="end"/>
            </w:r>
          </w:hyperlink>
        </w:p>
        <w:p w14:paraId="768E7596" w14:textId="14EAE9C4"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06" w:history="1">
            <w:r w:rsidRPr="00814A8B">
              <w:rPr>
                <w:rStyle w:val="Hyperlink"/>
                <w:noProof/>
              </w:rPr>
              <w:t>3.2 Organisational Culture</w:t>
            </w:r>
            <w:r>
              <w:rPr>
                <w:noProof/>
                <w:webHidden/>
              </w:rPr>
              <w:tab/>
            </w:r>
            <w:r>
              <w:rPr>
                <w:noProof/>
                <w:webHidden/>
              </w:rPr>
              <w:fldChar w:fldCharType="begin"/>
            </w:r>
            <w:r>
              <w:rPr>
                <w:noProof/>
                <w:webHidden/>
              </w:rPr>
              <w:instrText xml:space="preserve"> PAGEREF _Toc213332606 \h </w:instrText>
            </w:r>
            <w:r>
              <w:rPr>
                <w:noProof/>
                <w:webHidden/>
              </w:rPr>
            </w:r>
            <w:r>
              <w:rPr>
                <w:noProof/>
                <w:webHidden/>
              </w:rPr>
              <w:fldChar w:fldCharType="separate"/>
            </w:r>
            <w:r>
              <w:rPr>
                <w:noProof/>
                <w:webHidden/>
              </w:rPr>
              <w:t>5</w:t>
            </w:r>
            <w:r>
              <w:rPr>
                <w:noProof/>
                <w:webHidden/>
              </w:rPr>
              <w:fldChar w:fldCharType="end"/>
            </w:r>
          </w:hyperlink>
        </w:p>
        <w:p w14:paraId="5241E597" w14:textId="6D79B2E0"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07" w:history="1">
            <w:r w:rsidRPr="00814A8B">
              <w:rPr>
                <w:rStyle w:val="Hyperlink"/>
                <w:noProof/>
              </w:rPr>
              <w:t>3.3 Contextual Influence</w:t>
            </w:r>
            <w:r>
              <w:rPr>
                <w:noProof/>
                <w:webHidden/>
              </w:rPr>
              <w:tab/>
            </w:r>
            <w:r>
              <w:rPr>
                <w:noProof/>
                <w:webHidden/>
              </w:rPr>
              <w:fldChar w:fldCharType="begin"/>
            </w:r>
            <w:r>
              <w:rPr>
                <w:noProof/>
                <w:webHidden/>
              </w:rPr>
              <w:instrText xml:space="preserve"> PAGEREF _Toc213332607 \h </w:instrText>
            </w:r>
            <w:r>
              <w:rPr>
                <w:noProof/>
                <w:webHidden/>
              </w:rPr>
            </w:r>
            <w:r>
              <w:rPr>
                <w:noProof/>
                <w:webHidden/>
              </w:rPr>
              <w:fldChar w:fldCharType="separate"/>
            </w:r>
            <w:r>
              <w:rPr>
                <w:noProof/>
                <w:webHidden/>
              </w:rPr>
              <w:t>6</w:t>
            </w:r>
            <w:r>
              <w:rPr>
                <w:noProof/>
                <w:webHidden/>
              </w:rPr>
              <w:fldChar w:fldCharType="end"/>
            </w:r>
          </w:hyperlink>
        </w:p>
        <w:p w14:paraId="4511B37D" w14:textId="7D45C8A2"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08" w:history="1">
            <w:r w:rsidRPr="00814A8B">
              <w:rPr>
                <w:rStyle w:val="Hyperlink"/>
                <w:noProof/>
              </w:rPr>
              <w:t>3.4 Critical Assessment</w:t>
            </w:r>
            <w:r>
              <w:rPr>
                <w:noProof/>
                <w:webHidden/>
              </w:rPr>
              <w:tab/>
            </w:r>
            <w:r>
              <w:rPr>
                <w:noProof/>
                <w:webHidden/>
              </w:rPr>
              <w:fldChar w:fldCharType="begin"/>
            </w:r>
            <w:r>
              <w:rPr>
                <w:noProof/>
                <w:webHidden/>
              </w:rPr>
              <w:instrText xml:space="preserve"> PAGEREF _Toc213332608 \h </w:instrText>
            </w:r>
            <w:r>
              <w:rPr>
                <w:noProof/>
                <w:webHidden/>
              </w:rPr>
            </w:r>
            <w:r>
              <w:rPr>
                <w:noProof/>
                <w:webHidden/>
              </w:rPr>
              <w:fldChar w:fldCharType="separate"/>
            </w:r>
            <w:r>
              <w:rPr>
                <w:noProof/>
                <w:webHidden/>
              </w:rPr>
              <w:t>6</w:t>
            </w:r>
            <w:r>
              <w:rPr>
                <w:noProof/>
                <w:webHidden/>
              </w:rPr>
              <w:fldChar w:fldCharType="end"/>
            </w:r>
          </w:hyperlink>
        </w:p>
        <w:p w14:paraId="531F8FE3" w14:textId="17D8065F" w:rsidR="00BA2D87" w:rsidRDefault="00BA2D8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32609" w:history="1">
            <w:r w:rsidRPr="00814A8B">
              <w:rPr>
                <w:rStyle w:val="Hyperlink"/>
                <w:noProof/>
              </w:rPr>
              <w:t>4. Evaluation on the Aesthetic Salon and the environment</w:t>
            </w:r>
            <w:r>
              <w:rPr>
                <w:noProof/>
                <w:webHidden/>
              </w:rPr>
              <w:tab/>
            </w:r>
            <w:r>
              <w:rPr>
                <w:noProof/>
                <w:webHidden/>
              </w:rPr>
              <w:fldChar w:fldCharType="begin"/>
            </w:r>
            <w:r>
              <w:rPr>
                <w:noProof/>
                <w:webHidden/>
              </w:rPr>
              <w:instrText xml:space="preserve"> PAGEREF _Toc213332609 \h </w:instrText>
            </w:r>
            <w:r>
              <w:rPr>
                <w:noProof/>
                <w:webHidden/>
              </w:rPr>
            </w:r>
            <w:r>
              <w:rPr>
                <w:noProof/>
                <w:webHidden/>
              </w:rPr>
              <w:fldChar w:fldCharType="separate"/>
            </w:r>
            <w:r>
              <w:rPr>
                <w:noProof/>
                <w:webHidden/>
              </w:rPr>
              <w:t>9</w:t>
            </w:r>
            <w:r>
              <w:rPr>
                <w:noProof/>
                <w:webHidden/>
              </w:rPr>
              <w:fldChar w:fldCharType="end"/>
            </w:r>
          </w:hyperlink>
        </w:p>
        <w:p w14:paraId="7CDFCA42" w14:textId="24017341"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0" w:history="1">
            <w:r w:rsidRPr="00814A8B">
              <w:rPr>
                <w:rStyle w:val="Hyperlink"/>
                <w:noProof/>
              </w:rPr>
              <w:t>4.1 Introduction to Environmental Evaluation</w:t>
            </w:r>
            <w:r>
              <w:rPr>
                <w:noProof/>
                <w:webHidden/>
              </w:rPr>
              <w:tab/>
            </w:r>
            <w:r>
              <w:rPr>
                <w:noProof/>
                <w:webHidden/>
              </w:rPr>
              <w:fldChar w:fldCharType="begin"/>
            </w:r>
            <w:r>
              <w:rPr>
                <w:noProof/>
                <w:webHidden/>
              </w:rPr>
              <w:instrText xml:space="preserve"> PAGEREF _Toc213332610 \h </w:instrText>
            </w:r>
            <w:r>
              <w:rPr>
                <w:noProof/>
                <w:webHidden/>
              </w:rPr>
            </w:r>
            <w:r>
              <w:rPr>
                <w:noProof/>
                <w:webHidden/>
              </w:rPr>
              <w:fldChar w:fldCharType="separate"/>
            </w:r>
            <w:r>
              <w:rPr>
                <w:noProof/>
                <w:webHidden/>
              </w:rPr>
              <w:t>9</w:t>
            </w:r>
            <w:r>
              <w:rPr>
                <w:noProof/>
                <w:webHidden/>
              </w:rPr>
              <w:fldChar w:fldCharType="end"/>
            </w:r>
          </w:hyperlink>
        </w:p>
        <w:p w14:paraId="305F3B2A" w14:textId="6E7174B6"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1" w:history="1">
            <w:r w:rsidRPr="00814A8B">
              <w:rPr>
                <w:rStyle w:val="Hyperlink"/>
                <w:noProof/>
              </w:rPr>
              <w:t>4.2 PESTEL Analysis</w:t>
            </w:r>
            <w:r>
              <w:rPr>
                <w:noProof/>
                <w:webHidden/>
              </w:rPr>
              <w:tab/>
            </w:r>
            <w:r>
              <w:rPr>
                <w:noProof/>
                <w:webHidden/>
              </w:rPr>
              <w:fldChar w:fldCharType="begin"/>
            </w:r>
            <w:r>
              <w:rPr>
                <w:noProof/>
                <w:webHidden/>
              </w:rPr>
              <w:instrText xml:space="preserve"> PAGEREF _Toc213332611 \h </w:instrText>
            </w:r>
            <w:r>
              <w:rPr>
                <w:noProof/>
                <w:webHidden/>
              </w:rPr>
            </w:r>
            <w:r>
              <w:rPr>
                <w:noProof/>
                <w:webHidden/>
              </w:rPr>
              <w:fldChar w:fldCharType="separate"/>
            </w:r>
            <w:r>
              <w:rPr>
                <w:noProof/>
                <w:webHidden/>
              </w:rPr>
              <w:t>9</w:t>
            </w:r>
            <w:r>
              <w:rPr>
                <w:noProof/>
                <w:webHidden/>
              </w:rPr>
              <w:fldChar w:fldCharType="end"/>
            </w:r>
          </w:hyperlink>
        </w:p>
        <w:p w14:paraId="506D9765" w14:textId="74FF89C3"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2" w:history="1">
            <w:r w:rsidRPr="00814A8B">
              <w:rPr>
                <w:rStyle w:val="Hyperlink"/>
                <w:noProof/>
              </w:rPr>
              <w:t>4.3 SWOT synthesis</w:t>
            </w:r>
            <w:r>
              <w:rPr>
                <w:noProof/>
                <w:webHidden/>
              </w:rPr>
              <w:tab/>
            </w:r>
            <w:r>
              <w:rPr>
                <w:noProof/>
                <w:webHidden/>
              </w:rPr>
              <w:fldChar w:fldCharType="begin"/>
            </w:r>
            <w:r>
              <w:rPr>
                <w:noProof/>
                <w:webHidden/>
              </w:rPr>
              <w:instrText xml:space="preserve"> PAGEREF _Toc213332612 \h </w:instrText>
            </w:r>
            <w:r>
              <w:rPr>
                <w:noProof/>
                <w:webHidden/>
              </w:rPr>
            </w:r>
            <w:r>
              <w:rPr>
                <w:noProof/>
                <w:webHidden/>
              </w:rPr>
              <w:fldChar w:fldCharType="separate"/>
            </w:r>
            <w:r>
              <w:rPr>
                <w:noProof/>
                <w:webHidden/>
              </w:rPr>
              <w:t>10</w:t>
            </w:r>
            <w:r>
              <w:rPr>
                <w:noProof/>
                <w:webHidden/>
              </w:rPr>
              <w:fldChar w:fldCharType="end"/>
            </w:r>
          </w:hyperlink>
        </w:p>
        <w:p w14:paraId="1755CF11" w14:textId="791BA3BE"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3" w:history="1">
            <w:r w:rsidRPr="00814A8B">
              <w:rPr>
                <w:rStyle w:val="Hyperlink"/>
                <w:noProof/>
              </w:rPr>
              <w:t>4.4 McKinsey 7S alignment</w:t>
            </w:r>
            <w:r>
              <w:rPr>
                <w:noProof/>
                <w:webHidden/>
              </w:rPr>
              <w:tab/>
            </w:r>
            <w:r>
              <w:rPr>
                <w:noProof/>
                <w:webHidden/>
              </w:rPr>
              <w:fldChar w:fldCharType="begin"/>
            </w:r>
            <w:r>
              <w:rPr>
                <w:noProof/>
                <w:webHidden/>
              </w:rPr>
              <w:instrText xml:space="preserve"> PAGEREF _Toc213332613 \h </w:instrText>
            </w:r>
            <w:r>
              <w:rPr>
                <w:noProof/>
                <w:webHidden/>
              </w:rPr>
            </w:r>
            <w:r>
              <w:rPr>
                <w:noProof/>
                <w:webHidden/>
              </w:rPr>
              <w:fldChar w:fldCharType="separate"/>
            </w:r>
            <w:r>
              <w:rPr>
                <w:noProof/>
                <w:webHidden/>
              </w:rPr>
              <w:t>10</w:t>
            </w:r>
            <w:r>
              <w:rPr>
                <w:noProof/>
                <w:webHidden/>
              </w:rPr>
              <w:fldChar w:fldCharType="end"/>
            </w:r>
          </w:hyperlink>
        </w:p>
        <w:p w14:paraId="51F57CB1" w14:textId="3C5D106F"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4" w:history="1">
            <w:r w:rsidRPr="00814A8B">
              <w:rPr>
                <w:rStyle w:val="Hyperlink"/>
                <w:noProof/>
              </w:rPr>
              <w:t>4.5 Evaluation and Conclusion</w:t>
            </w:r>
            <w:r>
              <w:rPr>
                <w:noProof/>
                <w:webHidden/>
              </w:rPr>
              <w:tab/>
            </w:r>
            <w:r>
              <w:rPr>
                <w:noProof/>
                <w:webHidden/>
              </w:rPr>
              <w:fldChar w:fldCharType="begin"/>
            </w:r>
            <w:r>
              <w:rPr>
                <w:noProof/>
                <w:webHidden/>
              </w:rPr>
              <w:instrText xml:space="preserve"> PAGEREF _Toc213332614 \h </w:instrText>
            </w:r>
            <w:r>
              <w:rPr>
                <w:noProof/>
                <w:webHidden/>
              </w:rPr>
            </w:r>
            <w:r>
              <w:rPr>
                <w:noProof/>
                <w:webHidden/>
              </w:rPr>
              <w:fldChar w:fldCharType="separate"/>
            </w:r>
            <w:r>
              <w:rPr>
                <w:noProof/>
                <w:webHidden/>
              </w:rPr>
              <w:t>11</w:t>
            </w:r>
            <w:r>
              <w:rPr>
                <w:noProof/>
                <w:webHidden/>
              </w:rPr>
              <w:fldChar w:fldCharType="end"/>
            </w:r>
          </w:hyperlink>
        </w:p>
        <w:p w14:paraId="51BD7102" w14:textId="60DBC45D" w:rsidR="00BA2D87" w:rsidRDefault="00BA2D8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32615" w:history="1">
            <w:r w:rsidRPr="00814A8B">
              <w:rPr>
                <w:rStyle w:val="Hyperlink"/>
                <w:noProof/>
              </w:rPr>
              <w:t>5. Critically Appraise Cultural and Ethical Behaviour (600 words)</w:t>
            </w:r>
            <w:r>
              <w:rPr>
                <w:noProof/>
                <w:webHidden/>
              </w:rPr>
              <w:tab/>
            </w:r>
            <w:r>
              <w:rPr>
                <w:noProof/>
                <w:webHidden/>
              </w:rPr>
              <w:fldChar w:fldCharType="begin"/>
            </w:r>
            <w:r>
              <w:rPr>
                <w:noProof/>
                <w:webHidden/>
              </w:rPr>
              <w:instrText xml:space="preserve"> PAGEREF _Toc213332615 \h </w:instrText>
            </w:r>
            <w:r>
              <w:rPr>
                <w:noProof/>
                <w:webHidden/>
              </w:rPr>
            </w:r>
            <w:r>
              <w:rPr>
                <w:noProof/>
                <w:webHidden/>
              </w:rPr>
              <w:fldChar w:fldCharType="separate"/>
            </w:r>
            <w:r>
              <w:rPr>
                <w:noProof/>
                <w:webHidden/>
              </w:rPr>
              <w:t>11</w:t>
            </w:r>
            <w:r>
              <w:rPr>
                <w:noProof/>
                <w:webHidden/>
              </w:rPr>
              <w:fldChar w:fldCharType="end"/>
            </w:r>
          </w:hyperlink>
        </w:p>
        <w:p w14:paraId="6BA54A57" w14:textId="7B2F58A8"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6" w:history="1">
            <w:r w:rsidRPr="00814A8B">
              <w:rPr>
                <w:rStyle w:val="Hyperlink"/>
                <w:noProof/>
              </w:rPr>
              <w:t>5.1 Defining Culture and Ethical Behaviour</w:t>
            </w:r>
            <w:r>
              <w:rPr>
                <w:noProof/>
                <w:webHidden/>
              </w:rPr>
              <w:tab/>
            </w:r>
            <w:r>
              <w:rPr>
                <w:noProof/>
                <w:webHidden/>
              </w:rPr>
              <w:fldChar w:fldCharType="begin"/>
            </w:r>
            <w:r>
              <w:rPr>
                <w:noProof/>
                <w:webHidden/>
              </w:rPr>
              <w:instrText xml:space="preserve"> PAGEREF _Toc213332616 \h </w:instrText>
            </w:r>
            <w:r>
              <w:rPr>
                <w:noProof/>
                <w:webHidden/>
              </w:rPr>
            </w:r>
            <w:r>
              <w:rPr>
                <w:noProof/>
                <w:webHidden/>
              </w:rPr>
              <w:fldChar w:fldCharType="separate"/>
            </w:r>
            <w:r>
              <w:rPr>
                <w:noProof/>
                <w:webHidden/>
              </w:rPr>
              <w:t>11</w:t>
            </w:r>
            <w:r>
              <w:rPr>
                <w:noProof/>
                <w:webHidden/>
              </w:rPr>
              <w:fldChar w:fldCharType="end"/>
            </w:r>
          </w:hyperlink>
        </w:p>
        <w:p w14:paraId="3F21EC08" w14:textId="76FCDE29"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7" w:history="1">
            <w:r w:rsidRPr="00814A8B">
              <w:rPr>
                <w:rStyle w:val="Hyperlink"/>
                <w:noProof/>
              </w:rPr>
              <w:t>5.2 Ethical Culture</w:t>
            </w:r>
            <w:r>
              <w:rPr>
                <w:noProof/>
                <w:webHidden/>
              </w:rPr>
              <w:tab/>
            </w:r>
            <w:r>
              <w:rPr>
                <w:noProof/>
                <w:webHidden/>
              </w:rPr>
              <w:fldChar w:fldCharType="begin"/>
            </w:r>
            <w:r>
              <w:rPr>
                <w:noProof/>
                <w:webHidden/>
              </w:rPr>
              <w:instrText xml:space="preserve"> PAGEREF _Toc213332617 \h </w:instrText>
            </w:r>
            <w:r>
              <w:rPr>
                <w:noProof/>
                <w:webHidden/>
              </w:rPr>
            </w:r>
            <w:r>
              <w:rPr>
                <w:noProof/>
                <w:webHidden/>
              </w:rPr>
              <w:fldChar w:fldCharType="separate"/>
            </w:r>
            <w:r>
              <w:rPr>
                <w:noProof/>
                <w:webHidden/>
              </w:rPr>
              <w:t>11</w:t>
            </w:r>
            <w:r>
              <w:rPr>
                <w:noProof/>
                <w:webHidden/>
              </w:rPr>
              <w:fldChar w:fldCharType="end"/>
            </w:r>
          </w:hyperlink>
        </w:p>
        <w:p w14:paraId="1368D5A3" w14:textId="02FC9D8F"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8" w:history="1">
            <w:r w:rsidRPr="00814A8B">
              <w:rPr>
                <w:rStyle w:val="Hyperlink"/>
                <w:noProof/>
              </w:rPr>
              <w:t>5.3 Critical Appraisal</w:t>
            </w:r>
            <w:r>
              <w:rPr>
                <w:noProof/>
                <w:webHidden/>
              </w:rPr>
              <w:tab/>
            </w:r>
            <w:r>
              <w:rPr>
                <w:noProof/>
                <w:webHidden/>
              </w:rPr>
              <w:fldChar w:fldCharType="begin"/>
            </w:r>
            <w:r>
              <w:rPr>
                <w:noProof/>
                <w:webHidden/>
              </w:rPr>
              <w:instrText xml:space="preserve"> PAGEREF _Toc213332618 \h </w:instrText>
            </w:r>
            <w:r>
              <w:rPr>
                <w:noProof/>
                <w:webHidden/>
              </w:rPr>
            </w:r>
            <w:r>
              <w:rPr>
                <w:noProof/>
                <w:webHidden/>
              </w:rPr>
              <w:fldChar w:fldCharType="separate"/>
            </w:r>
            <w:r>
              <w:rPr>
                <w:noProof/>
                <w:webHidden/>
              </w:rPr>
              <w:t>12</w:t>
            </w:r>
            <w:r>
              <w:rPr>
                <w:noProof/>
                <w:webHidden/>
              </w:rPr>
              <w:fldChar w:fldCharType="end"/>
            </w:r>
          </w:hyperlink>
        </w:p>
        <w:p w14:paraId="37D882D1" w14:textId="0438F74D"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19" w:history="1">
            <w:r w:rsidRPr="00814A8B">
              <w:rPr>
                <w:rStyle w:val="Hyperlink"/>
                <w:noProof/>
              </w:rPr>
              <w:t>5.4 Synergies Between Culture and Ethics</w:t>
            </w:r>
            <w:r>
              <w:rPr>
                <w:noProof/>
                <w:webHidden/>
              </w:rPr>
              <w:tab/>
            </w:r>
            <w:r>
              <w:rPr>
                <w:noProof/>
                <w:webHidden/>
              </w:rPr>
              <w:fldChar w:fldCharType="begin"/>
            </w:r>
            <w:r>
              <w:rPr>
                <w:noProof/>
                <w:webHidden/>
              </w:rPr>
              <w:instrText xml:space="preserve"> PAGEREF _Toc213332619 \h </w:instrText>
            </w:r>
            <w:r>
              <w:rPr>
                <w:noProof/>
                <w:webHidden/>
              </w:rPr>
            </w:r>
            <w:r>
              <w:rPr>
                <w:noProof/>
                <w:webHidden/>
              </w:rPr>
              <w:fldChar w:fldCharType="separate"/>
            </w:r>
            <w:r>
              <w:rPr>
                <w:noProof/>
                <w:webHidden/>
              </w:rPr>
              <w:t>12</w:t>
            </w:r>
            <w:r>
              <w:rPr>
                <w:noProof/>
                <w:webHidden/>
              </w:rPr>
              <w:fldChar w:fldCharType="end"/>
            </w:r>
          </w:hyperlink>
        </w:p>
        <w:p w14:paraId="081F5309" w14:textId="32153C36" w:rsidR="00BA2D87" w:rsidRDefault="00BA2D8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32620" w:history="1">
            <w:r w:rsidRPr="00814A8B">
              <w:rPr>
                <w:rStyle w:val="Hyperlink"/>
                <w:noProof/>
              </w:rPr>
              <w:t>6. Conclusion &amp; Recommendations</w:t>
            </w:r>
            <w:r>
              <w:rPr>
                <w:noProof/>
                <w:webHidden/>
              </w:rPr>
              <w:tab/>
            </w:r>
            <w:r>
              <w:rPr>
                <w:noProof/>
                <w:webHidden/>
              </w:rPr>
              <w:fldChar w:fldCharType="begin"/>
            </w:r>
            <w:r>
              <w:rPr>
                <w:noProof/>
                <w:webHidden/>
              </w:rPr>
              <w:instrText xml:space="preserve"> PAGEREF _Toc213332620 \h </w:instrText>
            </w:r>
            <w:r>
              <w:rPr>
                <w:noProof/>
                <w:webHidden/>
              </w:rPr>
            </w:r>
            <w:r>
              <w:rPr>
                <w:noProof/>
                <w:webHidden/>
              </w:rPr>
              <w:fldChar w:fldCharType="separate"/>
            </w:r>
            <w:r>
              <w:rPr>
                <w:noProof/>
                <w:webHidden/>
              </w:rPr>
              <w:t>13</w:t>
            </w:r>
            <w:r>
              <w:rPr>
                <w:noProof/>
                <w:webHidden/>
              </w:rPr>
              <w:fldChar w:fldCharType="end"/>
            </w:r>
          </w:hyperlink>
        </w:p>
        <w:p w14:paraId="34C14235" w14:textId="50DCCA29"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21" w:history="1">
            <w:r w:rsidRPr="00814A8B">
              <w:rPr>
                <w:rStyle w:val="Hyperlink"/>
                <w:noProof/>
              </w:rPr>
              <w:t>6.1 Conclusion</w:t>
            </w:r>
            <w:r>
              <w:rPr>
                <w:noProof/>
                <w:webHidden/>
              </w:rPr>
              <w:tab/>
            </w:r>
            <w:r>
              <w:rPr>
                <w:noProof/>
                <w:webHidden/>
              </w:rPr>
              <w:fldChar w:fldCharType="begin"/>
            </w:r>
            <w:r>
              <w:rPr>
                <w:noProof/>
                <w:webHidden/>
              </w:rPr>
              <w:instrText xml:space="preserve"> PAGEREF _Toc213332621 \h </w:instrText>
            </w:r>
            <w:r>
              <w:rPr>
                <w:noProof/>
                <w:webHidden/>
              </w:rPr>
            </w:r>
            <w:r>
              <w:rPr>
                <w:noProof/>
                <w:webHidden/>
              </w:rPr>
              <w:fldChar w:fldCharType="separate"/>
            </w:r>
            <w:r>
              <w:rPr>
                <w:noProof/>
                <w:webHidden/>
              </w:rPr>
              <w:t>13</w:t>
            </w:r>
            <w:r>
              <w:rPr>
                <w:noProof/>
                <w:webHidden/>
              </w:rPr>
              <w:fldChar w:fldCharType="end"/>
            </w:r>
          </w:hyperlink>
        </w:p>
        <w:p w14:paraId="7515BF19" w14:textId="76096BEF"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22" w:history="1">
            <w:r w:rsidRPr="00814A8B">
              <w:rPr>
                <w:rStyle w:val="Hyperlink"/>
                <w:noProof/>
              </w:rPr>
              <w:t>6.2 Recommendations</w:t>
            </w:r>
            <w:r>
              <w:rPr>
                <w:noProof/>
                <w:webHidden/>
              </w:rPr>
              <w:tab/>
            </w:r>
            <w:r>
              <w:rPr>
                <w:noProof/>
                <w:webHidden/>
              </w:rPr>
              <w:fldChar w:fldCharType="begin"/>
            </w:r>
            <w:r>
              <w:rPr>
                <w:noProof/>
                <w:webHidden/>
              </w:rPr>
              <w:instrText xml:space="preserve"> PAGEREF _Toc213332622 \h </w:instrText>
            </w:r>
            <w:r>
              <w:rPr>
                <w:noProof/>
                <w:webHidden/>
              </w:rPr>
            </w:r>
            <w:r>
              <w:rPr>
                <w:noProof/>
                <w:webHidden/>
              </w:rPr>
              <w:fldChar w:fldCharType="separate"/>
            </w:r>
            <w:r>
              <w:rPr>
                <w:noProof/>
                <w:webHidden/>
              </w:rPr>
              <w:t>14</w:t>
            </w:r>
            <w:r>
              <w:rPr>
                <w:noProof/>
                <w:webHidden/>
              </w:rPr>
              <w:fldChar w:fldCharType="end"/>
            </w:r>
          </w:hyperlink>
        </w:p>
        <w:p w14:paraId="5E5105BC" w14:textId="2ED82973"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23" w:history="1">
            <w:r w:rsidRPr="00814A8B">
              <w:rPr>
                <w:rStyle w:val="Hyperlink"/>
                <w:noProof/>
              </w:rPr>
              <w:t>6.3 Final Reflection</w:t>
            </w:r>
            <w:r>
              <w:rPr>
                <w:noProof/>
                <w:webHidden/>
              </w:rPr>
              <w:tab/>
            </w:r>
            <w:r>
              <w:rPr>
                <w:noProof/>
                <w:webHidden/>
              </w:rPr>
              <w:fldChar w:fldCharType="begin"/>
            </w:r>
            <w:r>
              <w:rPr>
                <w:noProof/>
                <w:webHidden/>
              </w:rPr>
              <w:instrText xml:space="preserve"> PAGEREF _Toc213332623 \h </w:instrText>
            </w:r>
            <w:r>
              <w:rPr>
                <w:noProof/>
                <w:webHidden/>
              </w:rPr>
            </w:r>
            <w:r>
              <w:rPr>
                <w:noProof/>
                <w:webHidden/>
              </w:rPr>
              <w:fldChar w:fldCharType="separate"/>
            </w:r>
            <w:r>
              <w:rPr>
                <w:noProof/>
                <w:webHidden/>
              </w:rPr>
              <w:t>15</w:t>
            </w:r>
            <w:r>
              <w:rPr>
                <w:noProof/>
                <w:webHidden/>
              </w:rPr>
              <w:fldChar w:fldCharType="end"/>
            </w:r>
          </w:hyperlink>
        </w:p>
        <w:p w14:paraId="6555ED9D" w14:textId="5F9DC30C" w:rsidR="00BA2D87" w:rsidRDefault="00BA2D87">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32624" w:history="1">
            <w:r w:rsidRPr="00814A8B">
              <w:rPr>
                <w:rStyle w:val="Hyperlink"/>
                <w:noProof/>
              </w:rPr>
              <w:t>7. References</w:t>
            </w:r>
            <w:r>
              <w:rPr>
                <w:noProof/>
                <w:webHidden/>
              </w:rPr>
              <w:tab/>
            </w:r>
            <w:r>
              <w:rPr>
                <w:noProof/>
                <w:webHidden/>
              </w:rPr>
              <w:fldChar w:fldCharType="begin"/>
            </w:r>
            <w:r>
              <w:rPr>
                <w:noProof/>
                <w:webHidden/>
              </w:rPr>
              <w:instrText xml:space="preserve"> PAGEREF _Toc213332624 \h </w:instrText>
            </w:r>
            <w:r>
              <w:rPr>
                <w:noProof/>
                <w:webHidden/>
              </w:rPr>
            </w:r>
            <w:r>
              <w:rPr>
                <w:noProof/>
                <w:webHidden/>
              </w:rPr>
              <w:fldChar w:fldCharType="separate"/>
            </w:r>
            <w:r>
              <w:rPr>
                <w:noProof/>
                <w:webHidden/>
              </w:rPr>
              <w:t>15</w:t>
            </w:r>
            <w:r>
              <w:rPr>
                <w:noProof/>
                <w:webHidden/>
              </w:rPr>
              <w:fldChar w:fldCharType="end"/>
            </w:r>
          </w:hyperlink>
        </w:p>
        <w:p w14:paraId="245299F1" w14:textId="2C898497" w:rsidR="00BA2D87" w:rsidRDefault="00BA2D87">
          <w:r>
            <w:rPr>
              <w:b/>
              <w:bCs/>
              <w:noProof/>
            </w:rPr>
            <w:fldChar w:fldCharType="end"/>
          </w:r>
        </w:p>
      </w:sdtContent>
    </w:sdt>
    <w:p w14:paraId="2CEA8592" w14:textId="77777777" w:rsidR="00BA2D87" w:rsidRDefault="00BA2D87" w:rsidP="007B002A">
      <w:pPr>
        <w:pStyle w:val="Heading1"/>
      </w:pPr>
      <w:bookmarkStart w:id="0" w:name="_Toc213332601"/>
    </w:p>
    <w:p w14:paraId="731D08D3" w14:textId="7466F5A4" w:rsidR="007B002A" w:rsidRDefault="007B002A" w:rsidP="007B002A">
      <w:pPr>
        <w:pStyle w:val="Heading1"/>
      </w:pPr>
      <w:r>
        <w:t>Developing a High-Performance Culture</w:t>
      </w:r>
      <w:bookmarkEnd w:id="0"/>
    </w:p>
    <w:p w14:paraId="6E76AC2C" w14:textId="45C8DCBD" w:rsidR="00A73CCF" w:rsidRDefault="00A73CCF" w:rsidP="00C3617B">
      <w:pPr>
        <w:pStyle w:val="Heading2"/>
        <w:numPr>
          <w:ilvl w:val="0"/>
          <w:numId w:val="22"/>
        </w:numPr>
        <w:spacing w:line="360" w:lineRule="auto"/>
        <w:jc w:val="both"/>
      </w:pPr>
      <w:bookmarkStart w:id="1" w:name="_Toc213332602"/>
      <w:r w:rsidRPr="00A73CCF">
        <w:t>Executive Summary</w:t>
      </w:r>
      <w:bookmarkEnd w:id="1"/>
      <w:r w:rsidRPr="00A73CCF">
        <w:t xml:space="preserve"> </w:t>
      </w:r>
    </w:p>
    <w:p w14:paraId="7C98B3AE" w14:textId="45B250C5" w:rsidR="00F545CC" w:rsidRPr="00F545CC" w:rsidRDefault="00F545CC" w:rsidP="00C3617B">
      <w:pPr>
        <w:pStyle w:val="NormalWeb"/>
        <w:spacing w:line="360" w:lineRule="auto"/>
        <w:jc w:val="both"/>
        <w:rPr>
          <w:rFonts w:asciiTheme="minorHAnsi" w:hAnsiTheme="minorHAnsi"/>
        </w:rPr>
      </w:pPr>
      <w:r w:rsidRPr="00F545CC">
        <w:rPr>
          <w:rFonts w:asciiTheme="minorHAnsi" w:hAnsiTheme="minorHAnsi"/>
        </w:rPr>
        <w:t xml:space="preserve">This report critically evaluates how </w:t>
      </w:r>
      <w:r>
        <w:rPr>
          <w:rFonts w:asciiTheme="minorHAnsi" w:hAnsiTheme="minorHAnsi"/>
        </w:rPr>
        <w:t xml:space="preserve">an aesthetic salon </w:t>
      </w:r>
      <w:r w:rsidRPr="00F545CC">
        <w:rPr>
          <w:rFonts w:asciiTheme="minorHAnsi" w:hAnsiTheme="minorHAnsi"/>
        </w:rPr>
        <w:t>can strengthen its organisational culture to achieve sustainable high performance. It explores the interrelationship between culture, ethics and environmental context</w:t>
      </w:r>
      <w:r w:rsidR="00BA2D87">
        <w:rPr>
          <w:rFonts w:asciiTheme="minorHAnsi" w:hAnsiTheme="minorHAnsi"/>
        </w:rPr>
        <w:t>,</w:t>
      </w:r>
      <w:r w:rsidRPr="00F545CC">
        <w:rPr>
          <w:rFonts w:asciiTheme="minorHAnsi" w:hAnsiTheme="minorHAnsi"/>
        </w:rPr>
        <w:t xml:space="preserve"> using recognised frameworks including Schein’s cultural model, PESTEL, SWOT and the McKinsey 7S Framework. </w:t>
      </w:r>
      <w:r w:rsidR="00BA2D87">
        <w:rPr>
          <w:rFonts w:asciiTheme="minorHAnsi" w:hAnsiTheme="minorHAnsi"/>
        </w:rPr>
        <w:t>The</w:t>
      </w:r>
      <w:r w:rsidRPr="00F545CC">
        <w:rPr>
          <w:rFonts w:asciiTheme="minorHAnsi" w:hAnsiTheme="minorHAnsi"/>
        </w:rPr>
        <w:t xml:space="preserve"> salon’s culture </w:t>
      </w:r>
      <w:r w:rsidR="00BA2D87">
        <w:rPr>
          <w:rFonts w:asciiTheme="minorHAnsi" w:hAnsiTheme="minorHAnsi"/>
        </w:rPr>
        <w:t>seems high</w:t>
      </w:r>
      <w:r w:rsidRPr="00F545CC">
        <w:rPr>
          <w:rFonts w:asciiTheme="minorHAnsi" w:hAnsiTheme="minorHAnsi"/>
        </w:rPr>
        <w:t xml:space="preserve"> in professionalism, ethical integrity and client care, forming a strong basis for trust and quality service</w:t>
      </w:r>
      <w:r w:rsidR="000B48DC">
        <w:rPr>
          <w:rFonts w:asciiTheme="minorHAnsi" w:hAnsiTheme="minorHAnsi"/>
        </w:rPr>
        <w:t>s</w:t>
      </w:r>
      <w:r w:rsidRPr="00F545CC">
        <w:rPr>
          <w:rFonts w:asciiTheme="minorHAnsi" w:hAnsiTheme="minorHAnsi"/>
        </w:rPr>
        <w:t xml:space="preserve">. However, dependence on the owner’s leadership and the absence of formal systems constrain scalability, collaboration and innovation. Externally, the business operates within an evolving and tightly regulated aesthetics industry where client expectations, digital technologies and social trends </w:t>
      </w:r>
      <w:r w:rsidR="000B48DC">
        <w:rPr>
          <w:rFonts w:asciiTheme="minorHAnsi" w:hAnsiTheme="minorHAnsi"/>
        </w:rPr>
        <w:t xml:space="preserve">change on a regular basis that </w:t>
      </w:r>
      <w:r w:rsidRPr="00F545CC">
        <w:rPr>
          <w:rFonts w:asciiTheme="minorHAnsi" w:hAnsiTheme="minorHAnsi"/>
        </w:rPr>
        <w:t>shape operational priorities.</w:t>
      </w:r>
    </w:p>
    <w:p w14:paraId="09321985" w14:textId="2D887922" w:rsidR="00F545CC" w:rsidRPr="00F545CC" w:rsidRDefault="00F545CC" w:rsidP="00C3617B">
      <w:pPr>
        <w:pStyle w:val="NormalWeb"/>
        <w:spacing w:line="360" w:lineRule="auto"/>
        <w:jc w:val="both"/>
        <w:rPr>
          <w:rFonts w:asciiTheme="minorHAnsi" w:hAnsiTheme="minorHAnsi"/>
        </w:rPr>
      </w:pPr>
      <w:r w:rsidRPr="00F545CC">
        <w:rPr>
          <w:rFonts w:asciiTheme="minorHAnsi" w:hAnsiTheme="minorHAnsi"/>
        </w:rPr>
        <w:t>To sustain a high-performance culture, the report recommends formalising professional development and feedback through regular one-to-one reviews, introducing a shared vision statement and ethical charter</w:t>
      </w:r>
      <w:r w:rsidR="000B48DC">
        <w:rPr>
          <w:rFonts w:asciiTheme="minorHAnsi" w:hAnsiTheme="minorHAnsi"/>
        </w:rPr>
        <w:t xml:space="preserve"> that</w:t>
      </w:r>
      <w:r w:rsidRPr="00F545CC">
        <w:rPr>
          <w:rFonts w:asciiTheme="minorHAnsi" w:hAnsiTheme="minorHAnsi"/>
        </w:rPr>
        <w:t xml:space="preserve"> embed</w:t>
      </w:r>
      <w:r w:rsidR="000B48DC">
        <w:rPr>
          <w:rFonts w:asciiTheme="minorHAnsi" w:hAnsiTheme="minorHAnsi"/>
        </w:rPr>
        <w:t>s</w:t>
      </w:r>
      <w:r w:rsidRPr="00F545CC">
        <w:rPr>
          <w:rFonts w:asciiTheme="minorHAnsi" w:hAnsiTheme="minorHAnsi"/>
        </w:rPr>
        <w:t xml:space="preserve"> reflective learning to strengthen communication and accountability. Enhancing environmental awareness through periodic PESTEL reviews and integrating simple technological tools such as CRM systems</w:t>
      </w:r>
      <w:r w:rsidR="000B48DC">
        <w:rPr>
          <w:rFonts w:asciiTheme="minorHAnsi" w:hAnsiTheme="minorHAnsi"/>
        </w:rPr>
        <w:t>,</w:t>
      </w:r>
      <w:r w:rsidRPr="00F545CC">
        <w:rPr>
          <w:rFonts w:asciiTheme="minorHAnsi" w:hAnsiTheme="minorHAnsi"/>
        </w:rPr>
        <w:t xml:space="preserve"> will further improve compliance, adaptability and client engagement.</w:t>
      </w:r>
    </w:p>
    <w:p w14:paraId="20DA941C" w14:textId="7E3B5669" w:rsidR="00A73CCF" w:rsidRPr="00F545CC" w:rsidRDefault="00F545CC" w:rsidP="00C3617B">
      <w:pPr>
        <w:pStyle w:val="NormalWeb"/>
        <w:spacing w:line="360" w:lineRule="auto"/>
        <w:jc w:val="both"/>
        <w:rPr>
          <w:rFonts w:asciiTheme="minorHAnsi" w:hAnsiTheme="minorHAnsi"/>
        </w:rPr>
      </w:pPr>
      <w:r w:rsidRPr="00F545CC">
        <w:rPr>
          <w:rFonts w:asciiTheme="minorHAnsi" w:hAnsiTheme="minorHAnsi"/>
        </w:rPr>
        <w:t xml:space="preserve">Ultimately, </w:t>
      </w:r>
      <w:r>
        <w:rPr>
          <w:rFonts w:asciiTheme="minorHAnsi" w:hAnsiTheme="minorHAnsi"/>
        </w:rPr>
        <w:t>the salon’s</w:t>
      </w:r>
      <w:r w:rsidRPr="00F545CC">
        <w:rPr>
          <w:rFonts w:asciiTheme="minorHAnsi" w:hAnsiTheme="minorHAnsi"/>
        </w:rPr>
        <w:t xml:space="preserve"> success depends on aligning ethical values, learning systems, and collaborative behaviours. Through cultural leadership and structured communication, the salon can evolve from an owner-led enterprise into a resilient, high-performing organisation built on trust, integrity and continuous </w:t>
      </w:r>
      <w:r w:rsidR="000B48DC">
        <w:rPr>
          <w:rFonts w:asciiTheme="minorHAnsi" w:hAnsiTheme="minorHAnsi"/>
        </w:rPr>
        <w:t>development</w:t>
      </w:r>
      <w:r w:rsidRPr="00F545CC">
        <w:rPr>
          <w:rFonts w:asciiTheme="minorHAnsi" w:hAnsiTheme="minorHAnsi"/>
        </w:rPr>
        <w:t>.</w:t>
      </w:r>
    </w:p>
    <w:p w14:paraId="2DC7CDAF" w14:textId="4F44355B" w:rsidR="007B002A" w:rsidRDefault="007B002A" w:rsidP="00C3617B">
      <w:pPr>
        <w:pStyle w:val="Heading2"/>
        <w:numPr>
          <w:ilvl w:val="0"/>
          <w:numId w:val="22"/>
        </w:numPr>
        <w:spacing w:line="360" w:lineRule="auto"/>
        <w:jc w:val="both"/>
      </w:pPr>
      <w:bookmarkStart w:id="2" w:name="_Toc213332603"/>
      <w:r w:rsidRPr="00A73CCF">
        <w:t>Introduction</w:t>
      </w:r>
      <w:bookmarkEnd w:id="2"/>
      <w:r w:rsidRPr="00A73CCF">
        <w:t xml:space="preserve"> </w:t>
      </w:r>
    </w:p>
    <w:p w14:paraId="62B0C903" w14:textId="456EF1E1" w:rsidR="00A610B1" w:rsidRDefault="00E52F3C" w:rsidP="00C3617B">
      <w:pPr>
        <w:pStyle w:val="NormalWeb"/>
        <w:spacing w:line="360" w:lineRule="auto"/>
        <w:jc w:val="both"/>
        <w:rPr>
          <w:rFonts w:ascii="Aptos" w:hAnsi="Aptos"/>
        </w:rPr>
      </w:pPr>
      <w:r w:rsidRPr="00E52F3C">
        <w:rPr>
          <w:rFonts w:ascii="Aptos" w:hAnsi="Aptos"/>
        </w:rPr>
        <w:t xml:space="preserve">In the increasingly competitive aesthetics industry, a high-performance culture is not solely measured by business outcomes but by the behaviours, values and collaboration </w:t>
      </w:r>
      <w:r w:rsidRPr="00E52F3C">
        <w:rPr>
          <w:rFonts w:ascii="Aptos" w:hAnsi="Aptos"/>
        </w:rPr>
        <w:lastRenderedPageBreak/>
        <w:t xml:space="preserve">that enable sustained excellence (Siyaphat </w:t>
      </w:r>
      <w:r w:rsidRPr="00E52F3C">
        <w:rPr>
          <w:rFonts w:ascii="Aptos" w:hAnsi="Aptos"/>
          <w:i/>
          <w:iCs/>
        </w:rPr>
        <w:t>et al.,</w:t>
      </w:r>
      <w:r w:rsidRPr="00E52F3C">
        <w:rPr>
          <w:rFonts w:ascii="Aptos" w:hAnsi="Aptos"/>
        </w:rPr>
        <w:t xml:space="preserve"> 2024). Within </w:t>
      </w:r>
      <w:r w:rsidRPr="00E52F3C">
        <w:rPr>
          <w:rStyle w:val="Strong"/>
          <w:rFonts w:ascii="Aptos" w:eastAsiaTheme="majorEastAsia" w:hAnsi="Aptos"/>
          <w:b w:val="0"/>
          <w:bCs w:val="0"/>
        </w:rPr>
        <w:t xml:space="preserve">the </w:t>
      </w:r>
      <w:r w:rsidRPr="00E52F3C">
        <w:rPr>
          <w:rFonts w:ascii="Aptos" w:hAnsi="Aptos"/>
        </w:rPr>
        <w:t>small independent aesthetics salo</w:t>
      </w:r>
      <w:r w:rsidR="00A610B1">
        <w:rPr>
          <w:rFonts w:ascii="Aptos" w:hAnsi="Aptos"/>
        </w:rPr>
        <w:t>n</w:t>
      </w:r>
      <w:r w:rsidRPr="00E52F3C">
        <w:rPr>
          <w:rFonts w:ascii="Aptos" w:hAnsi="Aptos"/>
        </w:rPr>
        <w:t xml:space="preserve">, culture manifests through learning, mutual support and professionalism in client care. High-performing organisations are </w:t>
      </w:r>
      <w:r w:rsidR="00A610B1">
        <w:rPr>
          <w:rFonts w:ascii="Aptos" w:hAnsi="Aptos"/>
        </w:rPr>
        <w:t xml:space="preserve">often </w:t>
      </w:r>
      <w:r w:rsidRPr="00E52F3C">
        <w:rPr>
          <w:rFonts w:ascii="Aptos" w:hAnsi="Aptos"/>
        </w:rPr>
        <w:t xml:space="preserve">characterised by shared trust, clear communication and continuous development (Rabkin &amp; Frein, 2021). </w:t>
      </w:r>
      <w:r w:rsidR="00A610B1">
        <w:rPr>
          <w:rFonts w:ascii="Aptos" w:hAnsi="Aptos"/>
        </w:rPr>
        <w:t>F</w:t>
      </w:r>
      <w:r w:rsidRPr="00E52F3C">
        <w:rPr>
          <w:rFonts w:ascii="Aptos" w:hAnsi="Aptos"/>
        </w:rPr>
        <w:t xml:space="preserve">urther </w:t>
      </w:r>
      <w:r w:rsidR="00A610B1">
        <w:rPr>
          <w:rFonts w:ascii="Aptos" w:hAnsi="Aptos"/>
        </w:rPr>
        <w:t xml:space="preserve">research </w:t>
      </w:r>
      <w:r w:rsidRPr="00E52F3C">
        <w:rPr>
          <w:rFonts w:ascii="Aptos" w:hAnsi="Aptos"/>
        </w:rPr>
        <w:t>indicates that organisations with cohesive and ethically aligned cultures demonstrate higher client satisfaction and operational resilience (Bier, 2025). In the salon setting, every client interaction, feedback conversation and training opportunity becomes a mechanism for reinforcing culture. As a micro-organisation,</w:t>
      </w:r>
      <w:r w:rsidR="00993559">
        <w:rPr>
          <w:rFonts w:ascii="Aptos" w:hAnsi="Aptos"/>
        </w:rPr>
        <w:t xml:space="preserve"> the salon’s</w:t>
      </w:r>
      <w:r w:rsidRPr="00E52F3C">
        <w:rPr>
          <w:rFonts w:ascii="Aptos" w:hAnsi="Aptos"/>
        </w:rPr>
        <w:t xml:space="preserve"> culture is shaped not only by its leader’s values</w:t>
      </w:r>
      <w:r w:rsidR="000B48DC">
        <w:rPr>
          <w:rFonts w:ascii="Aptos" w:hAnsi="Aptos"/>
        </w:rPr>
        <w:t>,</w:t>
      </w:r>
      <w:r w:rsidRPr="00E52F3C">
        <w:rPr>
          <w:rFonts w:ascii="Aptos" w:hAnsi="Aptos"/>
        </w:rPr>
        <w:t xml:space="preserve"> but also by external pressures such as regulation, client expectations and social media visibility. </w:t>
      </w:r>
    </w:p>
    <w:p w14:paraId="6249DBFD" w14:textId="55F74FBA" w:rsidR="007E1413" w:rsidRPr="00993559" w:rsidRDefault="00E52F3C" w:rsidP="00C3617B">
      <w:pPr>
        <w:pStyle w:val="NormalWeb"/>
        <w:spacing w:line="360" w:lineRule="auto"/>
        <w:jc w:val="both"/>
        <w:rPr>
          <w:rFonts w:ascii="Aptos" w:hAnsi="Aptos"/>
        </w:rPr>
      </w:pPr>
      <w:r w:rsidRPr="00E52F3C">
        <w:rPr>
          <w:rFonts w:ascii="Aptos" w:hAnsi="Aptos"/>
        </w:rPr>
        <w:t>This report critically explores how the salon can strengthen its culture to achieve sustained high performance</w:t>
      </w:r>
      <w:r w:rsidR="00A610B1">
        <w:rPr>
          <w:rFonts w:ascii="Aptos" w:hAnsi="Aptos"/>
        </w:rPr>
        <w:t xml:space="preserve"> by</w:t>
      </w:r>
      <w:r w:rsidRPr="00E52F3C">
        <w:rPr>
          <w:rFonts w:ascii="Aptos" w:hAnsi="Aptos"/>
        </w:rPr>
        <w:t xml:space="preserve"> first assess</w:t>
      </w:r>
      <w:r w:rsidR="00A610B1">
        <w:rPr>
          <w:rFonts w:ascii="Aptos" w:hAnsi="Aptos"/>
        </w:rPr>
        <w:t>ing</w:t>
      </w:r>
      <w:r w:rsidRPr="00E52F3C">
        <w:rPr>
          <w:rFonts w:ascii="Aptos" w:hAnsi="Aptos"/>
        </w:rPr>
        <w:t xml:space="preserve"> the salon’s current culture and context using established cultural models (Schein, 1992; Handy, 1993; Hofstede, 1991). The second part evaluates its broader environment </w:t>
      </w:r>
      <w:r w:rsidRPr="00993559">
        <w:rPr>
          <w:rFonts w:ascii="Aptos" w:hAnsi="Aptos"/>
        </w:rPr>
        <w:t>through</w:t>
      </w:r>
      <w:r w:rsidRPr="00993559">
        <w:rPr>
          <w:rFonts w:ascii="Aptos" w:hAnsi="Aptos"/>
          <w:b/>
          <w:bCs/>
        </w:rPr>
        <w:t xml:space="preserve"> </w:t>
      </w:r>
      <w:r w:rsidRPr="00993559">
        <w:rPr>
          <w:rStyle w:val="Strong"/>
          <w:rFonts w:ascii="Aptos" w:eastAsiaTheme="majorEastAsia" w:hAnsi="Aptos"/>
          <w:b w:val="0"/>
          <w:bCs w:val="0"/>
        </w:rPr>
        <w:t>PESTEL</w:t>
      </w:r>
      <w:r w:rsidRPr="00993559">
        <w:rPr>
          <w:rFonts w:ascii="Aptos" w:hAnsi="Aptos"/>
          <w:b/>
          <w:bCs/>
        </w:rPr>
        <w:t xml:space="preserve">, </w:t>
      </w:r>
      <w:r w:rsidRPr="00993559">
        <w:rPr>
          <w:rStyle w:val="Strong"/>
          <w:rFonts w:ascii="Aptos" w:eastAsiaTheme="majorEastAsia" w:hAnsi="Aptos"/>
          <w:b w:val="0"/>
          <w:bCs w:val="0"/>
        </w:rPr>
        <w:t>SWOT</w:t>
      </w:r>
      <w:r w:rsidRPr="00993559">
        <w:rPr>
          <w:rFonts w:ascii="Aptos" w:hAnsi="Aptos"/>
        </w:rPr>
        <w:t xml:space="preserve"> and the</w:t>
      </w:r>
      <w:r w:rsidRPr="00993559">
        <w:rPr>
          <w:rFonts w:ascii="Aptos" w:hAnsi="Aptos"/>
          <w:b/>
          <w:bCs/>
        </w:rPr>
        <w:t xml:space="preserve"> </w:t>
      </w:r>
      <w:r w:rsidRPr="00993559">
        <w:rPr>
          <w:rStyle w:val="Strong"/>
          <w:rFonts w:ascii="Aptos" w:eastAsiaTheme="majorEastAsia" w:hAnsi="Aptos"/>
          <w:b w:val="0"/>
          <w:bCs w:val="0"/>
        </w:rPr>
        <w:t>McKinsey 7S Framework</w:t>
      </w:r>
      <w:r w:rsidRPr="00E52F3C">
        <w:rPr>
          <w:rFonts w:ascii="Aptos" w:hAnsi="Aptos"/>
        </w:rPr>
        <w:t>. The final part critically appraises the interrelationship between culture and ethical behaviour</w:t>
      </w:r>
      <w:r w:rsidR="000B48DC">
        <w:rPr>
          <w:rFonts w:ascii="Aptos" w:hAnsi="Aptos"/>
        </w:rPr>
        <w:t xml:space="preserve"> and aims to demonstrate </w:t>
      </w:r>
      <w:r w:rsidRPr="00E52F3C">
        <w:rPr>
          <w:rFonts w:ascii="Aptos" w:hAnsi="Aptos"/>
        </w:rPr>
        <w:t xml:space="preserve">how professional integrity drives collaboration and long-term success (Hsiung </w:t>
      </w:r>
      <w:r w:rsidRPr="00993559">
        <w:rPr>
          <w:rFonts w:ascii="Aptos" w:hAnsi="Aptos"/>
          <w:i/>
          <w:iCs/>
        </w:rPr>
        <w:t>et al.,</w:t>
      </w:r>
      <w:r w:rsidRPr="00E52F3C">
        <w:rPr>
          <w:rFonts w:ascii="Aptos" w:hAnsi="Aptos"/>
        </w:rPr>
        <w:t xml:space="preserve"> 2021).</w:t>
      </w:r>
    </w:p>
    <w:p w14:paraId="61AE8060" w14:textId="120EFDD8" w:rsidR="007B002A" w:rsidRPr="007B002A" w:rsidRDefault="007E1413" w:rsidP="00C3617B">
      <w:pPr>
        <w:pStyle w:val="Heading2"/>
        <w:spacing w:line="360" w:lineRule="auto"/>
        <w:jc w:val="both"/>
      </w:pPr>
      <w:bookmarkStart w:id="3" w:name="_Toc213332604"/>
      <w:r>
        <w:t xml:space="preserve">3.  </w:t>
      </w:r>
      <w:r w:rsidR="007B002A" w:rsidRPr="007B002A">
        <w:t>Assess</w:t>
      </w:r>
      <w:r w:rsidR="005053C0">
        <w:t>ing</w:t>
      </w:r>
      <w:r w:rsidR="007B002A" w:rsidRPr="007B002A">
        <w:t xml:space="preserve"> the Culture and Context of </w:t>
      </w:r>
      <w:r w:rsidR="005053C0">
        <w:t>the Aesthetic Salon</w:t>
      </w:r>
      <w:bookmarkEnd w:id="3"/>
      <w:r w:rsidR="007B002A" w:rsidRPr="007B002A">
        <w:t xml:space="preserve"> </w:t>
      </w:r>
    </w:p>
    <w:p w14:paraId="15A7A239" w14:textId="0D9F763B" w:rsidR="00993559" w:rsidRDefault="007E017B" w:rsidP="00C3617B">
      <w:pPr>
        <w:pStyle w:val="Heading3"/>
        <w:spacing w:line="360" w:lineRule="auto"/>
        <w:jc w:val="both"/>
      </w:pPr>
      <w:bookmarkStart w:id="4" w:name="_Toc213332605"/>
      <w:r>
        <w:t xml:space="preserve">3.1 </w:t>
      </w:r>
      <w:r w:rsidR="007B002A" w:rsidRPr="005053C0">
        <w:t>Organisational Context</w:t>
      </w:r>
      <w:bookmarkEnd w:id="4"/>
    </w:p>
    <w:p w14:paraId="6A34F06F" w14:textId="4E289F83" w:rsidR="00893AF6" w:rsidRDefault="00893AF6" w:rsidP="00C3617B">
      <w:pPr>
        <w:pStyle w:val="NormalWeb"/>
        <w:spacing w:line="360" w:lineRule="auto"/>
        <w:jc w:val="both"/>
        <w:rPr>
          <w:rFonts w:ascii="Aptos" w:hAnsi="Aptos"/>
        </w:rPr>
      </w:pPr>
      <w:r w:rsidRPr="005D0CA4">
        <w:rPr>
          <w:rFonts w:ascii="Aptos" w:hAnsi="Aptos"/>
        </w:rPr>
        <w:t>The</w:t>
      </w:r>
      <w:r w:rsidRPr="00893AF6">
        <w:rPr>
          <w:rFonts w:ascii="Aptos" w:hAnsi="Aptos"/>
        </w:rPr>
        <w:t xml:space="preserve"> salon operates as a micro</w:t>
      </w:r>
      <w:r w:rsidRPr="00893AF6">
        <w:rPr>
          <w:rFonts w:ascii="Aptos" w:hAnsi="Aptos"/>
        </w:rPr>
        <w:noBreakHyphen/>
        <w:t>enterprise specialising in non</w:t>
      </w:r>
      <w:r w:rsidRPr="00893AF6">
        <w:rPr>
          <w:rFonts w:ascii="Aptos" w:hAnsi="Aptos"/>
        </w:rPr>
        <w:noBreakHyphen/>
        <w:t>surgical aesthetic treatments</w:t>
      </w:r>
      <w:r>
        <w:rPr>
          <w:rFonts w:ascii="Aptos" w:hAnsi="Aptos"/>
        </w:rPr>
        <w:t>,</w:t>
      </w:r>
      <w:r w:rsidRPr="00893AF6">
        <w:rPr>
          <w:rFonts w:ascii="Aptos" w:hAnsi="Aptos"/>
        </w:rPr>
        <w:t xml:space="preserve"> anti</w:t>
      </w:r>
      <w:r w:rsidRPr="00893AF6">
        <w:rPr>
          <w:rFonts w:ascii="Aptos" w:hAnsi="Aptos"/>
        </w:rPr>
        <w:noBreakHyphen/>
        <w:t>wrinkle injections, dermal fillers and is supported by two part</w:t>
      </w:r>
      <w:r w:rsidRPr="00893AF6">
        <w:rPr>
          <w:rFonts w:ascii="Aptos" w:hAnsi="Aptos"/>
        </w:rPr>
        <w:noBreakHyphen/>
        <w:t>time administrative/beauty assistants. This structure allows the owner to focus on high</w:t>
      </w:r>
      <w:r w:rsidRPr="00893AF6">
        <w:rPr>
          <w:rFonts w:ascii="Aptos" w:hAnsi="Aptos"/>
        </w:rPr>
        <w:noBreakHyphen/>
        <w:t>value technical treatments, but the lean staffing model also introduces significant strategic constraints. For instance, while the appointment</w:t>
      </w:r>
      <w:r w:rsidRPr="00893AF6">
        <w:rPr>
          <w:rFonts w:ascii="Aptos" w:hAnsi="Aptos"/>
        </w:rPr>
        <w:noBreakHyphen/>
        <w:t>booking tool (Booksy) optimises client flow</w:t>
      </w:r>
      <w:r w:rsidR="003C268A">
        <w:rPr>
          <w:rFonts w:ascii="Aptos" w:hAnsi="Aptos"/>
        </w:rPr>
        <w:t xml:space="preserve"> (</w:t>
      </w:r>
      <w:r w:rsidR="003C268A" w:rsidRPr="002E378A">
        <w:rPr>
          <w:rFonts w:ascii="Aptos" w:hAnsi="Aptos"/>
        </w:rPr>
        <w:t>Gundzyeli, 2025)</w:t>
      </w:r>
      <w:r w:rsidRPr="00893AF6">
        <w:rPr>
          <w:rFonts w:ascii="Aptos" w:hAnsi="Aptos"/>
        </w:rPr>
        <w:t xml:space="preserve">, reliance on a single digital platform may limit broader digital engagement and fail to </w:t>
      </w:r>
      <w:r w:rsidR="000B48DC">
        <w:rPr>
          <w:rFonts w:ascii="Aptos" w:hAnsi="Aptos"/>
        </w:rPr>
        <w:t>introduce</w:t>
      </w:r>
      <w:r w:rsidRPr="00893AF6">
        <w:rPr>
          <w:rFonts w:ascii="Aptos" w:hAnsi="Aptos"/>
        </w:rPr>
        <w:t xml:space="preserve"> AI</w:t>
      </w:r>
      <w:r w:rsidRPr="00893AF6">
        <w:rPr>
          <w:rFonts w:ascii="Aptos" w:hAnsi="Aptos"/>
        </w:rPr>
        <w:noBreakHyphen/>
        <w:t>driven marketing or analytics opportunities</w:t>
      </w:r>
      <w:r w:rsidR="00A558C7">
        <w:rPr>
          <w:rFonts w:ascii="Aptos" w:hAnsi="Aptos"/>
        </w:rPr>
        <w:t xml:space="preserve">. </w:t>
      </w:r>
      <w:r w:rsidRPr="00893AF6">
        <w:rPr>
          <w:rFonts w:ascii="Aptos" w:hAnsi="Aptos"/>
        </w:rPr>
        <w:t>Furthermore, the salon’s strategic purpose</w:t>
      </w:r>
      <w:r>
        <w:rPr>
          <w:rFonts w:ascii="Aptos" w:hAnsi="Aptos"/>
        </w:rPr>
        <w:t xml:space="preserve">, </w:t>
      </w:r>
      <w:r w:rsidRPr="00893AF6">
        <w:rPr>
          <w:rFonts w:ascii="Aptos" w:hAnsi="Aptos"/>
        </w:rPr>
        <w:t>delivering safe, high</w:t>
      </w:r>
      <w:r w:rsidRPr="00893AF6">
        <w:rPr>
          <w:rFonts w:ascii="Aptos" w:hAnsi="Aptos"/>
        </w:rPr>
        <w:noBreakHyphen/>
        <w:t>quality treatments that earn client trust and loyalty is sound. However, in a highly regulated, visibility</w:t>
      </w:r>
      <w:r w:rsidRPr="00893AF6">
        <w:rPr>
          <w:rFonts w:ascii="Aptos" w:hAnsi="Aptos"/>
        </w:rPr>
        <w:noBreakHyphen/>
        <w:t xml:space="preserve">driven aesthetics sector, the business is exposed to reputational and compliance risk, </w:t>
      </w:r>
      <w:r w:rsidRPr="00893AF6">
        <w:rPr>
          <w:rFonts w:ascii="Aptos" w:hAnsi="Aptos"/>
        </w:rPr>
        <w:lastRenderedPageBreak/>
        <w:t>amplified by intensive social</w:t>
      </w:r>
      <w:r w:rsidRPr="00893AF6">
        <w:rPr>
          <w:rFonts w:ascii="Aptos" w:hAnsi="Aptos"/>
        </w:rPr>
        <w:noBreakHyphen/>
        <w:t>media scrutiny and evolving client expectations (Amoa</w:t>
      </w:r>
      <w:r w:rsidRPr="00893AF6">
        <w:rPr>
          <w:rFonts w:ascii="Aptos" w:hAnsi="Aptos"/>
        </w:rPr>
        <w:noBreakHyphen/>
        <w:t>Gyarteng &amp; Dhliwayo, 2024). Internally, the owner</w:t>
      </w:r>
      <w:r w:rsidRPr="00893AF6">
        <w:rPr>
          <w:rFonts w:ascii="Aptos" w:hAnsi="Aptos"/>
        </w:rPr>
        <w:noBreakHyphen/>
        <w:t>centric decision</w:t>
      </w:r>
      <w:r w:rsidRPr="00893AF6">
        <w:rPr>
          <w:rFonts w:ascii="Aptos" w:hAnsi="Aptos"/>
        </w:rPr>
        <w:noBreakHyphen/>
        <w:t>making model enhances agility but also generates dependency</w:t>
      </w:r>
      <w:r w:rsidR="003C268A">
        <w:rPr>
          <w:rFonts w:ascii="Aptos" w:hAnsi="Aptos"/>
        </w:rPr>
        <w:t xml:space="preserve"> (</w:t>
      </w:r>
      <w:r w:rsidR="003C268A" w:rsidRPr="00993559">
        <w:rPr>
          <w:rFonts w:ascii="Aptos" w:hAnsi="Aptos"/>
        </w:rPr>
        <w:t xml:space="preserve">Rahman </w:t>
      </w:r>
      <w:r w:rsidR="003C268A" w:rsidRPr="00993559">
        <w:rPr>
          <w:rStyle w:val="Emphasis"/>
          <w:rFonts w:ascii="Aptos" w:eastAsiaTheme="majorEastAsia" w:hAnsi="Aptos"/>
        </w:rPr>
        <w:t>et al.,</w:t>
      </w:r>
      <w:r w:rsidR="003C268A" w:rsidRPr="00993559">
        <w:rPr>
          <w:rFonts w:ascii="Aptos" w:hAnsi="Aptos"/>
        </w:rPr>
        <w:t xml:space="preserve"> 2025</w:t>
      </w:r>
      <w:r w:rsidR="003C268A">
        <w:rPr>
          <w:rFonts w:ascii="Aptos" w:hAnsi="Aptos"/>
        </w:rPr>
        <w:t>)</w:t>
      </w:r>
      <w:r w:rsidR="000B48DC">
        <w:rPr>
          <w:rFonts w:ascii="Aptos" w:hAnsi="Aptos"/>
        </w:rPr>
        <w:t xml:space="preserve"> where</w:t>
      </w:r>
      <w:r w:rsidRPr="00893AF6">
        <w:rPr>
          <w:rFonts w:ascii="Aptos" w:hAnsi="Aptos"/>
        </w:rPr>
        <w:t xml:space="preserve"> knowledge and compliance oversight are concentrated</w:t>
      </w:r>
      <w:r w:rsidR="005D0CA4">
        <w:rPr>
          <w:rFonts w:ascii="Aptos" w:hAnsi="Aptos"/>
        </w:rPr>
        <w:t xml:space="preserve"> (</w:t>
      </w:r>
      <w:r w:rsidR="005D0CA4" w:rsidRPr="00993559">
        <w:rPr>
          <w:rFonts w:ascii="Aptos" w:hAnsi="Aptos"/>
        </w:rPr>
        <w:t xml:space="preserve">Kumar </w:t>
      </w:r>
      <w:r w:rsidR="005D0CA4" w:rsidRPr="00993559">
        <w:rPr>
          <w:rStyle w:val="Emphasis"/>
          <w:rFonts w:ascii="Aptos" w:eastAsiaTheme="majorEastAsia" w:hAnsi="Aptos"/>
        </w:rPr>
        <w:t>et al.,</w:t>
      </w:r>
      <w:r w:rsidR="005D0CA4" w:rsidRPr="00993559">
        <w:rPr>
          <w:rFonts w:ascii="Aptos" w:hAnsi="Aptos"/>
        </w:rPr>
        <w:t xml:space="preserve"> 2022</w:t>
      </w:r>
      <w:r w:rsidR="005D0CA4">
        <w:rPr>
          <w:rFonts w:ascii="Aptos" w:hAnsi="Aptos"/>
        </w:rPr>
        <w:t>)</w:t>
      </w:r>
      <w:r w:rsidRPr="00893AF6">
        <w:rPr>
          <w:rFonts w:ascii="Aptos" w:hAnsi="Aptos"/>
        </w:rPr>
        <w:t>, limiting succession planning, innovation and resilience to staff absence. Research on SMEs indicates that such centralised control, while facilitating agility, often constrains scalability and long</w:t>
      </w:r>
      <w:r w:rsidRPr="00893AF6">
        <w:rPr>
          <w:rFonts w:ascii="Aptos" w:hAnsi="Aptos"/>
        </w:rPr>
        <w:noBreakHyphen/>
        <w:t>term adaptation. Hence, although the salon’s operating context establishes the key foundations of professionalism, trust and client</w:t>
      </w:r>
      <w:r w:rsidRPr="00893AF6">
        <w:rPr>
          <w:rFonts w:ascii="Aptos" w:hAnsi="Aptos"/>
        </w:rPr>
        <w:noBreakHyphen/>
        <w:t xml:space="preserve">centred service, the </w:t>
      </w:r>
      <w:r w:rsidR="000B48DC">
        <w:rPr>
          <w:rFonts w:ascii="Aptos" w:hAnsi="Aptos"/>
        </w:rPr>
        <w:t>current</w:t>
      </w:r>
      <w:r w:rsidRPr="00893AF6">
        <w:rPr>
          <w:rFonts w:ascii="Aptos" w:hAnsi="Aptos"/>
        </w:rPr>
        <w:t xml:space="preserve"> structural model introduces risks of </w:t>
      </w:r>
      <w:r w:rsidR="003C268A">
        <w:rPr>
          <w:rFonts w:ascii="Aptos" w:hAnsi="Aptos"/>
        </w:rPr>
        <w:t>constraint</w:t>
      </w:r>
      <w:r w:rsidRPr="00893AF6">
        <w:rPr>
          <w:rFonts w:ascii="Aptos" w:hAnsi="Aptos"/>
        </w:rPr>
        <w:t>, limited knowledge sharing and constrained growth</w:t>
      </w:r>
      <w:r w:rsidR="005D0CA4">
        <w:rPr>
          <w:rFonts w:ascii="Aptos" w:hAnsi="Aptos"/>
        </w:rPr>
        <w:t xml:space="preserve"> (</w:t>
      </w:r>
      <w:r w:rsidR="005D0CA4" w:rsidRPr="00993559">
        <w:rPr>
          <w:rFonts w:ascii="Aptos" w:hAnsi="Aptos"/>
        </w:rPr>
        <w:t>Kiziloglu</w:t>
      </w:r>
      <w:r w:rsidR="005D0CA4">
        <w:rPr>
          <w:rFonts w:ascii="Aptos" w:hAnsi="Aptos"/>
        </w:rPr>
        <w:t xml:space="preserve">, </w:t>
      </w:r>
      <w:r w:rsidR="005D0CA4" w:rsidRPr="00993559">
        <w:rPr>
          <w:rFonts w:ascii="Aptos" w:hAnsi="Aptos"/>
        </w:rPr>
        <w:t>2022</w:t>
      </w:r>
      <w:r w:rsidR="005D0CA4">
        <w:rPr>
          <w:rFonts w:ascii="Aptos" w:hAnsi="Aptos"/>
        </w:rPr>
        <w:t>)</w:t>
      </w:r>
      <w:r w:rsidRPr="00893AF6">
        <w:rPr>
          <w:rFonts w:ascii="Aptos" w:hAnsi="Aptos"/>
        </w:rPr>
        <w:t>.</w:t>
      </w:r>
    </w:p>
    <w:p w14:paraId="45066D0A" w14:textId="4FF9049C" w:rsidR="000B48DC" w:rsidRPr="000675F8" w:rsidRDefault="000B48DC" w:rsidP="00C3617B">
      <w:pPr>
        <w:pStyle w:val="NormalWeb"/>
        <w:spacing w:line="360" w:lineRule="auto"/>
        <w:jc w:val="both"/>
        <w:rPr>
          <w:rFonts w:ascii="Aptos" w:hAnsi="Aptos"/>
        </w:rPr>
      </w:pPr>
      <w:r>
        <w:rPr>
          <w:rFonts w:ascii="Aptos" w:hAnsi="Aptos"/>
        </w:rPr>
        <w:t xml:space="preserve">In conclusion, the salons current operation </w:t>
      </w:r>
      <w:r w:rsidR="00F24544">
        <w:rPr>
          <w:rFonts w:ascii="Aptos" w:hAnsi="Aptos"/>
        </w:rPr>
        <w:t>is</w:t>
      </w:r>
      <w:r>
        <w:rPr>
          <w:rFonts w:ascii="Aptos" w:hAnsi="Aptos"/>
        </w:rPr>
        <w:t xml:space="preserve"> heavily dependent on a single booking platform, integrated with social media alongside an owner led management structure</w:t>
      </w:r>
      <w:r w:rsidR="00F24544">
        <w:rPr>
          <w:rFonts w:ascii="Aptos" w:hAnsi="Aptos"/>
        </w:rPr>
        <w:t xml:space="preserve">. This offer leaves no flexibility for staff and relies on word of mouth for promotion. </w:t>
      </w:r>
    </w:p>
    <w:p w14:paraId="6D89ADC1" w14:textId="4D67FC0B" w:rsidR="007B002A" w:rsidRPr="007B002A" w:rsidRDefault="002E5DAD" w:rsidP="00C3617B">
      <w:pPr>
        <w:pStyle w:val="Heading3"/>
        <w:spacing w:line="360" w:lineRule="auto"/>
        <w:jc w:val="both"/>
      </w:pPr>
      <w:bookmarkStart w:id="5" w:name="_Toc213332606"/>
      <w:r>
        <w:t>3</w:t>
      </w:r>
      <w:r w:rsidR="007B002A" w:rsidRPr="007B002A">
        <w:t>.2 Organisational Culture</w:t>
      </w:r>
      <w:bookmarkEnd w:id="5"/>
    </w:p>
    <w:p w14:paraId="377A242D" w14:textId="3C40BEB7" w:rsidR="00F24544" w:rsidRDefault="003C268A" w:rsidP="00C3617B">
      <w:pPr>
        <w:spacing w:line="360" w:lineRule="auto"/>
        <w:jc w:val="both"/>
        <w:rPr>
          <w:rFonts w:asciiTheme="minorHAnsi" w:hAnsiTheme="minorHAnsi"/>
        </w:rPr>
      </w:pPr>
      <w:r w:rsidRPr="00FA7C01">
        <w:t>Organisational</w:t>
      </w:r>
      <w:r w:rsidRPr="003C268A">
        <w:t xml:space="preserve"> culture refers to the shared values, beliefs and behavioural norms that </w:t>
      </w:r>
      <w:r w:rsidRPr="00F545CC">
        <w:rPr>
          <w:rFonts w:asciiTheme="minorHAnsi" w:hAnsiTheme="minorHAnsi"/>
        </w:rPr>
        <w:t>shape how people operate within an organisation (Schein, 1992). At t</w:t>
      </w:r>
      <w:r w:rsidR="00F24544">
        <w:rPr>
          <w:rFonts w:asciiTheme="minorHAnsi" w:hAnsiTheme="minorHAnsi"/>
        </w:rPr>
        <w:t>he</w:t>
      </w:r>
      <w:r w:rsidRPr="00F545CC">
        <w:rPr>
          <w:rFonts w:asciiTheme="minorHAnsi" w:hAnsiTheme="minorHAnsi"/>
        </w:rPr>
        <w:t xml:space="preserve"> salon, three core cultural elements dominate: client</w:t>
      </w:r>
      <w:r w:rsidRPr="00F545CC">
        <w:rPr>
          <w:rFonts w:asciiTheme="minorHAnsi" w:hAnsiTheme="minorHAnsi"/>
        </w:rPr>
        <w:noBreakHyphen/>
        <w:t>centred professionalism, ethical integrity and continuous learning. Evidence of these values appears in the salon’s private treatment rooms, structured consultations and follow</w:t>
      </w:r>
      <w:r w:rsidRPr="00F545CC">
        <w:rPr>
          <w:rFonts w:asciiTheme="minorHAnsi" w:hAnsiTheme="minorHAnsi"/>
        </w:rPr>
        <w:noBreakHyphen/>
        <w:t>up processes</w:t>
      </w:r>
      <w:r w:rsidR="00F24544">
        <w:rPr>
          <w:rFonts w:asciiTheme="minorHAnsi" w:hAnsiTheme="minorHAnsi"/>
        </w:rPr>
        <w:t>, that all</w:t>
      </w:r>
      <w:r w:rsidRPr="00F545CC">
        <w:rPr>
          <w:rFonts w:asciiTheme="minorHAnsi" w:hAnsiTheme="minorHAnsi"/>
        </w:rPr>
        <w:t xml:space="preserve"> reinfor</w:t>
      </w:r>
      <w:r w:rsidR="00F24544">
        <w:rPr>
          <w:rFonts w:asciiTheme="minorHAnsi" w:hAnsiTheme="minorHAnsi"/>
        </w:rPr>
        <w:t>ce</w:t>
      </w:r>
      <w:r w:rsidRPr="00F545CC">
        <w:rPr>
          <w:rFonts w:asciiTheme="minorHAnsi" w:hAnsiTheme="minorHAnsi"/>
        </w:rPr>
        <w:t xml:space="preserve"> reliability and trustworthiness</w:t>
      </w:r>
      <w:r w:rsidR="005D0CA4" w:rsidRPr="00F545CC">
        <w:rPr>
          <w:rFonts w:asciiTheme="minorHAnsi" w:hAnsiTheme="minorHAnsi"/>
        </w:rPr>
        <w:t xml:space="preserve"> (Rahman </w:t>
      </w:r>
      <w:r w:rsidR="005D0CA4" w:rsidRPr="00F545CC">
        <w:rPr>
          <w:rFonts w:asciiTheme="minorHAnsi" w:hAnsiTheme="minorHAnsi"/>
          <w:i/>
          <w:iCs/>
        </w:rPr>
        <w:t>et al.,</w:t>
      </w:r>
      <w:r w:rsidR="005D0CA4" w:rsidRPr="00F545CC">
        <w:rPr>
          <w:rFonts w:asciiTheme="minorHAnsi" w:hAnsiTheme="minorHAnsi"/>
        </w:rPr>
        <w:t xml:space="preserve"> 2025)</w:t>
      </w:r>
      <w:r w:rsidRPr="00F545CC">
        <w:rPr>
          <w:rFonts w:asciiTheme="minorHAnsi" w:hAnsiTheme="minorHAnsi"/>
        </w:rPr>
        <w:t>. Yet, while these attributes align well with high</w:t>
      </w:r>
      <w:r w:rsidRPr="00F545CC">
        <w:rPr>
          <w:rFonts w:asciiTheme="minorHAnsi" w:hAnsiTheme="minorHAnsi"/>
        </w:rPr>
        <w:noBreakHyphen/>
        <w:t>performance service culture, the micro</w:t>
      </w:r>
      <w:r w:rsidRPr="00F545CC">
        <w:rPr>
          <w:rFonts w:asciiTheme="minorHAnsi" w:hAnsiTheme="minorHAnsi"/>
        </w:rPr>
        <w:noBreakHyphen/>
        <w:t>business context reveals tensions. Firstly, the dominance of the owner’s leadership, though beneficial for consistency, limits collective learning and distributed responsibility</w:t>
      </w:r>
      <w:r w:rsidR="005D0CA4" w:rsidRPr="00F545CC">
        <w:rPr>
          <w:rFonts w:asciiTheme="minorHAnsi" w:hAnsiTheme="minorHAnsi"/>
        </w:rPr>
        <w:t xml:space="preserve"> (Ayanponle, 2025)</w:t>
      </w:r>
      <w:r w:rsidRPr="00F545CC">
        <w:rPr>
          <w:rFonts w:asciiTheme="minorHAnsi" w:hAnsiTheme="minorHAnsi"/>
        </w:rPr>
        <w:t>. Literature on small medium enterprises (SMEs) emphasises that reliance on a single practitioner diminishes organisational agility and knowledge sharing (Franço</w:t>
      </w:r>
      <w:r w:rsidRPr="00F545CC">
        <w:rPr>
          <w:rFonts w:ascii="Arial" w:hAnsi="Arial" w:cs="Arial"/>
        </w:rPr>
        <w:t> </w:t>
      </w:r>
      <w:r w:rsidRPr="00F545CC">
        <w:rPr>
          <w:rFonts w:asciiTheme="minorHAnsi" w:hAnsiTheme="minorHAnsi"/>
          <w:i/>
          <w:iCs/>
        </w:rPr>
        <w:t>et al.,</w:t>
      </w:r>
      <w:r w:rsidRPr="00F545CC">
        <w:rPr>
          <w:rFonts w:asciiTheme="minorHAnsi" w:hAnsiTheme="minorHAnsi"/>
        </w:rPr>
        <w:t xml:space="preserve"> 2025). Secondly, while individual excellence is prized, the cultural emphasis on </w:t>
      </w:r>
      <w:r w:rsidR="00F24544">
        <w:rPr>
          <w:rFonts w:asciiTheme="minorHAnsi" w:hAnsiTheme="minorHAnsi"/>
        </w:rPr>
        <w:t>independence</w:t>
      </w:r>
      <w:r w:rsidRPr="00F545CC">
        <w:rPr>
          <w:rFonts w:asciiTheme="minorHAnsi" w:hAnsiTheme="minorHAnsi"/>
        </w:rPr>
        <w:t xml:space="preserve"> may suppress team</w:t>
      </w:r>
      <w:r w:rsidRPr="00F545CC">
        <w:rPr>
          <w:rFonts w:asciiTheme="minorHAnsi" w:hAnsiTheme="minorHAnsi"/>
        </w:rPr>
        <w:noBreakHyphen/>
        <w:t>based innovation, a dynamic supported by Hofstede</w:t>
      </w:r>
      <w:r w:rsidRPr="00F545CC">
        <w:rPr>
          <w:rFonts w:asciiTheme="minorHAnsi" w:hAnsiTheme="minorHAnsi" w:cs="Aptos"/>
        </w:rPr>
        <w:t>’</w:t>
      </w:r>
      <w:r w:rsidRPr="00F545CC">
        <w:rPr>
          <w:rFonts w:asciiTheme="minorHAnsi" w:hAnsiTheme="minorHAnsi"/>
        </w:rPr>
        <w:t>s dimensions (Hofstede, 1991) and evidenced in small</w:t>
      </w:r>
      <w:r w:rsidRPr="00F545CC">
        <w:rPr>
          <w:rFonts w:asciiTheme="minorHAnsi" w:hAnsiTheme="minorHAnsi"/>
        </w:rPr>
        <w:noBreakHyphen/>
        <w:t xml:space="preserve">firm studies showing that high individualism can hinder collaborative learning (Khan </w:t>
      </w:r>
      <w:r w:rsidRPr="00F545CC">
        <w:rPr>
          <w:rFonts w:asciiTheme="minorHAnsi" w:hAnsiTheme="minorHAnsi"/>
          <w:i/>
          <w:iCs/>
        </w:rPr>
        <w:t>et</w:t>
      </w:r>
      <w:r w:rsidRPr="00F545CC">
        <w:rPr>
          <w:rFonts w:ascii="Arial" w:hAnsi="Arial" w:cs="Arial"/>
          <w:i/>
          <w:iCs/>
        </w:rPr>
        <w:t> </w:t>
      </w:r>
      <w:r w:rsidRPr="00F545CC">
        <w:rPr>
          <w:rFonts w:asciiTheme="minorHAnsi" w:hAnsiTheme="minorHAnsi"/>
          <w:i/>
          <w:iCs/>
        </w:rPr>
        <w:t>al.,</w:t>
      </w:r>
      <w:r w:rsidRPr="00F545CC">
        <w:rPr>
          <w:rFonts w:asciiTheme="minorHAnsi" w:hAnsiTheme="minorHAnsi"/>
        </w:rPr>
        <w:t xml:space="preserve"> 2025). Thirdly, the absence of formal feedback loops and documented personal</w:t>
      </w:r>
      <w:r w:rsidRPr="00F545CC">
        <w:rPr>
          <w:rFonts w:asciiTheme="minorHAnsi" w:hAnsiTheme="minorHAnsi"/>
        </w:rPr>
        <w:noBreakHyphen/>
        <w:t xml:space="preserve">development plans presents a cultural gap: while informal </w:t>
      </w:r>
      <w:r w:rsidRPr="00F545CC">
        <w:rPr>
          <w:rFonts w:asciiTheme="minorHAnsi" w:hAnsiTheme="minorHAnsi"/>
        </w:rPr>
        <w:lastRenderedPageBreak/>
        <w:t>mentoring occurs, the absence of structured systems constrains continuous improvement (Edmondson, 2019</w:t>
      </w:r>
      <w:r w:rsidR="00FA7C01" w:rsidRPr="00F545CC">
        <w:rPr>
          <w:rFonts w:asciiTheme="minorHAnsi" w:hAnsiTheme="minorHAnsi"/>
        </w:rPr>
        <w:t xml:space="preserve">; Uba </w:t>
      </w:r>
      <w:r w:rsidR="00FA7C01" w:rsidRPr="00F545CC">
        <w:rPr>
          <w:rFonts w:asciiTheme="minorHAnsi" w:hAnsiTheme="minorHAnsi"/>
          <w:i/>
          <w:iCs/>
        </w:rPr>
        <w:t>et al.,</w:t>
      </w:r>
      <w:r w:rsidR="00FA7C01" w:rsidRPr="00F545CC">
        <w:rPr>
          <w:rFonts w:asciiTheme="minorHAnsi" w:hAnsiTheme="minorHAnsi"/>
        </w:rPr>
        <w:t xml:space="preserve"> 2023</w:t>
      </w:r>
      <w:r w:rsidRPr="00F545CC">
        <w:rPr>
          <w:rFonts w:asciiTheme="minorHAnsi" w:hAnsiTheme="minorHAnsi"/>
        </w:rPr>
        <w:t>).</w:t>
      </w:r>
      <w:r w:rsidR="00FA7C01" w:rsidRPr="00F545CC">
        <w:rPr>
          <w:rFonts w:asciiTheme="minorHAnsi" w:hAnsiTheme="minorHAnsi"/>
        </w:rPr>
        <w:t xml:space="preserve"> High individualism supports personal accountability but may </w:t>
      </w:r>
      <w:r w:rsidR="00F24544">
        <w:rPr>
          <w:rFonts w:asciiTheme="minorHAnsi" w:hAnsiTheme="minorHAnsi"/>
        </w:rPr>
        <w:t>fail</w:t>
      </w:r>
      <w:r w:rsidR="00FA7C01" w:rsidRPr="00F545CC">
        <w:rPr>
          <w:rFonts w:asciiTheme="minorHAnsi" w:hAnsiTheme="minorHAnsi"/>
        </w:rPr>
        <w:t xml:space="preserve"> team-based innovation, suggesting that structured collaboration mechanisms are needed to complement the prevailing culture (Bate </w:t>
      </w:r>
      <w:r w:rsidR="00FA7C01" w:rsidRPr="00F545CC">
        <w:rPr>
          <w:rFonts w:asciiTheme="minorHAnsi" w:hAnsiTheme="minorHAnsi"/>
          <w:i/>
          <w:iCs/>
        </w:rPr>
        <w:t>et al.,</w:t>
      </w:r>
      <w:r w:rsidR="00FA7C01" w:rsidRPr="00F545CC">
        <w:rPr>
          <w:rFonts w:asciiTheme="minorHAnsi" w:hAnsiTheme="minorHAnsi"/>
        </w:rPr>
        <w:t xml:space="preserve"> 2025). </w:t>
      </w:r>
      <w:r w:rsidR="007F3F69">
        <w:rPr>
          <w:rFonts w:asciiTheme="minorHAnsi" w:hAnsiTheme="minorHAnsi"/>
        </w:rPr>
        <w:t xml:space="preserve"> </w:t>
      </w:r>
      <w:r w:rsidR="007F3F69" w:rsidRPr="007F3F69">
        <w:rPr>
          <w:rFonts w:asciiTheme="minorHAnsi" w:hAnsiTheme="minorHAnsi"/>
        </w:rPr>
        <w:t xml:space="preserve">The salon’s ethos </w:t>
      </w:r>
      <w:r w:rsidR="002551A2">
        <w:rPr>
          <w:rFonts w:asciiTheme="minorHAnsi" w:hAnsiTheme="minorHAnsi"/>
        </w:rPr>
        <w:t>shows</w:t>
      </w:r>
      <w:r w:rsidR="007F3F69" w:rsidRPr="007F3F69">
        <w:rPr>
          <w:rFonts w:asciiTheme="minorHAnsi" w:hAnsiTheme="minorHAnsi"/>
        </w:rPr>
        <w:t xml:space="preserve"> safety, dignity and </w:t>
      </w:r>
      <w:r w:rsidR="002551A2">
        <w:rPr>
          <w:rFonts w:asciiTheme="minorHAnsi" w:hAnsiTheme="minorHAnsi"/>
        </w:rPr>
        <w:t>client</w:t>
      </w:r>
      <w:r w:rsidR="007F3F69" w:rsidRPr="007F3F69">
        <w:rPr>
          <w:rFonts w:asciiTheme="minorHAnsi" w:hAnsiTheme="minorHAnsi"/>
        </w:rPr>
        <w:t xml:space="preserve"> care</w:t>
      </w:r>
      <w:r w:rsidR="007F3F69">
        <w:rPr>
          <w:rFonts w:asciiTheme="minorHAnsi" w:hAnsiTheme="minorHAnsi"/>
        </w:rPr>
        <w:t xml:space="preserve"> which</w:t>
      </w:r>
      <w:r w:rsidR="007F3F69" w:rsidRPr="007F3F69">
        <w:rPr>
          <w:rFonts w:asciiTheme="minorHAnsi" w:hAnsiTheme="minorHAnsi"/>
        </w:rPr>
        <w:t xml:space="preserve"> </w:t>
      </w:r>
      <w:r w:rsidR="002551A2">
        <w:rPr>
          <w:rFonts w:asciiTheme="minorHAnsi" w:hAnsiTheme="minorHAnsi"/>
        </w:rPr>
        <w:t>values</w:t>
      </w:r>
      <w:r w:rsidR="007F3F69" w:rsidRPr="007F3F69">
        <w:rPr>
          <w:rFonts w:asciiTheme="minorHAnsi" w:hAnsiTheme="minorHAnsi"/>
        </w:rPr>
        <w:t xml:space="preserve"> behaviours</w:t>
      </w:r>
      <w:r w:rsidR="007F3F69">
        <w:rPr>
          <w:rFonts w:asciiTheme="minorHAnsi" w:hAnsiTheme="minorHAnsi"/>
        </w:rPr>
        <w:t xml:space="preserve"> like</w:t>
      </w:r>
      <w:r w:rsidR="007F3F69" w:rsidRPr="007F3F69">
        <w:rPr>
          <w:rFonts w:asciiTheme="minorHAnsi" w:hAnsiTheme="minorHAnsi"/>
        </w:rPr>
        <w:t xml:space="preserve"> </w:t>
      </w:r>
      <w:r w:rsidR="007F3F69">
        <w:rPr>
          <w:rFonts w:asciiTheme="minorHAnsi" w:hAnsiTheme="minorHAnsi"/>
        </w:rPr>
        <w:t xml:space="preserve">being </w:t>
      </w:r>
      <w:proofErr w:type="spellStart"/>
      <w:r w:rsidR="002551A2">
        <w:rPr>
          <w:rFonts w:asciiTheme="minorHAnsi" w:hAnsiTheme="minorHAnsi"/>
        </w:rPr>
        <w:t>being</w:t>
      </w:r>
      <w:proofErr w:type="spellEnd"/>
      <w:r w:rsidR="002551A2">
        <w:rPr>
          <w:rFonts w:asciiTheme="minorHAnsi" w:hAnsiTheme="minorHAnsi"/>
        </w:rPr>
        <w:t xml:space="preserve"> respectful and aftercare given. </w:t>
      </w:r>
      <w:r w:rsidR="007F3F69" w:rsidRPr="007F3F69">
        <w:rPr>
          <w:rFonts w:asciiTheme="minorHAnsi" w:hAnsiTheme="minorHAnsi"/>
        </w:rPr>
        <w:t xml:space="preserve">To reinforce </w:t>
      </w:r>
      <w:r w:rsidR="002551A2">
        <w:rPr>
          <w:rFonts w:asciiTheme="minorHAnsi" w:hAnsiTheme="minorHAnsi"/>
        </w:rPr>
        <w:t>its ethos</w:t>
      </w:r>
      <w:r w:rsidR="007F3F69" w:rsidRPr="007F3F69">
        <w:rPr>
          <w:rFonts w:asciiTheme="minorHAnsi" w:hAnsiTheme="minorHAnsi"/>
        </w:rPr>
        <w:t>, the organisation can codify five shared values</w:t>
      </w:r>
      <w:r w:rsidR="007F3F69">
        <w:rPr>
          <w:rFonts w:asciiTheme="minorHAnsi" w:hAnsiTheme="minorHAnsi"/>
        </w:rPr>
        <w:t xml:space="preserve">, integrity, safety, compassion, competence and accountability.  </w:t>
      </w:r>
      <w:r w:rsidR="007F3F69" w:rsidRPr="007F3F69">
        <w:rPr>
          <w:rFonts w:asciiTheme="minorHAnsi" w:hAnsiTheme="minorHAnsi"/>
        </w:rPr>
        <w:t>In micro-businesses, the everyday modelling of values by the owner is especially salient: when leaders demonstrate humility, transparency and care, the values move from posters to practice, strengthening psychological safety and client trust</w:t>
      </w:r>
      <w:r w:rsidR="007F3F69">
        <w:rPr>
          <w:rFonts w:asciiTheme="minorHAnsi" w:hAnsiTheme="minorHAnsi"/>
        </w:rPr>
        <w:t xml:space="preserve"> (JCCP, 2023)</w:t>
      </w:r>
      <w:r w:rsidR="007F3F69" w:rsidRPr="007F3F69">
        <w:rPr>
          <w:rFonts w:asciiTheme="minorHAnsi" w:hAnsiTheme="minorHAnsi"/>
        </w:rPr>
        <w:t>.</w:t>
      </w:r>
    </w:p>
    <w:p w14:paraId="5B73458E" w14:textId="3A0D9E2E" w:rsidR="003C268A" w:rsidRPr="00F545CC" w:rsidRDefault="003C268A" w:rsidP="00C3617B">
      <w:pPr>
        <w:spacing w:line="360" w:lineRule="auto"/>
        <w:jc w:val="both"/>
        <w:rPr>
          <w:rFonts w:asciiTheme="minorHAnsi" w:hAnsiTheme="minorHAnsi"/>
        </w:rPr>
      </w:pPr>
      <w:r w:rsidRPr="00F545CC">
        <w:rPr>
          <w:rFonts w:asciiTheme="minorHAnsi" w:hAnsiTheme="minorHAnsi"/>
        </w:rPr>
        <w:t>In sum</w:t>
      </w:r>
      <w:r w:rsidR="00F24544">
        <w:rPr>
          <w:rFonts w:asciiTheme="minorHAnsi" w:hAnsiTheme="minorHAnsi"/>
        </w:rPr>
        <w:t>mary</w:t>
      </w:r>
      <w:r w:rsidRPr="00F545CC">
        <w:rPr>
          <w:rFonts w:asciiTheme="minorHAnsi" w:hAnsiTheme="minorHAnsi"/>
        </w:rPr>
        <w:t>, the salon</w:t>
      </w:r>
      <w:r w:rsidRPr="00F545CC">
        <w:rPr>
          <w:rFonts w:asciiTheme="minorHAnsi" w:hAnsiTheme="minorHAnsi" w:cs="Aptos"/>
        </w:rPr>
        <w:t>’</w:t>
      </w:r>
      <w:r w:rsidRPr="00F545CC">
        <w:rPr>
          <w:rFonts w:asciiTheme="minorHAnsi" w:hAnsiTheme="minorHAnsi"/>
        </w:rPr>
        <w:t>s culture clearly supports trust, ethical practice and client focus, yet the structural and behavioural underpinnings of the organisation inhibit the evolution of a genuinely high</w:t>
      </w:r>
      <w:r w:rsidRPr="00F545CC">
        <w:rPr>
          <w:rFonts w:asciiTheme="minorHAnsi" w:hAnsiTheme="minorHAnsi"/>
        </w:rPr>
        <w:noBreakHyphen/>
        <w:t>performing, collaborative culture.</w:t>
      </w:r>
    </w:p>
    <w:p w14:paraId="23B9CE21" w14:textId="296338DF" w:rsidR="007E017B" w:rsidRPr="00C3617B" w:rsidRDefault="007E017B" w:rsidP="00C3617B">
      <w:pPr>
        <w:pStyle w:val="Heading3"/>
        <w:spacing w:line="360" w:lineRule="auto"/>
        <w:jc w:val="both"/>
      </w:pPr>
      <w:bookmarkStart w:id="6" w:name="_Toc213332607"/>
      <w:r w:rsidRPr="00C3617B">
        <w:t xml:space="preserve">3.3 </w:t>
      </w:r>
      <w:r w:rsidR="007B002A" w:rsidRPr="00C3617B">
        <w:t>Contextual Influence</w:t>
      </w:r>
      <w:bookmarkEnd w:id="6"/>
      <w:r w:rsidRPr="00C3617B">
        <w:t xml:space="preserve"> </w:t>
      </w:r>
    </w:p>
    <w:p w14:paraId="608CA647" w14:textId="5E68F4A8" w:rsidR="003C268A" w:rsidRDefault="003C268A" w:rsidP="00C3617B">
      <w:pPr>
        <w:spacing w:line="360" w:lineRule="auto"/>
        <w:jc w:val="both"/>
      </w:pPr>
      <w:r w:rsidRPr="0010716A">
        <w:t xml:space="preserve">The </w:t>
      </w:r>
      <w:r w:rsidRPr="003C268A">
        <w:t>salon’s cultural and operational profile is shaped by three interconnected contextual forces: industry norms, the micro</w:t>
      </w:r>
      <w:r w:rsidRPr="003C268A">
        <w:noBreakHyphen/>
        <w:t>business structure and client expectations. The aesthetics industry mandates strict accreditation, hygiene standards and risk management</w:t>
      </w:r>
      <w:r w:rsidR="00FA7C01">
        <w:t>,</w:t>
      </w:r>
      <w:r w:rsidRPr="003C268A">
        <w:t xml:space="preserve"> driving a culture of safety, professionalism and compliance</w:t>
      </w:r>
      <w:r w:rsidR="00FA7C01">
        <w:t xml:space="preserve"> (Rahman </w:t>
      </w:r>
      <w:r w:rsidR="00FA7C01" w:rsidRPr="00FA7C01">
        <w:rPr>
          <w:i/>
          <w:iCs/>
        </w:rPr>
        <w:t>et al.,</w:t>
      </w:r>
      <w:r w:rsidR="00FA7C01">
        <w:t xml:space="preserve"> 2025)</w:t>
      </w:r>
      <w:r w:rsidRPr="003C268A">
        <w:t>. These demands promote trust but may restrict flexibility and stifle innovation if staff become overly deference</w:t>
      </w:r>
      <w:r w:rsidRPr="003C268A">
        <w:noBreakHyphen/>
        <w:t>driven (Rodgers, 2024). The small</w:t>
      </w:r>
      <w:r w:rsidRPr="003C268A">
        <w:noBreakHyphen/>
        <w:t>business structure enables personal leadership and a lean cost base, yet research shows that small teams with concentrated decision</w:t>
      </w:r>
      <w:r w:rsidRPr="003C268A">
        <w:noBreakHyphen/>
        <w:t>making face greater risk of disruption if the owner or key practitioner is absent. Client expectations further sculpt culture</w:t>
      </w:r>
      <w:r w:rsidR="00F24544">
        <w:t xml:space="preserve"> where</w:t>
      </w:r>
      <w:r w:rsidRPr="003C268A">
        <w:t xml:space="preserve"> clients demand high professionalism, safety and personalised </w:t>
      </w:r>
      <w:r w:rsidR="00FA7C01" w:rsidRPr="003C268A">
        <w:t>service</w:t>
      </w:r>
      <w:r w:rsidR="00FA7C01">
        <w:t xml:space="preserve">, </w:t>
      </w:r>
      <w:r w:rsidR="00FA7C01" w:rsidRPr="003C268A">
        <w:t>imposing</w:t>
      </w:r>
      <w:r w:rsidRPr="003C268A">
        <w:t xml:space="preserve"> ongoing performance pressure</w:t>
      </w:r>
      <w:r w:rsidR="00F24544">
        <w:t>,</w:t>
      </w:r>
      <w:r w:rsidRPr="003C268A">
        <w:t xml:space="preserve"> but also raising the stakes of service failure or reputational harm. This tri</w:t>
      </w:r>
      <w:r w:rsidR="00FA7C01">
        <w:t>o</w:t>
      </w:r>
      <w:r w:rsidRPr="003C268A">
        <w:t xml:space="preserve"> of influences supports professionalism and client</w:t>
      </w:r>
      <w:r w:rsidRPr="003C268A">
        <w:noBreakHyphen/>
        <w:t xml:space="preserve">focus, but it </w:t>
      </w:r>
      <w:r w:rsidR="00F24544">
        <w:t>may</w:t>
      </w:r>
      <w:r w:rsidRPr="003C268A">
        <w:t xml:space="preserve"> </w:t>
      </w:r>
      <w:r w:rsidR="00F24544" w:rsidRPr="003C268A">
        <w:t>enforce</w:t>
      </w:r>
      <w:r w:rsidRPr="003C268A">
        <w:t xml:space="preserve"> constraints on innovation, delegation and learning. The interplay between culture and context</w:t>
      </w:r>
      <w:r w:rsidR="00F24544">
        <w:t>,</w:t>
      </w:r>
      <w:r w:rsidRPr="003C268A">
        <w:t xml:space="preserve"> places the salon in a double bind</w:t>
      </w:r>
      <w:r w:rsidR="00F24544">
        <w:t>. It b</w:t>
      </w:r>
      <w:r w:rsidRPr="003C268A">
        <w:t>enefits from strong client</w:t>
      </w:r>
      <w:r w:rsidRPr="003C268A">
        <w:noBreakHyphen/>
        <w:t>centric norms and trust</w:t>
      </w:r>
      <w:r w:rsidRPr="003C268A">
        <w:noBreakHyphen/>
        <w:t xml:space="preserve">based relationships but </w:t>
      </w:r>
      <w:r w:rsidR="00F24544">
        <w:t xml:space="preserve">may </w:t>
      </w:r>
      <w:r w:rsidRPr="003C268A">
        <w:t xml:space="preserve">navigate structural and contextual limits that </w:t>
      </w:r>
      <w:r w:rsidR="00F24544">
        <w:t>can</w:t>
      </w:r>
      <w:r w:rsidRPr="003C268A">
        <w:t xml:space="preserve"> inhibit sustainable high performance</w:t>
      </w:r>
      <w:r w:rsidR="00FA7C01">
        <w:t xml:space="preserve"> </w:t>
      </w:r>
      <w:r w:rsidR="0010716A">
        <w:t>(Agravat &amp; Macwan, 2024</w:t>
      </w:r>
      <w:r w:rsidR="00FA7C01" w:rsidRPr="00FA7C01">
        <w:t>).</w:t>
      </w:r>
    </w:p>
    <w:p w14:paraId="5F0890FA" w14:textId="5D621218" w:rsidR="00F24544" w:rsidRPr="0074061B" w:rsidRDefault="00F24544" w:rsidP="00C3617B">
      <w:pPr>
        <w:spacing w:line="360" w:lineRule="auto"/>
        <w:jc w:val="both"/>
      </w:pPr>
      <w:r>
        <w:lastRenderedPageBreak/>
        <w:t xml:space="preserve">Overall, the salon’s culture reflects a careful balance between professionalism and </w:t>
      </w:r>
      <w:r w:rsidR="003D0C95">
        <w:t xml:space="preserve">operational constraint. Client driven factors reinforce high standards and </w:t>
      </w:r>
      <w:proofErr w:type="gramStart"/>
      <w:r w:rsidR="003D0C95">
        <w:t>reliability,</w:t>
      </w:r>
      <w:proofErr w:type="gramEnd"/>
      <w:r w:rsidR="003D0C95">
        <w:t xml:space="preserve"> however regulations create limitations that may affect innovation, creation and long-term sustainability. </w:t>
      </w:r>
    </w:p>
    <w:p w14:paraId="635C67C8" w14:textId="79B74296" w:rsidR="007B002A" w:rsidRPr="00C3617B" w:rsidRDefault="007B030D" w:rsidP="00C3617B">
      <w:pPr>
        <w:pStyle w:val="Heading3"/>
        <w:spacing w:line="360" w:lineRule="auto"/>
        <w:jc w:val="both"/>
      </w:pPr>
      <w:bookmarkStart w:id="7" w:name="_Toc213332608"/>
      <w:r w:rsidRPr="00C3617B">
        <w:t>3</w:t>
      </w:r>
      <w:r w:rsidR="007B002A" w:rsidRPr="00C3617B">
        <w:t>.4 Critical Assessment</w:t>
      </w:r>
      <w:bookmarkEnd w:id="7"/>
    </w:p>
    <w:p w14:paraId="5620393D" w14:textId="0DAC7104" w:rsidR="00BA2D87" w:rsidRPr="00BA2D87" w:rsidRDefault="000B5D4E" w:rsidP="00BA2D87">
      <w:pPr>
        <w:spacing w:line="360" w:lineRule="auto"/>
        <w:jc w:val="both"/>
        <w:rPr>
          <w:rStyle w:val="Heading3Char"/>
          <w:rFonts w:eastAsia="Aptos" w:cs="Times New Roman"/>
          <w:color w:val="auto"/>
          <w:sz w:val="24"/>
          <w:szCs w:val="24"/>
        </w:rPr>
      </w:pPr>
      <w:r>
        <w:t>What, where, who, when, how and why method will be used to</w:t>
      </w:r>
      <w:r w:rsidRPr="000B5D4E">
        <w:t xml:space="preserve"> critically evaluate how well the salon’s present culture promotes high performance, to identify gaps and to recommend targeted improvements</w:t>
      </w:r>
      <w:r w:rsidR="002E63C3">
        <w:t>.</w:t>
      </w:r>
    </w:p>
    <w:p w14:paraId="113FC2C8" w14:textId="77249092" w:rsidR="00BA2D87" w:rsidRDefault="00BA2D87" w:rsidP="00BA2D87">
      <w:pPr>
        <w:pStyle w:val="Heading4"/>
        <w:spacing w:line="360" w:lineRule="auto"/>
      </w:pPr>
      <w:r>
        <w:t xml:space="preserve">3.4.1. What is the culture delivering? </w:t>
      </w:r>
    </w:p>
    <w:p w14:paraId="6A013D1F" w14:textId="1C62B17D" w:rsidR="000B5D4E" w:rsidRPr="000B5D4E" w:rsidRDefault="000B5D4E" w:rsidP="00BA2D87">
      <w:pPr>
        <w:spacing w:line="360" w:lineRule="auto"/>
        <w:jc w:val="both"/>
      </w:pPr>
      <w:r w:rsidRPr="00F545CC">
        <w:t xml:space="preserve">The salon’s culture delivers professionalism, ethical practice and strong personal accountability. These cultural attributes produce consistent, high-quality </w:t>
      </w:r>
      <w:r w:rsidR="002E63C3" w:rsidRPr="00F545CC">
        <w:t>services</w:t>
      </w:r>
      <w:r w:rsidRPr="00F545CC">
        <w:t xml:space="preserve"> and a strong client trust (Schein, 1992; Rahman </w:t>
      </w:r>
      <w:r w:rsidRPr="00F24544">
        <w:rPr>
          <w:i/>
          <w:iCs/>
        </w:rPr>
        <w:t>et al</w:t>
      </w:r>
      <w:r w:rsidRPr="00F545CC">
        <w:t>., 2025). The downsides are limited formal communication, few documented staff development processes, centralised decision-making and constrained knowledge sharing. These constraints reduce redundancy, inhibit scalable service delivery and limit innovation (</w:t>
      </w:r>
      <w:r w:rsidR="002E63C3" w:rsidRPr="00F545CC">
        <w:t>Ansari &amp; Tasleem, 2022</w:t>
      </w:r>
      <w:r w:rsidRPr="00F545CC">
        <w:t>; Elshaer &amp; Saad, 2022).</w:t>
      </w:r>
    </w:p>
    <w:p w14:paraId="2C063F0D" w14:textId="77777777" w:rsidR="00BA2D87" w:rsidRDefault="00BA2D87" w:rsidP="00BA2D87">
      <w:pPr>
        <w:pStyle w:val="Heading4"/>
        <w:spacing w:line="360" w:lineRule="auto"/>
      </w:pPr>
      <w:r>
        <w:t xml:space="preserve">3.4.2 Where do Strengths and Weaknesses appear in the organisation? </w:t>
      </w:r>
    </w:p>
    <w:p w14:paraId="4C92B3A4" w14:textId="7D003B9D" w:rsidR="000B5D4E" w:rsidRPr="000B5D4E" w:rsidRDefault="000B5D4E" w:rsidP="00BA2D87">
      <w:pPr>
        <w:spacing w:line="360" w:lineRule="auto"/>
        <w:jc w:val="both"/>
      </w:pPr>
      <w:r w:rsidRPr="000B5D4E">
        <w:t xml:space="preserve">Strengths </w:t>
      </w:r>
      <w:r w:rsidR="002E63C3">
        <w:t xml:space="preserve">lay within </w:t>
      </w:r>
      <w:r w:rsidRPr="000B5D4E">
        <w:t xml:space="preserve">client consultations, </w:t>
      </w:r>
      <w:r w:rsidR="002E63C3">
        <w:t>private areas for treatments</w:t>
      </w:r>
      <w:r w:rsidRPr="000B5D4E">
        <w:t xml:space="preserve"> and in the owner’s leadership behaviour modelling</w:t>
      </w:r>
      <w:r w:rsidR="002E63C3">
        <w:t xml:space="preserve"> high </w:t>
      </w:r>
      <w:r w:rsidRPr="000B5D4E">
        <w:t xml:space="preserve">standards </w:t>
      </w:r>
      <w:r w:rsidR="002E63C3">
        <w:t>that create</w:t>
      </w:r>
      <w:r w:rsidRPr="000B5D4E">
        <w:t xml:space="preserve"> credibility</w:t>
      </w:r>
      <w:r w:rsidR="003D0C95">
        <w:t>, projecting professionalism and promoting client reviews towards the organisation.</w:t>
      </w:r>
      <w:r w:rsidRPr="000B5D4E">
        <w:t xml:space="preserve"> Weaknesses appear in administrative and developmental areas</w:t>
      </w:r>
      <w:r w:rsidR="002E63C3">
        <w:t xml:space="preserve"> as there </w:t>
      </w:r>
      <w:r w:rsidR="00C3617B">
        <w:t>are</w:t>
      </w:r>
      <w:r w:rsidRPr="000B5D4E">
        <w:t xml:space="preserve"> no formal </w:t>
      </w:r>
      <w:r>
        <w:t>personal development plans (</w:t>
      </w:r>
      <w:r w:rsidRPr="000B5D4E">
        <w:t>PDPs</w:t>
      </w:r>
      <w:r>
        <w:t>)</w:t>
      </w:r>
      <w:r w:rsidRPr="000B5D4E">
        <w:t xml:space="preserve">, no documented one-to-ones, limited </w:t>
      </w:r>
      <w:r>
        <w:t>customer resource management (</w:t>
      </w:r>
      <w:r w:rsidRPr="000B5D4E">
        <w:t>CRM</w:t>
      </w:r>
      <w:r>
        <w:t>)</w:t>
      </w:r>
      <w:r w:rsidRPr="000B5D4E">
        <w:t xml:space="preserve"> and </w:t>
      </w:r>
      <w:r w:rsidR="002E63C3">
        <w:t>no formal</w:t>
      </w:r>
      <w:r w:rsidRPr="000B5D4E">
        <w:t xml:space="preserve"> feedback loops for staff learning and service improvement (</w:t>
      </w:r>
      <w:r w:rsidR="002E63C3">
        <w:t xml:space="preserve">Wu </w:t>
      </w:r>
      <w:r w:rsidRPr="000B5D4E">
        <w:rPr>
          <w:i/>
          <w:iCs/>
        </w:rPr>
        <w:t>et al</w:t>
      </w:r>
      <w:r w:rsidRPr="000B5D4E">
        <w:t>., 2024).</w:t>
      </w:r>
    </w:p>
    <w:p w14:paraId="33026B34" w14:textId="3D341AF4" w:rsidR="000B5D4E" w:rsidRPr="000B5D4E" w:rsidRDefault="000B5D4E" w:rsidP="00C3617B">
      <w:pPr>
        <w:spacing w:line="360" w:lineRule="auto"/>
        <w:jc w:val="both"/>
      </w:pPr>
      <w:r w:rsidRPr="00C3617B">
        <w:rPr>
          <w:rStyle w:val="Heading4Char"/>
        </w:rPr>
        <w:t>3.4.3</w:t>
      </w:r>
      <w:r w:rsidRPr="00C3617B">
        <w:rPr>
          <w:rStyle w:val="Heading4Char"/>
        </w:rPr>
        <w:tab/>
        <w:t>Who is responsible and who benefits or loses?</w:t>
      </w:r>
      <w:r w:rsidRPr="00C3617B">
        <w:rPr>
          <w:rStyle w:val="Heading4Char"/>
        </w:rPr>
        <w:br/>
      </w:r>
      <w:r w:rsidRPr="000B5D4E">
        <w:t xml:space="preserve">The owner </w:t>
      </w:r>
      <w:r w:rsidR="002E63C3">
        <w:t>holds</w:t>
      </w:r>
      <w:r w:rsidR="002E63C3" w:rsidRPr="000B5D4E">
        <w:t xml:space="preserve"> </w:t>
      </w:r>
      <w:r w:rsidRPr="000B5D4E">
        <w:t>responsibility</w:t>
      </w:r>
      <w:r w:rsidR="002E63C3">
        <w:t>, benefiting the staff</w:t>
      </w:r>
      <w:r w:rsidRPr="000B5D4E">
        <w:t xml:space="preserve"> from close mentoring but </w:t>
      </w:r>
      <w:r w:rsidR="002E63C3">
        <w:t>leaves them</w:t>
      </w:r>
      <w:r w:rsidRPr="000B5D4E">
        <w:t xml:space="preserve"> vulnerable to inconsistent development and unclear progression. </w:t>
      </w:r>
      <w:r w:rsidR="003D0C95">
        <w:t>The c</w:t>
      </w:r>
      <w:r w:rsidRPr="000B5D4E">
        <w:t xml:space="preserve">lients benefit from consistency but face service risk if </w:t>
      </w:r>
      <w:r w:rsidR="003D0C95">
        <w:t xml:space="preserve">the </w:t>
      </w:r>
      <w:r w:rsidRPr="000B5D4E">
        <w:t>owner</w:t>
      </w:r>
      <w:r w:rsidR="003D0C95">
        <w:t>’s</w:t>
      </w:r>
      <w:r w:rsidRPr="000B5D4E">
        <w:t xml:space="preserve"> capacity is constrained. The organisation </w:t>
      </w:r>
      <w:r w:rsidR="000B71B8" w:rsidRPr="000B5D4E">
        <w:t>loses</w:t>
      </w:r>
      <w:r w:rsidRPr="000B5D4E">
        <w:t xml:space="preserve"> potential resilience and</w:t>
      </w:r>
      <w:r w:rsidR="003D0C95">
        <w:t xml:space="preserve"> the</w:t>
      </w:r>
      <w:r w:rsidRPr="000B5D4E">
        <w:t xml:space="preserve"> capacity to grow if </w:t>
      </w:r>
      <w:r w:rsidR="003D0C95">
        <w:t xml:space="preserve">their </w:t>
      </w:r>
      <w:r w:rsidRPr="000B5D4E">
        <w:t>knowledge and decision authority remain concentrated (Guluma, 2021).</w:t>
      </w:r>
    </w:p>
    <w:p w14:paraId="7ED76E72" w14:textId="45B8EA27" w:rsidR="000B5D4E" w:rsidRPr="000B5D4E" w:rsidRDefault="000B71B8" w:rsidP="00C3617B">
      <w:pPr>
        <w:spacing w:line="360" w:lineRule="auto"/>
        <w:jc w:val="both"/>
      </w:pPr>
      <w:r w:rsidRPr="00C3617B">
        <w:rPr>
          <w:rStyle w:val="Heading4Char"/>
        </w:rPr>
        <w:lastRenderedPageBreak/>
        <w:t xml:space="preserve">3.4.4 </w:t>
      </w:r>
      <w:r w:rsidR="000B5D4E" w:rsidRPr="00C3617B">
        <w:rPr>
          <w:rStyle w:val="Heading4Char"/>
        </w:rPr>
        <w:t>When?</w:t>
      </w:r>
      <w:r w:rsidRPr="00C3617B">
        <w:rPr>
          <w:rStyle w:val="Heading4Char"/>
        </w:rPr>
        <w:t xml:space="preserve"> </w:t>
      </w:r>
      <w:r w:rsidR="000B5D4E" w:rsidRPr="00C3617B">
        <w:rPr>
          <w:rStyle w:val="Heading4Char"/>
        </w:rPr>
        <w:t>When do cultural issues show up?</w:t>
      </w:r>
      <w:r w:rsidR="000B5D4E" w:rsidRPr="00C3617B">
        <w:rPr>
          <w:rStyle w:val="Heading4Char"/>
        </w:rPr>
        <w:br/>
      </w:r>
      <w:r w:rsidR="000B5D4E" w:rsidRPr="000B5D4E">
        <w:t xml:space="preserve">Cultural weaknesses </w:t>
      </w:r>
      <w:r w:rsidR="001422D5">
        <w:t>are demonstrated when</w:t>
      </w:r>
      <w:r>
        <w:t xml:space="preserve"> the owner is the only lead practitioner and client demand their services over less-qualified staff. When i</w:t>
      </w:r>
      <w:r w:rsidR="000B5D4E" w:rsidRPr="000B5D4E">
        <w:t>ntroducing new treatments</w:t>
      </w:r>
      <w:r>
        <w:t xml:space="preserve">, having employees </w:t>
      </w:r>
      <w:r w:rsidR="003D0C95">
        <w:t>who</w:t>
      </w:r>
      <w:r>
        <w:t xml:space="preserve"> offer different treatment</w:t>
      </w:r>
      <w:r w:rsidR="001422D5">
        <w:t>s</w:t>
      </w:r>
      <w:r>
        <w:t xml:space="preserve"> </w:t>
      </w:r>
      <w:r w:rsidR="003D0C95">
        <w:t>may</w:t>
      </w:r>
      <w:r>
        <w:t xml:space="preserve"> cause risk </w:t>
      </w:r>
      <w:r w:rsidR="000B5D4E" w:rsidRPr="000B5D4E">
        <w:t>when</w:t>
      </w:r>
      <w:r w:rsidR="003D0C95">
        <w:t xml:space="preserve"> there is no feedback on the treatment, no</w:t>
      </w:r>
      <w:r w:rsidR="000B5D4E" w:rsidRPr="000B5D4E">
        <w:t xml:space="preserve"> compliance or incident reviews are required</w:t>
      </w:r>
      <w:r>
        <w:t xml:space="preserve">, </w:t>
      </w:r>
      <w:r w:rsidR="003D0C95">
        <w:t xml:space="preserve">as </w:t>
      </w:r>
      <w:r>
        <w:t>t</w:t>
      </w:r>
      <w:r w:rsidR="000B5D4E" w:rsidRPr="000B5D4E">
        <w:t>hey become acute when staff absence or turnover occurs, creating service disruption and knowledge gaps</w:t>
      </w:r>
      <w:r w:rsidR="001422D5">
        <w:t>, however this can be a difficult weakness to overcome when funds are not readily available or there is not enough demand for two employees to offer the same services (</w:t>
      </w:r>
      <w:r w:rsidR="001422D5" w:rsidRPr="001422D5">
        <w:t>Erdiaw-Kwasie</w:t>
      </w:r>
      <w:r w:rsidR="001422D5">
        <w:t xml:space="preserve"> </w:t>
      </w:r>
      <w:r w:rsidR="001422D5" w:rsidRPr="001422D5">
        <w:rPr>
          <w:i/>
          <w:iCs/>
        </w:rPr>
        <w:t>et al.,</w:t>
      </w:r>
      <w:r w:rsidR="001422D5">
        <w:t xml:space="preserve"> </w:t>
      </w:r>
      <w:r w:rsidR="001422D5" w:rsidRPr="001422D5">
        <w:t>2023</w:t>
      </w:r>
      <w:r w:rsidR="001422D5">
        <w:t xml:space="preserve">). </w:t>
      </w:r>
      <w:r w:rsidR="001422D5" w:rsidRPr="000B5D4E">
        <w:t xml:space="preserve"> </w:t>
      </w:r>
    </w:p>
    <w:p w14:paraId="29B51356" w14:textId="00953FA3" w:rsidR="000B5D4E" w:rsidRPr="000B5D4E" w:rsidRDefault="000B71B8" w:rsidP="00C3617B">
      <w:pPr>
        <w:spacing w:line="360" w:lineRule="auto"/>
        <w:jc w:val="both"/>
      </w:pPr>
      <w:r w:rsidRPr="00C3617B">
        <w:rPr>
          <w:rStyle w:val="Heading4Char"/>
        </w:rPr>
        <w:t>3.4.5</w:t>
      </w:r>
      <w:r w:rsidRPr="00C3617B">
        <w:rPr>
          <w:rStyle w:val="Heading4Char"/>
        </w:rPr>
        <w:tab/>
      </w:r>
      <w:r w:rsidR="000B5D4E" w:rsidRPr="00C3617B">
        <w:rPr>
          <w:rStyle w:val="Heading4Char"/>
        </w:rPr>
        <w:t>How? How does culture operate to produce these effects?</w:t>
      </w:r>
      <w:r w:rsidR="000B5D4E" w:rsidRPr="00C3617B">
        <w:rPr>
          <w:rStyle w:val="Heading4Char"/>
        </w:rPr>
        <w:br/>
      </w:r>
      <w:r w:rsidR="00EF5090">
        <w:t xml:space="preserve">The salon </w:t>
      </w:r>
      <w:r w:rsidR="000B5D4E" w:rsidRPr="000B5D4E">
        <w:t xml:space="preserve">operates </w:t>
      </w:r>
      <w:r w:rsidR="00EF5090">
        <w:t xml:space="preserve">its culture by encouraging </w:t>
      </w:r>
      <w:r w:rsidR="000B5D4E" w:rsidRPr="000B5D4E">
        <w:t xml:space="preserve">informal routines, </w:t>
      </w:r>
      <w:r w:rsidR="00EF5090">
        <w:t xml:space="preserve">blended learning, such as observations and informal feedback </w:t>
      </w:r>
      <w:r w:rsidR="000B5D4E" w:rsidRPr="000B5D4E">
        <w:t xml:space="preserve">and </w:t>
      </w:r>
      <w:r w:rsidR="00EF5090">
        <w:t>t</w:t>
      </w:r>
      <w:r w:rsidR="000B5D4E" w:rsidRPr="000B5D4E">
        <w:t xml:space="preserve">hese reinforce short-term performance but fail to embed </w:t>
      </w:r>
      <w:r w:rsidR="00EF5090">
        <w:t>learning</w:t>
      </w:r>
      <w:r w:rsidR="000B5D4E" w:rsidRPr="000B5D4E">
        <w:t xml:space="preserve"> systems (Edmondson, 2019). The salon’s high individualism and low formalisation (</w:t>
      </w:r>
      <w:r w:rsidR="00EF5090">
        <w:t>Minkov &amp; Kaasa, 2022)</w:t>
      </w:r>
      <w:r w:rsidR="000B5D4E" w:rsidRPr="000B5D4E">
        <w:t xml:space="preserve">; </w:t>
      </w:r>
      <w:r w:rsidR="00EF5090">
        <w:t>small medium enterprise (</w:t>
      </w:r>
      <w:r w:rsidR="000B5D4E" w:rsidRPr="000B5D4E">
        <w:t>SME</w:t>
      </w:r>
      <w:r w:rsidR="00EF5090">
        <w:t>) that</w:t>
      </w:r>
      <w:r w:rsidR="000B5D4E" w:rsidRPr="000B5D4E">
        <w:t xml:space="preserve"> produce speed and personalised care but undermine models </w:t>
      </w:r>
      <w:r w:rsidR="002551A2">
        <w:t>of</w:t>
      </w:r>
      <w:r w:rsidR="000B5D4E" w:rsidRPr="000B5D4E">
        <w:t xml:space="preserve"> accountability, which are necessary for sustained high performance.</w:t>
      </w:r>
    </w:p>
    <w:p w14:paraId="2EC683E0" w14:textId="74E7FE3A" w:rsidR="007A589D" w:rsidRPr="00C3617B" w:rsidRDefault="000B71B8" w:rsidP="00BA2D87">
      <w:pPr>
        <w:spacing w:line="360" w:lineRule="auto"/>
        <w:jc w:val="both"/>
        <w:rPr>
          <w:rStyle w:val="Heading3Char"/>
          <w:rFonts w:eastAsia="Aptos" w:cs="Times New Roman"/>
          <w:color w:val="auto"/>
          <w:sz w:val="24"/>
          <w:szCs w:val="24"/>
        </w:rPr>
      </w:pPr>
      <w:r w:rsidRPr="00C3617B">
        <w:rPr>
          <w:rStyle w:val="Heading4Char"/>
        </w:rPr>
        <w:t xml:space="preserve">3.4.6 </w:t>
      </w:r>
      <w:r w:rsidR="000B5D4E" w:rsidRPr="00C3617B">
        <w:rPr>
          <w:rStyle w:val="Heading4Char"/>
        </w:rPr>
        <w:t>Why have these cultural patterns emerged?</w:t>
      </w:r>
      <w:r w:rsidR="000B5D4E" w:rsidRPr="00C3617B">
        <w:rPr>
          <w:rStyle w:val="Heading4Char"/>
        </w:rPr>
        <w:br/>
      </w:r>
      <w:r w:rsidR="000B5D4E" w:rsidRPr="000B5D4E">
        <w:t xml:space="preserve">Patterns stem from the micro-business structure </w:t>
      </w:r>
      <w:r w:rsidR="00EF5090">
        <w:t>with a small team and limited resource,</w:t>
      </w:r>
      <w:r w:rsidR="000B5D4E" w:rsidRPr="000B5D4E">
        <w:t xml:space="preserve"> regulatory pressures that prioritise safety and owner accountability, </w:t>
      </w:r>
      <w:r w:rsidR="00EF5090">
        <w:t>that create</w:t>
      </w:r>
      <w:r w:rsidR="000B5D4E" w:rsidRPr="000B5D4E">
        <w:t xml:space="preserve"> choices to prioritise client delivery over administrative process. Resource</w:t>
      </w:r>
      <w:r w:rsidR="00EF5090">
        <w:t xml:space="preserve">s lacking in time and funds, </w:t>
      </w:r>
      <w:r w:rsidR="000B5D4E" w:rsidRPr="000B5D4E">
        <w:t xml:space="preserve">elevates reliance on the owner rather than investment in formal HR/quality systems (Khan </w:t>
      </w:r>
      <w:r w:rsidR="000B5D4E" w:rsidRPr="000B5D4E">
        <w:rPr>
          <w:i/>
          <w:iCs/>
        </w:rPr>
        <w:t>et al.,</w:t>
      </w:r>
      <w:r w:rsidR="000B5D4E" w:rsidRPr="000B5D4E">
        <w:t xml:space="preserve"> 2025).</w:t>
      </w:r>
      <w:r w:rsidR="007F3F69">
        <w:t xml:space="preserve"> </w:t>
      </w:r>
      <w:r w:rsidR="007F3F69" w:rsidRPr="007F3F69">
        <w:t xml:space="preserve">Relationships within the salon operate through two overlapping systems. Formal ties include supervision, one-to-one reviews, clinical governance (incident/near-miss logs), product supplier agreements, and data-protection responsibilities. Informal ties include day-to-day mentoring, ad-hoc case discussion, and peer shadowing. While informal exchange supports agility and problem-solving, over-reliance can create inconsistency and knowledge silos. </w:t>
      </w:r>
      <w:r w:rsidR="002551A2">
        <w:t>A</w:t>
      </w:r>
      <w:r w:rsidR="007F3F69" w:rsidRPr="007F3F69">
        <w:t xml:space="preserve"> simple RACI for key processes (consent, stock control, emergency kit checks, </w:t>
      </w:r>
      <w:r w:rsidR="007F3F69" w:rsidRPr="002551A2">
        <w:t>complaint handling) that clarifies who is Responsible, Accountable, Consulted, and Informed. This reduces ambiguity, maintains collegiality and builds resilience when</w:t>
      </w:r>
      <w:r w:rsidR="007F3F69" w:rsidRPr="007F3F69">
        <w:t xml:space="preserve"> the owner is absent</w:t>
      </w:r>
      <w:r w:rsidR="00625004">
        <w:t xml:space="preserve"> (</w:t>
      </w:r>
      <w:r w:rsidR="00625004" w:rsidRPr="00625004">
        <w:t xml:space="preserve">Lee </w:t>
      </w:r>
      <w:r w:rsidR="00625004" w:rsidRPr="00625004">
        <w:rPr>
          <w:i/>
          <w:iCs/>
        </w:rPr>
        <w:t>et al</w:t>
      </w:r>
      <w:r w:rsidR="00625004">
        <w:t>., 2021)</w:t>
      </w:r>
      <w:r w:rsidR="00625004" w:rsidRPr="00625004">
        <w:t xml:space="preserve">. </w:t>
      </w:r>
    </w:p>
    <w:p w14:paraId="2CD39903" w14:textId="77777777" w:rsidR="00BA2D87" w:rsidRDefault="00BA2D87" w:rsidP="00BA2D87">
      <w:pPr>
        <w:pStyle w:val="Heading4"/>
        <w:spacing w:line="360" w:lineRule="auto"/>
      </w:pPr>
      <w:r>
        <w:lastRenderedPageBreak/>
        <w:t>3.4.7 What if? The Scenarios and Risks</w:t>
      </w:r>
    </w:p>
    <w:p w14:paraId="5DCAAC68" w14:textId="35F90222" w:rsidR="000B5D4E" w:rsidRPr="000B5D4E" w:rsidRDefault="000B71B8" w:rsidP="00BA2D87">
      <w:pPr>
        <w:spacing w:line="360" w:lineRule="auto"/>
        <w:jc w:val="both"/>
      </w:pPr>
      <w:r w:rsidRPr="007A589D">
        <w:t>Things to consider are when the owner becomes unavailable, this creates i</w:t>
      </w:r>
      <w:r w:rsidR="000B5D4E" w:rsidRPr="007A589D">
        <w:t>mmediate service gaps, increased risk of errors, loss of client trust and income disruption</w:t>
      </w:r>
      <w:r w:rsidRPr="007A589D">
        <w:t>, depending on the frequency of being unavailable</w:t>
      </w:r>
      <w:r w:rsidR="000B5D4E" w:rsidRPr="007A589D">
        <w:t>.</w:t>
      </w:r>
      <w:r w:rsidRPr="007A589D">
        <w:t xml:space="preserve"> If staff are upskilled without retention measures, this may cause concerns around staff retention or risk staff mobility if failing to upskill </w:t>
      </w:r>
      <w:r w:rsidR="000B5D4E" w:rsidRPr="007A589D">
        <w:t>risks stagnation and burnout (</w:t>
      </w:r>
      <w:r w:rsidR="00852803" w:rsidRPr="007A589D">
        <w:t>Ansari &amp; Tasleem, 2022</w:t>
      </w:r>
      <w:r w:rsidR="000B5D4E" w:rsidRPr="007A589D">
        <w:t>).</w:t>
      </w:r>
      <w:r w:rsidR="000B5D4E" w:rsidRPr="007A589D">
        <w:br/>
        <w:t xml:space="preserve">What if a compliance incident occurs and documentation is sparse? </w:t>
      </w:r>
      <w:r w:rsidR="00376E08" w:rsidRPr="007A589D">
        <w:t xml:space="preserve"> This might create r</w:t>
      </w:r>
      <w:r w:rsidR="000B5D4E" w:rsidRPr="007A589D">
        <w:t>eputational damage and regulatory exposure.</w:t>
      </w:r>
    </w:p>
    <w:p w14:paraId="4344FE5A" w14:textId="68166C15" w:rsidR="000B5D4E" w:rsidRPr="007A589D" w:rsidRDefault="00376E08" w:rsidP="00C3617B">
      <w:pPr>
        <w:spacing w:line="360" w:lineRule="auto"/>
        <w:jc w:val="both"/>
        <w:rPr>
          <w:rFonts w:eastAsiaTheme="majorEastAsia" w:cstheme="majorBidi"/>
          <w:color w:val="0F4761" w:themeColor="accent1" w:themeShade="BF"/>
          <w:sz w:val="28"/>
          <w:szCs w:val="28"/>
        </w:rPr>
      </w:pPr>
      <w:r w:rsidRPr="00C3617B">
        <w:rPr>
          <w:rStyle w:val="Heading4Char"/>
        </w:rPr>
        <w:t>3.4.8</w:t>
      </w:r>
      <w:r w:rsidRPr="00C3617B">
        <w:rPr>
          <w:rStyle w:val="Heading4Char"/>
        </w:rPr>
        <w:tab/>
      </w:r>
      <w:r w:rsidR="000B5D4E" w:rsidRPr="00C3617B">
        <w:rPr>
          <w:rStyle w:val="Heading4Char"/>
        </w:rPr>
        <w:t>So what? Implications for performance and sustainability</w:t>
      </w:r>
      <w:r w:rsidR="000B5D4E" w:rsidRPr="00C3617B">
        <w:rPr>
          <w:rStyle w:val="Heading4Char"/>
        </w:rPr>
        <w:br/>
      </w:r>
      <w:r w:rsidR="000B5D4E" w:rsidRPr="000B5D4E">
        <w:t xml:space="preserve">The current culture enables reliable, ethically strong performance in the short term but creates fragility for long-term growth. Without action, the salon </w:t>
      </w:r>
      <w:r>
        <w:t xml:space="preserve">might face a </w:t>
      </w:r>
      <w:r w:rsidR="000B5D4E" w:rsidRPr="000B5D4E">
        <w:t>single point of failure</w:t>
      </w:r>
      <w:r>
        <w:t xml:space="preserve"> and </w:t>
      </w:r>
      <w:r w:rsidR="000B5D4E" w:rsidRPr="000B5D4E">
        <w:t>risk</w:t>
      </w:r>
      <w:r w:rsidR="00EF5090">
        <w:t xml:space="preserve"> </w:t>
      </w:r>
      <w:r w:rsidR="000B5D4E" w:rsidRPr="000B5D4E">
        <w:t xml:space="preserve">capacity to adopt new treatments, constrained ability to evidence CPD and compliance and missed opportunities to convert tacit learning into competitive advantage (Kiziloglu, 2022; </w:t>
      </w:r>
      <w:r w:rsidR="00852803">
        <w:t>Wu</w:t>
      </w:r>
      <w:r w:rsidR="000B5D4E" w:rsidRPr="000B5D4E">
        <w:t xml:space="preserve"> </w:t>
      </w:r>
      <w:r w:rsidR="000B5D4E" w:rsidRPr="000B5D4E">
        <w:rPr>
          <w:i/>
          <w:iCs/>
        </w:rPr>
        <w:t>et al.,</w:t>
      </w:r>
      <w:r w:rsidR="000B5D4E" w:rsidRPr="000B5D4E">
        <w:t xml:space="preserve"> 202</w:t>
      </w:r>
      <w:r w:rsidR="00852803">
        <w:t>2</w:t>
      </w:r>
      <w:r w:rsidR="000B5D4E" w:rsidRPr="000B5D4E">
        <w:t>).</w:t>
      </w:r>
    </w:p>
    <w:p w14:paraId="5029680E" w14:textId="66BB23CF" w:rsidR="00376E08" w:rsidRPr="00C3617B" w:rsidRDefault="00376E08" w:rsidP="00C3617B">
      <w:pPr>
        <w:pStyle w:val="Heading4"/>
        <w:spacing w:line="360" w:lineRule="auto"/>
        <w:jc w:val="both"/>
      </w:pPr>
      <w:r w:rsidRPr="00C3617B">
        <w:t>3.4.9</w:t>
      </w:r>
      <w:r w:rsidRPr="00C3617B">
        <w:tab/>
        <w:t>What next? Practical, evidence-based improvements (with priority, ownership and metrics)</w:t>
      </w:r>
    </w:p>
    <w:p w14:paraId="25B96638" w14:textId="77777777" w:rsidR="007A589D" w:rsidRDefault="003957FC" w:rsidP="00C3617B">
      <w:pPr>
        <w:spacing w:line="360" w:lineRule="auto"/>
        <w:jc w:val="both"/>
      </w:pPr>
      <w:r w:rsidRPr="003957FC">
        <w:t xml:space="preserve">To strengthen the salon’s high-performance culture and address gaps, interventions </w:t>
      </w:r>
      <w:r>
        <w:t>can be r</w:t>
      </w:r>
      <w:r w:rsidRPr="003957FC">
        <w:t>ecommended</w:t>
      </w:r>
      <w:r>
        <w:t xml:space="preserve">, </w:t>
      </w:r>
      <w:r w:rsidR="00EF5090">
        <w:t>like</w:t>
      </w:r>
      <w:r w:rsidRPr="003957FC">
        <w:t xml:space="preserve"> introducing regular documented one-to-ones and personalised development plans (PDPs) would formalise staff development, clarify expectations and support </w:t>
      </w:r>
      <w:r w:rsidR="002E378A" w:rsidRPr="003957FC">
        <w:t>retention (</w:t>
      </w:r>
      <w:r w:rsidR="00E36DEA">
        <w:t xml:space="preserve">Edmundson, </w:t>
      </w:r>
      <w:r w:rsidRPr="003957FC">
        <w:t>2019)</w:t>
      </w:r>
      <w:r w:rsidR="002E378A">
        <w:t>.</w:t>
      </w:r>
      <w:r w:rsidRPr="003957FC">
        <w:t xml:space="preserve"> </w:t>
      </w:r>
      <w:r w:rsidR="00893AF6" w:rsidRPr="00893AF6">
        <w:t xml:space="preserve">Integrating a CRM would enhance compliance and data-driven decision-making; however, adoption may face barriers from staff unfamiliarity and limited time for system training, which could initially reduce efficiency (Wu </w:t>
      </w:r>
      <w:r w:rsidR="00893AF6" w:rsidRPr="00893AF6">
        <w:rPr>
          <w:i/>
          <w:iCs/>
        </w:rPr>
        <w:t>et al.,</w:t>
      </w:r>
      <w:r w:rsidR="00893AF6" w:rsidRPr="00893AF6">
        <w:t xml:space="preserve"> 2022)</w:t>
      </w:r>
      <w:r w:rsidRPr="003957FC">
        <w:t>.</w:t>
      </w:r>
      <w:r>
        <w:t xml:space="preserve"> </w:t>
      </w:r>
      <w:r w:rsidRPr="003957FC">
        <w:t>Establishing structured reflective practice sessions would further embed learning. Monthly review procedures and near misses would convert tacit experience into shared knowledge, improving safety culture and continuous improvement (Edmondson, 2019).</w:t>
      </w:r>
      <w:r>
        <w:t xml:space="preserve"> </w:t>
      </w:r>
      <w:r w:rsidRPr="003957FC">
        <w:t>Accredited training combined with mentoring and tiered pay would build competence while managing turnover risk, promoting organisational resilience (</w:t>
      </w:r>
      <w:r w:rsidR="00852803" w:rsidRPr="00852803">
        <w:t>Ansari</w:t>
      </w:r>
      <w:r w:rsidR="00852803">
        <w:t xml:space="preserve"> &amp; </w:t>
      </w:r>
      <w:r w:rsidR="00852803" w:rsidRPr="00852803">
        <w:t xml:space="preserve">Tasleem, 2022). </w:t>
      </w:r>
      <w:r w:rsidRPr="003957FC">
        <w:t>Finally, co-creating a vision statement and three strategic priorities with staff would align operations with long-term goals and distribute accountability. Collectively, these interventions</w:t>
      </w:r>
      <w:r>
        <w:t xml:space="preserve">, </w:t>
      </w:r>
      <w:r w:rsidRPr="003957FC">
        <w:t>formalised development, enhanced governance, reflective learning, structured upskilling, and shared vision</w:t>
      </w:r>
      <w:r>
        <w:t xml:space="preserve">, </w:t>
      </w:r>
      <w:r w:rsidRPr="003957FC">
        <w:lastRenderedPageBreak/>
        <w:t>would transition the salon from owner-dependency to a collaborative, high-performing culture built on learning, accountability, and sustainable growth.</w:t>
      </w:r>
    </w:p>
    <w:p w14:paraId="67D58180" w14:textId="08F8656D" w:rsidR="00376E08" w:rsidRPr="000B5D4E" w:rsidRDefault="00376E08" w:rsidP="00C3617B">
      <w:pPr>
        <w:spacing w:line="360" w:lineRule="auto"/>
        <w:jc w:val="both"/>
      </w:pPr>
      <w:r w:rsidRPr="00376E08">
        <w:t>Overall, the salon’s culture contains many of the ingredients of a high-performance environment</w:t>
      </w:r>
      <w:r w:rsidR="00852803">
        <w:t xml:space="preserve">, </w:t>
      </w:r>
      <w:r w:rsidRPr="00376E08">
        <w:t>ethical practice, client focus and accountability</w:t>
      </w:r>
      <w:r w:rsidR="00852803">
        <w:t>,</w:t>
      </w:r>
      <w:r w:rsidRPr="00376E08">
        <w:t xml:space="preserve"> but these are currently </w:t>
      </w:r>
      <w:r w:rsidR="003D0C95">
        <w:t>delivered</w:t>
      </w:r>
      <w:r w:rsidRPr="00376E08">
        <w:t xml:space="preserve"> informally and concentrated around the owner. </w:t>
      </w:r>
      <w:r w:rsidR="003D0C95">
        <w:t>By c</w:t>
      </w:r>
      <w:r w:rsidRPr="00376E08">
        <w:t xml:space="preserve">onverting these strengths into sustainable high performance </w:t>
      </w:r>
      <w:r w:rsidR="003D0C95">
        <w:t xml:space="preserve">will </w:t>
      </w:r>
      <w:r w:rsidRPr="00376E08">
        <w:t xml:space="preserve">require formalising </w:t>
      </w:r>
      <w:r w:rsidR="003D0C95">
        <w:t>procedures that implement a</w:t>
      </w:r>
      <w:r w:rsidRPr="00376E08">
        <w:t xml:space="preserve"> few lightweight systems (documented one-to-ones/PDPs, CRM records, reflective practice), clarifying vision and distributing responsibility. </w:t>
      </w:r>
    </w:p>
    <w:p w14:paraId="7E0A2C1B" w14:textId="7A4B8E31" w:rsidR="007B002A" w:rsidRPr="007A589D" w:rsidRDefault="00357CD1" w:rsidP="00C3617B">
      <w:pPr>
        <w:pStyle w:val="Heading2"/>
        <w:spacing w:line="360" w:lineRule="auto"/>
        <w:jc w:val="both"/>
      </w:pPr>
      <w:bookmarkStart w:id="8" w:name="_Toc213332609"/>
      <w:r>
        <w:t>4</w:t>
      </w:r>
      <w:r w:rsidR="007B002A" w:rsidRPr="007A589D">
        <w:t xml:space="preserve">. </w:t>
      </w:r>
      <w:r w:rsidR="00E36DEA" w:rsidRPr="007A589D">
        <w:t>Evaluation on the Aesthetic Salon and the environment</w:t>
      </w:r>
      <w:bookmarkEnd w:id="8"/>
    </w:p>
    <w:p w14:paraId="674B0623" w14:textId="5BB4074F" w:rsidR="007B002A" w:rsidRPr="007A589D" w:rsidRDefault="00357CD1" w:rsidP="00C3617B">
      <w:pPr>
        <w:pStyle w:val="Heading3"/>
        <w:spacing w:line="360" w:lineRule="auto"/>
        <w:jc w:val="both"/>
      </w:pPr>
      <w:bookmarkStart w:id="9" w:name="_Toc213332610"/>
      <w:r w:rsidRPr="007A589D">
        <w:t>4</w:t>
      </w:r>
      <w:r w:rsidR="007B002A" w:rsidRPr="007A589D">
        <w:t>.1 Introduction to Environmental Evaluation</w:t>
      </w:r>
      <w:bookmarkEnd w:id="9"/>
    </w:p>
    <w:p w14:paraId="572FC565" w14:textId="5E743C8E" w:rsidR="00D723C8" w:rsidRPr="00D723C8" w:rsidRDefault="00D723C8" w:rsidP="00C3617B">
      <w:pPr>
        <w:spacing w:line="360" w:lineRule="auto"/>
        <w:jc w:val="both"/>
      </w:pPr>
      <w:r w:rsidRPr="00D723C8">
        <w:t>Environmental evaluation enables Beautifully Aesthetic to anticipate external pressures and align its internal systems to sustain a high-performance culture. For a micro-enterprise in the regulated and image-driven aesthetics sector, awareness of external dynamics is vital for competitiveness, ethical integrity, and resilience (Gunduzyeli, 202</w:t>
      </w:r>
      <w:r>
        <w:t>5</w:t>
      </w:r>
      <w:r w:rsidRPr="00D723C8">
        <w:t>). Using PESTEL, SWOT, and the McKinsey 7S Framework provides an integrated view of how internal culture interacts with the external environment.</w:t>
      </w:r>
    </w:p>
    <w:p w14:paraId="0B54B979" w14:textId="2CDCF26A" w:rsidR="00D723C8" w:rsidRPr="00D723C8" w:rsidRDefault="00D723C8" w:rsidP="00C3617B">
      <w:pPr>
        <w:pStyle w:val="Heading3"/>
        <w:spacing w:line="360" w:lineRule="auto"/>
        <w:jc w:val="both"/>
      </w:pPr>
      <w:bookmarkStart w:id="10" w:name="_Toc213332611"/>
      <w:r w:rsidRPr="00D723C8">
        <w:t xml:space="preserve">4.2 PESTEL </w:t>
      </w:r>
      <w:r w:rsidR="00C3617B" w:rsidRPr="00D723C8">
        <w:t>Analysis</w:t>
      </w:r>
      <w:bookmarkEnd w:id="10"/>
      <w:r w:rsidRPr="00D723C8">
        <w:t xml:space="preserve"> </w:t>
      </w:r>
    </w:p>
    <w:p w14:paraId="5EB48570" w14:textId="7834595A" w:rsidR="00D723C8" w:rsidRPr="00D723C8" w:rsidRDefault="00D723C8" w:rsidP="00C3617B">
      <w:pPr>
        <w:spacing w:line="360" w:lineRule="auto"/>
        <w:jc w:val="both"/>
      </w:pPr>
      <w:r w:rsidRPr="00D723C8">
        <w:t>Political and Legal</w:t>
      </w:r>
      <w:r w:rsidRPr="00D723C8">
        <w:rPr>
          <w:b/>
          <w:bCs/>
        </w:rPr>
        <w:t>.</w:t>
      </w:r>
      <w:r w:rsidRPr="00D723C8">
        <w:t xml:space="preserve"> Stricter regulation and licensing standards in the UK aesthetics industry enhance safety but increase administrative and financial burden (Rahman et </w:t>
      </w:r>
      <w:r w:rsidRPr="00D723C8">
        <w:rPr>
          <w:i/>
          <w:iCs/>
        </w:rPr>
        <w:t>al.,</w:t>
      </w:r>
      <w:r w:rsidRPr="00D723C8">
        <w:t xml:space="preserve"> 2025). Continuous professional development is now mandatory, reinforcing credibility but demanding time and cost investment. Non-compliance could jeopardise reputation and revenue (Legislation.gov.uk, 1974).</w:t>
      </w:r>
    </w:p>
    <w:p w14:paraId="4E6FFA0B" w14:textId="1AF43A2F" w:rsidR="00D723C8" w:rsidRPr="00D723C8" w:rsidRDefault="00D723C8" w:rsidP="00C3617B">
      <w:pPr>
        <w:spacing w:line="360" w:lineRule="auto"/>
        <w:jc w:val="both"/>
      </w:pPr>
      <w:r w:rsidRPr="00D723C8">
        <w:t>Economic and Social</w:t>
      </w:r>
      <w:r w:rsidRPr="00D723C8">
        <w:rPr>
          <w:b/>
          <w:bCs/>
        </w:rPr>
        <w:t>.</w:t>
      </w:r>
      <w:r w:rsidRPr="00D723C8">
        <w:t xml:space="preserve"> Cost-of-living pressures have reduced discretionary spending, heightening competition among clinics</w:t>
      </w:r>
      <w:r>
        <w:t xml:space="preserve">, </w:t>
      </w:r>
      <w:r w:rsidR="007A589D">
        <w:t>y</w:t>
      </w:r>
      <w:r w:rsidR="007A589D" w:rsidRPr="00D723C8">
        <w:t>et</w:t>
      </w:r>
      <w:r w:rsidRPr="00D723C8">
        <w:t xml:space="preserve"> social acceptance of non-surgical procedures and the influence of social media create opportunities for growth (Agravat &amp; Macwan, 2024). Ethical communication and transparent consultation remain vital to balancing client demand with safety.</w:t>
      </w:r>
    </w:p>
    <w:p w14:paraId="38D86877" w14:textId="586BE592" w:rsidR="00D723C8" w:rsidRPr="00D723C8" w:rsidRDefault="00D723C8" w:rsidP="00C3617B">
      <w:pPr>
        <w:spacing w:line="360" w:lineRule="auto"/>
        <w:jc w:val="both"/>
      </w:pPr>
      <w:r w:rsidRPr="00D723C8">
        <w:lastRenderedPageBreak/>
        <w:t>Technological and Environmental</w:t>
      </w:r>
      <w:r w:rsidRPr="00D723C8">
        <w:rPr>
          <w:b/>
          <w:bCs/>
        </w:rPr>
        <w:t>.</w:t>
      </w:r>
      <w:r w:rsidRPr="00D723C8">
        <w:t xml:space="preserve"> Tools such as Booksy improve operational efficiency, though reliance on a single platform constrains data management. Integrating a CRM would enhance client follow-up, compliance tracking and marketing (Wu </w:t>
      </w:r>
      <w:r w:rsidRPr="00D723C8">
        <w:rPr>
          <w:i/>
          <w:iCs/>
        </w:rPr>
        <w:t>et al</w:t>
      </w:r>
      <w:r w:rsidRPr="00D723C8">
        <w:t>., 2022). Environmentally conscious operations</w:t>
      </w:r>
      <w:r>
        <w:t xml:space="preserve">, </w:t>
      </w:r>
      <w:r w:rsidRPr="00D723C8">
        <w:t>eco-friendly waste disposal and sustainable product sourcing</w:t>
      </w:r>
      <w:r>
        <w:t xml:space="preserve">, </w:t>
      </w:r>
      <w:r w:rsidRPr="00D723C8">
        <w:t xml:space="preserve">can further strengthen reputation and align with consumer values (Lepistö </w:t>
      </w:r>
      <w:r w:rsidRPr="00D723C8">
        <w:rPr>
          <w:i/>
          <w:iCs/>
        </w:rPr>
        <w:t>et al.,</w:t>
      </w:r>
      <w:r w:rsidRPr="00D723C8">
        <w:t xml:space="preserve"> 2023).</w:t>
      </w:r>
    </w:p>
    <w:p w14:paraId="612C695B" w14:textId="77777777" w:rsidR="00D723C8" w:rsidRPr="00D723C8" w:rsidRDefault="00D723C8" w:rsidP="00C3617B">
      <w:pPr>
        <w:spacing w:line="360" w:lineRule="auto"/>
        <w:jc w:val="both"/>
      </w:pPr>
      <w:r w:rsidRPr="00D723C8">
        <w:t>In summary, the external landscape offers digital and social opportunity but presents regulatory and financial constraints. To sustain high performance, the salon must embed compliance, technology literacy and sustainability into daily operations (Kiziloglu, 2022).</w:t>
      </w:r>
    </w:p>
    <w:p w14:paraId="593E5471" w14:textId="03A82CEE" w:rsidR="00D723C8" w:rsidRPr="00D723C8" w:rsidRDefault="00D723C8" w:rsidP="00C3617B">
      <w:pPr>
        <w:pStyle w:val="Heading3"/>
        <w:spacing w:line="360" w:lineRule="auto"/>
        <w:jc w:val="both"/>
      </w:pPr>
      <w:bookmarkStart w:id="11" w:name="_Toc213332612"/>
      <w:r w:rsidRPr="00D723C8">
        <w:t>4.3 SWOT synthesis</w:t>
      </w:r>
      <w:bookmarkEnd w:id="11"/>
      <w:r w:rsidRPr="00D723C8">
        <w:t xml:space="preserve"> </w:t>
      </w:r>
    </w:p>
    <w:p w14:paraId="7FD2B6E0" w14:textId="56150AE2" w:rsidR="00D723C8" w:rsidRDefault="00D723C8" w:rsidP="00C3617B">
      <w:pPr>
        <w:spacing w:line="360" w:lineRule="auto"/>
        <w:jc w:val="both"/>
      </w:pPr>
      <w:r w:rsidRPr="00D723C8">
        <w:t>Strengths include trusted leadership, client loyalty and a professional reputation (Schein, 2010). Weaknesses lie in owner dependency, limited scalability, and informal HR systems (Edmondson, 2019). Opportunities involve digital expansion, training diversification and local-business grants (CIPD, 2025), while threats stem from regulation, economic volatility and market saturation. The interaction between these elements highlights that internal weaknesses amplify external threats, particularly where documentation and delegation are limited.</w:t>
      </w:r>
    </w:p>
    <w:p w14:paraId="5583A123" w14:textId="52141DFC" w:rsidR="003D0C95" w:rsidRPr="00D723C8" w:rsidRDefault="003D0C95" w:rsidP="00C3617B">
      <w:pPr>
        <w:spacing w:line="360" w:lineRule="auto"/>
        <w:jc w:val="both"/>
      </w:pPr>
      <w:r>
        <w:t xml:space="preserve">In summary, the analysis indicates that while the salons strong reputation and clients build a solid foundation, vulnerabilities, particularly in delegation, intensify exposure to external risks. </w:t>
      </w:r>
    </w:p>
    <w:p w14:paraId="306D7918" w14:textId="10C0B379" w:rsidR="00B3125B" w:rsidRPr="00B3125B" w:rsidRDefault="00B3125B" w:rsidP="00C3617B">
      <w:pPr>
        <w:pStyle w:val="Heading3"/>
        <w:spacing w:line="360" w:lineRule="auto"/>
        <w:jc w:val="both"/>
      </w:pPr>
      <w:bookmarkStart w:id="12" w:name="_Toc213332613"/>
      <w:r w:rsidRPr="00B3125B">
        <w:t>4.4 McKinsey 7</w:t>
      </w:r>
      <w:r>
        <w:t xml:space="preserve">S </w:t>
      </w:r>
      <w:r w:rsidR="00D723C8" w:rsidRPr="00D723C8">
        <w:t>alignment</w:t>
      </w:r>
      <w:bookmarkEnd w:id="12"/>
    </w:p>
    <w:p w14:paraId="51BEA204" w14:textId="755B5713" w:rsidR="00D723C8" w:rsidRDefault="00D723C8" w:rsidP="00C3617B">
      <w:pPr>
        <w:spacing w:line="360" w:lineRule="auto"/>
        <w:jc w:val="both"/>
      </w:pPr>
      <w:r w:rsidRPr="00D723C8">
        <w:t>Strategy focuses on client quality rather than diversification; structure remains flat and owner-led, limiting knowledge sharing. Systems like Booksy are efficient but fragmented. Shared values</w:t>
      </w:r>
      <w:r w:rsidR="00B3125B">
        <w:t xml:space="preserve">, </w:t>
      </w:r>
      <w:r w:rsidRPr="00D723C8">
        <w:t>safety, professionalism and care</w:t>
      </w:r>
      <w:r w:rsidR="00B3125B">
        <w:t xml:space="preserve">, </w:t>
      </w:r>
      <w:r w:rsidRPr="00D723C8">
        <w:t>are strong yet informal. Leadership style is supportive but directive, suggesting scope for participative approaches that enhance learning (Amoa-Gyarteng &amp; Dhliwayo, 2024). Staff demonstrate skill and commitment but lack digital and managerial development (Gunduzyeli, 2025). Aligning systems and structure with these values through formal processes such as PDPs, CRM usage and reflective meetings would create a more cohesive high-performance environment.</w:t>
      </w:r>
    </w:p>
    <w:p w14:paraId="16E717E7" w14:textId="4EC8DE88" w:rsidR="003D0C95" w:rsidRPr="00D723C8" w:rsidRDefault="003D0C95" w:rsidP="00C3617B">
      <w:pPr>
        <w:spacing w:line="360" w:lineRule="auto"/>
        <w:jc w:val="both"/>
      </w:pPr>
      <w:r w:rsidRPr="003D0C95">
        <w:lastRenderedPageBreak/>
        <w:t xml:space="preserve">The salon’s strategy prioritises client quality over diversification, supported by strong cultural values of safety and professionalism. However, </w:t>
      </w:r>
      <w:r>
        <w:t>the</w:t>
      </w:r>
      <w:r w:rsidRPr="003D0C95">
        <w:t xml:space="preserve"> owner-led structure and </w:t>
      </w:r>
      <w:r w:rsidR="00A36735">
        <w:t>lack of</w:t>
      </w:r>
      <w:r w:rsidRPr="003D0C95">
        <w:t xml:space="preserve"> systems restrict knowledge sharing and development. Greater alignment between values, structure and systems</w:t>
      </w:r>
      <w:r w:rsidR="00A36735">
        <w:t xml:space="preserve">, </w:t>
      </w:r>
      <w:r w:rsidRPr="003D0C95">
        <w:t>through formal processes like PDPs, CRM integration and reflective practice</w:t>
      </w:r>
      <w:r w:rsidR="00A36735">
        <w:t xml:space="preserve">, </w:t>
      </w:r>
      <w:r w:rsidRPr="003D0C95">
        <w:t>could enhance cohesion, learning and overall performance.</w:t>
      </w:r>
    </w:p>
    <w:p w14:paraId="5CA44674" w14:textId="77777777" w:rsidR="00B3125B" w:rsidRPr="007B002A" w:rsidRDefault="00B3125B" w:rsidP="00C3617B">
      <w:pPr>
        <w:pStyle w:val="Heading3"/>
        <w:spacing w:line="360" w:lineRule="auto"/>
        <w:jc w:val="both"/>
      </w:pPr>
      <w:bookmarkStart w:id="13" w:name="_Toc213332614"/>
      <w:r>
        <w:t>4</w:t>
      </w:r>
      <w:r w:rsidRPr="007B002A">
        <w:t>.5 Evaluation and Conclusion</w:t>
      </w:r>
      <w:bookmarkEnd w:id="13"/>
    </w:p>
    <w:p w14:paraId="244A4D3A" w14:textId="1F751245" w:rsidR="007B002A" w:rsidRPr="007B002A" w:rsidRDefault="00D723C8" w:rsidP="00C3617B">
      <w:pPr>
        <w:spacing w:line="360" w:lineRule="auto"/>
        <w:jc w:val="both"/>
      </w:pPr>
      <w:r w:rsidRPr="00D723C8">
        <w:t xml:space="preserve">The PESTEL, SWOT and 7S analyses reveal that </w:t>
      </w:r>
      <w:r w:rsidR="00B3125B">
        <w:t>the salon’s</w:t>
      </w:r>
      <w:r w:rsidRPr="00D723C8">
        <w:t xml:space="preserve"> ethical and client-focused culture is a major strength, yet over-centralisation constrains adaptability. External regulation reinforces professionalism but increases reliance on the owner. Strategic improvement requires distributing accountability, formalising staff development, and leveraging technology for compliance and communication. Embedding these actions would transform the salon from a reactive, owner-centred business to a learning-oriented enterprise capable of sustaining high performance through adaptability and shared responsibility (Edmondson, 2019; Rahman </w:t>
      </w:r>
      <w:r w:rsidRPr="00B3125B">
        <w:rPr>
          <w:i/>
          <w:iCs/>
        </w:rPr>
        <w:t>et al.,</w:t>
      </w:r>
      <w:r w:rsidRPr="00D723C8">
        <w:t xml:space="preserve"> 2025).</w:t>
      </w:r>
    </w:p>
    <w:p w14:paraId="51816ABC" w14:textId="33C109A5" w:rsidR="007B002A" w:rsidRPr="007B002A" w:rsidRDefault="00357CD1" w:rsidP="00C3617B">
      <w:pPr>
        <w:pStyle w:val="Heading2"/>
        <w:spacing w:line="360" w:lineRule="auto"/>
        <w:jc w:val="both"/>
      </w:pPr>
      <w:bookmarkStart w:id="14" w:name="_Toc213332615"/>
      <w:r>
        <w:t>5</w:t>
      </w:r>
      <w:r w:rsidR="007B002A" w:rsidRPr="007B002A">
        <w:t>. Critically Appraise Cultural and Ethical Behaviour (</w:t>
      </w:r>
      <w:r w:rsidR="00B3125B">
        <w:t>600 words)</w:t>
      </w:r>
      <w:bookmarkEnd w:id="14"/>
    </w:p>
    <w:p w14:paraId="6CE87EC4" w14:textId="15202F6C" w:rsidR="007B002A" w:rsidRPr="007B002A" w:rsidRDefault="00357CD1" w:rsidP="00C3617B">
      <w:pPr>
        <w:pStyle w:val="Heading3"/>
        <w:spacing w:line="360" w:lineRule="auto"/>
        <w:jc w:val="both"/>
      </w:pPr>
      <w:bookmarkStart w:id="15" w:name="_Toc213332616"/>
      <w:r>
        <w:t>5</w:t>
      </w:r>
      <w:r w:rsidR="007B002A" w:rsidRPr="007B002A">
        <w:t>.1 Defining Culture and Ethical Behaviour</w:t>
      </w:r>
      <w:bookmarkEnd w:id="15"/>
    </w:p>
    <w:p w14:paraId="41F06C48" w14:textId="19CF6A4C" w:rsidR="00B3125B" w:rsidRDefault="00B3125B" w:rsidP="00C3617B">
      <w:pPr>
        <w:spacing w:line="360" w:lineRule="auto"/>
        <w:jc w:val="both"/>
      </w:pPr>
      <w:r w:rsidRPr="00B3125B">
        <w:t>Ethical behaviour in the workplace encompasses honesty, fairness, respect, and integrity</w:t>
      </w:r>
      <w:r>
        <w:t>,</w:t>
      </w:r>
      <w:r w:rsidRPr="00B3125B">
        <w:t xml:space="preserve"> principles guiding individual conduct and collective decision-making (Treviño &amp; Nelson, 2016). Organisational culture represents the shared values and assumptions that shape behaviour (Schein, 2010). The relationship between ethics and culture is mutually reinforcing ethical norms define acceptable conduct, while culture embeds these standards through daily practice. In micro-businesses such as </w:t>
      </w:r>
      <w:r>
        <w:t>the aesthetic salon</w:t>
      </w:r>
      <w:r w:rsidRPr="00B3125B">
        <w:t>, this dynamic is intensified because the owner’s behaviour largely determines ethical tone, influencing not only compliance but also trust, motivation, and collaboration (Bier, 2025)</w:t>
      </w:r>
      <w:r>
        <w:t>.</w:t>
      </w:r>
      <w:r w:rsidR="007F3F69">
        <w:t xml:space="preserve"> </w:t>
      </w:r>
      <w:r w:rsidR="007F3F69" w:rsidRPr="007F3F69">
        <w:t xml:space="preserve">In a practitioner-led setting, personal moral commitments strongly shape organisational outcomes. The owner’s belief in do-no-harm, truthful representation of likely results, and equitable treatment of clients (irrespective of age, background, or ability to pay) sets the ethical tone and reduces </w:t>
      </w:r>
      <w:r w:rsidR="007F3F69">
        <w:t>unwanted</w:t>
      </w:r>
      <w:r w:rsidR="007F3F69" w:rsidRPr="007F3F69">
        <w:t xml:space="preserve"> decisions. This personal stance operationalises as conservative clinical thresholds, unpressured cooling-off </w:t>
      </w:r>
      <w:r w:rsidR="007F3F69" w:rsidRPr="007F3F69">
        <w:lastRenderedPageBreak/>
        <w:t xml:space="preserve">periods and refusal of procedures where risk/benefit is unfavourable. It also supports fair pricing, transparent refund/complaints processes, and the avoidance of exploitative marketing (e.g., before-and-after imagery without context). Making these personal beliefs explicit in a short </w:t>
      </w:r>
      <w:r w:rsidR="007F3F69" w:rsidRPr="007F3F69">
        <w:t>practitioner ethical statement shared</w:t>
      </w:r>
      <w:r w:rsidR="007F3F69">
        <w:rPr>
          <w:b/>
          <w:bCs/>
        </w:rPr>
        <w:t xml:space="preserve"> </w:t>
      </w:r>
      <w:r w:rsidR="007F3F69" w:rsidRPr="007F3F69">
        <w:t>with clients and staff</w:t>
      </w:r>
      <w:r w:rsidR="007F3F69">
        <w:t xml:space="preserve">, </w:t>
      </w:r>
      <w:r w:rsidR="007F3F69" w:rsidRPr="007F3F69">
        <w:t xml:space="preserve">clarifies expectations, </w:t>
      </w:r>
      <w:r w:rsidR="007F3F69">
        <w:t>builds</w:t>
      </w:r>
      <w:r w:rsidR="007F3F69" w:rsidRPr="007F3F69">
        <w:t xml:space="preserve"> consistency and provides a reference point for supervision and reflective practice</w:t>
      </w:r>
      <w:r w:rsidR="007F3F69">
        <w:t xml:space="preserve"> (General medical council, 2024).</w:t>
      </w:r>
    </w:p>
    <w:p w14:paraId="5A058736" w14:textId="68CDBFAB" w:rsidR="00A36735" w:rsidRDefault="00A36735" w:rsidP="00C3617B">
      <w:pPr>
        <w:spacing w:line="360" w:lineRule="auto"/>
        <w:jc w:val="both"/>
      </w:pPr>
      <w:r w:rsidRPr="00A36735">
        <w:t>In summary, ethical behaviour and organisational culture are interdependent, with each shaping the other. In a small salon context, the owner’s conduct is central to establishing the ethical tone, directly influencing trust, compliance, and workplace cohesion.</w:t>
      </w:r>
    </w:p>
    <w:p w14:paraId="13795E1D" w14:textId="1C213B66" w:rsidR="00357CD1" w:rsidRDefault="00357CD1" w:rsidP="00C3617B">
      <w:pPr>
        <w:pStyle w:val="Heading3"/>
        <w:spacing w:line="360" w:lineRule="auto"/>
        <w:jc w:val="both"/>
      </w:pPr>
      <w:bookmarkStart w:id="16" w:name="_Toc213332617"/>
      <w:r>
        <w:t>5</w:t>
      </w:r>
      <w:r w:rsidR="007B002A" w:rsidRPr="007B002A">
        <w:t>.2 Ethical Culture</w:t>
      </w:r>
      <w:bookmarkEnd w:id="16"/>
      <w:r w:rsidR="007B002A" w:rsidRPr="007B002A">
        <w:t xml:space="preserve"> </w:t>
      </w:r>
    </w:p>
    <w:p w14:paraId="2C75EC5E" w14:textId="77777777" w:rsidR="00A36735" w:rsidRDefault="00B3125B" w:rsidP="00A36735">
      <w:pPr>
        <w:spacing w:line="360" w:lineRule="auto"/>
        <w:jc w:val="both"/>
      </w:pPr>
      <w:r w:rsidRPr="00B3125B">
        <w:t xml:space="preserve">In the aesthetics industry, ethical responsibility is particularly visible through clinical integrity, informed consent, and patient safety (Rahman </w:t>
      </w:r>
      <w:r w:rsidRPr="00B3125B">
        <w:rPr>
          <w:i/>
          <w:iCs/>
        </w:rPr>
        <w:t>et al.,</w:t>
      </w:r>
      <w:r w:rsidRPr="00B3125B">
        <w:t xml:space="preserve"> 2025). Practitioners must balance commercial viability with medical ethics by ensuring that every treatment is safe, justified, and clearly communicated. Transparency around risk, aftercare, and pricing fosters client trust and reinforces ethical culture. At Beautifully Aesthetic, ethical practice manifests through pre-treatment consultations, data protection compliance, and post-treatment care. Refusing procedures that compromise safety</w:t>
      </w:r>
      <w:r>
        <w:t xml:space="preserve">, </w:t>
      </w:r>
      <w:r w:rsidRPr="00B3125B">
        <w:t>even when financially attractive</w:t>
      </w:r>
      <w:r>
        <w:t xml:space="preserve">, </w:t>
      </w:r>
      <w:r w:rsidRPr="00B3125B">
        <w:t>demonstrates integrity and strengthens the salon’s ethical brand identity (</w:t>
      </w:r>
      <w:r>
        <w:t>Wilson</w:t>
      </w:r>
      <w:r w:rsidRPr="00B3125B">
        <w:t>, 2024). However, the absence of a structured ethics policy or documented code of conduct introduces risk: without explicit frameworks, ethical consistency relies heavily on the owner’s judgement rather than shared organisational standards (Kiziloglu, 2022).</w:t>
      </w:r>
      <w:bookmarkStart w:id="17" w:name="_Toc213332618"/>
    </w:p>
    <w:p w14:paraId="3C1105F3" w14:textId="15126EF0" w:rsidR="00A36735" w:rsidRPr="00A36735" w:rsidRDefault="00A36735" w:rsidP="00A36735">
      <w:pPr>
        <w:spacing w:line="360" w:lineRule="auto"/>
        <w:jc w:val="both"/>
      </w:pPr>
      <w:r w:rsidRPr="00A36735">
        <w:t xml:space="preserve">In summary, ethical responsibility in the aesthetics industry centres on safety, transparency, and professional integrity. While </w:t>
      </w:r>
      <w:r>
        <w:t>the salon</w:t>
      </w:r>
      <w:r w:rsidRPr="00A36735">
        <w:t xml:space="preserve"> upholds these values through ethical decision-making and client care, the lack of a formal ethics policy leaves ethical practice dependent on the owner’s discretion rather than consistent organisational standards.</w:t>
      </w:r>
    </w:p>
    <w:p w14:paraId="48D2C7BA" w14:textId="2FA372C0" w:rsidR="007B002A" w:rsidRPr="007B002A" w:rsidRDefault="00357CD1" w:rsidP="00A36735">
      <w:pPr>
        <w:pStyle w:val="Heading3"/>
      </w:pPr>
      <w:r>
        <w:t>5</w:t>
      </w:r>
      <w:r w:rsidR="007B002A" w:rsidRPr="007B002A">
        <w:t>.3 Critical Appraisal</w:t>
      </w:r>
      <w:bookmarkEnd w:id="17"/>
    </w:p>
    <w:p w14:paraId="19EF5DB3" w14:textId="2D24F045" w:rsidR="004804D4" w:rsidRDefault="00B3125B" w:rsidP="00C3617B">
      <w:pPr>
        <w:spacing w:line="360" w:lineRule="auto"/>
        <w:jc w:val="both"/>
        <w:rPr>
          <w:b/>
          <w:bCs/>
        </w:rPr>
      </w:pPr>
      <w:r w:rsidRPr="00B3125B">
        <w:t xml:space="preserve">Using Toulmin’s (1958) model of argumentation, the claim that “a strong ethical culture drives sustainable performance” is supported by evidence linking transparency and </w:t>
      </w:r>
      <w:r w:rsidRPr="00B3125B">
        <w:lastRenderedPageBreak/>
        <w:t xml:space="preserve">client trust with loyalty and reputation (Hsiung </w:t>
      </w:r>
      <w:r w:rsidRPr="004804D4">
        <w:rPr>
          <w:i/>
          <w:iCs/>
        </w:rPr>
        <w:t>et al.,</w:t>
      </w:r>
      <w:r w:rsidRPr="00B3125B">
        <w:t xml:space="preserve"> 2021). The warrant</w:t>
      </w:r>
      <w:r w:rsidR="004804D4">
        <w:t xml:space="preserve">, </w:t>
      </w:r>
      <w:r w:rsidRPr="00B3125B">
        <w:t>ethical consistency enhances credibility</w:t>
      </w:r>
      <w:r w:rsidR="004804D4">
        <w:t xml:space="preserve">, </w:t>
      </w:r>
      <w:r w:rsidRPr="00B3125B">
        <w:t>is backed by regulatory guidance requiring practitioners to uphold patient welfare. However, counterarguments emerge when commercial pressures and client demand encourage over-treatment or rushed procedures. Pearson’s RED model</w:t>
      </w:r>
      <w:r w:rsidR="004804D4">
        <w:t>, r</w:t>
      </w:r>
      <w:r w:rsidRPr="00B3125B">
        <w:t xml:space="preserve">ecognise assumptions, </w:t>
      </w:r>
      <w:r w:rsidR="004804D4">
        <w:t>e</w:t>
      </w:r>
      <w:r w:rsidRPr="00B3125B">
        <w:t>valuate arguments</w:t>
      </w:r>
      <w:r w:rsidR="004804D4">
        <w:t xml:space="preserve"> and d</w:t>
      </w:r>
      <w:r w:rsidRPr="00B3125B">
        <w:t>raw conclusions</w:t>
      </w:r>
      <w:r w:rsidR="004804D4">
        <w:t xml:space="preserve">, </w:t>
      </w:r>
      <w:r w:rsidRPr="00B3125B">
        <w:t>helps identify where implicit assumptions (e.g., that ethics always reduce profitability) may distort decisions. In practice, ethical integrity often enhances brand differentiation and client retention, demonstrating that moral and commercial success can coexist</w:t>
      </w:r>
      <w:r w:rsidR="00056C5C">
        <w:t xml:space="preserve"> (</w:t>
      </w:r>
      <w:r w:rsidR="00056C5C" w:rsidRPr="00056C5C">
        <w:t xml:space="preserve">Dufera </w:t>
      </w:r>
      <w:r w:rsidR="00056C5C" w:rsidRPr="007A589D">
        <w:rPr>
          <w:i/>
          <w:iCs/>
        </w:rPr>
        <w:t>et al.,</w:t>
      </w:r>
      <w:r w:rsidR="00056C5C" w:rsidRPr="00056C5C">
        <w:t xml:space="preserve"> 2023). </w:t>
      </w:r>
    </w:p>
    <w:p w14:paraId="50E437E9" w14:textId="0D6C7514" w:rsidR="004804D4" w:rsidRPr="004804D4" w:rsidRDefault="004804D4" w:rsidP="00C3617B">
      <w:pPr>
        <w:spacing w:line="360" w:lineRule="auto"/>
        <w:jc w:val="both"/>
      </w:pPr>
      <w:r w:rsidRPr="004804D4">
        <w:t>Applying Chatfield’s (2018) critical thinking approach</w:t>
      </w:r>
      <w:r>
        <w:t xml:space="preserve">, </w:t>
      </w:r>
      <w:r w:rsidRPr="004804D4">
        <w:t>analysis, evaluation</w:t>
      </w:r>
      <w:r>
        <w:t xml:space="preserve"> </w:t>
      </w:r>
      <w:r w:rsidRPr="004804D4">
        <w:t>and synthesis</w:t>
      </w:r>
      <w:r>
        <w:t xml:space="preserve">, </w:t>
      </w:r>
      <w:r w:rsidRPr="004804D4">
        <w:t>reveals that ethical decision-making within the salon is intuitive rather than systemic. Analysis shows strong personal values; evaluation exposes limited formal documentation; synthesis suggests that embedding reflective debriefs and shared learning after complex cases would institutionalise ethical reasoning. Therefore, while the existing culture supports ethical outcomes, its dependence on individual judgement rather than collective standards constrains resilience.</w:t>
      </w:r>
    </w:p>
    <w:p w14:paraId="0F448E25" w14:textId="0E8B880F" w:rsidR="007B002A" w:rsidRPr="007B002A" w:rsidRDefault="00357CD1" w:rsidP="00C3617B">
      <w:pPr>
        <w:pStyle w:val="Heading3"/>
        <w:spacing w:line="360" w:lineRule="auto"/>
        <w:jc w:val="both"/>
      </w:pPr>
      <w:bookmarkStart w:id="18" w:name="_Toc213332619"/>
      <w:r>
        <w:t>5</w:t>
      </w:r>
      <w:r w:rsidR="007B002A" w:rsidRPr="007B002A">
        <w:t>.4 Synergies Between Culture and Ethics</w:t>
      </w:r>
      <w:bookmarkEnd w:id="18"/>
    </w:p>
    <w:p w14:paraId="1E083C22" w14:textId="77777777" w:rsidR="004804D4" w:rsidRDefault="004804D4" w:rsidP="00C3617B">
      <w:pPr>
        <w:spacing w:line="360" w:lineRule="auto"/>
        <w:jc w:val="both"/>
      </w:pPr>
      <w:r w:rsidRPr="004804D4">
        <w:t xml:space="preserve">Ethics and culture are shared values of professionalism, safety and honesty </w:t>
      </w:r>
      <w:r>
        <w:t xml:space="preserve">that </w:t>
      </w:r>
      <w:r w:rsidRPr="004804D4">
        <w:t xml:space="preserve">underpin trust and collaboration (Edmondson, 2019). When employees </w:t>
      </w:r>
      <w:r>
        <w:t>share</w:t>
      </w:r>
      <w:r w:rsidRPr="004804D4">
        <w:t xml:space="preserve"> ethical norms, psychological safety improves, enabling open discussion about mistakes without fear of blame. This transparency is critical in clinical aesthetics, where error concealment could endanger clients. Conversely, ethical erosion can occur under time pressure, social-media competition, or client insistence on unrealistic results (Agravat &amp; Macwan, 2024). Regular CPD sessions and peer discussions help mitigate such risks by refreshing knowledge and aligning personal values with professional expectations. Research by Lepistö </w:t>
      </w:r>
      <w:r w:rsidRPr="004804D4">
        <w:rPr>
          <w:i/>
          <w:iCs/>
        </w:rPr>
        <w:t>et al.</w:t>
      </w:r>
      <w:r w:rsidRPr="004804D4">
        <w:t xml:space="preserve"> (2023) shows that organisations integrating ethics into operational systems</w:t>
      </w:r>
      <w:r>
        <w:t xml:space="preserve">, </w:t>
      </w:r>
      <w:r w:rsidRPr="004804D4">
        <w:t>such as through standard operating procedures and reflective training</w:t>
      </w:r>
      <w:r>
        <w:t xml:space="preserve">, </w:t>
      </w:r>
      <w:r w:rsidRPr="004804D4">
        <w:t>achieve greater innovation and sustainability. In this sense, ethics is not a compliance burden but a catalyst for performance, guiding decision-making through clear moral boundaries while fostering unity and purpose.</w:t>
      </w:r>
    </w:p>
    <w:p w14:paraId="353C7DC2" w14:textId="35382988" w:rsidR="007B002A" w:rsidRDefault="004804D4" w:rsidP="00C3617B">
      <w:pPr>
        <w:spacing w:line="360" w:lineRule="auto"/>
        <w:jc w:val="both"/>
      </w:pPr>
      <w:r>
        <w:lastRenderedPageBreak/>
        <w:t>To conclude, e</w:t>
      </w:r>
      <w:r w:rsidRPr="004804D4">
        <w:t xml:space="preserve">thical behaviour is both the foundation and reflection of a high-performance culture. At </w:t>
      </w:r>
      <w:r>
        <w:t>the salon</w:t>
      </w:r>
      <w:r w:rsidRPr="004804D4">
        <w:t>, ethics are deeply embedded through professionalism and care but remain dependent on informal norms. Strengthening ethical practice requires translating values into visible systems: a written code of conduct, routine reflective meetings, and transparent communication channels for ethical concerns. Incorporating regular CPD ethics refreshers and embedding a feedback culture would sustain integrity while enhancing learning and collaboration. Ultimately, aligning culture and ethics transforms the salon from a values-driven microbusiness into a resilient, high-performing organisation capable of balancing profitability with professional responsibility.</w:t>
      </w:r>
    </w:p>
    <w:p w14:paraId="7270EF45" w14:textId="1AE0B5CF" w:rsidR="00625004" w:rsidRDefault="00625004" w:rsidP="002551A2">
      <w:pPr>
        <w:pStyle w:val="Heading3"/>
        <w:numPr>
          <w:ilvl w:val="1"/>
          <w:numId w:val="33"/>
        </w:numPr>
      </w:pPr>
      <w:r>
        <w:t>Sustainability &amp; CSR</w:t>
      </w:r>
    </w:p>
    <w:p w14:paraId="3D3CC860" w14:textId="0042B07B" w:rsidR="00625004" w:rsidRPr="00625004" w:rsidRDefault="00625004" w:rsidP="00625004">
      <w:pPr>
        <w:spacing w:line="360" w:lineRule="auto"/>
        <w:jc w:val="both"/>
      </w:pPr>
      <w:r w:rsidRPr="00625004">
        <w:t>Sustainability at the salon extends beyond recycling to include social responsibility in the supply chain and fair work. A concise CSR framework can rest on four pillars:</w:t>
      </w:r>
      <w:r w:rsidR="002551A2">
        <w:t xml:space="preserve"> </w:t>
      </w:r>
      <w:r w:rsidRPr="00625004">
        <w:t>Prioritise suppliers with published human-rights statements and modern-slavery clauses; avoid products linked to exploitative sourcing or animal cruelty</w:t>
      </w:r>
      <w:r w:rsidR="002551A2">
        <w:t xml:space="preserve"> and c</w:t>
      </w:r>
      <w:r w:rsidRPr="00625004">
        <w:t>ommunicate criteria openly so clients see how purchases align with values.</w:t>
      </w:r>
      <w:r w:rsidR="002551A2">
        <w:t xml:space="preserve"> </w:t>
      </w:r>
      <w:r w:rsidRPr="00625004">
        <w:t>Offer written contracts, fair scheduling, guaranteed breaks and transparent pay progression linked to accredited skills. Provide funded CPD and safe-practice training time. Adopt a speak-up policy enabling staff to raise ethical or safety concerns without reprisal, with a named champion (the owner) and an external escalation</w:t>
      </w:r>
      <w:r w:rsidR="002551A2">
        <w:t xml:space="preserve">. </w:t>
      </w:r>
      <w:r w:rsidRPr="00625004">
        <w:t>Implement a reduce-reuse-responsibly dispose hierarchy: minimise single-use where clinically safe; choose recyclable/biodegradable consumables</w:t>
      </w:r>
      <w:r w:rsidR="002551A2">
        <w:t xml:space="preserve">, for example. </w:t>
      </w:r>
      <w:r w:rsidRPr="00625004">
        <w:t xml:space="preserve">Add a short paragraph in the annual review summarising actions taken, issues encountered and next-year goals. </w:t>
      </w:r>
      <w:r w:rsidRPr="00625004">
        <w:t>Even light-touch reporting builds credibility</w:t>
      </w:r>
      <w:r w:rsidRPr="00625004">
        <w:t xml:space="preserve"> aligns the team</w:t>
      </w:r>
      <w:r w:rsidR="002551A2">
        <w:t xml:space="preserve"> ( </w:t>
      </w:r>
      <w:r w:rsidR="002551A2" w:rsidRPr="002551A2">
        <w:t>Karuppiah</w:t>
      </w:r>
      <w:r w:rsidR="002551A2">
        <w:t xml:space="preserve"> et al., </w:t>
      </w:r>
      <w:r w:rsidR="002551A2" w:rsidRPr="002551A2">
        <w:t xml:space="preserve">2022). </w:t>
      </w:r>
    </w:p>
    <w:p w14:paraId="1403EECD" w14:textId="6A5BD80D" w:rsidR="00625004" w:rsidRPr="007B002A" w:rsidRDefault="00625004" w:rsidP="00C3617B">
      <w:pPr>
        <w:spacing w:line="360" w:lineRule="auto"/>
        <w:jc w:val="both"/>
      </w:pPr>
      <w:r w:rsidRPr="00625004">
        <w:t>Embedding CSR into induction, procurement, and reviews creates cultural “stickiness”: sustainability becomes how the clinic works, not an add-on.</w:t>
      </w:r>
    </w:p>
    <w:p w14:paraId="681D6D60" w14:textId="4BA8DB14" w:rsidR="007B002A" w:rsidRPr="007B002A" w:rsidRDefault="00357CD1" w:rsidP="00C3617B">
      <w:pPr>
        <w:pStyle w:val="Heading2"/>
        <w:spacing w:line="360" w:lineRule="auto"/>
        <w:jc w:val="both"/>
      </w:pPr>
      <w:bookmarkStart w:id="19" w:name="_Toc213332620"/>
      <w:r>
        <w:lastRenderedPageBreak/>
        <w:t>6</w:t>
      </w:r>
      <w:r w:rsidR="007B002A" w:rsidRPr="007B002A">
        <w:t>. Conclusion &amp; Recommendations</w:t>
      </w:r>
      <w:bookmarkEnd w:id="19"/>
      <w:r w:rsidR="007B002A" w:rsidRPr="007B002A">
        <w:t xml:space="preserve"> </w:t>
      </w:r>
    </w:p>
    <w:p w14:paraId="5CF3F066" w14:textId="77777777" w:rsidR="00F545CC" w:rsidRDefault="00F545CC" w:rsidP="00C3617B">
      <w:pPr>
        <w:pStyle w:val="Heading3"/>
        <w:spacing w:line="360" w:lineRule="auto"/>
        <w:jc w:val="both"/>
      </w:pPr>
      <w:bookmarkStart w:id="20" w:name="_Toc213332621"/>
      <w:r>
        <w:t>6.1 Conclusion</w:t>
      </w:r>
      <w:bookmarkEnd w:id="20"/>
      <w:r>
        <w:t xml:space="preserve"> </w:t>
      </w:r>
    </w:p>
    <w:p w14:paraId="163A41C1" w14:textId="7F3CDCEA" w:rsidR="00056C5C" w:rsidRPr="00056C5C" w:rsidRDefault="00056C5C" w:rsidP="00C3617B">
      <w:pPr>
        <w:spacing w:line="360" w:lineRule="auto"/>
        <w:jc w:val="both"/>
      </w:pPr>
      <w:r w:rsidRPr="00056C5C">
        <w:t xml:space="preserve">The evaluation of </w:t>
      </w:r>
      <w:r>
        <w:t>the aesthetic salon</w:t>
      </w:r>
      <w:r w:rsidRPr="00056C5C">
        <w:t xml:space="preserve"> demonstrates that culture, ethics and environmental awareness are inseparable drivers of high performance within micro-enterprises. The salon’s strong ethical foundation</w:t>
      </w:r>
      <w:r>
        <w:t xml:space="preserve">, </w:t>
      </w:r>
      <w:r w:rsidRPr="00056C5C">
        <w:t>centred on professionalism, client care, and accountability</w:t>
      </w:r>
      <w:r>
        <w:t xml:space="preserve">, </w:t>
      </w:r>
      <w:r w:rsidRPr="00056C5C">
        <w:t>has established a reputation of trust and quality. However, analysis across the cultural, contextual, and environmental dimensions reveals that sustaining this high-performance culture requires formalised systems, distributed leadership and continuous adaptation to external change.</w:t>
      </w:r>
    </w:p>
    <w:p w14:paraId="53F9341F" w14:textId="66609D2E" w:rsidR="00056C5C" w:rsidRPr="00056C5C" w:rsidRDefault="00056C5C" w:rsidP="00C3617B">
      <w:pPr>
        <w:spacing w:line="360" w:lineRule="auto"/>
        <w:jc w:val="both"/>
      </w:pPr>
      <w:r w:rsidRPr="00056C5C">
        <w:t xml:space="preserve">A key finding is that ethical and professional culture directly enhances performance. The salon’s commitment to safety, transparency and regulatory compliance has become both a moral and strategic asset, strengthening client confidence and repeat business (Rahman </w:t>
      </w:r>
      <w:r w:rsidRPr="00056C5C">
        <w:rPr>
          <w:i/>
          <w:iCs/>
        </w:rPr>
        <w:t>et al</w:t>
      </w:r>
      <w:r w:rsidRPr="00056C5C">
        <w:t xml:space="preserve">., 2025; </w:t>
      </w:r>
      <w:r>
        <w:t>Wilson</w:t>
      </w:r>
      <w:r w:rsidRPr="00056C5C">
        <w:t>, 2024). Yet, this ethical strength currently relies on the owner’s leadership rather than collective cultural mechanisms. Embedding structured processes</w:t>
      </w:r>
      <w:r>
        <w:t xml:space="preserve">, </w:t>
      </w:r>
      <w:r w:rsidRPr="00056C5C">
        <w:t>such as documented performance discussions, feedback systems, and ethical codes of practice</w:t>
      </w:r>
      <w:r>
        <w:t xml:space="preserve">, </w:t>
      </w:r>
      <w:r w:rsidRPr="00056C5C">
        <w:t>would convert these individual values into institutionalised behaviours (Schein, 2010; Edmondson, 2019).</w:t>
      </w:r>
    </w:p>
    <w:p w14:paraId="1A516D25" w14:textId="38B02353" w:rsidR="00056C5C" w:rsidRPr="00056C5C" w:rsidRDefault="00056C5C" w:rsidP="00C3617B">
      <w:pPr>
        <w:spacing w:line="360" w:lineRule="auto"/>
        <w:jc w:val="both"/>
      </w:pPr>
      <w:r w:rsidRPr="00056C5C">
        <w:t xml:space="preserve">Second, environmental awareness is central to adaptability. The PESTEL analysis highlighted that regulation, technology, and social trends continuously reshape client expectations (Lepistö </w:t>
      </w:r>
      <w:r w:rsidRPr="00056C5C">
        <w:rPr>
          <w:i/>
          <w:iCs/>
        </w:rPr>
        <w:t>et al</w:t>
      </w:r>
      <w:r w:rsidRPr="00056C5C">
        <w:t>., 2023). By systematically reviewing environmental data</w:t>
      </w:r>
      <w:r w:rsidR="00F24544">
        <w:t xml:space="preserve">, </w:t>
      </w:r>
      <w:r w:rsidRPr="00056C5C">
        <w:t>through annual PESTEL and SWOT updates</w:t>
      </w:r>
      <w:r>
        <w:t xml:space="preserve">, </w:t>
      </w:r>
      <w:r w:rsidRPr="00056C5C">
        <w:t>the salon can anticipate risks such as changing licensing laws or digital competition while identifying opportunities for innovation, including sustainability initiatives and AI-based marketing (Gunduzyeli, 2025). Environmental scanning, therefore, becomes a mechanism for resilience rather than reaction.</w:t>
      </w:r>
    </w:p>
    <w:p w14:paraId="40D4DCCA" w14:textId="77777777" w:rsidR="00056C5C" w:rsidRPr="00056C5C" w:rsidRDefault="00056C5C" w:rsidP="00C3617B">
      <w:pPr>
        <w:spacing w:line="360" w:lineRule="auto"/>
        <w:jc w:val="both"/>
      </w:pPr>
      <w:r w:rsidRPr="00056C5C">
        <w:t xml:space="preserve">Third, achieving a sustainable high-performance culture requires alignment between values, systems, and behaviours. The McKinsey 7S framework revealed that shared values and professionalism are strong but under-supported by structure and systems. Implementing light-touch governance, such as a simple CRM for client documentation, </w:t>
      </w:r>
      <w:r w:rsidRPr="00056C5C">
        <w:lastRenderedPageBreak/>
        <w:t xml:space="preserve">structured one-to-ones, and reflective learning sessions, would enhance consistency, data-driven decision-making, and staff accountability (Wu </w:t>
      </w:r>
      <w:r w:rsidRPr="00056C5C">
        <w:rPr>
          <w:i/>
          <w:iCs/>
        </w:rPr>
        <w:t>et al.,</w:t>
      </w:r>
      <w:r w:rsidRPr="00056C5C">
        <w:t xml:space="preserve"> 2022). These interventions would allow knowledge to flow across the team, promoting collaborative learning rather than reliance on the owner.</w:t>
      </w:r>
    </w:p>
    <w:p w14:paraId="4126FBA3" w14:textId="30039C0A" w:rsidR="00056C5C" w:rsidRPr="00056C5C" w:rsidRDefault="00F545CC" w:rsidP="00C3617B">
      <w:pPr>
        <w:pStyle w:val="Heading3"/>
        <w:spacing w:line="360" w:lineRule="auto"/>
        <w:jc w:val="both"/>
      </w:pPr>
      <w:bookmarkStart w:id="21" w:name="_Toc213332622"/>
      <w:r>
        <w:t xml:space="preserve">6.2 </w:t>
      </w:r>
      <w:r w:rsidR="00056C5C" w:rsidRPr="00056C5C">
        <w:t>Recommendations</w:t>
      </w:r>
      <w:bookmarkEnd w:id="21"/>
    </w:p>
    <w:p w14:paraId="0F907648" w14:textId="77777777" w:rsidR="00056C5C" w:rsidRPr="00056C5C" w:rsidRDefault="00056C5C" w:rsidP="00C3617B">
      <w:pPr>
        <w:numPr>
          <w:ilvl w:val="0"/>
          <w:numId w:val="27"/>
        </w:numPr>
        <w:spacing w:line="360" w:lineRule="auto"/>
        <w:jc w:val="both"/>
      </w:pPr>
      <w:r w:rsidRPr="00056C5C">
        <w:t>Develop a shared vision and ethical charter to formalise the salon’s purpose, embedding safety, integrity, and professionalism as collective goals. This aligns individual motivation with organisational identity, reinforcing ethical unity (Treviño &amp; Nelson, 2016).</w:t>
      </w:r>
    </w:p>
    <w:p w14:paraId="3416685F" w14:textId="28199A25" w:rsidR="00056C5C" w:rsidRPr="00056C5C" w:rsidRDefault="00056C5C" w:rsidP="00625004">
      <w:pPr>
        <w:numPr>
          <w:ilvl w:val="0"/>
          <w:numId w:val="27"/>
        </w:numPr>
        <w:spacing w:line="360" w:lineRule="auto"/>
        <w:jc w:val="both"/>
      </w:pPr>
      <w:r w:rsidRPr="00056C5C">
        <w:t>Introduce structured feedback and team development sessions, including quarterly one-to-ones and monthly reflective huddles. These will foster open communication, identify training needs, and strengthen psychological safety (</w:t>
      </w:r>
      <w:r w:rsidRPr="00625004">
        <w:t>Edmondson, 2019).</w:t>
      </w:r>
      <w:r w:rsidR="00625004" w:rsidRPr="00625004">
        <w:t xml:space="preserve"> Communication channels </w:t>
      </w:r>
      <w:r w:rsidR="00625004" w:rsidRPr="00625004">
        <w:t>High-reliability micro-organisations use short, predictable communication cadences. A pragmatic model is:</w:t>
      </w:r>
      <w:r w:rsidR="00625004" w:rsidRPr="00625004">
        <w:t xml:space="preserve"> </w:t>
      </w:r>
      <w:r w:rsidR="00625004" w:rsidRPr="00625004">
        <w:t>Daily: 5-minute stand-up (today’s bookings, risks, equipment issues).</w:t>
      </w:r>
      <w:r w:rsidR="00625004" w:rsidRPr="00625004">
        <w:t xml:space="preserve"> </w:t>
      </w:r>
      <w:r w:rsidR="00625004" w:rsidRPr="00625004">
        <w:t>Weekly: 15-minute operations check (stock, adverse reactions, social/media queries).</w:t>
      </w:r>
      <w:r w:rsidR="00625004" w:rsidRPr="00625004">
        <w:t xml:space="preserve"> </w:t>
      </w:r>
      <w:r w:rsidR="00625004" w:rsidRPr="00625004">
        <w:t>Monthly: 45-minute reflective meeting (case review, near-misses, learning points).</w:t>
      </w:r>
      <w:r w:rsidR="00625004" w:rsidRPr="00625004">
        <w:t xml:space="preserve"> </w:t>
      </w:r>
      <w:r w:rsidR="00625004" w:rsidRPr="00625004">
        <w:t>Quarterly: PDP check-ins (progress, wellbeing, next skills).</w:t>
      </w:r>
    </w:p>
    <w:p w14:paraId="5AAED189" w14:textId="77777777" w:rsidR="00056C5C" w:rsidRPr="00056C5C" w:rsidRDefault="00056C5C" w:rsidP="00C3617B">
      <w:pPr>
        <w:numPr>
          <w:ilvl w:val="0"/>
          <w:numId w:val="27"/>
        </w:numPr>
        <w:spacing w:line="360" w:lineRule="auto"/>
        <w:jc w:val="both"/>
      </w:pPr>
      <w:r w:rsidRPr="00056C5C">
        <w:t>Regularly review environmental trends through biannual PESTEL assessments and social media analytics to anticipate market shifts and regulatory changes. This ensures strategy remains evidence-informed (Kiziloglu, 2022).</w:t>
      </w:r>
    </w:p>
    <w:p w14:paraId="7FA96A7A" w14:textId="77777777" w:rsidR="00056C5C" w:rsidRDefault="00056C5C" w:rsidP="00C3617B">
      <w:pPr>
        <w:numPr>
          <w:ilvl w:val="0"/>
          <w:numId w:val="27"/>
        </w:numPr>
        <w:spacing w:line="360" w:lineRule="auto"/>
        <w:jc w:val="both"/>
      </w:pPr>
      <w:r w:rsidRPr="00056C5C">
        <w:t xml:space="preserve">Promote wellbeing and inclusion by managing workloads, recognising achievements, and maintaining transparent communication. Research suggests that inclusive and supportive environments improve retention and innovation (Lepistö </w:t>
      </w:r>
      <w:r w:rsidRPr="00056C5C">
        <w:rPr>
          <w:i/>
          <w:iCs/>
        </w:rPr>
        <w:t>et al.,</w:t>
      </w:r>
      <w:r w:rsidRPr="00056C5C">
        <w:t xml:space="preserve"> 2023).</w:t>
      </w:r>
    </w:p>
    <w:p w14:paraId="7E551149" w14:textId="77777777" w:rsidR="00625004" w:rsidRPr="00625004" w:rsidRDefault="00625004" w:rsidP="00625004">
      <w:pPr>
        <w:numPr>
          <w:ilvl w:val="0"/>
          <w:numId w:val="27"/>
        </w:numPr>
        <w:spacing w:line="360" w:lineRule="auto"/>
        <w:jc w:val="both"/>
      </w:pPr>
      <w:r w:rsidRPr="00625004">
        <w:t>High-reliability micro-organisations use short, predictable communication cadences. A pragmatic model is:</w:t>
      </w:r>
    </w:p>
    <w:p w14:paraId="2166D83D" w14:textId="17533240" w:rsidR="00056C5C" w:rsidRPr="00056C5C" w:rsidRDefault="00F545CC" w:rsidP="00C3617B">
      <w:pPr>
        <w:pStyle w:val="Heading3"/>
        <w:spacing w:line="360" w:lineRule="auto"/>
        <w:jc w:val="both"/>
      </w:pPr>
      <w:bookmarkStart w:id="22" w:name="_Toc213332623"/>
      <w:r>
        <w:lastRenderedPageBreak/>
        <w:t xml:space="preserve">6.3 </w:t>
      </w:r>
      <w:r w:rsidR="00056C5C" w:rsidRPr="00056C5C">
        <w:t>Final Reflection</w:t>
      </w:r>
      <w:bookmarkEnd w:id="22"/>
    </w:p>
    <w:p w14:paraId="1B531114" w14:textId="3985EA85" w:rsidR="007B002A" w:rsidRPr="007B002A" w:rsidRDefault="00056C5C" w:rsidP="00C3617B">
      <w:pPr>
        <w:spacing w:line="360" w:lineRule="auto"/>
        <w:jc w:val="both"/>
      </w:pPr>
      <w:r w:rsidRPr="00056C5C">
        <w:t>Ultimately, cultural leadership</w:t>
      </w:r>
      <w:r>
        <w:t xml:space="preserve">, </w:t>
      </w:r>
      <w:r w:rsidRPr="00056C5C">
        <w:t>the ability to translate values into practice</w:t>
      </w:r>
      <w:r>
        <w:t xml:space="preserve">, </w:t>
      </w:r>
      <w:r w:rsidRPr="00056C5C">
        <w:t xml:space="preserve">is the foundation of sustained high performance. </w:t>
      </w:r>
      <w:r w:rsidR="00F545CC">
        <w:t>At the salon</w:t>
      </w:r>
      <w:r w:rsidRPr="00056C5C">
        <w:t xml:space="preserve">, this means evolving from an owner-led enterprise into a learning organisation where ethical integrity, collaboration and adaptability coexist. By aligning culture, ethics and strategy through continuous reflection and structured communication, the salon can maintain its reputation for excellence while </w:t>
      </w:r>
      <w:r w:rsidR="00F545CC">
        <w:t>keeping</w:t>
      </w:r>
      <w:r w:rsidRPr="00056C5C">
        <w:t xml:space="preserve"> a resilient, future-ready workforce.</w:t>
      </w:r>
    </w:p>
    <w:p w14:paraId="54E393DC" w14:textId="37355EDF" w:rsidR="00F545CC" w:rsidRDefault="00357CD1" w:rsidP="00C3617B">
      <w:pPr>
        <w:pStyle w:val="Heading3"/>
        <w:spacing w:line="360" w:lineRule="auto"/>
        <w:jc w:val="both"/>
      </w:pPr>
      <w:bookmarkStart w:id="23" w:name="_Toc213332624"/>
      <w:r>
        <w:t>7</w:t>
      </w:r>
      <w:r w:rsidR="007B002A" w:rsidRPr="007B002A">
        <w:t>. References</w:t>
      </w:r>
      <w:bookmarkEnd w:id="23"/>
    </w:p>
    <w:p w14:paraId="28EF4A44" w14:textId="77777777" w:rsidR="002551A2" w:rsidRDefault="002551A2" w:rsidP="00C3617B">
      <w:pPr>
        <w:spacing w:line="360" w:lineRule="auto"/>
        <w:ind w:left="720" w:hanging="720"/>
        <w:jc w:val="both"/>
      </w:pPr>
      <w:proofErr w:type="spellStart"/>
      <w:r>
        <w:t>Agravat</w:t>
      </w:r>
      <w:proofErr w:type="spellEnd"/>
      <w:r>
        <w:t xml:space="preserve">. M, Macwan. P. (2024). </w:t>
      </w:r>
      <w:r w:rsidRPr="0010716A">
        <w:t>Professionalism Across Professions</w:t>
      </w:r>
      <w:r>
        <w:t>, navigating Challenges, Embracing Excellence;</w:t>
      </w:r>
      <w:r w:rsidRPr="0010716A">
        <w:t> </w:t>
      </w:r>
      <w:r w:rsidRPr="0010716A">
        <w:rPr>
          <w:i/>
          <w:iCs/>
        </w:rPr>
        <w:t>OrangeBooks Publication</w:t>
      </w:r>
      <w:r w:rsidRPr="0010716A">
        <w:t>.</w:t>
      </w:r>
      <w:r>
        <w:t xml:space="preserve"> Page 9. </w:t>
      </w:r>
      <w:hyperlink r:id="rId9" w:history="1">
        <w:r w:rsidRPr="00923B70">
          <w:rPr>
            <w:rStyle w:val="Hyperlink"/>
          </w:rPr>
          <w:t>https://books.google.co.uk/books?id=B1EQEQAAQBAJ</w:t>
        </w:r>
      </w:hyperlink>
    </w:p>
    <w:p w14:paraId="7F00D370" w14:textId="77777777" w:rsidR="002551A2" w:rsidRDefault="002551A2" w:rsidP="00C3617B">
      <w:pPr>
        <w:spacing w:line="360" w:lineRule="auto"/>
        <w:ind w:left="720" w:hanging="720"/>
        <w:jc w:val="both"/>
      </w:pPr>
      <w:r w:rsidRPr="00A558C7">
        <w:t>Amoa</w:t>
      </w:r>
      <w:r w:rsidRPr="00A558C7">
        <w:noBreakHyphen/>
        <w:t xml:space="preserve">Gyarteng, K., &amp; Dhliwayo, S. (2024). </w:t>
      </w:r>
      <w:r w:rsidRPr="00A558C7">
        <w:rPr>
          <w:i/>
          <w:iCs/>
        </w:rPr>
        <w:t>Cultivating success: organizational culture’s influence on innovation and performance in SMEs.</w:t>
      </w:r>
      <w:r w:rsidRPr="00A558C7">
        <w:rPr>
          <w:rFonts w:ascii="Arial" w:hAnsi="Arial" w:cs="Arial"/>
        </w:rPr>
        <w:t> </w:t>
      </w:r>
      <w:r w:rsidRPr="00A558C7">
        <w:rPr>
          <w:i/>
          <w:iCs/>
        </w:rPr>
        <w:t>Cogent Business &amp; Management, 11</w:t>
      </w:r>
      <w:r w:rsidRPr="00A558C7">
        <w:t>(1), 2397070.</w:t>
      </w:r>
      <w:r w:rsidRPr="00A558C7">
        <w:rPr>
          <w:rFonts w:ascii="Arial" w:hAnsi="Arial" w:cs="Arial"/>
        </w:rPr>
        <w:t> </w:t>
      </w:r>
      <w:r w:rsidRPr="00A558C7">
        <w:t>https://doi.org/10.1080/23311975.2024.2397070</w:t>
      </w:r>
    </w:p>
    <w:p w14:paraId="5DBC6D7E" w14:textId="77777777" w:rsidR="002551A2" w:rsidRDefault="002551A2" w:rsidP="00C3617B">
      <w:pPr>
        <w:spacing w:line="360" w:lineRule="auto"/>
        <w:ind w:left="720" w:hanging="720"/>
        <w:jc w:val="both"/>
      </w:pPr>
      <w:r w:rsidRPr="00852803">
        <w:t xml:space="preserve">Ansari, M. N., &amp; Tasleem, N. (2022). </w:t>
      </w:r>
      <w:r w:rsidRPr="00852803">
        <w:rPr>
          <w:i/>
          <w:iCs/>
        </w:rPr>
        <w:t>Building a resilient healthcare workforce: HR innovations for staff retention, burnout prevention, and talent development.</w:t>
      </w:r>
      <w:r w:rsidRPr="00852803">
        <w:t xml:space="preserve"> </w:t>
      </w:r>
      <w:r w:rsidRPr="00852803">
        <w:rPr>
          <w:i/>
          <w:iCs/>
        </w:rPr>
        <w:t>International Journal of Multidisciplinary Research and Growth Evaluation</w:t>
      </w:r>
      <w:r w:rsidRPr="00852803">
        <w:t xml:space="preserve">, 3(2), 16-20. </w:t>
      </w:r>
      <w:hyperlink r:id="rId10" w:history="1">
        <w:r w:rsidRPr="001956B0">
          <w:rPr>
            <w:rStyle w:val="Hyperlink"/>
          </w:rPr>
          <w:t>https://doi.org/10.54660/.IJFMR.2022.3.2.16-20</w:t>
        </w:r>
      </w:hyperlink>
    </w:p>
    <w:p w14:paraId="20C153B7" w14:textId="77777777" w:rsidR="002551A2" w:rsidRDefault="002551A2" w:rsidP="00C3617B">
      <w:pPr>
        <w:spacing w:line="360" w:lineRule="auto"/>
        <w:ind w:left="720" w:hanging="720"/>
        <w:jc w:val="both"/>
      </w:pPr>
      <w:r w:rsidRPr="00ED5B2F">
        <w:t xml:space="preserve">Ayanponle, L. (2025). Developing and implementing advanced performance management systems for enhanced organizational productivity. </w:t>
      </w:r>
      <w:r w:rsidRPr="00ED5B2F">
        <w:rPr>
          <w:i/>
          <w:iCs/>
        </w:rPr>
        <w:t>[Name of Journal, Volume(Issue), Page range]</w:t>
      </w:r>
      <w:r w:rsidRPr="00ED5B2F">
        <w:t xml:space="preserve">. Retrieved from </w:t>
      </w:r>
      <w:hyperlink r:id="rId11" w:tgtFrame="_new" w:history="1">
        <w:r w:rsidRPr="00ED5B2F">
          <w:rPr>
            <w:rStyle w:val="Hyperlink"/>
          </w:rPr>
          <w:t>https://www.researchgate.net/profile/Latifat-Ayanponle/publication/386348208_Developing_and_implementing_advanced_performance_management_systems_for_enhanced_organizational_productivity/links/67a1c97a645ef274a46662dc/Developing-and-implementing-advanced-performance-management-systems-for-enhanced-organizational-productivity.pdf</w:t>
        </w:r>
      </w:hyperlink>
    </w:p>
    <w:p w14:paraId="33B55E43" w14:textId="77777777" w:rsidR="002551A2" w:rsidRDefault="002551A2" w:rsidP="00C3617B">
      <w:pPr>
        <w:spacing w:line="360" w:lineRule="auto"/>
        <w:ind w:left="720" w:hanging="720"/>
        <w:jc w:val="both"/>
      </w:pPr>
      <w:r w:rsidRPr="007B030D">
        <w:t>Bate, A. F., Pittaway, L., &amp; Sándor, D. (2025). Unveiling the influence of national culture on entrepreneurship: systematic literature review. </w:t>
      </w:r>
      <w:r w:rsidRPr="007B030D">
        <w:rPr>
          <w:i/>
          <w:iCs/>
        </w:rPr>
        <w:t xml:space="preserve">Journal of Entrepreneurship in </w:t>
      </w:r>
      <w:r w:rsidRPr="007B030D">
        <w:rPr>
          <w:i/>
          <w:iCs/>
        </w:rPr>
        <w:lastRenderedPageBreak/>
        <w:t>Emerging Economies</w:t>
      </w:r>
      <w:r w:rsidRPr="007B030D">
        <w:t>, </w:t>
      </w:r>
      <w:r w:rsidRPr="007B030D">
        <w:rPr>
          <w:i/>
          <w:iCs/>
        </w:rPr>
        <w:t>17</w:t>
      </w:r>
      <w:r w:rsidRPr="007B030D">
        <w:t xml:space="preserve">(4), 875–904. </w:t>
      </w:r>
      <w:hyperlink r:id="rId12" w:history="1">
        <w:r w:rsidRPr="00AE1E91">
          <w:rPr>
            <w:rStyle w:val="Hyperlink"/>
          </w:rPr>
          <w:t>https://doi.org/10.1108/JEEE-09-2023-0398</w:t>
        </w:r>
      </w:hyperlink>
    </w:p>
    <w:p w14:paraId="4FEDEE74" w14:textId="77777777" w:rsidR="002551A2" w:rsidRDefault="002551A2" w:rsidP="00C3617B">
      <w:pPr>
        <w:spacing w:line="360" w:lineRule="auto"/>
        <w:ind w:left="720" w:hanging="720"/>
        <w:jc w:val="both"/>
      </w:pPr>
      <w:r w:rsidRPr="004804D4">
        <w:t xml:space="preserve">Bier, R. (2025). The power of rituals in building a high-performance, scalable organization. </w:t>
      </w:r>
      <w:r w:rsidRPr="004804D4">
        <w:rPr>
          <w:i/>
          <w:iCs/>
        </w:rPr>
        <w:t>Leader to Leader, 2025</w:t>
      </w:r>
      <w:r w:rsidRPr="004804D4">
        <w:t xml:space="preserve">(115), 71–76. </w:t>
      </w:r>
      <w:hyperlink r:id="rId13" w:tgtFrame="_new" w:history="1">
        <w:r w:rsidRPr="004804D4">
          <w:rPr>
            <w:rStyle w:val="Hyperlink"/>
          </w:rPr>
          <w:t>https://doi.org/10.1002/ltl.20867</w:t>
        </w:r>
      </w:hyperlink>
    </w:p>
    <w:p w14:paraId="75E1C83B" w14:textId="77777777" w:rsidR="002551A2" w:rsidRDefault="002551A2" w:rsidP="00C3617B">
      <w:pPr>
        <w:spacing w:line="360" w:lineRule="auto"/>
        <w:ind w:left="720" w:hanging="720"/>
        <w:jc w:val="both"/>
      </w:pPr>
      <w:r w:rsidRPr="007F3F69">
        <w:t xml:space="preserve">Care Quality Commission. (2022, December). </w:t>
      </w:r>
      <w:r w:rsidRPr="007F3F69">
        <w:rPr>
          <w:i/>
          <w:iCs/>
        </w:rPr>
        <w:t>Regulation 20: Duty of candour – guidance for providers.</w:t>
      </w:r>
      <w:r w:rsidRPr="007F3F69">
        <w:t xml:space="preserve"> </w:t>
      </w:r>
      <w:hyperlink r:id="rId14" w:tgtFrame="_new" w:history="1">
        <w:r w:rsidRPr="007F3F69">
          <w:rPr>
            <w:rStyle w:val="Hyperlink"/>
          </w:rPr>
          <w:t>https://www.cqc.org.uk/sites/default/files/2022-12/20220722-duty-of-candour-pdf-version-FINAL-2.pdf</w:t>
        </w:r>
      </w:hyperlink>
    </w:p>
    <w:p w14:paraId="71CB7571" w14:textId="77777777" w:rsidR="002551A2" w:rsidRDefault="002551A2" w:rsidP="00C3617B">
      <w:pPr>
        <w:spacing w:line="360" w:lineRule="auto"/>
        <w:jc w:val="both"/>
      </w:pPr>
      <w:r w:rsidRPr="00D723C8">
        <w:t xml:space="preserve">Chartered Institute of Personnel and Development (CIPD). (2025, March 7). </w:t>
      </w:r>
      <w:r w:rsidRPr="00D723C8">
        <w:rPr>
          <w:i/>
          <w:iCs/>
        </w:rPr>
        <w:t>SWOT analysis: Factsheet.</w:t>
      </w:r>
      <w:r w:rsidRPr="00D723C8">
        <w:t xml:space="preserve"> </w:t>
      </w:r>
      <w:hyperlink r:id="rId15" w:tgtFrame="_new" w:history="1">
        <w:r w:rsidRPr="00D723C8">
          <w:rPr>
            <w:rStyle w:val="Hyperlink"/>
          </w:rPr>
          <w:t>https://www.cipd.org/uk/knowledge/factsheets/swot-analysis-factsheet/</w:t>
        </w:r>
      </w:hyperlink>
    </w:p>
    <w:p w14:paraId="2565738D" w14:textId="77777777" w:rsidR="002551A2" w:rsidRDefault="002551A2" w:rsidP="00C3617B">
      <w:pPr>
        <w:spacing w:line="360" w:lineRule="auto"/>
        <w:ind w:left="720" w:hanging="720"/>
        <w:jc w:val="both"/>
      </w:pPr>
      <w:r w:rsidRPr="004D6ED7">
        <w:t>CIPD. (2025, March</w:t>
      </w:r>
      <w:r w:rsidRPr="004D6ED7">
        <w:rPr>
          <w:rFonts w:ascii="Arial" w:hAnsi="Arial" w:cs="Arial"/>
        </w:rPr>
        <w:t> </w:t>
      </w:r>
      <w:r w:rsidRPr="004D6ED7">
        <w:t xml:space="preserve">7). </w:t>
      </w:r>
      <w:r w:rsidRPr="004D6ED7">
        <w:rPr>
          <w:i/>
          <w:iCs/>
        </w:rPr>
        <w:t>SWOT analysis: Factsheet</w:t>
      </w:r>
      <w:r w:rsidRPr="004D6ED7">
        <w:t xml:space="preserve">. Chartered Institute of Personnel and Development. </w:t>
      </w:r>
      <w:r w:rsidRPr="004D6ED7">
        <w:rPr>
          <w:i/>
          <w:iCs/>
        </w:rPr>
        <w:t>CIPD</w:t>
      </w:r>
      <w:r>
        <w:t xml:space="preserve">. </w:t>
      </w:r>
      <w:hyperlink r:id="rId16" w:history="1">
        <w:r w:rsidRPr="00060651">
          <w:rPr>
            <w:rStyle w:val="Hyperlink"/>
          </w:rPr>
          <w:t>https://www.cipd.org/uk/knowledge/factsheets/swot-analysis-factsheet/</w:t>
        </w:r>
      </w:hyperlink>
    </w:p>
    <w:p w14:paraId="400EB9AC" w14:textId="77777777" w:rsidR="002551A2" w:rsidRDefault="002551A2" w:rsidP="00C3617B">
      <w:pPr>
        <w:spacing w:line="360" w:lineRule="auto"/>
        <w:ind w:left="720" w:hanging="720"/>
        <w:jc w:val="both"/>
      </w:pPr>
      <w:r w:rsidRPr="00056C5C">
        <w:t>Dufera, A. G., Liu, T., &amp; Xu, J. (2023). Regression models of Pearson correlation coefficient. </w:t>
      </w:r>
      <w:r w:rsidRPr="00056C5C">
        <w:rPr>
          <w:i/>
          <w:iCs/>
        </w:rPr>
        <w:t>Statistical Theory and Related Fields</w:t>
      </w:r>
      <w:r w:rsidRPr="00056C5C">
        <w:t>, </w:t>
      </w:r>
      <w:r w:rsidRPr="00056C5C">
        <w:rPr>
          <w:i/>
          <w:iCs/>
        </w:rPr>
        <w:t>7</w:t>
      </w:r>
      <w:r w:rsidRPr="00056C5C">
        <w:t xml:space="preserve">(2), 97–106. </w:t>
      </w:r>
      <w:hyperlink r:id="rId17" w:history="1">
        <w:r w:rsidRPr="00977324">
          <w:rPr>
            <w:rStyle w:val="Hyperlink"/>
          </w:rPr>
          <w:t>https://doi.org/10.1080/24754269.2023.2164970</w:t>
        </w:r>
      </w:hyperlink>
    </w:p>
    <w:p w14:paraId="0FF5BFF9" w14:textId="77777777" w:rsidR="002551A2" w:rsidRDefault="002551A2" w:rsidP="00C3617B">
      <w:pPr>
        <w:spacing w:line="360" w:lineRule="auto"/>
        <w:ind w:left="720" w:hanging="720"/>
        <w:jc w:val="both"/>
      </w:pPr>
      <w:r w:rsidRPr="003957FC">
        <w:t xml:space="preserve">Edmondson, A. C. (2019). </w:t>
      </w:r>
      <w:r w:rsidRPr="003957FC">
        <w:rPr>
          <w:i/>
          <w:iCs/>
        </w:rPr>
        <w:t>The fearless organization: Creating psychological safety in the workplace for learning, innovation, and growth.</w:t>
      </w:r>
      <w:r w:rsidRPr="003957FC">
        <w:t xml:space="preserve"> John Wiley &amp; Sons</w:t>
      </w:r>
      <w:r>
        <w:t>.</w:t>
      </w:r>
    </w:p>
    <w:p w14:paraId="61D267AE" w14:textId="77777777" w:rsidR="002551A2" w:rsidRDefault="002551A2" w:rsidP="00C3617B">
      <w:pPr>
        <w:spacing w:line="360" w:lineRule="auto"/>
        <w:ind w:left="720" w:hanging="720"/>
        <w:jc w:val="both"/>
      </w:pPr>
      <w:r w:rsidRPr="00D57185">
        <w:t>Elshaer, I. A., &amp; Saad, S. K. (2022). Learning from Failure: Building Resilience in Small- and Medium-Sized Tourism Enterprises, the Role of Servant Leadership and Transparent Communication. </w:t>
      </w:r>
      <w:r w:rsidRPr="00D57185">
        <w:rPr>
          <w:i/>
          <w:iCs/>
        </w:rPr>
        <w:t>Sustainability</w:t>
      </w:r>
      <w:r w:rsidRPr="00D57185">
        <w:t>, </w:t>
      </w:r>
      <w:r w:rsidRPr="00D57185">
        <w:rPr>
          <w:i/>
          <w:iCs/>
        </w:rPr>
        <w:t>14</w:t>
      </w:r>
      <w:r w:rsidRPr="00D57185">
        <w:t xml:space="preserve">(22), 15199. </w:t>
      </w:r>
      <w:hyperlink r:id="rId18" w:history="1">
        <w:r w:rsidRPr="00AE1E91">
          <w:rPr>
            <w:rStyle w:val="Hyperlink"/>
          </w:rPr>
          <w:t>https://doi.org/10.3390/su142215199</w:t>
        </w:r>
      </w:hyperlink>
    </w:p>
    <w:p w14:paraId="5FE06F34" w14:textId="77777777" w:rsidR="002551A2" w:rsidRDefault="002551A2" w:rsidP="00C3617B">
      <w:pPr>
        <w:spacing w:line="360" w:lineRule="auto"/>
        <w:ind w:left="720" w:hanging="720"/>
        <w:jc w:val="both"/>
      </w:pPr>
      <w:proofErr w:type="spellStart"/>
      <w:r w:rsidRPr="001422D5">
        <w:t>Erdiaw-Kwasie</w:t>
      </w:r>
      <w:proofErr w:type="spellEnd"/>
      <w:r w:rsidRPr="001422D5">
        <w:t xml:space="preserve">, M., Abunyewah, M., Yusif, S., &amp; Arhin, P. (2023). </w:t>
      </w:r>
      <w:r w:rsidRPr="001422D5">
        <w:rPr>
          <w:i/>
          <w:iCs/>
        </w:rPr>
        <w:t>Small and medium enterprises (SMEs) in a pandemic: A systematic review of pandemic risk impacts, coping strategies and resilience</w:t>
      </w:r>
      <w:r w:rsidRPr="001422D5">
        <w:t xml:space="preserve">. </w:t>
      </w:r>
      <w:r w:rsidRPr="001422D5">
        <w:rPr>
          <w:i/>
          <w:iCs/>
        </w:rPr>
        <w:t>Heliyon, 9</w:t>
      </w:r>
      <w:r w:rsidRPr="001422D5">
        <w:t xml:space="preserve">(10), e20352. </w:t>
      </w:r>
      <w:hyperlink r:id="rId19" w:tgtFrame="_new" w:history="1">
        <w:r w:rsidRPr="001422D5">
          <w:rPr>
            <w:rStyle w:val="Hyperlink"/>
          </w:rPr>
          <w:t>https://doi.org/10.1016/j.heliyon.2023.e20352</w:t>
        </w:r>
      </w:hyperlink>
    </w:p>
    <w:p w14:paraId="4016F46F" w14:textId="77777777" w:rsidR="002551A2" w:rsidRDefault="002551A2" w:rsidP="00C3617B">
      <w:pPr>
        <w:spacing w:line="360" w:lineRule="auto"/>
        <w:ind w:left="720" w:hanging="720"/>
        <w:jc w:val="both"/>
      </w:pPr>
      <w:r w:rsidRPr="00D723C8">
        <w:t>Fabrizio, C.M., Kaczam, F., de Moura, G.L. </w:t>
      </w:r>
      <w:r w:rsidRPr="00D723C8">
        <w:rPr>
          <w:i/>
          <w:iCs/>
        </w:rPr>
        <w:t>et al.</w:t>
      </w:r>
      <w:r w:rsidRPr="00D723C8">
        <w:t xml:space="preserve"> Competitive advantage and dynamic capability in small and medium-sized enterprises: a systematic literature review </w:t>
      </w:r>
      <w:r w:rsidRPr="00D723C8">
        <w:lastRenderedPageBreak/>
        <w:t>and future research directions. </w:t>
      </w:r>
      <w:r w:rsidRPr="00D723C8">
        <w:rPr>
          <w:i/>
          <w:iCs/>
        </w:rPr>
        <w:t>Rev Manag Sci</w:t>
      </w:r>
      <w:r w:rsidRPr="00D723C8">
        <w:t> </w:t>
      </w:r>
      <w:r w:rsidRPr="00D723C8">
        <w:rPr>
          <w:b/>
          <w:bCs/>
        </w:rPr>
        <w:t>16</w:t>
      </w:r>
      <w:r w:rsidRPr="00D723C8">
        <w:t xml:space="preserve">, 617–648 (2022). </w:t>
      </w:r>
      <w:hyperlink r:id="rId20" w:history="1">
        <w:r w:rsidRPr="00977324">
          <w:rPr>
            <w:rStyle w:val="Hyperlink"/>
          </w:rPr>
          <w:t>https://doi.org/10.1007/s11846-021-00459-8</w:t>
        </w:r>
      </w:hyperlink>
    </w:p>
    <w:p w14:paraId="4BAC184C" w14:textId="77777777" w:rsidR="002551A2" w:rsidRDefault="002551A2" w:rsidP="00C3617B">
      <w:pPr>
        <w:spacing w:line="360" w:lineRule="auto"/>
        <w:ind w:left="720" w:hanging="720"/>
        <w:jc w:val="both"/>
      </w:pPr>
      <w:r w:rsidRPr="00A558C7">
        <w:t>Franco, M., et al. (2025). Cameron and Quinn’s organisational culture traits in SMEs: adaptability, involvement, mission and consistency.</w:t>
      </w:r>
      <w:r w:rsidRPr="00A558C7">
        <w:rPr>
          <w:rFonts w:ascii="Arial" w:hAnsi="Arial" w:cs="Arial"/>
        </w:rPr>
        <w:t> </w:t>
      </w:r>
      <w:r w:rsidRPr="00A558C7">
        <w:rPr>
          <w:i/>
          <w:iCs/>
        </w:rPr>
        <w:t>International Journal of Management Reviews.</w:t>
      </w:r>
      <w:r w:rsidRPr="00A558C7">
        <w:t xml:space="preserve"> Advance online publication. </w:t>
      </w:r>
      <w:hyperlink r:id="rId21" w:history="1">
        <w:r w:rsidRPr="00977324">
          <w:rPr>
            <w:rStyle w:val="Hyperlink"/>
          </w:rPr>
          <w:t>https://doi.org/10.1177/09504222241289817</w:t>
        </w:r>
      </w:hyperlink>
    </w:p>
    <w:p w14:paraId="242CEA83" w14:textId="77777777" w:rsidR="002551A2" w:rsidRDefault="002551A2" w:rsidP="00C3617B">
      <w:pPr>
        <w:spacing w:line="360" w:lineRule="auto"/>
        <w:ind w:left="720" w:hanging="720"/>
        <w:jc w:val="both"/>
      </w:pPr>
      <w:r w:rsidRPr="007F3F69">
        <w:t xml:space="preserve">General Medical Council. (2024, December 13). </w:t>
      </w:r>
      <w:r w:rsidRPr="007F3F69">
        <w:rPr>
          <w:i/>
          <w:iCs/>
        </w:rPr>
        <w:t>Guidance for doctors who offer cosmetic interventions.</w:t>
      </w:r>
      <w:r w:rsidRPr="007F3F69">
        <w:t xml:space="preserve"> </w:t>
      </w:r>
      <w:hyperlink r:id="rId22" w:tgtFrame="_new" w:history="1">
        <w:r w:rsidRPr="007F3F69">
          <w:rPr>
            <w:rStyle w:val="Hyperlink"/>
          </w:rPr>
          <w:t>https://www.gmc-uk.org/professional-standards/the-professional-standards/cosmetic-interventions</w:t>
        </w:r>
      </w:hyperlink>
    </w:p>
    <w:p w14:paraId="6A2D6154" w14:textId="77777777" w:rsidR="002551A2" w:rsidRDefault="002551A2" w:rsidP="00C3617B">
      <w:pPr>
        <w:spacing w:line="360" w:lineRule="auto"/>
        <w:ind w:left="720" w:hanging="720"/>
        <w:jc w:val="both"/>
      </w:pPr>
      <w:proofErr w:type="spellStart"/>
      <w:r w:rsidRPr="00B37364">
        <w:t>Guluma</w:t>
      </w:r>
      <w:proofErr w:type="spellEnd"/>
      <w:r w:rsidRPr="00B37364">
        <w:t>, T. F. (2021). The impact of corporate governance measures on firm performance: the influences of managerial overconfidence. </w:t>
      </w:r>
      <w:r w:rsidRPr="00B37364">
        <w:rPr>
          <w:i/>
          <w:iCs/>
        </w:rPr>
        <w:t>Future Business Journal</w:t>
      </w:r>
      <w:r w:rsidRPr="00B37364">
        <w:t>, </w:t>
      </w:r>
      <w:r w:rsidRPr="00B37364">
        <w:rPr>
          <w:i/>
          <w:iCs/>
        </w:rPr>
        <w:t>7</w:t>
      </w:r>
      <w:r w:rsidRPr="00B37364">
        <w:t xml:space="preserve">(1), Article 50. </w:t>
      </w:r>
      <w:hyperlink r:id="rId23" w:history="1">
        <w:r w:rsidRPr="00AE1E91">
          <w:rPr>
            <w:rStyle w:val="Hyperlink"/>
          </w:rPr>
          <w:t>https://doi.org/10.1186/s43093-021-00093-6</w:t>
        </w:r>
      </w:hyperlink>
    </w:p>
    <w:p w14:paraId="69FBC721" w14:textId="77777777" w:rsidR="002551A2" w:rsidRDefault="002551A2" w:rsidP="00C3617B">
      <w:pPr>
        <w:spacing w:line="360" w:lineRule="auto"/>
        <w:ind w:left="720" w:hanging="720"/>
        <w:jc w:val="both"/>
      </w:pPr>
      <w:proofErr w:type="spellStart"/>
      <w:r w:rsidRPr="00D723C8">
        <w:t>Gunduzyeli</w:t>
      </w:r>
      <w:proofErr w:type="spellEnd"/>
      <w:r w:rsidRPr="00D723C8">
        <w:t xml:space="preserve">, B. (2025). The role of social media and artificial intelligence (AI) in enhancing digital marketing resilience during crises. </w:t>
      </w:r>
      <w:r w:rsidRPr="00D723C8">
        <w:rPr>
          <w:i/>
          <w:iCs/>
        </w:rPr>
        <w:t>Sustainability, 17</w:t>
      </w:r>
      <w:r w:rsidRPr="00D723C8">
        <w:t xml:space="preserve">(7), 3134. </w:t>
      </w:r>
      <w:hyperlink r:id="rId24" w:tgtFrame="_new" w:history="1">
        <w:r w:rsidRPr="00D723C8">
          <w:rPr>
            <w:rStyle w:val="Hyperlink"/>
          </w:rPr>
          <w:t>https://doi.org/10.3390/su17073134</w:t>
        </w:r>
      </w:hyperlink>
    </w:p>
    <w:p w14:paraId="7B13213D" w14:textId="77777777" w:rsidR="002551A2" w:rsidRDefault="002551A2" w:rsidP="00C3617B">
      <w:pPr>
        <w:spacing w:line="360" w:lineRule="auto"/>
        <w:ind w:left="720" w:hanging="720"/>
        <w:jc w:val="both"/>
      </w:pPr>
      <w:r w:rsidRPr="001145C5">
        <w:t>Hasha, R., &amp; Wadesango, N. (2022). An Investigation into Factors Militating Against Effective and Efficient Implementation of Successful Continuous Professional Development Programmes in South African Schools. </w:t>
      </w:r>
      <w:r w:rsidRPr="001145C5">
        <w:rPr>
          <w:i/>
          <w:iCs/>
        </w:rPr>
        <w:t>African Perspectives of Research in Teaching and Learning</w:t>
      </w:r>
      <w:r w:rsidRPr="001145C5">
        <w:t>, </w:t>
      </w:r>
      <w:r w:rsidRPr="001145C5">
        <w:rPr>
          <w:i/>
          <w:iCs/>
        </w:rPr>
        <w:t>6</w:t>
      </w:r>
      <w:r w:rsidRPr="001145C5">
        <w:t>(2), 174–183.</w:t>
      </w:r>
    </w:p>
    <w:p w14:paraId="27EF22B7" w14:textId="77777777" w:rsidR="002551A2" w:rsidRDefault="002551A2" w:rsidP="00C3617B">
      <w:pPr>
        <w:spacing w:line="360" w:lineRule="auto"/>
        <w:ind w:left="720" w:hanging="720"/>
        <w:jc w:val="both"/>
      </w:pPr>
      <w:r>
        <w:t xml:space="preserve">Health and Safety Executive. (2002). </w:t>
      </w:r>
      <w:r w:rsidRPr="000675F8">
        <w:t>Control of substances hazardous to health (COSHH)</w:t>
      </w:r>
      <w:r>
        <w:t xml:space="preserve"> </w:t>
      </w:r>
      <w:hyperlink r:id="rId25" w:history="1">
        <w:r w:rsidRPr="00AE1E91">
          <w:rPr>
            <w:rStyle w:val="Hyperlink"/>
          </w:rPr>
          <w:t>https://www.hse.gov.uk/cleaning/topics/coshh.htm</w:t>
        </w:r>
      </w:hyperlink>
    </w:p>
    <w:p w14:paraId="1C137C35" w14:textId="77777777" w:rsidR="002551A2" w:rsidRDefault="002551A2" w:rsidP="00C3617B">
      <w:pPr>
        <w:spacing w:line="360" w:lineRule="auto"/>
        <w:ind w:left="720" w:hanging="720"/>
        <w:jc w:val="both"/>
      </w:pPr>
      <w:r w:rsidRPr="00FE2E17">
        <w:t>Hsiung, K. S., Colditz, J. B., McGuier, E. A., Switzer, G. E., VonVille, H. M., Folb, B. L., &amp; Kolko, D. J. (2021). Measures of Organizational Culture and Climate in Primary Care: A Systematic Review. </w:t>
      </w:r>
      <w:r w:rsidRPr="00FE2E17">
        <w:rPr>
          <w:i/>
          <w:iCs/>
        </w:rPr>
        <w:t>Journal of General Internal Medicine</w:t>
      </w:r>
      <w:r w:rsidRPr="00FE2E17">
        <w:rPr>
          <w:rFonts w:ascii="Arial" w:hAnsi="Arial" w:cs="Arial"/>
          <w:i/>
          <w:iCs/>
        </w:rPr>
        <w:t> </w:t>
      </w:r>
      <w:r w:rsidRPr="00FE2E17">
        <w:rPr>
          <w:i/>
          <w:iCs/>
        </w:rPr>
        <w:t>: JGIM</w:t>
      </w:r>
      <w:r w:rsidRPr="00FE2E17">
        <w:t>, </w:t>
      </w:r>
      <w:r w:rsidRPr="00FE2E17">
        <w:rPr>
          <w:i/>
          <w:iCs/>
        </w:rPr>
        <w:t>36</w:t>
      </w:r>
      <w:r w:rsidRPr="00FE2E17">
        <w:t xml:space="preserve">(2), 487–499. </w:t>
      </w:r>
      <w:hyperlink r:id="rId26" w:history="1">
        <w:r w:rsidRPr="00BB486A">
          <w:rPr>
            <w:rStyle w:val="Hyperlink"/>
          </w:rPr>
          <w:t>https://doi.org/10.1007/s11606-020-06262-7</w:t>
        </w:r>
      </w:hyperlink>
    </w:p>
    <w:p w14:paraId="3290B9CC" w14:textId="77777777" w:rsidR="002551A2" w:rsidRDefault="002551A2" w:rsidP="00C3617B">
      <w:pPr>
        <w:spacing w:line="360" w:lineRule="auto"/>
        <w:ind w:left="720" w:hanging="720"/>
        <w:jc w:val="both"/>
      </w:pPr>
      <w:r w:rsidRPr="007F3F69">
        <w:t>Joint Council for Cosmetic Practitioners &amp; Cosmetic Practice Standards Authority.</w:t>
      </w:r>
      <w:r>
        <w:t>(JCCP)</w:t>
      </w:r>
      <w:r w:rsidRPr="007F3F69">
        <w:t xml:space="preserve"> (2023, March). </w:t>
      </w:r>
      <w:r w:rsidRPr="007F3F69">
        <w:rPr>
          <w:i/>
          <w:iCs/>
        </w:rPr>
        <w:t>Code of practice and guidance for practitioners who provide cosmetic interventions</w:t>
      </w:r>
      <w:r w:rsidRPr="007F3F69">
        <w:t xml:space="preserve"> (3rd ed.). </w:t>
      </w:r>
      <w:hyperlink r:id="rId27" w:tgtFrame="_new" w:history="1">
        <w:r w:rsidRPr="007F3F69">
          <w:rPr>
            <w:rStyle w:val="Hyperlink"/>
          </w:rPr>
          <w:t>https://www.jccp.org.uk/ckfinder/userfiles/files/Code%20of%20Practice%202023(1).pdf</w:t>
        </w:r>
      </w:hyperlink>
    </w:p>
    <w:p w14:paraId="753497F4" w14:textId="77777777" w:rsidR="002551A2" w:rsidRDefault="002551A2" w:rsidP="00C3617B">
      <w:pPr>
        <w:spacing w:line="360" w:lineRule="auto"/>
        <w:ind w:left="720" w:hanging="720"/>
        <w:jc w:val="both"/>
      </w:pPr>
      <w:r w:rsidRPr="002551A2">
        <w:t>Karuppiah, K., Sankaranarayanan, B., &amp; Ali, S. M. (2022). A Novel Quality Function Deployment Based Integrated Framework for Improving Supply Chain Sustainability. </w:t>
      </w:r>
      <w:r w:rsidRPr="002551A2">
        <w:rPr>
          <w:i/>
          <w:iCs/>
        </w:rPr>
        <w:t>Engineering Management Journal</w:t>
      </w:r>
      <w:r w:rsidRPr="002551A2">
        <w:t>, </w:t>
      </w:r>
      <w:r w:rsidRPr="002551A2">
        <w:rPr>
          <w:i/>
          <w:iCs/>
        </w:rPr>
        <w:t>35</w:t>
      </w:r>
      <w:r w:rsidRPr="002551A2">
        <w:t xml:space="preserve">(3), 285–298. </w:t>
      </w:r>
      <w:hyperlink r:id="rId28" w:history="1">
        <w:r w:rsidRPr="00D34366">
          <w:rPr>
            <w:rStyle w:val="Hyperlink"/>
          </w:rPr>
          <w:t>https://doi.org/10.1080/10429247.2022.2097575</w:t>
        </w:r>
      </w:hyperlink>
    </w:p>
    <w:p w14:paraId="7DB66B77" w14:textId="77777777" w:rsidR="002551A2" w:rsidRDefault="002551A2" w:rsidP="00C3617B">
      <w:pPr>
        <w:spacing w:line="360" w:lineRule="auto"/>
        <w:ind w:left="720" w:hanging="720"/>
        <w:jc w:val="both"/>
      </w:pPr>
      <w:r w:rsidRPr="00A558C7">
        <w:t xml:space="preserve">Khan, M. I., Salendu, A., Azzahra, F., &amp; Hussain, S. (2025). </w:t>
      </w:r>
      <w:r w:rsidRPr="00A558C7">
        <w:rPr>
          <w:i/>
          <w:iCs/>
        </w:rPr>
        <w:t>The impact of organizational culture on innovative work behavior: Mediating role of perceived organizational support in Indonesian SMEs.</w:t>
      </w:r>
      <w:r w:rsidRPr="00A558C7">
        <w:rPr>
          <w:rFonts w:ascii="Arial" w:hAnsi="Arial" w:cs="Arial"/>
        </w:rPr>
        <w:t> </w:t>
      </w:r>
      <w:r w:rsidRPr="00A558C7">
        <w:t>Journal of Psychological Perspective,</w:t>
      </w:r>
      <w:r w:rsidRPr="00A558C7">
        <w:rPr>
          <w:rFonts w:ascii="Arial" w:hAnsi="Arial" w:cs="Arial"/>
        </w:rPr>
        <w:t> </w:t>
      </w:r>
      <w:r w:rsidRPr="00A558C7">
        <w:t>7(1), 61</w:t>
      </w:r>
      <w:r w:rsidRPr="00A558C7">
        <w:noBreakHyphen/>
        <w:t xml:space="preserve">76. </w:t>
      </w:r>
      <w:hyperlink r:id="rId29" w:history="1">
        <w:r w:rsidRPr="00977324">
          <w:rPr>
            <w:rStyle w:val="Hyperlink"/>
          </w:rPr>
          <w:t>https://doi.org/10.47679/jopp.7110702025</w:t>
        </w:r>
      </w:hyperlink>
    </w:p>
    <w:p w14:paraId="5A45AFF0" w14:textId="77777777" w:rsidR="002551A2" w:rsidRDefault="002551A2" w:rsidP="00C3617B">
      <w:pPr>
        <w:spacing w:line="360" w:lineRule="auto"/>
        <w:ind w:left="720" w:hanging="720"/>
        <w:jc w:val="both"/>
      </w:pPr>
      <w:proofErr w:type="spellStart"/>
      <w:r w:rsidRPr="009F6F59">
        <w:t>Kiziloglu</w:t>
      </w:r>
      <w:proofErr w:type="spellEnd"/>
      <w:r w:rsidRPr="009F6F59">
        <w:t xml:space="preserve">, M. (2022). The effect of organisational culture on organisational performance: The mediating role of intrapreneurship. </w:t>
      </w:r>
      <w:r w:rsidRPr="009F6F59">
        <w:rPr>
          <w:i/>
          <w:iCs/>
        </w:rPr>
        <w:t>Irish Journal of Management</w:t>
      </w:r>
      <w:r w:rsidRPr="009F6F59">
        <w:t xml:space="preserve">, 41(1), 20–36. </w:t>
      </w:r>
      <w:hyperlink r:id="rId30" w:history="1">
        <w:r w:rsidRPr="00774295">
          <w:rPr>
            <w:rStyle w:val="Hyperlink"/>
          </w:rPr>
          <w:t>https://doi.org/10.2478/ijm-2021-0008</w:t>
        </w:r>
      </w:hyperlink>
    </w:p>
    <w:p w14:paraId="3E7B5FD5" w14:textId="77777777" w:rsidR="002551A2" w:rsidRDefault="002551A2" w:rsidP="00C3617B">
      <w:pPr>
        <w:spacing w:line="360" w:lineRule="auto"/>
        <w:ind w:left="720" w:hanging="720"/>
        <w:jc w:val="both"/>
      </w:pPr>
      <w:r>
        <w:t xml:space="preserve">Landau. P. (2023) </w:t>
      </w:r>
      <w:r w:rsidRPr="004D6ED7">
        <w:t>Cost-Benefit Analysis: A Quick Guide with Examples and Templates</w:t>
      </w:r>
      <w:r>
        <w:t xml:space="preserve">. </w:t>
      </w:r>
      <w:r w:rsidRPr="004D6ED7">
        <w:rPr>
          <w:i/>
          <w:iCs/>
        </w:rPr>
        <w:t>Project Manager</w:t>
      </w:r>
      <w:r>
        <w:t xml:space="preserve">. </w:t>
      </w:r>
      <w:hyperlink r:id="rId31" w:history="1">
        <w:r w:rsidRPr="00060651">
          <w:rPr>
            <w:rStyle w:val="Hyperlink"/>
          </w:rPr>
          <w:t>https://www.projectmanager.com/blog/cost-benefit-analysis-for-projects-a-step-by-step-guide</w:t>
        </w:r>
      </w:hyperlink>
    </w:p>
    <w:p w14:paraId="1E183976" w14:textId="77777777" w:rsidR="002551A2" w:rsidRDefault="002551A2" w:rsidP="00C3617B">
      <w:pPr>
        <w:spacing w:line="360" w:lineRule="auto"/>
        <w:ind w:left="720" w:hanging="720"/>
        <w:jc w:val="both"/>
      </w:pPr>
      <w:r w:rsidRPr="00625004">
        <w:t xml:space="preserve">Lee W-y, Lee S-h, Jin C, Hyun C-t. </w:t>
      </w:r>
      <w:r>
        <w:t xml:space="preserve">(2021). </w:t>
      </w:r>
      <w:r w:rsidRPr="00625004">
        <w:t>Development of the RACI Model for Processes of the Closure Phase in Construction Programs. </w:t>
      </w:r>
      <w:r w:rsidRPr="00625004">
        <w:rPr>
          <w:i/>
          <w:iCs/>
        </w:rPr>
        <w:t>Sustainability</w:t>
      </w:r>
      <w:r w:rsidRPr="00625004">
        <w:t xml:space="preserve">. 13(4):1806. </w:t>
      </w:r>
      <w:hyperlink r:id="rId32" w:history="1">
        <w:r w:rsidRPr="00D34366">
          <w:rPr>
            <w:rStyle w:val="Hyperlink"/>
          </w:rPr>
          <w:t>https://doi.org/10.3390/su13041806</w:t>
        </w:r>
      </w:hyperlink>
    </w:p>
    <w:p w14:paraId="2261177F" w14:textId="77777777" w:rsidR="002551A2" w:rsidRDefault="002551A2" w:rsidP="00C3617B">
      <w:pPr>
        <w:spacing w:line="360" w:lineRule="auto"/>
        <w:ind w:left="720" w:hanging="720"/>
        <w:jc w:val="both"/>
      </w:pPr>
      <w:r>
        <w:t xml:space="preserve">Legislation.gov.uk. (1974). Health and Safety at Work Act. </w:t>
      </w:r>
      <w:hyperlink r:id="rId33" w:history="1">
        <w:r w:rsidRPr="00AE1E91">
          <w:rPr>
            <w:rStyle w:val="Hyperlink"/>
          </w:rPr>
          <w:t>https://www.legislation.gov.uk/ukpga/1974/37/contents</w:t>
        </w:r>
      </w:hyperlink>
      <w:r>
        <w:t xml:space="preserve"> </w:t>
      </w:r>
    </w:p>
    <w:p w14:paraId="01CF1C63" w14:textId="77777777" w:rsidR="002551A2" w:rsidRDefault="002551A2" w:rsidP="00C3617B">
      <w:pPr>
        <w:spacing w:line="360" w:lineRule="auto"/>
        <w:ind w:left="720" w:hanging="720"/>
        <w:jc w:val="both"/>
      </w:pPr>
      <w:r w:rsidRPr="00D723C8">
        <w:t xml:space="preserve">Lepistö, K., Saunila, M., &amp; Ukko, J. (2023). The effects of soft total quality management on the sustainable development of SMEs. </w:t>
      </w:r>
      <w:r w:rsidRPr="00D723C8">
        <w:rPr>
          <w:i/>
          <w:iCs/>
        </w:rPr>
        <w:t>Sustainable Development, 31</w:t>
      </w:r>
      <w:r w:rsidRPr="00D723C8">
        <w:t xml:space="preserve">(4), 2797–2813. </w:t>
      </w:r>
      <w:hyperlink r:id="rId34" w:tgtFrame="_new" w:history="1">
        <w:r w:rsidRPr="00D723C8">
          <w:rPr>
            <w:rStyle w:val="Hyperlink"/>
          </w:rPr>
          <w:t>https://doi.org/10.1002/sd.2548</w:t>
        </w:r>
      </w:hyperlink>
    </w:p>
    <w:p w14:paraId="0180ACC1" w14:textId="77777777" w:rsidR="002551A2" w:rsidRDefault="002551A2" w:rsidP="00C3617B">
      <w:pPr>
        <w:spacing w:line="360" w:lineRule="auto"/>
        <w:ind w:left="720" w:hanging="720"/>
        <w:jc w:val="both"/>
      </w:pPr>
      <w:proofErr w:type="spellStart"/>
      <w:r w:rsidRPr="008067ED">
        <w:t>Merriden</w:t>
      </w:r>
      <w:proofErr w:type="spellEnd"/>
      <w:r w:rsidRPr="008067ED">
        <w:t>, T. (1998). Management Classics: Charles Handy’s “Understanding Organisations.” </w:t>
      </w:r>
      <w:r w:rsidRPr="008067ED">
        <w:rPr>
          <w:i/>
          <w:iCs/>
        </w:rPr>
        <w:t>Management Today</w:t>
      </w:r>
      <w:r w:rsidRPr="008067ED">
        <w:t>, 90.</w:t>
      </w:r>
    </w:p>
    <w:p w14:paraId="407010BA" w14:textId="77777777" w:rsidR="002551A2" w:rsidRDefault="002551A2" w:rsidP="00C3617B">
      <w:pPr>
        <w:spacing w:line="360" w:lineRule="auto"/>
        <w:ind w:left="720" w:hanging="720"/>
        <w:jc w:val="both"/>
      </w:pPr>
      <w:r w:rsidRPr="00BA2D87">
        <w:t xml:space="preserve">OpenAI. (2025). </w:t>
      </w:r>
      <w:r w:rsidRPr="00BA2D87">
        <w:rPr>
          <w:i/>
          <w:iCs/>
        </w:rPr>
        <w:t>ChatGPT</w:t>
      </w:r>
      <w:r w:rsidRPr="00BA2D87">
        <w:t xml:space="preserve"> (Nov 6 version)</w:t>
      </w:r>
      <w:r>
        <w:t xml:space="preserve"> Proofreading, Structuring and Referencing</w:t>
      </w:r>
      <w:r w:rsidRPr="00BA2D87">
        <w:t xml:space="preserve">. </w:t>
      </w:r>
      <w:hyperlink r:id="rId35" w:tgtFrame="_new" w:history="1">
        <w:r w:rsidRPr="00BA2D87">
          <w:rPr>
            <w:rStyle w:val="Hyperlink"/>
          </w:rPr>
          <w:t>https://chat.openai.com/</w:t>
        </w:r>
      </w:hyperlink>
    </w:p>
    <w:p w14:paraId="263E8B47" w14:textId="77777777" w:rsidR="002551A2" w:rsidRDefault="002551A2" w:rsidP="00C3617B">
      <w:pPr>
        <w:spacing w:line="360" w:lineRule="auto"/>
        <w:ind w:left="720" w:hanging="720"/>
        <w:jc w:val="both"/>
      </w:pPr>
      <w:r w:rsidRPr="007E1413">
        <w:lastRenderedPageBreak/>
        <w:t>Rabkin, S. W., &amp; Frein, M. (2021). Overcoming Obstacles to Develop High-Performance Teams Involving Physician in Health Care Organizations. </w:t>
      </w:r>
      <w:r w:rsidRPr="007E1413">
        <w:rPr>
          <w:i/>
          <w:iCs/>
        </w:rPr>
        <w:t>Healthcare (Basel)</w:t>
      </w:r>
      <w:r w:rsidRPr="007E1413">
        <w:t>, </w:t>
      </w:r>
      <w:r w:rsidRPr="007E1413">
        <w:rPr>
          <w:i/>
          <w:iCs/>
        </w:rPr>
        <w:t>9</w:t>
      </w:r>
      <w:r w:rsidRPr="007E1413">
        <w:t xml:space="preserve">(9), 1136. </w:t>
      </w:r>
      <w:hyperlink r:id="rId36" w:history="1">
        <w:r w:rsidRPr="00BB486A">
          <w:rPr>
            <w:rStyle w:val="Hyperlink"/>
          </w:rPr>
          <w:t>https://doi.org/10.3390/healthcare9091136</w:t>
        </w:r>
      </w:hyperlink>
      <w:r w:rsidRPr="006F3D9E">
        <w:t>,</w:t>
      </w:r>
    </w:p>
    <w:p w14:paraId="4871F61D" w14:textId="77777777" w:rsidR="002551A2" w:rsidRDefault="002551A2" w:rsidP="00C3617B">
      <w:pPr>
        <w:spacing w:line="360" w:lineRule="auto"/>
        <w:ind w:left="720" w:hanging="720"/>
        <w:jc w:val="both"/>
      </w:pPr>
      <w:r>
        <w:t>Rahman. E, Carruthers.J.D.A, Rao.P, Philipp-Dormaton.W.G, Garcia.P.E, Ioannidis.S</w:t>
      </w:r>
      <w:r w:rsidRPr="006F3D9E">
        <w:t>,</w:t>
      </w:r>
      <w:r>
        <w:t xml:space="preserve"> Sayed.K, Mosahebi.A,</w:t>
      </w:r>
      <w:r w:rsidRPr="006F3D9E">
        <w:t> &amp; </w:t>
      </w:r>
      <w:r>
        <w:t>Webb.W.R. (2025)</w:t>
      </w:r>
      <w:r w:rsidRPr="009F6F59">
        <w:rPr>
          <w:i/>
          <w:iCs/>
        </w:rPr>
        <w:t>.</w:t>
      </w:r>
      <w:r w:rsidRPr="009F6F59">
        <w:t> </w:t>
      </w:r>
      <w:r w:rsidRPr="006F3D9E">
        <w:t>A Systematic Review to Explore the Role of Industry and Regulators on Minimally Invasive Aesthetics Education: A Tale of Two Cities</w:t>
      </w:r>
      <w:r w:rsidRPr="006F3D9E">
        <w:rPr>
          <w:i/>
          <w:iCs/>
        </w:rPr>
        <w:t>.</w:t>
      </w:r>
      <w:r w:rsidRPr="009F6F59">
        <w:t> </w:t>
      </w:r>
      <w:r w:rsidRPr="006F3D9E">
        <w:rPr>
          <w:i/>
          <w:iCs/>
        </w:rPr>
        <w:t>Aesthetics Plastic Surgeries </w:t>
      </w:r>
      <w:r w:rsidRPr="006F3D9E">
        <w:rPr>
          <w:b/>
          <w:bCs/>
          <w:i/>
          <w:iCs/>
        </w:rPr>
        <w:t>49</w:t>
      </w:r>
      <w:r w:rsidRPr="006F3D9E">
        <w:rPr>
          <w:i/>
          <w:iCs/>
        </w:rPr>
        <w:t>,</w:t>
      </w:r>
      <w:r w:rsidRPr="006F3D9E">
        <w:t xml:space="preserve"> 1495</w:t>
      </w:r>
      <w:r w:rsidRPr="009F6F59">
        <w:t xml:space="preserve">–1506. </w:t>
      </w:r>
      <w:hyperlink r:id="rId37" w:history="1">
        <w:r w:rsidRPr="00774295">
          <w:rPr>
            <w:rStyle w:val="Hyperlink"/>
          </w:rPr>
          <w:t>https://doi.org/10.1007/s00266-024-04503-2</w:t>
        </w:r>
      </w:hyperlink>
    </w:p>
    <w:p w14:paraId="56FB8FC6" w14:textId="77777777" w:rsidR="002551A2" w:rsidRDefault="002551A2" w:rsidP="00C3617B">
      <w:pPr>
        <w:spacing w:line="360" w:lineRule="auto"/>
        <w:ind w:left="720" w:hanging="720"/>
        <w:jc w:val="both"/>
      </w:pPr>
      <w:r w:rsidRPr="00A610B1">
        <w:t>Rossoni, A. L., de Vasconcellos, E. P. G., &amp; de Castilho Rossoni, R. L. (2024). Barriers and facilitators of university-industry collaboration for research, development and innovation: a systematic review. </w:t>
      </w:r>
      <w:r w:rsidRPr="00A610B1">
        <w:rPr>
          <w:i/>
          <w:iCs/>
        </w:rPr>
        <w:t>Management Review Quarterly</w:t>
      </w:r>
      <w:r w:rsidRPr="00A610B1">
        <w:t>, </w:t>
      </w:r>
      <w:r w:rsidRPr="00A610B1">
        <w:rPr>
          <w:i/>
          <w:iCs/>
        </w:rPr>
        <w:t>74</w:t>
      </w:r>
      <w:r w:rsidRPr="00A610B1">
        <w:t xml:space="preserve">(3), 1841–1877. </w:t>
      </w:r>
      <w:hyperlink r:id="rId38" w:history="1">
        <w:r w:rsidRPr="001956B0">
          <w:rPr>
            <w:rStyle w:val="Hyperlink"/>
          </w:rPr>
          <w:t>https://doi.org/10.1007/s11301-023-00349-1</w:t>
        </w:r>
      </w:hyperlink>
    </w:p>
    <w:p w14:paraId="0BC78596" w14:textId="77777777" w:rsidR="002551A2" w:rsidRPr="003957FC" w:rsidRDefault="002551A2" w:rsidP="00C3617B">
      <w:pPr>
        <w:spacing w:line="360" w:lineRule="auto"/>
        <w:ind w:left="720" w:hanging="720"/>
        <w:jc w:val="both"/>
      </w:pPr>
      <w:r w:rsidRPr="003957FC">
        <w:t xml:space="preserve">Schein, E. H. (1992). </w:t>
      </w:r>
      <w:r w:rsidRPr="003957FC">
        <w:rPr>
          <w:i/>
          <w:iCs/>
        </w:rPr>
        <w:t>Organizational culture and leadership</w:t>
      </w:r>
      <w:r w:rsidRPr="003957FC">
        <w:t xml:space="preserve"> (2nd ed.). Jossey-Bass.</w:t>
      </w:r>
    </w:p>
    <w:p w14:paraId="005C7921" w14:textId="77777777" w:rsidR="002551A2" w:rsidRPr="003957FC" w:rsidRDefault="002551A2" w:rsidP="00C3617B">
      <w:pPr>
        <w:spacing w:line="360" w:lineRule="auto"/>
        <w:ind w:left="720" w:hanging="720"/>
        <w:jc w:val="both"/>
      </w:pPr>
      <w:r w:rsidRPr="003957FC">
        <w:t xml:space="preserve">Schein, E. H. (2010). </w:t>
      </w:r>
      <w:r w:rsidRPr="003957FC">
        <w:rPr>
          <w:i/>
          <w:iCs/>
        </w:rPr>
        <w:t>Organizational culture and leadership</w:t>
      </w:r>
      <w:r w:rsidRPr="003957FC">
        <w:t xml:space="preserve"> (4th ed.). Jossey-Bass.</w:t>
      </w:r>
    </w:p>
    <w:p w14:paraId="769F8BDA" w14:textId="77777777" w:rsidR="002551A2" w:rsidRDefault="002551A2" w:rsidP="00C3617B">
      <w:pPr>
        <w:spacing w:line="360" w:lineRule="auto"/>
        <w:ind w:left="720" w:hanging="720"/>
        <w:jc w:val="both"/>
      </w:pPr>
      <w:proofErr w:type="spellStart"/>
      <w:r w:rsidRPr="005053C0">
        <w:t>Siyaphat</w:t>
      </w:r>
      <w:proofErr w:type="spellEnd"/>
      <w:r w:rsidRPr="005053C0">
        <w:t>, S., Kajornatthapol, P., &amp; Patra, A. (2024).</w:t>
      </w:r>
      <w:r>
        <w:t xml:space="preserve"> Model of Characteristics of high-performance of small and medium enterprises in the central region of Thialand.</w:t>
      </w:r>
      <w:r w:rsidRPr="005053C0">
        <w:t> </w:t>
      </w:r>
      <w:r w:rsidRPr="005053C0">
        <w:rPr>
          <w:i/>
          <w:iCs/>
        </w:rPr>
        <w:t>International Journal of Professional Business Review</w:t>
      </w:r>
      <w:r w:rsidRPr="005053C0">
        <w:t>, </w:t>
      </w:r>
      <w:r w:rsidRPr="005053C0">
        <w:rPr>
          <w:i/>
          <w:iCs/>
        </w:rPr>
        <w:t>9</w:t>
      </w:r>
      <w:r w:rsidRPr="005053C0">
        <w:t xml:space="preserve">(10), e05030. </w:t>
      </w:r>
      <w:hyperlink r:id="rId39" w:history="1">
        <w:r w:rsidRPr="00AE1E91">
          <w:rPr>
            <w:rStyle w:val="Hyperlink"/>
          </w:rPr>
          <w:t>https://doi.org/10.26668/businessreview/2024.v9i10.5030</w:t>
        </w:r>
      </w:hyperlink>
    </w:p>
    <w:p w14:paraId="61C5121F" w14:textId="77777777" w:rsidR="002551A2" w:rsidRDefault="002551A2" w:rsidP="00C3617B">
      <w:pPr>
        <w:spacing w:line="360" w:lineRule="auto"/>
        <w:ind w:left="720" w:hanging="720"/>
        <w:jc w:val="both"/>
      </w:pPr>
      <w:r w:rsidRPr="007B030D">
        <w:t>Uba, C. D., Hasan, M. N., &amp; Mshelia, J. B. (2023). Social responsibility in micro businesses in an African context: Towards a theoretical understanding. </w:t>
      </w:r>
      <w:r w:rsidRPr="007B030D">
        <w:rPr>
          <w:i/>
          <w:iCs/>
        </w:rPr>
        <w:t>Business Ethics (Oxford, England)</w:t>
      </w:r>
      <w:r w:rsidRPr="007B030D">
        <w:t>, </w:t>
      </w:r>
      <w:r w:rsidRPr="007B030D">
        <w:rPr>
          <w:i/>
          <w:iCs/>
        </w:rPr>
        <w:t>32</w:t>
      </w:r>
      <w:r w:rsidRPr="007B030D">
        <w:t xml:space="preserve">(1), 164–178. </w:t>
      </w:r>
      <w:hyperlink r:id="rId40" w:history="1">
        <w:r w:rsidRPr="00AE1E91">
          <w:rPr>
            <w:rStyle w:val="Hyperlink"/>
          </w:rPr>
          <w:t>https://doi.org/10.1111/beer.12476</w:t>
        </w:r>
      </w:hyperlink>
    </w:p>
    <w:p w14:paraId="60551516" w14:textId="77777777" w:rsidR="002551A2" w:rsidRDefault="002551A2" w:rsidP="00C3617B">
      <w:pPr>
        <w:spacing w:line="360" w:lineRule="auto"/>
        <w:ind w:left="720" w:hanging="720"/>
        <w:jc w:val="both"/>
      </w:pPr>
      <w:r w:rsidRPr="00B3125B">
        <w:t xml:space="preserve">Willson, J. (2024). </w:t>
      </w:r>
      <w:r w:rsidRPr="00B3125B">
        <w:rPr>
          <w:i/>
          <w:iCs/>
        </w:rPr>
        <w:t>Addressing salon segregation: Structural racism in the salon industry</w:t>
      </w:r>
      <w:r w:rsidRPr="00B3125B">
        <w:t xml:space="preserve"> [Doctoral dissertation, [University name, if available]]. ProQuest Dissertations Publishing. Retrieved from </w:t>
      </w:r>
      <w:hyperlink r:id="rId41" w:tgtFrame="_new" w:history="1">
        <w:r w:rsidRPr="00B3125B">
          <w:rPr>
            <w:rStyle w:val="Hyperlink"/>
          </w:rPr>
          <w:t>https://www.proquest.com/openview/1b67bfae23344a46fc27f29374f77050/1?pq-origsite=gscholar&amp;cbl=18750&amp;diss=y</w:t>
        </w:r>
      </w:hyperlink>
    </w:p>
    <w:p w14:paraId="3B16E76D" w14:textId="77777777" w:rsidR="002551A2" w:rsidRDefault="002551A2" w:rsidP="00C3617B">
      <w:pPr>
        <w:spacing w:line="360" w:lineRule="auto"/>
        <w:ind w:left="720" w:hanging="720"/>
        <w:jc w:val="both"/>
      </w:pPr>
      <w:r w:rsidRPr="00852803">
        <w:t>Wu, F., Chen, G., &amp; Xiang, S. (2022). Does psychological safety at school affect psychological capital at work? Evidence from part-time MBA students. </w:t>
      </w:r>
      <w:r w:rsidRPr="00852803">
        <w:rPr>
          <w:i/>
          <w:iCs/>
        </w:rPr>
        <w:t xml:space="preserve">Nankai </w:t>
      </w:r>
      <w:r w:rsidRPr="00852803">
        <w:rPr>
          <w:i/>
          <w:iCs/>
        </w:rPr>
        <w:lastRenderedPageBreak/>
        <w:t>Business Review International</w:t>
      </w:r>
      <w:r w:rsidRPr="00852803">
        <w:t>, </w:t>
      </w:r>
      <w:r w:rsidRPr="00852803">
        <w:rPr>
          <w:i/>
          <w:iCs/>
        </w:rPr>
        <w:t>13</w:t>
      </w:r>
      <w:r w:rsidRPr="00852803">
        <w:t xml:space="preserve">(3), 441–456. </w:t>
      </w:r>
      <w:hyperlink r:id="rId42" w:history="1">
        <w:r w:rsidRPr="001956B0">
          <w:rPr>
            <w:rStyle w:val="Hyperlink"/>
          </w:rPr>
          <w:t>https://doi.org/10.1108/NBRI-08-2021-0056</w:t>
        </w:r>
      </w:hyperlink>
    </w:p>
    <w:p w14:paraId="78B912CA" w14:textId="77777777" w:rsidR="002551A2" w:rsidRDefault="002551A2" w:rsidP="00C3617B">
      <w:pPr>
        <w:spacing w:line="360" w:lineRule="auto"/>
        <w:ind w:left="720" w:hanging="720"/>
        <w:jc w:val="both"/>
      </w:pPr>
      <w:proofErr w:type="spellStart"/>
      <w:r w:rsidRPr="006F3D9E">
        <w:t>Yalamancheli</w:t>
      </w:r>
      <w:proofErr w:type="spellEnd"/>
      <w:r w:rsidRPr="006F3D9E">
        <w:t xml:space="preserve">, H. (2025). The invisible architecture of high-performing agile teams: Psychological safety by design. </w:t>
      </w:r>
      <w:r w:rsidRPr="006F3D9E">
        <w:rPr>
          <w:i/>
          <w:iCs/>
        </w:rPr>
        <w:t>Sar council Journal of Multidisciplinary, 5</w:t>
      </w:r>
      <w:r w:rsidRPr="006F3D9E">
        <w:t xml:space="preserve">(7), 830-836. </w:t>
      </w:r>
      <w:hyperlink r:id="rId43" w:history="1">
        <w:r w:rsidRPr="00AE1E91">
          <w:rPr>
            <w:rStyle w:val="Hyperlink"/>
          </w:rPr>
          <w:t>https://doi.org/10.5281/zenodo.16354877</w:t>
        </w:r>
      </w:hyperlink>
    </w:p>
    <w:p w14:paraId="02FE3C4B" w14:textId="77777777" w:rsidR="002551A2" w:rsidRDefault="002551A2" w:rsidP="00C3617B">
      <w:pPr>
        <w:spacing w:line="360" w:lineRule="auto"/>
        <w:ind w:left="720" w:hanging="720"/>
        <w:jc w:val="both"/>
      </w:pPr>
    </w:p>
    <w:p w14:paraId="661DB971" w14:textId="77777777" w:rsidR="00625004" w:rsidRDefault="00625004" w:rsidP="00C3617B">
      <w:pPr>
        <w:spacing w:line="360" w:lineRule="auto"/>
        <w:ind w:left="720" w:hanging="720"/>
        <w:jc w:val="both"/>
      </w:pPr>
    </w:p>
    <w:p w14:paraId="29B68264" w14:textId="77777777" w:rsidR="007F3F69" w:rsidRDefault="007F3F69" w:rsidP="00C3617B">
      <w:pPr>
        <w:spacing w:line="360" w:lineRule="auto"/>
        <w:ind w:left="720" w:hanging="720"/>
        <w:jc w:val="both"/>
      </w:pPr>
    </w:p>
    <w:sectPr w:rsidR="007F3F69">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7BCDA" w14:textId="77777777" w:rsidR="00FA3393" w:rsidRDefault="00FA3393" w:rsidP="00A610B1">
      <w:pPr>
        <w:spacing w:after="0" w:line="240" w:lineRule="auto"/>
      </w:pPr>
      <w:r>
        <w:separator/>
      </w:r>
    </w:p>
  </w:endnote>
  <w:endnote w:type="continuationSeparator" w:id="0">
    <w:p w14:paraId="02D63B1F" w14:textId="77777777" w:rsidR="00FA3393" w:rsidRDefault="00FA3393" w:rsidP="00A61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2472563"/>
      <w:docPartObj>
        <w:docPartGallery w:val="Page Numbers (Bottom of Page)"/>
        <w:docPartUnique/>
      </w:docPartObj>
    </w:sdtPr>
    <w:sdtEndPr>
      <w:rPr>
        <w:noProof/>
      </w:rPr>
    </w:sdtEndPr>
    <w:sdtContent>
      <w:p w14:paraId="2ECA4DB0" w14:textId="2E1F59D1" w:rsidR="00A610B1" w:rsidRDefault="00A610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264CB8" w14:textId="77777777" w:rsidR="00A610B1" w:rsidRDefault="00A61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ADA82" w14:textId="77777777" w:rsidR="00FA3393" w:rsidRDefault="00FA3393" w:rsidP="00A610B1">
      <w:pPr>
        <w:spacing w:after="0" w:line="240" w:lineRule="auto"/>
      </w:pPr>
      <w:r>
        <w:separator/>
      </w:r>
    </w:p>
  </w:footnote>
  <w:footnote w:type="continuationSeparator" w:id="0">
    <w:p w14:paraId="649CF0A9" w14:textId="77777777" w:rsidR="00FA3393" w:rsidRDefault="00FA3393" w:rsidP="00A61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00E77"/>
    <w:multiLevelType w:val="multilevel"/>
    <w:tmpl w:val="399CA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19F"/>
    <w:multiLevelType w:val="multilevel"/>
    <w:tmpl w:val="98FC91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704B7"/>
    <w:multiLevelType w:val="multilevel"/>
    <w:tmpl w:val="1B668506"/>
    <w:lvl w:ilvl="0">
      <w:start w:val="5"/>
      <w:numFmt w:val="decimal"/>
      <w:lvlText w:val="%1"/>
      <w:lvlJc w:val="left"/>
      <w:pPr>
        <w:ind w:left="540" w:hanging="540"/>
      </w:pPr>
      <w:rPr>
        <w:rFonts w:eastAsiaTheme="majorEastAsia" w:cstheme="majorBidi" w:hint="default"/>
        <w:i/>
        <w:color w:val="0F4761" w:themeColor="accent1" w:themeShade="BF"/>
      </w:rPr>
    </w:lvl>
    <w:lvl w:ilvl="1">
      <w:start w:val="5"/>
      <w:numFmt w:val="decimal"/>
      <w:lvlText w:val="%1.%2"/>
      <w:lvlJc w:val="left"/>
      <w:pPr>
        <w:ind w:left="540" w:hanging="540"/>
      </w:pPr>
      <w:rPr>
        <w:rFonts w:eastAsiaTheme="majorEastAsia" w:cstheme="majorBidi" w:hint="default"/>
        <w:i/>
        <w:color w:val="0F4761" w:themeColor="accent1" w:themeShade="BF"/>
      </w:rPr>
    </w:lvl>
    <w:lvl w:ilvl="2">
      <w:start w:val="1"/>
      <w:numFmt w:val="decimal"/>
      <w:lvlText w:val="%1.%2.%3"/>
      <w:lvlJc w:val="left"/>
      <w:pPr>
        <w:ind w:left="720" w:hanging="720"/>
      </w:pPr>
      <w:rPr>
        <w:rFonts w:eastAsiaTheme="majorEastAsia" w:cstheme="majorBidi" w:hint="default"/>
        <w:i/>
        <w:color w:val="0F4761" w:themeColor="accent1" w:themeShade="BF"/>
      </w:rPr>
    </w:lvl>
    <w:lvl w:ilvl="3">
      <w:start w:val="1"/>
      <w:numFmt w:val="decimal"/>
      <w:lvlText w:val="%1.%2.%3.%4"/>
      <w:lvlJc w:val="left"/>
      <w:pPr>
        <w:ind w:left="1080" w:hanging="1080"/>
      </w:pPr>
      <w:rPr>
        <w:rFonts w:eastAsiaTheme="majorEastAsia" w:cstheme="majorBidi" w:hint="default"/>
        <w:i/>
        <w:color w:val="0F4761" w:themeColor="accent1" w:themeShade="BF"/>
      </w:rPr>
    </w:lvl>
    <w:lvl w:ilvl="4">
      <w:start w:val="1"/>
      <w:numFmt w:val="decimal"/>
      <w:lvlText w:val="%1.%2.%3.%4.%5"/>
      <w:lvlJc w:val="left"/>
      <w:pPr>
        <w:ind w:left="1080" w:hanging="1080"/>
      </w:pPr>
      <w:rPr>
        <w:rFonts w:eastAsiaTheme="majorEastAsia" w:cstheme="majorBidi" w:hint="default"/>
        <w:i/>
        <w:color w:val="0F4761" w:themeColor="accent1" w:themeShade="BF"/>
      </w:rPr>
    </w:lvl>
    <w:lvl w:ilvl="5">
      <w:start w:val="1"/>
      <w:numFmt w:val="decimal"/>
      <w:lvlText w:val="%1.%2.%3.%4.%5.%6"/>
      <w:lvlJc w:val="left"/>
      <w:pPr>
        <w:ind w:left="1440" w:hanging="1440"/>
      </w:pPr>
      <w:rPr>
        <w:rFonts w:eastAsiaTheme="majorEastAsia" w:cstheme="majorBidi" w:hint="default"/>
        <w:i/>
        <w:color w:val="0F4761" w:themeColor="accent1" w:themeShade="BF"/>
      </w:rPr>
    </w:lvl>
    <w:lvl w:ilvl="6">
      <w:start w:val="1"/>
      <w:numFmt w:val="decimal"/>
      <w:lvlText w:val="%1.%2.%3.%4.%5.%6.%7"/>
      <w:lvlJc w:val="left"/>
      <w:pPr>
        <w:ind w:left="1440" w:hanging="1440"/>
      </w:pPr>
      <w:rPr>
        <w:rFonts w:eastAsiaTheme="majorEastAsia" w:cstheme="majorBidi" w:hint="default"/>
        <w:i/>
        <w:color w:val="0F4761" w:themeColor="accent1" w:themeShade="BF"/>
      </w:rPr>
    </w:lvl>
    <w:lvl w:ilvl="7">
      <w:start w:val="1"/>
      <w:numFmt w:val="decimal"/>
      <w:lvlText w:val="%1.%2.%3.%4.%5.%6.%7.%8"/>
      <w:lvlJc w:val="left"/>
      <w:pPr>
        <w:ind w:left="1800" w:hanging="1800"/>
      </w:pPr>
      <w:rPr>
        <w:rFonts w:eastAsiaTheme="majorEastAsia" w:cstheme="majorBidi" w:hint="default"/>
        <w:i/>
        <w:color w:val="0F4761" w:themeColor="accent1" w:themeShade="BF"/>
      </w:rPr>
    </w:lvl>
    <w:lvl w:ilvl="8">
      <w:start w:val="1"/>
      <w:numFmt w:val="decimal"/>
      <w:lvlText w:val="%1.%2.%3.%4.%5.%6.%7.%8.%9"/>
      <w:lvlJc w:val="left"/>
      <w:pPr>
        <w:ind w:left="1800" w:hanging="1800"/>
      </w:pPr>
      <w:rPr>
        <w:rFonts w:eastAsiaTheme="majorEastAsia" w:cstheme="majorBidi" w:hint="default"/>
        <w:i/>
        <w:color w:val="0F4761" w:themeColor="accent1" w:themeShade="BF"/>
      </w:rPr>
    </w:lvl>
  </w:abstractNum>
  <w:abstractNum w:abstractNumId="3" w15:restartNumberingAfterBreak="0">
    <w:nsid w:val="08CA5257"/>
    <w:multiLevelType w:val="multilevel"/>
    <w:tmpl w:val="1E9814D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0ADD037F"/>
    <w:multiLevelType w:val="multilevel"/>
    <w:tmpl w:val="9EFA7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C43F1"/>
    <w:multiLevelType w:val="multilevel"/>
    <w:tmpl w:val="6FC08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A461D0"/>
    <w:multiLevelType w:val="multilevel"/>
    <w:tmpl w:val="48BCA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FD0026"/>
    <w:multiLevelType w:val="multilevel"/>
    <w:tmpl w:val="9A18170E"/>
    <w:lvl w:ilvl="0">
      <w:start w:val="1"/>
      <w:numFmt w:val="decimal"/>
      <w:lvlText w:val="%1."/>
      <w:lvlJc w:val="left"/>
      <w:pPr>
        <w:ind w:left="927"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BC04000"/>
    <w:multiLevelType w:val="multilevel"/>
    <w:tmpl w:val="F8D6A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AB0E86"/>
    <w:multiLevelType w:val="multilevel"/>
    <w:tmpl w:val="B41C4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6B6059"/>
    <w:multiLevelType w:val="multilevel"/>
    <w:tmpl w:val="E5E07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C93C58"/>
    <w:multiLevelType w:val="multilevel"/>
    <w:tmpl w:val="57DAA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42429F"/>
    <w:multiLevelType w:val="multilevel"/>
    <w:tmpl w:val="0BB8FD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5D3A75"/>
    <w:multiLevelType w:val="multilevel"/>
    <w:tmpl w:val="A9245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8E3751"/>
    <w:multiLevelType w:val="multilevel"/>
    <w:tmpl w:val="CE6EF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2C6637"/>
    <w:multiLevelType w:val="multilevel"/>
    <w:tmpl w:val="3E885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705833"/>
    <w:multiLevelType w:val="multilevel"/>
    <w:tmpl w:val="E74E4640"/>
    <w:lvl w:ilvl="0">
      <w:start w:val="5"/>
      <w:numFmt w:val="decimal"/>
      <w:lvlText w:val="%1"/>
      <w:lvlJc w:val="left"/>
      <w:pPr>
        <w:ind w:left="372" w:hanging="372"/>
      </w:pPr>
      <w:rPr>
        <w:rFonts w:hint="default"/>
      </w:rPr>
    </w:lvl>
    <w:lvl w:ilvl="1">
      <w:start w:val="5"/>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6581331"/>
    <w:multiLevelType w:val="multilevel"/>
    <w:tmpl w:val="CD5E33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1D6F04"/>
    <w:multiLevelType w:val="multilevel"/>
    <w:tmpl w:val="7C322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3D4548"/>
    <w:multiLevelType w:val="multilevel"/>
    <w:tmpl w:val="5C56A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E34854"/>
    <w:multiLevelType w:val="multilevel"/>
    <w:tmpl w:val="06346C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D94FEC"/>
    <w:multiLevelType w:val="multilevel"/>
    <w:tmpl w:val="A1A26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950C96"/>
    <w:multiLevelType w:val="multilevel"/>
    <w:tmpl w:val="0C3226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A13530"/>
    <w:multiLevelType w:val="multilevel"/>
    <w:tmpl w:val="7E1ECAB2"/>
    <w:lvl w:ilvl="0">
      <w:start w:val="5"/>
      <w:numFmt w:val="decimal"/>
      <w:lvlText w:val="%1"/>
      <w:lvlJc w:val="left"/>
      <w:pPr>
        <w:ind w:left="540" w:hanging="540"/>
      </w:pPr>
      <w:rPr>
        <w:rFonts w:hint="default"/>
        <w:b/>
      </w:rPr>
    </w:lvl>
    <w:lvl w:ilvl="1">
      <w:start w:val="5"/>
      <w:numFmt w:val="decimal"/>
      <w:lvlText w:val="%1.%2"/>
      <w:lvlJc w:val="left"/>
      <w:pPr>
        <w:ind w:left="720" w:hanging="540"/>
      </w:pPr>
      <w:rPr>
        <w:rFonts w:hint="default"/>
        <w:b/>
      </w:rPr>
    </w:lvl>
    <w:lvl w:ilvl="2">
      <w:start w:val="1"/>
      <w:numFmt w:val="decimal"/>
      <w:lvlText w:val="%1.%2.%3"/>
      <w:lvlJc w:val="left"/>
      <w:pPr>
        <w:ind w:left="1080" w:hanging="720"/>
      </w:pPr>
      <w:rPr>
        <w:rFonts w:hint="default"/>
        <w:b/>
      </w:rPr>
    </w:lvl>
    <w:lvl w:ilvl="3">
      <w:start w:val="1"/>
      <w:numFmt w:val="decimal"/>
      <w:lvlText w:val="%1.%2.%3.%4"/>
      <w:lvlJc w:val="left"/>
      <w:pPr>
        <w:ind w:left="1620" w:hanging="1080"/>
      </w:pPr>
      <w:rPr>
        <w:rFonts w:hint="default"/>
        <w:b/>
      </w:rPr>
    </w:lvl>
    <w:lvl w:ilvl="4">
      <w:start w:val="1"/>
      <w:numFmt w:val="decimal"/>
      <w:lvlText w:val="%1.%2.%3.%4.%5"/>
      <w:lvlJc w:val="left"/>
      <w:pPr>
        <w:ind w:left="1800" w:hanging="1080"/>
      </w:pPr>
      <w:rPr>
        <w:rFonts w:hint="default"/>
        <w:b/>
      </w:rPr>
    </w:lvl>
    <w:lvl w:ilvl="5">
      <w:start w:val="1"/>
      <w:numFmt w:val="decimal"/>
      <w:lvlText w:val="%1.%2.%3.%4.%5.%6"/>
      <w:lvlJc w:val="left"/>
      <w:pPr>
        <w:ind w:left="2340" w:hanging="1440"/>
      </w:pPr>
      <w:rPr>
        <w:rFonts w:hint="default"/>
        <w:b/>
      </w:rPr>
    </w:lvl>
    <w:lvl w:ilvl="6">
      <w:start w:val="1"/>
      <w:numFmt w:val="decimal"/>
      <w:lvlText w:val="%1.%2.%3.%4.%5.%6.%7"/>
      <w:lvlJc w:val="left"/>
      <w:pPr>
        <w:ind w:left="2520" w:hanging="1440"/>
      </w:pPr>
      <w:rPr>
        <w:rFonts w:hint="default"/>
        <w:b/>
      </w:rPr>
    </w:lvl>
    <w:lvl w:ilvl="7">
      <w:start w:val="1"/>
      <w:numFmt w:val="decimal"/>
      <w:lvlText w:val="%1.%2.%3.%4.%5.%6.%7.%8"/>
      <w:lvlJc w:val="left"/>
      <w:pPr>
        <w:ind w:left="3060" w:hanging="1800"/>
      </w:pPr>
      <w:rPr>
        <w:rFonts w:hint="default"/>
        <w:b/>
      </w:rPr>
    </w:lvl>
    <w:lvl w:ilvl="8">
      <w:start w:val="1"/>
      <w:numFmt w:val="decimal"/>
      <w:lvlText w:val="%1.%2.%3.%4.%5.%6.%7.%8.%9"/>
      <w:lvlJc w:val="left"/>
      <w:pPr>
        <w:ind w:left="3240" w:hanging="1800"/>
      </w:pPr>
      <w:rPr>
        <w:rFonts w:hint="default"/>
        <w:b/>
      </w:rPr>
    </w:lvl>
  </w:abstractNum>
  <w:abstractNum w:abstractNumId="24" w15:restartNumberingAfterBreak="0">
    <w:nsid w:val="503A7611"/>
    <w:multiLevelType w:val="multilevel"/>
    <w:tmpl w:val="725CA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674D08"/>
    <w:multiLevelType w:val="multilevel"/>
    <w:tmpl w:val="D750C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784A5A"/>
    <w:multiLevelType w:val="hybridMultilevel"/>
    <w:tmpl w:val="FE7A3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A92BB3"/>
    <w:multiLevelType w:val="multilevel"/>
    <w:tmpl w:val="731EBC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FE5AD3"/>
    <w:multiLevelType w:val="multilevel"/>
    <w:tmpl w:val="39525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D5687C"/>
    <w:multiLevelType w:val="multilevel"/>
    <w:tmpl w:val="70B2F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892FD4"/>
    <w:multiLevelType w:val="multilevel"/>
    <w:tmpl w:val="256C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D24C92"/>
    <w:multiLevelType w:val="multilevel"/>
    <w:tmpl w:val="86946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DD2C35"/>
    <w:multiLevelType w:val="multilevel"/>
    <w:tmpl w:val="4EE62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9953533">
    <w:abstractNumId w:val="20"/>
  </w:num>
  <w:num w:numId="2" w16cid:durableId="528959697">
    <w:abstractNumId w:val="25"/>
  </w:num>
  <w:num w:numId="3" w16cid:durableId="1256473366">
    <w:abstractNumId w:val="22"/>
  </w:num>
  <w:num w:numId="4" w16cid:durableId="972060300">
    <w:abstractNumId w:val="28"/>
  </w:num>
  <w:num w:numId="5" w16cid:durableId="1000545734">
    <w:abstractNumId w:val="12"/>
  </w:num>
  <w:num w:numId="6" w16cid:durableId="2019768709">
    <w:abstractNumId w:val="32"/>
  </w:num>
  <w:num w:numId="7" w16cid:durableId="1613709567">
    <w:abstractNumId w:val="29"/>
  </w:num>
  <w:num w:numId="8" w16cid:durableId="700128729">
    <w:abstractNumId w:val="15"/>
  </w:num>
  <w:num w:numId="9" w16cid:durableId="2090343319">
    <w:abstractNumId w:val="30"/>
  </w:num>
  <w:num w:numId="10" w16cid:durableId="682512920">
    <w:abstractNumId w:val="13"/>
  </w:num>
  <w:num w:numId="11" w16cid:durableId="895703267">
    <w:abstractNumId w:val="8"/>
  </w:num>
  <w:num w:numId="12" w16cid:durableId="235092031">
    <w:abstractNumId w:val="21"/>
  </w:num>
  <w:num w:numId="13" w16cid:durableId="1426342780">
    <w:abstractNumId w:val="1"/>
  </w:num>
  <w:num w:numId="14" w16cid:durableId="522519265">
    <w:abstractNumId w:val="14"/>
  </w:num>
  <w:num w:numId="15" w16cid:durableId="1543445245">
    <w:abstractNumId w:val="5"/>
  </w:num>
  <w:num w:numId="16" w16cid:durableId="636255556">
    <w:abstractNumId w:val="9"/>
  </w:num>
  <w:num w:numId="17" w16cid:durableId="1598097469">
    <w:abstractNumId w:val="27"/>
  </w:num>
  <w:num w:numId="18" w16cid:durableId="1383749783">
    <w:abstractNumId w:val="17"/>
  </w:num>
  <w:num w:numId="19" w16cid:durableId="975062780">
    <w:abstractNumId w:val="24"/>
  </w:num>
  <w:num w:numId="20" w16cid:durableId="1240404145">
    <w:abstractNumId w:val="0"/>
  </w:num>
  <w:num w:numId="21" w16cid:durableId="714429501">
    <w:abstractNumId w:val="26"/>
  </w:num>
  <w:num w:numId="22" w16cid:durableId="799344537">
    <w:abstractNumId w:val="7"/>
  </w:num>
  <w:num w:numId="23" w16cid:durableId="1925454037">
    <w:abstractNumId w:val="3"/>
  </w:num>
  <w:num w:numId="24" w16cid:durableId="1851948791">
    <w:abstractNumId w:val="4"/>
  </w:num>
  <w:num w:numId="25" w16cid:durableId="324867725">
    <w:abstractNumId w:val="19"/>
  </w:num>
  <w:num w:numId="26" w16cid:durableId="777456833">
    <w:abstractNumId w:val="31"/>
  </w:num>
  <w:num w:numId="27" w16cid:durableId="1868524925">
    <w:abstractNumId w:val="10"/>
  </w:num>
  <w:num w:numId="28" w16cid:durableId="215510024">
    <w:abstractNumId w:val="18"/>
  </w:num>
  <w:num w:numId="29" w16cid:durableId="1589655264">
    <w:abstractNumId w:val="6"/>
  </w:num>
  <w:num w:numId="30" w16cid:durableId="1905094065">
    <w:abstractNumId w:val="11"/>
  </w:num>
  <w:num w:numId="31" w16cid:durableId="1422752917">
    <w:abstractNumId w:val="23"/>
  </w:num>
  <w:num w:numId="32" w16cid:durableId="1334601891">
    <w:abstractNumId w:val="2"/>
  </w:num>
  <w:num w:numId="33" w16cid:durableId="10790557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02A"/>
    <w:rsid w:val="000548CB"/>
    <w:rsid w:val="00056C5C"/>
    <w:rsid w:val="000675F8"/>
    <w:rsid w:val="000B48DC"/>
    <w:rsid w:val="000B5D4E"/>
    <w:rsid w:val="000B71B8"/>
    <w:rsid w:val="0010716A"/>
    <w:rsid w:val="001145C5"/>
    <w:rsid w:val="001422D5"/>
    <w:rsid w:val="001A5C54"/>
    <w:rsid w:val="001D36A2"/>
    <w:rsid w:val="002551A2"/>
    <w:rsid w:val="00273207"/>
    <w:rsid w:val="002A0D64"/>
    <w:rsid w:val="002B5528"/>
    <w:rsid w:val="002E378A"/>
    <w:rsid w:val="002E5DAD"/>
    <w:rsid w:val="002E63C3"/>
    <w:rsid w:val="00357CD1"/>
    <w:rsid w:val="00376E08"/>
    <w:rsid w:val="003957FC"/>
    <w:rsid w:val="003C268A"/>
    <w:rsid w:val="003D0C95"/>
    <w:rsid w:val="00457665"/>
    <w:rsid w:val="00461055"/>
    <w:rsid w:val="004804D4"/>
    <w:rsid w:val="00487BE5"/>
    <w:rsid w:val="004A2F55"/>
    <w:rsid w:val="004C5548"/>
    <w:rsid w:val="004D6ED7"/>
    <w:rsid w:val="004D78F6"/>
    <w:rsid w:val="005053C0"/>
    <w:rsid w:val="00543A42"/>
    <w:rsid w:val="00572B8B"/>
    <w:rsid w:val="005B112A"/>
    <w:rsid w:val="005D0CA4"/>
    <w:rsid w:val="006158FA"/>
    <w:rsid w:val="00625004"/>
    <w:rsid w:val="006B6C82"/>
    <w:rsid w:val="006F3D9E"/>
    <w:rsid w:val="0074061B"/>
    <w:rsid w:val="007A589D"/>
    <w:rsid w:val="007B002A"/>
    <w:rsid w:val="007B030D"/>
    <w:rsid w:val="007B27AE"/>
    <w:rsid w:val="007B3299"/>
    <w:rsid w:val="007E017B"/>
    <w:rsid w:val="007E1413"/>
    <w:rsid w:val="007F3F69"/>
    <w:rsid w:val="008029EC"/>
    <w:rsid w:val="008067ED"/>
    <w:rsid w:val="00852803"/>
    <w:rsid w:val="00882F64"/>
    <w:rsid w:val="00886604"/>
    <w:rsid w:val="00893AF6"/>
    <w:rsid w:val="008E78EC"/>
    <w:rsid w:val="00924561"/>
    <w:rsid w:val="00993559"/>
    <w:rsid w:val="009A42F2"/>
    <w:rsid w:val="009F6F59"/>
    <w:rsid w:val="00A36735"/>
    <w:rsid w:val="00A558C7"/>
    <w:rsid w:val="00A610B1"/>
    <w:rsid w:val="00A73CCF"/>
    <w:rsid w:val="00B3125B"/>
    <w:rsid w:val="00B37364"/>
    <w:rsid w:val="00BA2D87"/>
    <w:rsid w:val="00BB14B3"/>
    <w:rsid w:val="00BC4F0C"/>
    <w:rsid w:val="00C341D1"/>
    <w:rsid w:val="00C3617B"/>
    <w:rsid w:val="00C723E6"/>
    <w:rsid w:val="00CA2EDE"/>
    <w:rsid w:val="00CF3357"/>
    <w:rsid w:val="00D57185"/>
    <w:rsid w:val="00D723C8"/>
    <w:rsid w:val="00DD0BA9"/>
    <w:rsid w:val="00E36DEA"/>
    <w:rsid w:val="00E52F3C"/>
    <w:rsid w:val="00E64CEC"/>
    <w:rsid w:val="00ED5B2F"/>
    <w:rsid w:val="00EE2CBC"/>
    <w:rsid w:val="00EF4AE7"/>
    <w:rsid w:val="00EF5090"/>
    <w:rsid w:val="00F073CC"/>
    <w:rsid w:val="00F23165"/>
    <w:rsid w:val="00F24544"/>
    <w:rsid w:val="00F545CC"/>
    <w:rsid w:val="00F73936"/>
    <w:rsid w:val="00F80C4E"/>
    <w:rsid w:val="00FA3393"/>
    <w:rsid w:val="00FA7C01"/>
    <w:rsid w:val="00FB4F2C"/>
    <w:rsid w:val="00FE2E17"/>
    <w:rsid w:val="00FE3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22528"/>
  <w15:chartTrackingRefBased/>
  <w15:docId w15:val="{23B96D18-94F7-4EC5-B7C5-02F2163B7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02A"/>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7B00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00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B00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B00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0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0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0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0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0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0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00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B00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B00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0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02A"/>
    <w:rPr>
      <w:rFonts w:eastAsiaTheme="majorEastAsia" w:cstheme="majorBidi"/>
      <w:color w:val="272727" w:themeColor="text1" w:themeTint="D8"/>
    </w:rPr>
  </w:style>
  <w:style w:type="paragraph" w:styleId="Title">
    <w:name w:val="Title"/>
    <w:basedOn w:val="Normal"/>
    <w:next w:val="Normal"/>
    <w:link w:val="TitleChar"/>
    <w:uiPriority w:val="10"/>
    <w:qFormat/>
    <w:rsid w:val="007B00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0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02A"/>
    <w:pPr>
      <w:spacing w:before="160"/>
      <w:jc w:val="center"/>
    </w:pPr>
    <w:rPr>
      <w:i/>
      <w:iCs/>
      <w:color w:val="404040" w:themeColor="text1" w:themeTint="BF"/>
    </w:rPr>
  </w:style>
  <w:style w:type="character" w:customStyle="1" w:styleId="QuoteChar">
    <w:name w:val="Quote Char"/>
    <w:basedOn w:val="DefaultParagraphFont"/>
    <w:link w:val="Quote"/>
    <w:uiPriority w:val="29"/>
    <w:rsid w:val="007B002A"/>
    <w:rPr>
      <w:i/>
      <w:iCs/>
      <w:color w:val="404040" w:themeColor="text1" w:themeTint="BF"/>
    </w:rPr>
  </w:style>
  <w:style w:type="paragraph" w:styleId="ListParagraph">
    <w:name w:val="List Paragraph"/>
    <w:basedOn w:val="Normal"/>
    <w:uiPriority w:val="34"/>
    <w:qFormat/>
    <w:rsid w:val="007B002A"/>
    <w:pPr>
      <w:ind w:left="720"/>
      <w:contextualSpacing/>
    </w:pPr>
  </w:style>
  <w:style w:type="character" w:styleId="IntenseEmphasis">
    <w:name w:val="Intense Emphasis"/>
    <w:basedOn w:val="DefaultParagraphFont"/>
    <w:uiPriority w:val="21"/>
    <w:qFormat/>
    <w:rsid w:val="007B002A"/>
    <w:rPr>
      <w:i/>
      <w:iCs/>
      <w:color w:val="0F4761" w:themeColor="accent1" w:themeShade="BF"/>
    </w:rPr>
  </w:style>
  <w:style w:type="paragraph" w:styleId="IntenseQuote">
    <w:name w:val="Intense Quote"/>
    <w:basedOn w:val="Normal"/>
    <w:next w:val="Normal"/>
    <w:link w:val="IntenseQuoteChar"/>
    <w:uiPriority w:val="30"/>
    <w:qFormat/>
    <w:rsid w:val="007B00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02A"/>
    <w:rPr>
      <w:i/>
      <w:iCs/>
      <w:color w:val="0F4761" w:themeColor="accent1" w:themeShade="BF"/>
    </w:rPr>
  </w:style>
  <w:style w:type="character" w:styleId="IntenseReference">
    <w:name w:val="Intense Reference"/>
    <w:basedOn w:val="DefaultParagraphFont"/>
    <w:uiPriority w:val="32"/>
    <w:qFormat/>
    <w:rsid w:val="007B002A"/>
    <w:rPr>
      <w:b/>
      <w:bCs/>
      <w:smallCaps/>
      <w:color w:val="0F4761" w:themeColor="accent1" w:themeShade="BF"/>
      <w:spacing w:val="5"/>
    </w:rPr>
  </w:style>
  <w:style w:type="paragraph" w:styleId="NormalWeb">
    <w:name w:val="Normal (Web)"/>
    <w:basedOn w:val="Normal"/>
    <w:uiPriority w:val="99"/>
    <w:unhideWhenUsed/>
    <w:rsid w:val="00BC4F0C"/>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character" w:styleId="Strong">
    <w:name w:val="Strong"/>
    <w:basedOn w:val="DefaultParagraphFont"/>
    <w:uiPriority w:val="22"/>
    <w:qFormat/>
    <w:rsid w:val="00BC4F0C"/>
    <w:rPr>
      <w:b/>
      <w:bCs/>
    </w:rPr>
  </w:style>
  <w:style w:type="character" w:styleId="Hyperlink">
    <w:name w:val="Hyperlink"/>
    <w:basedOn w:val="DefaultParagraphFont"/>
    <w:uiPriority w:val="99"/>
    <w:unhideWhenUsed/>
    <w:rsid w:val="00FE2E17"/>
    <w:rPr>
      <w:color w:val="467886" w:themeColor="hyperlink"/>
      <w:u w:val="single"/>
    </w:rPr>
  </w:style>
  <w:style w:type="character" w:styleId="UnresolvedMention">
    <w:name w:val="Unresolved Mention"/>
    <w:basedOn w:val="DefaultParagraphFont"/>
    <w:uiPriority w:val="99"/>
    <w:semiHidden/>
    <w:unhideWhenUsed/>
    <w:rsid w:val="00FE2E17"/>
    <w:rPr>
      <w:color w:val="605E5C"/>
      <w:shd w:val="clear" w:color="auto" w:fill="E1DFDD"/>
    </w:rPr>
  </w:style>
  <w:style w:type="character" w:styleId="Emphasis">
    <w:name w:val="Emphasis"/>
    <w:basedOn w:val="DefaultParagraphFont"/>
    <w:uiPriority w:val="20"/>
    <w:qFormat/>
    <w:rsid w:val="00993559"/>
    <w:rPr>
      <w:i/>
      <w:iCs/>
    </w:rPr>
  </w:style>
  <w:style w:type="paragraph" w:styleId="Header">
    <w:name w:val="header"/>
    <w:basedOn w:val="Normal"/>
    <w:link w:val="HeaderChar"/>
    <w:uiPriority w:val="99"/>
    <w:unhideWhenUsed/>
    <w:rsid w:val="00A61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0B1"/>
    <w:rPr>
      <w:rFonts w:ascii="Aptos" w:eastAsia="Aptos" w:hAnsi="Aptos" w:cs="Times New Roman"/>
      <w:kern w:val="3"/>
      <w14:ligatures w14:val="none"/>
    </w:rPr>
  </w:style>
  <w:style w:type="paragraph" w:styleId="Footer">
    <w:name w:val="footer"/>
    <w:basedOn w:val="Normal"/>
    <w:link w:val="FooterChar"/>
    <w:uiPriority w:val="99"/>
    <w:unhideWhenUsed/>
    <w:rsid w:val="00A61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0B1"/>
    <w:rPr>
      <w:rFonts w:ascii="Aptos" w:eastAsia="Aptos" w:hAnsi="Aptos" w:cs="Times New Roman"/>
      <w:kern w:val="3"/>
      <w14:ligatures w14:val="none"/>
    </w:rPr>
  </w:style>
  <w:style w:type="paragraph" w:styleId="TOCHeading">
    <w:name w:val="TOC Heading"/>
    <w:basedOn w:val="Heading1"/>
    <w:next w:val="Normal"/>
    <w:uiPriority w:val="39"/>
    <w:unhideWhenUsed/>
    <w:qFormat/>
    <w:rsid w:val="00C3617B"/>
    <w:pPr>
      <w:suppressAutoHyphens w:val="0"/>
      <w:autoSpaceDN/>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C3617B"/>
    <w:pPr>
      <w:spacing w:after="100"/>
    </w:pPr>
  </w:style>
  <w:style w:type="paragraph" w:styleId="TOC2">
    <w:name w:val="toc 2"/>
    <w:basedOn w:val="Normal"/>
    <w:next w:val="Normal"/>
    <w:autoRedefine/>
    <w:uiPriority w:val="39"/>
    <w:unhideWhenUsed/>
    <w:rsid w:val="00C3617B"/>
    <w:pPr>
      <w:spacing w:after="100"/>
      <w:ind w:left="240"/>
    </w:pPr>
  </w:style>
  <w:style w:type="paragraph" w:styleId="TOC3">
    <w:name w:val="toc 3"/>
    <w:basedOn w:val="Normal"/>
    <w:next w:val="Normal"/>
    <w:autoRedefine/>
    <w:uiPriority w:val="39"/>
    <w:unhideWhenUsed/>
    <w:rsid w:val="00C3617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ltl.20867" TargetMode="External"/><Relationship Id="rId18" Type="http://schemas.openxmlformats.org/officeDocument/2006/relationships/hyperlink" Target="https://doi.org/10.3390/su142215199" TargetMode="External"/><Relationship Id="rId26" Type="http://schemas.openxmlformats.org/officeDocument/2006/relationships/hyperlink" Target="https://doi.org/10.1007/s11606-020-06262-7" TargetMode="External"/><Relationship Id="rId39" Type="http://schemas.openxmlformats.org/officeDocument/2006/relationships/hyperlink" Target="https://doi.org/10.26668/businessreview/2024.v9i10.5030" TargetMode="External"/><Relationship Id="rId21" Type="http://schemas.openxmlformats.org/officeDocument/2006/relationships/hyperlink" Target="https://doi.org/10.1177/09504222241289817" TargetMode="External"/><Relationship Id="rId34" Type="http://schemas.openxmlformats.org/officeDocument/2006/relationships/hyperlink" Target="https://doi.org/10.1002/sd.2548" TargetMode="External"/><Relationship Id="rId42" Type="http://schemas.openxmlformats.org/officeDocument/2006/relationships/hyperlink" Target="https://doi.org/10.1108/NBRI-08-2021-005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swot-analysis-factsheet/" TargetMode="External"/><Relationship Id="rId29" Type="http://schemas.openxmlformats.org/officeDocument/2006/relationships/hyperlink" Target="https://doi.org/10.47679/jopp.711070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Latifat-Ayanponle/publication/386348208_Developing_and_implementing_advanced_performance_management_systems_for_enhanced_organizational_productivity/links/67a1c97a645ef274a46662dc/Developing-and-implementing-advanced-performance-management-systems-for-enhanced-organizational-productivity.pdf" TargetMode="External"/><Relationship Id="rId24" Type="http://schemas.openxmlformats.org/officeDocument/2006/relationships/hyperlink" Target="https://doi.org/10.3390/su17073134" TargetMode="External"/><Relationship Id="rId32" Type="http://schemas.openxmlformats.org/officeDocument/2006/relationships/hyperlink" Target="https://doi.org/10.3390/su13041806" TargetMode="External"/><Relationship Id="rId37" Type="http://schemas.openxmlformats.org/officeDocument/2006/relationships/hyperlink" Target="https://doi.org/10.1007/s00266-024-04503-2" TargetMode="External"/><Relationship Id="rId40" Type="http://schemas.openxmlformats.org/officeDocument/2006/relationships/hyperlink" Target="https://doi.org/10.1111/beer.12476"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swot-analysis-factsheet/" TargetMode="External"/><Relationship Id="rId23" Type="http://schemas.openxmlformats.org/officeDocument/2006/relationships/hyperlink" Target="https://doi.org/10.1186/s43093-021-00093-6" TargetMode="External"/><Relationship Id="rId28" Type="http://schemas.openxmlformats.org/officeDocument/2006/relationships/hyperlink" Target="https://doi.org/10.1080/10429247.2022.2097575" TargetMode="External"/><Relationship Id="rId36" Type="http://schemas.openxmlformats.org/officeDocument/2006/relationships/hyperlink" Target="https://doi.org/10.3390/healthcare9091136" TargetMode="External"/><Relationship Id="rId10" Type="http://schemas.openxmlformats.org/officeDocument/2006/relationships/hyperlink" Target="https://doi.org/10.54660/.IJFMR.2022.3.2.16-20" TargetMode="External"/><Relationship Id="rId19" Type="http://schemas.openxmlformats.org/officeDocument/2006/relationships/hyperlink" Target="https://doi.org/10.1016/j.heliyon.2023.e20352" TargetMode="External"/><Relationship Id="rId31" Type="http://schemas.openxmlformats.org/officeDocument/2006/relationships/hyperlink" Target="https://www.projectmanager.com/blog/cost-benefit-analysis-for-projects-a-step-by-step-guide"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ooks.google.co.uk/books?id=B1EQEQAAQBAJ" TargetMode="External"/><Relationship Id="rId14" Type="http://schemas.openxmlformats.org/officeDocument/2006/relationships/hyperlink" Target="https://www.cqc.org.uk/sites/default/files/2022-12/20220722-duty-of-candour-pdf-version-FINAL-2.pdf?utm_source=chatgpt.com" TargetMode="External"/><Relationship Id="rId22" Type="http://schemas.openxmlformats.org/officeDocument/2006/relationships/hyperlink" Target="https://www.gmc-uk.org/professional-standards/the-professional-standards/cosmetic-interventions?utm_source=chatgpt.com" TargetMode="External"/><Relationship Id="rId27" Type="http://schemas.openxmlformats.org/officeDocument/2006/relationships/hyperlink" Target="https://www.jccp.org.uk/ckfinder/userfiles/files/Code%20of%20Practice%202023(1).pdf?utm_source=chatgpt.com" TargetMode="External"/><Relationship Id="rId30" Type="http://schemas.openxmlformats.org/officeDocument/2006/relationships/hyperlink" Target="https://doi.org/10.2478/ijm-2021-0008" TargetMode="External"/><Relationship Id="rId35" Type="http://schemas.openxmlformats.org/officeDocument/2006/relationships/hyperlink" Target="https://chat.openai.com/" TargetMode="External"/><Relationship Id="rId43" Type="http://schemas.openxmlformats.org/officeDocument/2006/relationships/hyperlink" Target="https://doi.org/10.5281/zenodo.16354877"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08/JEEE-09-2023-0398" TargetMode="External"/><Relationship Id="rId17" Type="http://schemas.openxmlformats.org/officeDocument/2006/relationships/hyperlink" Target="https://doi.org/10.1080/24754269.2023.2164970" TargetMode="External"/><Relationship Id="rId25" Type="http://schemas.openxmlformats.org/officeDocument/2006/relationships/hyperlink" Target="https://www.hse.gov.uk/cleaning/topics/coshh.htm" TargetMode="External"/><Relationship Id="rId33" Type="http://schemas.openxmlformats.org/officeDocument/2006/relationships/hyperlink" Target="https://www.legislation.gov.uk/ukpga/1974/37/contents" TargetMode="External"/><Relationship Id="rId38" Type="http://schemas.openxmlformats.org/officeDocument/2006/relationships/hyperlink" Target="https://doi.org/10.1007/s11301-023-00349-1" TargetMode="External"/><Relationship Id="rId46" Type="http://schemas.openxmlformats.org/officeDocument/2006/relationships/theme" Target="theme/theme1.xml"/><Relationship Id="rId20" Type="http://schemas.openxmlformats.org/officeDocument/2006/relationships/hyperlink" Target="https://doi.org/10.1007/s11846-021-00459-8" TargetMode="External"/><Relationship Id="rId41" Type="http://schemas.openxmlformats.org/officeDocument/2006/relationships/hyperlink" Target="https://www.proquest.com/openview/1b67bfae23344a46fc27f29374f77050/1?pq-origsite=gscholar&amp;cbl=18750&amp;dis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01BFB-8324-448A-BB59-6920C081D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23</Pages>
  <Words>7295</Words>
  <Characters>41587</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cp:keywords/>
  <dc:description/>
  <cp:lastModifiedBy>Kelly Keefe (2318120)</cp:lastModifiedBy>
  <cp:revision>3</cp:revision>
  <dcterms:created xsi:type="dcterms:W3CDTF">2025-11-06T15:33:00Z</dcterms:created>
  <dcterms:modified xsi:type="dcterms:W3CDTF">2025-11-06T16:03:00Z</dcterms:modified>
</cp:coreProperties>
</file>