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9EDC7D" w14:textId="77777777" w:rsidR="00615590" w:rsidRDefault="00000000">
      <w:pPr>
        <w:spacing w:line="360" w:lineRule="auto"/>
      </w:pPr>
      <w:r>
        <w:rPr>
          <w:noProof/>
        </w:rPr>
        <w:drawing>
          <wp:inline distT="0" distB="0" distL="0" distR="0" wp14:anchorId="06D474D0" wp14:editId="1F9210D4">
            <wp:extent cx="3340735" cy="1341120"/>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WTSD logo | Discover Dylan Thomas"/>
                    <pic:cNvPicPr>
                      <a:picLocks noChangeAspect="1" noChangeArrowheads="1"/>
                    </pic:cNvPicPr>
                  </pic:nvPicPr>
                  <pic:blipFill>
                    <a:blip r:embed="rId7"/>
                    <a:stretch>
                      <a:fillRect/>
                    </a:stretch>
                  </pic:blipFill>
                  <pic:spPr bwMode="auto">
                    <a:xfrm>
                      <a:off x="0" y="0"/>
                      <a:ext cx="3340735" cy="1341120"/>
                    </a:xfrm>
                    <a:prstGeom prst="rect">
                      <a:avLst/>
                    </a:prstGeom>
                  </pic:spPr>
                </pic:pic>
              </a:graphicData>
            </a:graphic>
          </wp:inline>
        </w:drawing>
      </w:r>
    </w:p>
    <w:p w14:paraId="7D7D63F3" w14:textId="77777777" w:rsidR="00615590" w:rsidRDefault="00615590">
      <w:pPr>
        <w:spacing w:line="360" w:lineRule="auto"/>
        <w:rPr>
          <w:rStyle w:val="Strong"/>
          <w:rFonts w:ascii="Segoe UI" w:hAnsi="Segoe UI" w:cs="Segoe UI"/>
          <w:color w:val="1D2125"/>
        </w:rPr>
      </w:pPr>
    </w:p>
    <w:p w14:paraId="4E70587D" w14:textId="77777777" w:rsidR="00615590" w:rsidRDefault="00615590">
      <w:pPr>
        <w:spacing w:line="360" w:lineRule="auto"/>
        <w:rPr>
          <w:rStyle w:val="Strong"/>
          <w:rFonts w:ascii="Arial" w:hAnsi="Arial" w:cs="Arial"/>
          <w:color w:val="1D2125"/>
          <w:sz w:val="36"/>
          <w:szCs w:val="36"/>
        </w:rPr>
      </w:pPr>
    </w:p>
    <w:p w14:paraId="46FF8CF3" w14:textId="77777777" w:rsidR="00615590" w:rsidRPr="00D06AD5" w:rsidRDefault="00000000">
      <w:pPr>
        <w:spacing w:line="360" w:lineRule="auto"/>
        <w:jc w:val="center"/>
        <w:rPr>
          <w:rStyle w:val="Strong"/>
          <w:rFonts w:ascii="Arial" w:hAnsi="Arial" w:cs="Arial"/>
          <w:color w:val="1D2125"/>
          <w:sz w:val="32"/>
          <w:szCs w:val="32"/>
        </w:rPr>
      </w:pPr>
      <w:r>
        <w:rPr>
          <w:rStyle w:val="Strong"/>
          <w:rFonts w:ascii="Arial" w:eastAsia="Arial" w:hAnsi="Arial" w:cs="Arial"/>
          <w:color w:val="1D2125"/>
          <w:sz w:val="32"/>
          <w:szCs w:val="32"/>
          <w:shd w:val="clear" w:color="auto" w:fill="FFFFFF"/>
        </w:rPr>
        <w:t>Introduction to Independent Research Skills</w:t>
      </w:r>
    </w:p>
    <w:p w14:paraId="54CF2270" w14:textId="77777777" w:rsidR="00615590" w:rsidRPr="00D06AD5" w:rsidRDefault="00000000">
      <w:pPr>
        <w:spacing w:line="360" w:lineRule="auto"/>
        <w:jc w:val="center"/>
        <w:rPr>
          <w:rStyle w:val="Strong"/>
          <w:rFonts w:ascii="Arial" w:hAnsi="Arial" w:cs="Arial"/>
          <w:color w:val="1D2125"/>
          <w:sz w:val="32"/>
          <w:szCs w:val="32"/>
        </w:rPr>
      </w:pPr>
      <w:r>
        <w:rPr>
          <w:rStyle w:val="Strong"/>
          <w:rFonts w:ascii="Arial" w:eastAsia="Arial" w:hAnsi="Arial" w:cs="Arial"/>
          <w:color w:val="1D2125"/>
          <w:sz w:val="32"/>
          <w:szCs w:val="32"/>
        </w:rPr>
        <w:t>(BMHP5019)</w:t>
      </w:r>
    </w:p>
    <w:p w14:paraId="29690C90" w14:textId="77777777" w:rsidR="00615590" w:rsidRDefault="00615590">
      <w:pPr>
        <w:spacing w:line="360" w:lineRule="auto"/>
        <w:jc w:val="center"/>
        <w:rPr>
          <w:rStyle w:val="Strong"/>
          <w:rFonts w:ascii="Arial" w:hAnsi="Arial" w:cs="Arial"/>
          <w:color w:val="1D2125"/>
          <w:sz w:val="36"/>
          <w:szCs w:val="36"/>
        </w:rPr>
      </w:pPr>
    </w:p>
    <w:p w14:paraId="3378D2E1" w14:textId="77777777" w:rsidR="00615590" w:rsidRDefault="00615590">
      <w:pPr>
        <w:spacing w:line="360" w:lineRule="auto"/>
        <w:rPr>
          <w:rStyle w:val="Strong"/>
          <w:rFonts w:ascii="Arial" w:hAnsi="Arial" w:cs="Arial"/>
          <w:b w:val="0"/>
          <w:bCs w:val="0"/>
          <w:color w:val="1D2125"/>
          <w:sz w:val="32"/>
          <w:szCs w:val="32"/>
        </w:rPr>
      </w:pPr>
    </w:p>
    <w:p w14:paraId="3D3ECFF7" w14:textId="50F79BBE" w:rsidR="00615590" w:rsidRPr="00D06AD5" w:rsidRDefault="00000000">
      <w:pPr>
        <w:spacing w:line="360" w:lineRule="auto"/>
        <w:rPr>
          <w:rStyle w:val="Strong"/>
          <w:rFonts w:ascii="Arial" w:hAnsi="Arial" w:cs="Arial"/>
          <w:color w:val="1D2125"/>
          <w:sz w:val="32"/>
          <w:szCs w:val="32"/>
        </w:rPr>
      </w:pPr>
      <w:r>
        <w:rPr>
          <w:rStyle w:val="Strong"/>
          <w:rFonts w:ascii="Arial" w:eastAsia="Arial" w:hAnsi="Arial" w:cs="Arial"/>
          <w:color w:val="1D2125"/>
          <w:sz w:val="32"/>
          <w:szCs w:val="32"/>
        </w:rPr>
        <w:t>Student name: Ioan-Ciprian Tanase</w:t>
      </w:r>
    </w:p>
    <w:p w14:paraId="2DBD027C" w14:textId="6FBBCC72" w:rsidR="00615590" w:rsidRPr="00D06AD5" w:rsidRDefault="00000000">
      <w:pPr>
        <w:spacing w:line="360" w:lineRule="auto"/>
        <w:rPr>
          <w:rStyle w:val="Strong"/>
          <w:rFonts w:ascii="Arial" w:hAnsi="Arial" w:cs="Arial"/>
          <w:color w:val="1D2125"/>
          <w:sz w:val="32"/>
          <w:szCs w:val="32"/>
        </w:rPr>
      </w:pPr>
      <w:r>
        <w:rPr>
          <w:rStyle w:val="Strong"/>
          <w:rFonts w:ascii="Arial" w:eastAsia="Arial" w:hAnsi="Arial" w:cs="Arial"/>
          <w:color w:val="1D2125"/>
          <w:sz w:val="32"/>
          <w:szCs w:val="32"/>
        </w:rPr>
        <w:t>Student ID:2414116</w:t>
      </w:r>
    </w:p>
    <w:p w14:paraId="47151B06" w14:textId="6B0F91EE" w:rsidR="00615590" w:rsidRPr="00D06AD5" w:rsidRDefault="00000000">
      <w:pPr>
        <w:spacing w:line="360" w:lineRule="auto"/>
        <w:rPr>
          <w:rStyle w:val="Strong"/>
          <w:rFonts w:ascii="Arial" w:hAnsi="Arial" w:cs="Arial"/>
          <w:color w:val="1D2125"/>
          <w:sz w:val="32"/>
          <w:szCs w:val="32"/>
        </w:rPr>
      </w:pPr>
      <w:r>
        <w:rPr>
          <w:rStyle w:val="Strong"/>
          <w:rFonts w:ascii="Arial" w:eastAsia="Arial" w:hAnsi="Arial" w:cs="Arial"/>
          <w:color w:val="1D2125"/>
          <w:sz w:val="32"/>
          <w:szCs w:val="32"/>
        </w:rPr>
        <w:t>Lecturer’s name: Muhammed Khan</w:t>
      </w:r>
    </w:p>
    <w:p w14:paraId="0FBA9611" w14:textId="77777777" w:rsidR="00615590" w:rsidRPr="00D06AD5" w:rsidRDefault="00615590">
      <w:pPr>
        <w:spacing w:line="360" w:lineRule="auto"/>
        <w:rPr>
          <w:sz w:val="32"/>
          <w:szCs w:val="32"/>
        </w:rPr>
      </w:pPr>
    </w:p>
    <w:p w14:paraId="041BB856" w14:textId="77777777" w:rsidR="00615590" w:rsidRDefault="00615590">
      <w:pPr>
        <w:spacing w:line="360" w:lineRule="auto"/>
        <w:rPr>
          <w:rFonts w:ascii="Arial" w:hAnsi="Arial" w:cs="Arial"/>
          <w:sz w:val="36"/>
          <w:szCs w:val="36"/>
        </w:rPr>
      </w:pPr>
    </w:p>
    <w:p w14:paraId="367B6A86" w14:textId="77777777" w:rsidR="00615590" w:rsidRDefault="00615590">
      <w:pPr>
        <w:spacing w:line="360" w:lineRule="auto"/>
        <w:rPr>
          <w:rFonts w:ascii="Arial" w:hAnsi="Arial" w:cs="Arial"/>
          <w:sz w:val="36"/>
          <w:szCs w:val="36"/>
        </w:rPr>
      </w:pPr>
    </w:p>
    <w:p w14:paraId="37B261C2" w14:textId="77777777" w:rsidR="00615590" w:rsidRDefault="00615590">
      <w:pPr>
        <w:spacing w:line="360" w:lineRule="auto"/>
        <w:rPr>
          <w:rFonts w:ascii="Arial" w:hAnsi="Arial" w:cs="Arial"/>
          <w:sz w:val="36"/>
          <w:szCs w:val="36"/>
        </w:rPr>
      </w:pPr>
    </w:p>
    <w:p w14:paraId="3AA07BDA" w14:textId="77777777" w:rsidR="00AF003B" w:rsidRDefault="00AF003B">
      <w:pPr>
        <w:spacing w:line="360" w:lineRule="auto"/>
        <w:rPr>
          <w:rFonts w:ascii="Arial" w:hAnsi="Arial" w:cs="Arial"/>
          <w:sz w:val="36"/>
          <w:szCs w:val="36"/>
        </w:rPr>
      </w:pPr>
    </w:p>
    <w:p w14:paraId="0192CC90" w14:textId="77777777" w:rsidR="00AF003B" w:rsidRDefault="00AF003B">
      <w:pPr>
        <w:spacing w:line="360" w:lineRule="auto"/>
        <w:rPr>
          <w:rFonts w:ascii="Arial" w:hAnsi="Arial" w:cs="Arial"/>
          <w:sz w:val="36"/>
          <w:szCs w:val="36"/>
        </w:rPr>
      </w:pPr>
    </w:p>
    <w:p w14:paraId="515D2977" w14:textId="77777777" w:rsidR="00615590" w:rsidRDefault="00615590">
      <w:pPr>
        <w:spacing w:line="360" w:lineRule="auto"/>
      </w:pPr>
    </w:p>
    <w:p w14:paraId="7E0C99D6" w14:textId="77777777" w:rsidR="00615590" w:rsidRDefault="00000000">
      <w:pPr>
        <w:pStyle w:val="NormalWeb"/>
        <w:spacing w:before="280" w:after="280" w:line="360" w:lineRule="auto"/>
        <w:rPr>
          <w:color w:val="000000"/>
        </w:rPr>
      </w:pPr>
      <w:r>
        <w:rPr>
          <w:rFonts w:ascii="Arial" w:eastAsia="Arial" w:hAnsi="Arial" w:cs="Arial"/>
          <w:b/>
          <w:color w:val="000000"/>
          <w:sz w:val="28"/>
        </w:rPr>
        <w:lastRenderedPageBreak/>
        <w:t>Table of contents</w:t>
      </w:r>
    </w:p>
    <w:sdt>
      <w:sdtPr>
        <w:id w:val="-49070820"/>
        <w:docPartObj>
          <w:docPartGallery w:val="Table of Contents"/>
          <w:docPartUnique/>
        </w:docPartObj>
      </w:sdtPr>
      <w:sdtContent>
        <w:p w14:paraId="44769E41" w14:textId="77777777" w:rsidR="00615590" w:rsidRDefault="00615590">
          <w:pPr>
            <w:pStyle w:val="TOC1"/>
            <w:tabs>
              <w:tab w:val="clear" w:pos="9026"/>
              <w:tab w:val="right" w:leader="dot" w:pos="9025"/>
            </w:tabs>
          </w:pPr>
          <w:r>
            <w:fldChar w:fldCharType="begin"/>
          </w:r>
          <w:r>
            <w:rPr>
              <w:rStyle w:val="IndexLink"/>
              <w:webHidden/>
            </w:rPr>
            <w:instrText xml:space="preserve"> TOC \z \o "1-1" \u \h</w:instrText>
          </w:r>
          <w:r>
            <w:rPr>
              <w:rStyle w:val="IndexLink"/>
            </w:rPr>
            <w:fldChar w:fldCharType="separate"/>
          </w:r>
          <w:hyperlink w:anchor="__RefHeading___Toc356_207241122">
            <w:r>
              <w:rPr>
                <w:rStyle w:val="IndexLink"/>
                <w:webHidden/>
              </w:rPr>
              <w:t>Introduction</w:t>
            </w:r>
            <w:r>
              <w:rPr>
                <w:rStyle w:val="IndexLink"/>
                <w:webHidden/>
              </w:rPr>
              <w:tab/>
              <w:t>3</w:t>
            </w:r>
          </w:hyperlink>
        </w:p>
        <w:p w14:paraId="15A1F2AA" w14:textId="77777777" w:rsidR="00615590" w:rsidRDefault="00615590">
          <w:pPr>
            <w:pStyle w:val="TOC1"/>
            <w:tabs>
              <w:tab w:val="clear" w:pos="9026"/>
              <w:tab w:val="right" w:leader="dot" w:pos="9025"/>
            </w:tabs>
          </w:pPr>
          <w:hyperlink w:anchor="__RefHeading___Toc358_207241122">
            <w:r>
              <w:rPr>
                <w:rStyle w:val="IndexLink"/>
                <w:webHidden/>
              </w:rPr>
              <w:t>Background</w:t>
            </w:r>
            <w:r>
              <w:rPr>
                <w:rStyle w:val="IndexLink"/>
                <w:webHidden/>
              </w:rPr>
              <w:tab/>
              <w:t>4</w:t>
            </w:r>
          </w:hyperlink>
        </w:p>
        <w:p w14:paraId="00E72F71" w14:textId="77777777" w:rsidR="00615590" w:rsidRDefault="00615590">
          <w:pPr>
            <w:pStyle w:val="TOC1"/>
            <w:tabs>
              <w:tab w:val="clear" w:pos="9026"/>
              <w:tab w:val="right" w:leader="dot" w:pos="9025"/>
            </w:tabs>
          </w:pPr>
          <w:hyperlink w:anchor="__RefHeading___Toc360_207241122">
            <w:r>
              <w:rPr>
                <w:rStyle w:val="IndexLink"/>
                <w:webHidden/>
              </w:rPr>
              <w:t>Methods</w:t>
            </w:r>
            <w:r>
              <w:rPr>
                <w:rStyle w:val="IndexLink"/>
                <w:webHidden/>
              </w:rPr>
              <w:tab/>
              <w:t>6</w:t>
            </w:r>
          </w:hyperlink>
        </w:p>
        <w:p w14:paraId="4013A0B2" w14:textId="77777777" w:rsidR="00615590" w:rsidRDefault="00615590">
          <w:pPr>
            <w:pStyle w:val="TOC1"/>
            <w:tabs>
              <w:tab w:val="clear" w:pos="9026"/>
              <w:tab w:val="right" w:leader="dot" w:pos="9025"/>
            </w:tabs>
          </w:pPr>
          <w:hyperlink w:anchor="__RefHeading___Toc362_207241122">
            <w:r>
              <w:rPr>
                <w:rStyle w:val="IndexLink"/>
                <w:webHidden/>
              </w:rPr>
              <w:t>Results</w:t>
            </w:r>
            <w:r>
              <w:rPr>
                <w:rStyle w:val="IndexLink"/>
                <w:webHidden/>
              </w:rPr>
              <w:tab/>
              <w:t>9</w:t>
            </w:r>
          </w:hyperlink>
        </w:p>
        <w:p w14:paraId="4C08B1AB" w14:textId="77777777" w:rsidR="00615590" w:rsidRDefault="00615590">
          <w:pPr>
            <w:pStyle w:val="TOC1"/>
            <w:tabs>
              <w:tab w:val="clear" w:pos="9026"/>
              <w:tab w:val="right" w:leader="dot" w:pos="9025"/>
            </w:tabs>
          </w:pPr>
          <w:hyperlink w:anchor="__RefHeading___Toc364_207241122">
            <w:r>
              <w:rPr>
                <w:rStyle w:val="IndexLink"/>
                <w:webHidden/>
              </w:rPr>
              <w:t>Discussion</w:t>
            </w:r>
            <w:r>
              <w:rPr>
                <w:rStyle w:val="IndexLink"/>
                <w:webHidden/>
              </w:rPr>
              <w:tab/>
              <w:t>12</w:t>
            </w:r>
          </w:hyperlink>
        </w:p>
        <w:p w14:paraId="0494CCBC" w14:textId="77777777" w:rsidR="00615590" w:rsidRDefault="00615590">
          <w:pPr>
            <w:pStyle w:val="TOC1"/>
            <w:tabs>
              <w:tab w:val="clear" w:pos="9026"/>
              <w:tab w:val="right" w:leader="dot" w:pos="9025"/>
            </w:tabs>
          </w:pPr>
          <w:hyperlink w:anchor="__RefHeading___Toc366_207241122">
            <w:r>
              <w:rPr>
                <w:rStyle w:val="IndexLink"/>
                <w:webHidden/>
              </w:rPr>
              <w:t>6. Conclusion and Recommendations</w:t>
            </w:r>
            <w:r>
              <w:rPr>
                <w:rStyle w:val="IndexLink"/>
                <w:webHidden/>
              </w:rPr>
              <w:tab/>
              <w:t>15</w:t>
            </w:r>
          </w:hyperlink>
        </w:p>
        <w:p w14:paraId="5B7EF314" w14:textId="77777777" w:rsidR="00615590" w:rsidRDefault="00615590">
          <w:pPr>
            <w:pStyle w:val="TOC1"/>
            <w:tabs>
              <w:tab w:val="clear" w:pos="9026"/>
              <w:tab w:val="right" w:leader="dot" w:pos="9025"/>
            </w:tabs>
          </w:pPr>
          <w:hyperlink w:anchor="__RefHeading___Toc368_207241122">
            <w:r>
              <w:rPr>
                <w:rStyle w:val="IndexLink"/>
                <w:webHidden/>
              </w:rPr>
              <w:t>References</w:t>
            </w:r>
            <w:r>
              <w:rPr>
                <w:rStyle w:val="IndexLink"/>
                <w:webHidden/>
              </w:rPr>
              <w:tab/>
              <w:t>18</w:t>
            </w:r>
          </w:hyperlink>
          <w:r>
            <w:rPr>
              <w:rStyle w:val="IndexLink"/>
            </w:rPr>
            <w:fldChar w:fldCharType="end"/>
          </w:r>
        </w:p>
      </w:sdtContent>
    </w:sdt>
    <w:p w14:paraId="30403B9B" w14:textId="77777777" w:rsidR="00615590" w:rsidRDefault="00000000">
      <w:pPr>
        <w:spacing w:line="360" w:lineRule="auto"/>
      </w:pPr>
      <w:r>
        <w:rPr>
          <w:noProof/>
        </w:rPr>
        <mc:AlternateContent>
          <mc:Choice Requires="wps">
            <w:drawing>
              <wp:inline distT="0" distB="0" distL="0" distR="0" wp14:anchorId="419C5082" wp14:editId="24C96D9C">
                <wp:extent cx="5731510" cy="635"/>
                <wp:effectExtent l="0" t="0" r="0" b="0"/>
                <wp:docPr id="2" name="Rectangle 2"/>
                <wp:cNvGraphicFramePr/>
                <a:graphic xmlns:a="http://schemas.openxmlformats.org/drawingml/2006/main">
                  <a:graphicData uri="http://schemas.microsoft.com/office/word/2010/wordprocessingShape">
                    <wps:wsp>
                      <wps:cNvSpPr/>
                      <wps:spPr>
                        <a:xfrm>
                          <a:off x="0" y="0"/>
                          <a:ext cx="5731560" cy="720"/>
                        </a:xfrm>
                        <a:prstGeom prst="rect">
                          <a:avLst/>
                        </a:prstGeom>
                        <a:solidFill>
                          <a:srgbClr val="A0A0A0"/>
                        </a:solidFill>
                        <a:ln w="0">
                          <a:noFill/>
                        </a:ln>
                      </wps:spPr>
                      <wps:bodyPr/>
                    </wps:wsp>
                  </a:graphicData>
                </a:graphic>
              </wp:inline>
            </w:drawing>
          </mc:Choice>
          <mc:Fallback>
            <w:pict>
              <v:rect w14:anchorId="0A8CCFE9" id="Rectangle 2" o:spid="_x0000_s1026" style="width:451.3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zvHeTdgEAAOUCAAAOAAAAZHJzL2Uyb0RvYy54bWysUttO4zAQfUfiHyy/06RFXBQ1RQgEL2h3 JeADXMduLNkea8Y07d/v2EALu2+rVSTHczsz54yXN7vgxdYgOYi9nM9aKUzUMLi46eXry8PZtRSU VRyUh2h6uTckb1anJ8spdWYBI/jBoGCQSN2UejnmnLqmIT2aoGgGyUQOWsCgMpu4aQZUE6MH3yza 9rKZAIeEoA0Re+/fg3JV8a01Ov+0lkwWvpc8W64n1nNdzma1VN0GVRqd/hhD/cMUQbnITQ9Q9yor 8YbuL6jgNAKBzTMNoQFrnTaVA7OZt3+weR5VMpULi0PpIBP9P1j9Y/ucfiHLMCXqiK+Fxc5iKH+e T+yqWPuDWGaXhWbnxdX5/OKSNdUcu1pUKZtjaULKjwaCKJdeIm+iCqS2T5S5Had+ppROBN4ND877 auBmfedRbBVv7bYtX1kUl3xL81FMZaxSEqEUvyf5yLlHOuW2hmFfWVY/a1nRPvZelvXVrtXH17n6 DQAA//8DAFBLAwQUAAYACAAAACEASFedaNwAAAAHAQAADwAAAGRycy9kb3ducmV2LnhtbEyPQU/D MAyF70j8h8hI3Fi6SVTQNZ0mEIgDEqyDe9qYpqJxqiTbOn49HpdxeZL17OfvlavJDWKPIfaeFMxn GQik1pueOgUf26ebOxAxaTJ68IQKjhhhVV1elLow/kAb3NepExxCsdAKbEpjIWVsLTodZ35EYu/L B6cTj6GTJugDh7tBLrIsl073xB+sHvHBYvtd75yCQM2xy5/xtl5/2reX+fvrdvMTlbq+mh6XLOsl iIRTOl/AqQPzQ8Vgjd+RiWJQwG3Sn7J3ny1yEM1pSVal/M9f/QIAAP//AwBQSwECLQAUAAYACAAA ACEAtoM4kv4AAADhAQAAEwAAAAAAAAAAAAAAAAAAAAAAW0NvbnRlbnRfVHlwZXNdLnhtbFBLAQIt ABQABgAIAAAAIQA4/SH/1gAAAJQBAAALAAAAAAAAAAAAAAAAAC8BAABfcmVscy8ucmVsc1BLAQIt ABQABgAIAAAAIQAzvHeTdgEAAOUCAAAOAAAAAAAAAAAAAAAAAC4CAABkcnMvZTJvRG9jLnhtbFBL AQItABQABgAIAAAAIQBIV51o3AAAAAcBAAAPAAAAAAAAAAAAAAAAANADAABkcnMvZG93bnJldi54 bWxQSwUGAAAAAAQABADzAAAA2QQAAAAA " fillcolor="#a0a0a0" stroked="f" strokeweight="0">
                <w10:anchorlock/>
              </v:rect>
            </w:pict>
          </mc:Fallback>
        </mc:AlternateContent>
      </w:r>
    </w:p>
    <w:p w14:paraId="3731DB3C" w14:textId="77777777" w:rsidR="00616EDB" w:rsidRDefault="00616EDB">
      <w:pPr>
        <w:pStyle w:val="NormalWeb"/>
        <w:spacing w:before="280" w:after="280" w:line="360" w:lineRule="auto"/>
        <w:rPr>
          <w:rFonts w:ascii="Arial" w:eastAsia="Arial" w:hAnsi="Arial" w:cs="Arial"/>
          <w:b/>
          <w:color w:val="000000"/>
          <w:sz w:val="28"/>
        </w:rPr>
      </w:pPr>
    </w:p>
    <w:p w14:paraId="1E1036A5" w14:textId="77777777" w:rsidR="00616EDB" w:rsidRDefault="00616EDB">
      <w:pPr>
        <w:pStyle w:val="NormalWeb"/>
        <w:spacing w:before="280" w:after="280" w:line="360" w:lineRule="auto"/>
        <w:rPr>
          <w:rFonts w:ascii="Arial" w:eastAsia="Arial" w:hAnsi="Arial" w:cs="Arial"/>
          <w:b/>
          <w:color w:val="000000"/>
          <w:sz w:val="28"/>
        </w:rPr>
      </w:pPr>
    </w:p>
    <w:p w14:paraId="655318D2" w14:textId="77777777" w:rsidR="00616EDB" w:rsidRDefault="00616EDB">
      <w:pPr>
        <w:pStyle w:val="NormalWeb"/>
        <w:spacing w:before="280" w:after="280" w:line="360" w:lineRule="auto"/>
        <w:rPr>
          <w:rFonts w:ascii="Arial" w:eastAsia="Arial" w:hAnsi="Arial" w:cs="Arial"/>
          <w:b/>
          <w:color w:val="000000"/>
          <w:sz w:val="28"/>
        </w:rPr>
      </w:pPr>
    </w:p>
    <w:p w14:paraId="61F92FDC" w14:textId="77777777" w:rsidR="00616EDB" w:rsidRDefault="00616EDB">
      <w:pPr>
        <w:pStyle w:val="NormalWeb"/>
        <w:spacing w:before="280" w:after="280" w:line="360" w:lineRule="auto"/>
        <w:rPr>
          <w:rFonts w:ascii="Arial" w:eastAsia="Arial" w:hAnsi="Arial" w:cs="Arial"/>
          <w:b/>
          <w:color w:val="000000"/>
          <w:sz w:val="28"/>
        </w:rPr>
      </w:pPr>
    </w:p>
    <w:p w14:paraId="3EE88A99" w14:textId="77777777" w:rsidR="00616EDB" w:rsidRDefault="00616EDB">
      <w:pPr>
        <w:pStyle w:val="NormalWeb"/>
        <w:spacing w:before="280" w:after="280" w:line="360" w:lineRule="auto"/>
        <w:rPr>
          <w:rFonts w:ascii="Arial" w:eastAsia="Arial" w:hAnsi="Arial" w:cs="Arial"/>
          <w:b/>
          <w:color w:val="000000"/>
          <w:sz w:val="28"/>
        </w:rPr>
      </w:pPr>
    </w:p>
    <w:p w14:paraId="4BEC4AA2" w14:textId="77777777" w:rsidR="00616EDB" w:rsidRDefault="00616EDB">
      <w:pPr>
        <w:pStyle w:val="NormalWeb"/>
        <w:spacing w:before="280" w:after="280" w:line="360" w:lineRule="auto"/>
        <w:rPr>
          <w:rFonts w:ascii="Arial" w:eastAsia="Arial" w:hAnsi="Arial" w:cs="Arial"/>
          <w:b/>
          <w:color w:val="000000"/>
          <w:sz w:val="28"/>
        </w:rPr>
      </w:pPr>
    </w:p>
    <w:p w14:paraId="426BF0DE" w14:textId="77777777" w:rsidR="00616EDB" w:rsidRDefault="00616EDB">
      <w:pPr>
        <w:pStyle w:val="NormalWeb"/>
        <w:spacing w:before="280" w:after="280" w:line="360" w:lineRule="auto"/>
        <w:rPr>
          <w:rFonts w:ascii="Arial" w:eastAsia="Arial" w:hAnsi="Arial" w:cs="Arial"/>
          <w:b/>
          <w:color w:val="000000"/>
          <w:sz w:val="28"/>
        </w:rPr>
      </w:pPr>
    </w:p>
    <w:p w14:paraId="3752C4F7" w14:textId="77777777" w:rsidR="00616EDB" w:rsidRDefault="00616EDB">
      <w:pPr>
        <w:pStyle w:val="NormalWeb"/>
        <w:spacing w:before="280" w:after="280" w:line="360" w:lineRule="auto"/>
        <w:rPr>
          <w:rFonts w:ascii="Arial" w:eastAsia="Arial" w:hAnsi="Arial" w:cs="Arial"/>
          <w:b/>
          <w:color w:val="000000"/>
          <w:sz w:val="28"/>
        </w:rPr>
      </w:pPr>
    </w:p>
    <w:p w14:paraId="2A8156EB" w14:textId="77777777" w:rsidR="00616EDB" w:rsidRDefault="00616EDB">
      <w:pPr>
        <w:pStyle w:val="NormalWeb"/>
        <w:spacing w:before="280" w:after="280" w:line="360" w:lineRule="auto"/>
        <w:rPr>
          <w:rFonts w:ascii="Arial" w:eastAsia="Arial" w:hAnsi="Arial" w:cs="Arial"/>
          <w:b/>
          <w:color w:val="000000"/>
          <w:sz w:val="28"/>
        </w:rPr>
      </w:pPr>
    </w:p>
    <w:p w14:paraId="224FB0FC" w14:textId="77777777" w:rsidR="00616EDB" w:rsidRDefault="00616EDB">
      <w:pPr>
        <w:pStyle w:val="NormalWeb"/>
        <w:spacing w:before="280" w:after="280" w:line="360" w:lineRule="auto"/>
        <w:rPr>
          <w:rFonts w:ascii="Arial" w:eastAsia="Arial" w:hAnsi="Arial" w:cs="Arial"/>
          <w:b/>
          <w:color w:val="000000"/>
          <w:sz w:val="28"/>
        </w:rPr>
      </w:pPr>
    </w:p>
    <w:p w14:paraId="1090D737" w14:textId="77777777" w:rsidR="00616EDB" w:rsidRDefault="00616EDB">
      <w:pPr>
        <w:pStyle w:val="NormalWeb"/>
        <w:spacing w:before="280" w:after="280" w:line="360" w:lineRule="auto"/>
        <w:rPr>
          <w:rFonts w:ascii="Arial" w:eastAsia="Arial" w:hAnsi="Arial" w:cs="Arial"/>
          <w:b/>
          <w:color w:val="000000"/>
          <w:sz w:val="28"/>
        </w:rPr>
      </w:pPr>
    </w:p>
    <w:p w14:paraId="2B3B6E05" w14:textId="66456DC4" w:rsidR="00615590" w:rsidRDefault="00000000">
      <w:pPr>
        <w:pStyle w:val="NormalWeb"/>
        <w:spacing w:before="280" w:after="280" w:line="360" w:lineRule="auto"/>
        <w:rPr>
          <w:color w:val="000000"/>
        </w:rPr>
      </w:pPr>
      <w:r>
        <w:rPr>
          <w:rFonts w:ascii="Arial" w:eastAsia="Arial" w:hAnsi="Arial" w:cs="Arial"/>
          <w:b/>
          <w:color w:val="000000"/>
          <w:sz w:val="28"/>
        </w:rPr>
        <w:lastRenderedPageBreak/>
        <w:t>Topic: The causes and impact of medication errors in UK care homes</w:t>
      </w:r>
    </w:p>
    <w:p w14:paraId="21F87EF3" w14:textId="77777777" w:rsidR="00615590" w:rsidRDefault="00000000">
      <w:pPr>
        <w:pStyle w:val="NormalWeb"/>
        <w:spacing w:before="280" w:after="280" w:line="360" w:lineRule="auto"/>
        <w:rPr>
          <w:color w:val="000000"/>
        </w:rPr>
      </w:pPr>
      <w:r>
        <w:rPr>
          <w:rFonts w:ascii="Arial" w:eastAsia="Arial" w:hAnsi="Arial" w:cs="Arial"/>
          <w:b/>
          <w:color w:val="000000"/>
          <w:sz w:val="28"/>
        </w:rPr>
        <w:t>Abstract</w:t>
      </w:r>
    </w:p>
    <w:p w14:paraId="552AEE8B" w14:textId="0EB8E026" w:rsidR="00615590" w:rsidRPr="006B6676" w:rsidRDefault="00000000">
      <w:pPr>
        <w:pStyle w:val="NormalWeb"/>
        <w:spacing w:before="280" w:after="280" w:line="360" w:lineRule="auto"/>
        <w:rPr>
          <w:rFonts w:ascii="Arial" w:hAnsi="Arial" w:cs="Arial"/>
          <w:color w:val="000000"/>
          <w:sz w:val="22"/>
          <w:szCs w:val="22"/>
        </w:rPr>
      </w:pPr>
      <w:r>
        <w:rPr>
          <w:rFonts w:ascii="Arial" w:eastAsia="Arial" w:hAnsi="Arial" w:cs="Arial"/>
          <w:color w:val="000000"/>
          <w:sz w:val="22"/>
        </w:rPr>
        <w:t xml:space="preserve">Medication errors remain a significant patient-safety concern in UK care homes, where residents often live with multiple long-term conditions and complex medication regimens. The primary causes of medication mistakes in UK care facilities and their impact on patient safety were investigated in this scoping research. Using internet databases such as PubMed, Google Scholar, Sage Journals, CINAHL, and ScienceDirect, five peer-reviewed articles published between 2009 and 2024 were found and subjected to thematic analysis. Staffing shortages and workload demands, training and competency, communication breakdowns, inaccuracies in paperwork and MAR charts, and digital medication systems were the five main themes that surfaced. Staff concentration was lowered by understaffing and hurried medication rounds, and danger was further exacerbated by uneven training and inadequate interdisciplinary communication. </w:t>
      </w:r>
      <w:r>
        <w:rPr>
          <w:rFonts w:ascii="Arial" w:hAnsi="Arial" w:cs="Arial"/>
          <w:color w:val="000000"/>
          <w:sz w:val="22"/>
          <w:szCs w:val="22"/>
        </w:rPr>
        <w:t>While electronic MAR systems showed promise in enhancing accountability, technological obstacles remained. Documentation flaws, especially incomplete MAR charts, raised safeguarding concerns. The results show that rather than being the result of single individual errors, pharmaceutical errors usually result from a combination of organisational and human variables, which is consistent with the Swiss Cheese Model and Human variables Theory. Along with more research into staffing ratios, the efficacy of electronic MAR, and staff experiences with medication administration, the review suggests increased staffing levels, improved training, better communication systems, frequent medication audits, and ongoing investment in digital medication systems.</w:t>
      </w:r>
    </w:p>
    <w:p w14:paraId="6B0E2229" w14:textId="1341068C" w:rsidR="00615590" w:rsidRDefault="00615590">
      <w:pPr>
        <w:spacing w:line="360" w:lineRule="auto"/>
      </w:pPr>
    </w:p>
    <w:p w14:paraId="68CB20F7" w14:textId="77777777" w:rsidR="00616EDB" w:rsidRDefault="00616EDB">
      <w:pPr>
        <w:pStyle w:val="Heading1"/>
        <w:spacing w:line="360" w:lineRule="auto"/>
        <w:rPr>
          <w:rFonts w:ascii="Arial" w:eastAsia="Arial" w:hAnsi="Arial" w:cs="Arial"/>
          <w:b/>
          <w:color w:val="000000"/>
          <w:sz w:val="28"/>
        </w:rPr>
      </w:pPr>
      <w:bookmarkStart w:id="0" w:name="__RefHeading___Toc356_207241122"/>
      <w:bookmarkEnd w:id="0"/>
    </w:p>
    <w:p w14:paraId="034C4325" w14:textId="77777777" w:rsidR="00616EDB" w:rsidRDefault="00616EDB">
      <w:pPr>
        <w:pStyle w:val="Heading1"/>
        <w:spacing w:line="360" w:lineRule="auto"/>
        <w:rPr>
          <w:rFonts w:ascii="Arial" w:eastAsia="Arial" w:hAnsi="Arial" w:cs="Arial"/>
          <w:b/>
          <w:color w:val="000000"/>
          <w:sz w:val="28"/>
        </w:rPr>
      </w:pPr>
    </w:p>
    <w:p w14:paraId="595E571E" w14:textId="77777777" w:rsidR="00616EDB" w:rsidRDefault="00616EDB">
      <w:pPr>
        <w:pStyle w:val="Heading1"/>
        <w:spacing w:line="360" w:lineRule="auto"/>
        <w:rPr>
          <w:rFonts w:ascii="Arial" w:eastAsia="Arial" w:hAnsi="Arial" w:cs="Arial"/>
          <w:b/>
          <w:color w:val="000000"/>
          <w:sz w:val="28"/>
        </w:rPr>
      </w:pPr>
    </w:p>
    <w:p w14:paraId="18416CAB" w14:textId="10850004" w:rsidR="00615590" w:rsidRDefault="00000000">
      <w:pPr>
        <w:pStyle w:val="Heading1"/>
        <w:spacing w:line="360" w:lineRule="auto"/>
        <w:rPr>
          <w:color w:val="000000"/>
        </w:rPr>
      </w:pPr>
      <w:r>
        <w:rPr>
          <w:rFonts w:ascii="Arial" w:eastAsia="Arial" w:hAnsi="Arial" w:cs="Arial"/>
          <w:b/>
          <w:color w:val="000000"/>
          <w:sz w:val="28"/>
        </w:rPr>
        <w:t>Introduction</w:t>
      </w:r>
    </w:p>
    <w:p w14:paraId="20F293A5" w14:textId="77777777" w:rsidR="00615590" w:rsidRDefault="00000000">
      <w:pPr>
        <w:pStyle w:val="NormalWeb"/>
        <w:spacing w:before="280" w:after="280" w:line="360" w:lineRule="auto"/>
        <w:rPr>
          <w:color w:val="000000"/>
        </w:rPr>
      </w:pPr>
      <w:r>
        <w:rPr>
          <w:rFonts w:ascii="Arial" w:eastAsia="Arial" w:hAnsi="Arial" w:cs="Arial"/>
          <w:color w:val="000000"/>
          <w:sz w:val="22"/>
        </w:rPr>
        <w:t>Medication errors continue to represent a major challenge within health and social care services, particularly in care homes where residents are often older adults living with multiple physical and mental-health conditions. Medication administration is a daily responsibility in residential settings and usually involves a combination of carers, nurses, pharmacists, GPs and managers. Because many residents receive numerous medications at the same time, the risk of mistakes such as missed doses, incorrect administration, poor documentation or delayed medication increases significantly.</w:t>
      </w:r>
    </w:p>
    <w:p w14:paraId="1516EB46" w14:textId="77777777" w:rsidR="00615590" w:rsidRDefault="00000000">
      <w:pPr>
        <w:pStyle w:val="NormalWeb"/>
        <w:spacing w:before="280" w:after="280" w:line="360" w:lineRule="auto"/>
        <w:rPr>
          <w:color w:val="000000"/>
        </w:rPr>
      </w:pPr>
      <w:r>
        <w:rPr>
          <w:rFonts w:ascii="Arial" w:eastAsia="Arial" w:hAnsi="Arial" w:cs="Arial"/>
          <w:color w:val="000000"/>
          <w:sz w:val="22"/>
        </w:rPr>
        <w:t>The World Health Organization (WHO, 2021) identifies medication-related harm as one of the leading causes of preventable patient harm globally. Within the United Kingdom, medication management has become an important focus for regulators such as the Care Quality Commission (CQC) because medication errors may lead to hospital admissions, deterioration in health, safeguarding concerns and reduced quality of life for residents.</w:t>
      </w:r>
    </w:p>
    <w:p w14:paraId="2B4C971A" w14:textId="77777777" w:rsidR="00615590" w:rsidRDefault="00000000">
      <w:pPr>
        <w:pStyle w:val="NormalWeb"/>
        <w:spacing w:before="280" w:after="280" w:line="360" w:lineRule="auto"/>
        <w:rPr>
          <w:color w:val="000000"/>
        </w:rPr>
      </w:pPr>
      <w:r>
        <w:rPr>
          <w:rFonts w:ascii="Arial" w:eastAsia="Arial" w:hAnsi="Arial" w:cs="Arial"/>
          <w:color w:val="000000"/>
          <w:sz w:val="22"/>
        </w:rPr>
        <w:t>Care-home residents are particularly vulnerable because many experience dementia, limited mobility, sensory impairments or cognitive decline. These factors may reduce their ability to recognise or report medication mistakes independently. In addition, care homes often operate under staffing pressures and high workloads, increasing the possibility of human error.</w:t>
      </w:r>
    </w:p>
    <w:p w14:paraId="344D7C8A" w14:textId="77777777" w:rsidR="00615590" w:rsidRDefault="00000000">
      <w:pPr>
        <w:pStyle w:val="NormalWeb"/>
        <w:spacing w:before="280" w:after="280" w:line="360" w:lineRule="auto"/>
        <w:rPr>
          <w:rFonts w:ascii="Arial" w:eastAsia="Arial" w:hAnsi="Arial" w:cs="Arial"/>
          <w:color w:val="000000"/>
          <w:sz w:val="22"/>
        </w:rPr>
      </w:pPr>
      <w:r>
        <w:rPr>
          <w:rFonts w:ascii="Arial" w:eastAsia="Arial" w:hAnsi="Arial" w:cs="Arial"/>
          <w:color w:val="000000"/>
          <w:sz w:val="22"/>
        </w:rPr>
        <w:t>Research has suggested that medication errors in care homes are linked to several factors including inadequate staff training, interruptions during medication rounds, communication failures and inaccurate documentation systems (Elliott et al., 2021). Errors may occur during prescribing, dispensing, administration or monitoring stages.</w:t>
      </w:r>
    </w:p>
    <w:p w14:paraId="11D347D4" w14:textId="77777777" w:rsidR="00616EDB" w:rsidRDefault="00616EDB">
      <w:pPr>
        <w:pStyle w:val="NormalWeb"/>
        <w:spacing w:before="280" w:after="280" w:line="360" w:lineRule="auto"/>
        <w:rPr>
          <w:rFonts w:ascii="Arial" w:eastAsia="Arial" w:hAnsi="Arial" w:cs="Arial"/>
          <w:color w:val="000000"/>
          <w:sz w:val="22"/>
        </w:rPr>
      </w:pPr>
    </w:p>
    <w:p w14:paraId="20591FEB" w14:textId="77777777" w:rsidR="00616EDB" w:rsidRDefault="00616EDB">
      <w:pPr>
        <w:pStyle w:val="NormalWeb"/>
        <w:spacing w:before="280" w:after="280" w:line="360" w:lineRule="auto"/>
        <w:rPr>
          <w:color w:val="000000"/>
        </w:rPr>
      </w:pPr>
    </w:p>
    <w:p w14:paraId="1BAF8789" w14:textId="77777777" w:rsidR="00615590" w:rsidRDefault="00000000">
      <w:pPr>
        <w:pStyle w:val="NormalWeb"/>
        <w:spacing w:before="280" w:after="280" w:line="360" w:lineRule="auto"/>
        <w:rPr>
          <w:color w:val="000000"/>
        </w:rPr>
      </w:pPr>
      <w:r>
        <w:rPr>
          <w:rFonts w:ascii="Arial" w:eastAsia="Arial" w:hAnsi="Arial" w:cs="Arial"/>
          <w:color w:val="000000"/>
          <w:sz w:val="22"/>
        </w:rPr>
        <w:lastRenderedPageBreak/>
        <w:t>The review question guiding this scoping review is:</w:t>
      </w:r>
    </w:p>
    <w:p w14:paraId="37EF5E99" w14:textId="77777777" w:rsidR="00615590" w:rsidRDefault="00000000">
      <w:pPr>
        <w:pStyle w:val="NormalWeb"/>
        <w:spacing w:before="280" w:after="280" w:line="360" w:lineRule="auto"/>
        <w:rPr>
          <w:color w:val="000000"/>
        </w:rPr>
      </w:pPr>
      <w:r>
        <w:rPr>
          <w:rStyle w:val="Strong"/>
          <w:rFonts w:ascii="Arial" w:eastAsia="Arial" w:hAnsi="Arial" w:cs="Arial"/>
          <w:color w:val="000000"/>
          <w:sz w:val="22"/>
        </w:rPr>
        <w:t>“What are the main causes of medication errors in UK care homes and how do they affect patient safety?”</w:t>
      </w:r>
    </w:p>
    <w:p w14:paraId="750CE686" w14:textId="77777777" w:rsidR="00615590" w:rsidRDefault="00000000">
      <w:pPr>
        <w:pStyle w:val="NormalWeb"/>
        <w:spacing w:before="280" w:after="280" w:line="360" w:lineRule="auto"/>
        <w:rPr>
          <w:color w:val="000000"/>
        </w:rPr>
      </w:pPr>
      <w:r>
        <w:rPr>
          <w:rFonts w:ascii="Arial" w:eastAsia="Arial" w:hAnsi="Arial" w:cs="Arial"/>
          <w:color w:val="000000"/>
          <w:sz w:val="22"/>
        </w:rPr>
        <w:t>The objectives of this scoping review are:</w:t>
      </w:r>
    </w:p>
    <w:p w14:paraId="0AF4A5CF" w14:textId="77777777" w:rsidR="00615590" w:rsidRDefault="00000000">
      <w:pPr>
        <w:pStyle w:val="NormalWeb"/>
        <w:numPr>
          <w:ilvl w:val="0"/>
          <w:numId w:val="1"/>
        </w:numPr>
        <w:spacing w:before="280" w:after="0" w:line="360" w:lineRule="auto"/>
        <w:rPr>
          <w:color w:val="000000"/>
        </w:rPr>
      </w:pPr>
      <w:r>
        <w:rPr>
          <w:rFonts w:ascii="Arial" w:eastAsia="Arial" w:hAnsi="Arial" w:cs="Arial"/>
          <w:color w:val="000000"/>
          <w:sz w:val="22"/>
        </w:rPr>
        <w:t>To identify the most common causes of medication errors in UK care homes.</w:t>
      </w:r>
    </w:p>
    <w:p w14:paraId="6689A4E1" w14:textId="77777777" w:rsidR="00615590" w:rsidRDefault="00000000">
      <w:pPr>
        <w:pStyle w:val="NormalWeb"/>
        <w:numPr>
          <w:ilvl w:val="0"/>
          <w:numId w:val="1"/>
        </w:numPr>
        <w:spacing w:after="0" w:line="360" w:lineRule="auto"/>
        <w:rPr>
          <w:color w:val="000000"/>
        </w:rPr>
      </w:pPr>
      <w:r>
        <w:rPr>
          <w:rFonts w:ascii="Arial" w:eastAsia="Arial" w:hAnsi="Arial" w:cs="Arial"/>
          <w:color w:val="000000"/>
          <w:sz w:val="22"/>
        </w:rPr>
        <w:t>To examine how medication errors affect resident safety and wellbeing.</w:t>
      </w:r>
    </w:p>
    <w:p w14:paraId="49872BCC" w14:textId="77777777" w:rsidR="00615590" w:rsidRDefault="00000000">
      <w:pPr>
        <w:pStyle w:val="NormalWeb"/>
        <w:numPr>
          <w:ilvl w:val="0"/>
          <w:numId w:val="1"/>
        </w:numPr>
        <w:spacing w:after="0" w:line="360" w:lineRule="auto"/>
        <w:rPr>
          <w:color w:val="000000"/>
        </w:rPr>
      </w:pPr>
      <w:r>
        <w:rPr>
          <w:rFonts w:ascii="Arial" w:eastAsia="Arial" w:hAnsi="Arial" w:cs="Arial"/>
          <w:color w:val="000000"/>
          <w:sz w:val="22"/>
        </w:rPr>
        <w:t>To explore strategies that may reduce medication errors within residential care settings.</w:t>
      </w:r>
    </w:p>
    <w:p w14:paraId="61A805B4" w14:textId="77777777" w:rsidR="00615590" w:rsidRDefault="00000000">
      <w:pPr>
        <w:pStyle w:val="NormalWeb"/>
        <w:numPr>
          <w:ilvl w:val="0"/>
          <w:numId w:val="1"/>
        </w:numPr>
        <w:spacing w:after="280" w:line="360" w:lineRule="auto"/>
        <w:rPr>
          <w:color w:val="000000"/>
        </w:rPr>
      </w:pPr>
      <w:r>
        <w:rPr>
          <w:rFonts w:ascii="Arial" w:eastAsia="Arial" w:hAnsi="Arial" w:cs="Arial"/>
          <w:color w:val="000000"/>
          <w:sz w:val="22"/>
        </w:rPr>
        <w:t>To critically evaluate findings from peer-reviewed research studies related to medication safety in UK care homes.</w:t>
      </w:r>
    </w:p>
    <w:p w14:paraId="05EFA702" w14:textId="77777777" w:rsidR="00615590" w:rsidRDefault="00000000">
      <w:pPr>
        <w:pStyle w:val="NormalWeb"/>
        <w:spacing w:before="280" w:after="280" w:line="360" w:lineRule="auto"/>
        <w:rPr>
          <w:color w:val="000000"/>
        </w:rPr>
      </w:pPr>
      <w:r>
        <w:rPr>
          <w:rFonts w:ascii="Arial" w:eastAsia="Arial" w:hAnsi="Arial" w:cs="Arial"/>
          <w:color w:val="000000"/>
          <w:sz w:val="22"/>
        </w:rPr>
        <w:t>This topic was selected because medication administration forms a major part of everyday practice within residential care settings. Understanding the causes of medication errors may contribute to safer practice, improved staff training and better outcomes for vulnerable residents.</w:t>
      </w:r>
    </w:p>
    <w:p w14:paraId="55E69852" w14:textId="162A436E" w:rsidR="00615590" w:rsidRDefault="00615590">
      <w:pPr>
        <w:spacing w:line="360" w:lineRule="auto"/>
      </w:pPr>
    </w:p>
    <w:p w14:paraId="4B1C9F5B" w14:textId="77777777" w:rsidR="00616EDB" w:rsidRDefault="00616EDB">
      <w:pPr>
        <w:pStyle w:val="Heading1"/>
        <w:spacing w:line="360" w:lineRule="auto"/>
        <w:rPr>
          <w:rFonts w:ascii="Arial" w:eastAsia="Arial" w:hAnsi="Arial" w:cs="Arial"/>
          <w:b/>
          <w:color w:val="000000"/>
          <w:sz w:val="28"/>
        </w:rPr>
      </w:pPr>
      <w:bookmarkStart w:id="1" w:name="__RefHeading___Toc358_207241122"/>
      <w:bookmarkEnd w:id="1"/>
    </w:p>
    <w:p w14:paraId="200375DB" w14:textId="77777777" w:rsidR="00616EDB" w:rsidRDefault="00616EDB">
      <w:pPr>
        <w:pStyle w:val="Heading1"/>
        <w:spacing w:line="360" w:lineRule="auto"/>
        <w:rPr>
          <w:rFonts w:ascii="Arial" w:eastAsia="Arial" w:hAnsi="Arial" w:cs="Arial"/>
          <w:b/>
          <w:color w:val="000000"/>
          <w:sz w:val="28"/>
        </w:rPr>
      </w:pPr>
    </w:p>
    <w:p w14:paraId="39C05E2C" w14:textId="77777777" w:rsidR="00616EDB" w:rsidRDefault="00616EDB">
      <w:pPr>
        <w:pStyle w:val="Heading1"/>
        <w:spacing w:line="360" w:lineRule="auto"/>
        <w:rPr>
          <w:rFonts w:ascii="Arial" w:eastAsia="Arial" w:hAnsi="Arial" w:cs="Arial"/>
          <w:b/>
          <w:color w:val="000000"/>
          <w:sz w:val="28"/>
        </w:rPr>
      </w:pPr>
    </w:p>
    <w:p w14:paraId="52053BBF" w14:textId="77777777" w:rsidR="00616EDB" w:rsidRDefault="00616EDB">
      <w:pPr>
        <w:pStyle w:val="Heading1"/>
        <w:spacing w:line="360" w:lineRule="auto"/>
        <w:rPr>
          <w:rFonts w:ascii="Arial" w:eastAsia="Arial" w:hAnsi="Arial" w:cs="Arial"/>
          <w:b/>
          <w:color w:val="000000"/>
          <w:sz w:val="28"/>
        </w:rPr>
      </w:pPr>
    </w:p>
    <w:p w14:paraId="6C6740F8" w14:textId="77777777" w:rsidR="00616EDB" w:rsidRDefault="00616EDB">
      <w:pPr>
        <w:pStyle w:val="Heading1"/>
        <w:spacing w:line="360" w:lineRule="auto"/>
        <w:rPr>
          <w:rFonts w:ascii="Arial" w:eastAsia="Arial" w:hAnsi="Arial" w:cs="Arial"/>
          <w:b/>
          <w:color w:val="000000"/>
          <w:sz w:val="28"/>
        </w:rPr>
      </w:pPr>
    </w:p>
    <w:p w14:paraId="59ACF57B" w14:textId="77777777" w:rsidR="00616EDB" w:rsidRDefault="00616EDB">
      <w:pPr>
        <w:pStyle w:val="NormalWeb"/>
        <w:spacing w:before="280" w:after="280" w:line="360" w:lineRule="auto"/>
        <w:rPr>
          <w:rFonts w:ascii="Arial" w:eastAsia="Arial" w:hAnsi="Arial" w:cs="Arial"/>
          <w:color w:val="000000"/>
          <w:sz w:val="22"/>
        </w:rPr>
      </w:pPr>
    </w:p>
    <w:p w14:paraId="020BC6A1" w14:textId="77777777" w:rsidR="00616EDB" w:rsidRDefault="00616EDB" w:rsidP="00616EDB">
      <w:pPr>
        <w:pStyle w:val="Heading1"/>
        <w:spacing w:line="360" w:lineRule="auto"/>
        <w:rPr>
          <w:color w:val="000000"/>
        </w:rPr>
      </w:pPr>
      <w:r>
        <w:rPr>
          <w:rFonts w:ascii="Arial" w:eastAsia="Arial" w:hAnsi="Arial" w:cs="Arial"/>
          <w:b/>
          <w:color w:val="000000"/>
          <w:sz w:val="28"/>
        </w:rPr>
        <w:lastRenderedPageBreak/>
        <w:t>Background</w:t>
      </w:r>
    </w:p>
    <w:p w14:paraId="46D22041" w14:textId="6E51F83C" w:rsidR="00615590" w:rsidRDefault="00000000">
      <w:pPr>
        <w:pStyle w:val="NormalWeb"/>
        <w:spacing w:before="280" w:after="280" w:line="360" w:lineRule="auto"/>
        <w:rPr>
          <w:color w:val="000000"/>
        </w:rPr>
      </w:pPr>
      <w:r>
        <w:rPr>
          <w:rFonts w:ascii="Arial" w:eastAsia="Arial" w:hAnsi="Arial" w:cs="Arial"/>
          <w:color w:val="000000"/>
          <w:sz w:val="22"/>
        </w:rPr>
        <w:t>Medication management in UK care homes is a complex process requiring coordination between different healthcare professionals and care staff. Residents in care homes frequently experience long-term conditions such as diabetes, dementia, cardiovascular disease, epilepsy and mental-health disorders. As a result, many residents receive multiple medicines every day.</w:t>
      </w:r>
    </w:p>
    <w:p w14:paraId="062C4086" w14:textId="77777777" w:rsidR="00615590" w:rsidRDefault="00000000">
      <w:pPr>
        <w:pStyle w:val="NormalWeb"/>
        <w:spacing w:before="280" w:after="280" w:line="360" w:lineRule="auto"/>
        <w:rPr>
          <w:color w:val="000000"/>
        </w:rPr>
      </w:pPr>
      <w:r>
        <w:rPr>
          <w:rFonts w:ascii="Arial" w:eastAsia="Arial" w:hAnsi="Arial" w:cs="Arial"/>
          <w:color w:val="000000"/>
          <w:sz w:val="22"/>
        </w:rPr>
        <w:t>Polypharmacy, which refers to the use of several medications by one individual, has become increasingly common among older adults. According to the WHO (2021), polypharmacy significantly increases the risk of medication-related harm because complex medication regimens create additional opportunities for prescribing and administration mistakes.</w:t>
      </w:r>
    </w:p>
    <w:p w14:paraId="6AB3FF29" w14:textId="119F9740" w:rsidR="00615590" w:rsidRDefault="00000000">
      <w:pPr>
        <w:pStyle w:val="NormalWeb"/>
        <w:spacing w:before="280" w:after="280" w:line="360" w:lineRule="auto"/>
        <w:rPr>
          <w:color w:val="000000"/>
        </w:rPr>
      </w:pPr>
      <w:r>
        <w:rPr>
          <w:rFonts w:ascii="Arial" w:eastAsia="Arial" w:hAnsi="Arial" w:cs="Arial"/>
          <w:color w:val="000000"/>
          <w:sz w:val="22"/>
        </w:rPr>
        <w:t>Within the UK, medicines management in care homes is regulated through legislation, professional guidance and inspection frameworks. Providers are required to ensure that care and treatment are delivered safely (Health and Social Care Act</w:t>
      </w:r>
      <w:r w:rsidR="00B406D0">
        <w:rPr>
          <w:rFonts w:ascii="Arial" w:eastAsia="Arial" w:hAnsi="Arial" w:cs="Arial"/>
          <w:color w:val="000000"/>
          <w:sz w:val="22"/>
        </w:rPr>
        <w:t>,</w:t>
      </w:r>
      <w:r>
        <w:rPr>
          <w:rFonts w:ascii="Arial" w:eastAsia="Arial" w:hAnsi="Arial" w:cs="Arial"/>
          <w:color w:val="000000"/>
          <w:sz w:val="22"/>
        </w:rPr>
        <w:t xml:space="preserve"> 2008). Care providers must also comply with wider legislation governing the handling and control of medicines (Medicines Act</w:t>
      </w:r>
      <w:r w:rsidR="00B406D0">
        <w:rPr>
          <w:rFonts w:ascii="Arial" w:eastAsia="Arial" w:hAnsi="Arial" w:cs="Arial"/>
          <w:color w:val="000000"/>
          <w:sz w:val="22"/>
        </w:rPr>
        <w:t>,</w:t>
      </w:r>
      <w:r>
        <w:rPr>
          <w:rFonts w:ascii="Arial" w:eastAsia="Arial" w:hAnsi="Arial" w:cs="Arial"/>
          <w:color w:val="000000"/>
          <w:sz w:val="22"/>
        </w:rPr>
        <w:t xml:space="preserve"> 1968; Misuse of Drugs Act</w:t>
      </w:r>
      <w:r w:rsidR="00B406D0">
        <w:rPr>
          <w:rFonts w:ascii="Arial" w:eastAsia="Arial" w:hAnsi="Arial" w:cs="Arial"/>
          <w:color w:val="000000"/>
          <w:sz w:val="22"/>
        </w:rPr>
        <w:t>,</w:t>
      </w:r>
      <w:r>
        <w:rPr>
          <w:rFonts w:ascii="Arial" w:eastAsia="Arial" w:hAnsi="Arial" w:cs="Arial"/>
          <w:color w:val="000000"/>
          <w:sz w:val="22"/>
        </w:rPr>
        <w:t xml:space="preserve"> 1971).</w:t>
      </w:r>
    </w:p>
    <w:p w14:paraId="1650C7BA" w14:textId="77777777" w:rsidR="00615590" w:rsidRDefault="00000000">
      <w:pPr>
        <w:pStyle w:val="NormalWeb"/>
        <w:spacing w:before="280" w:after="280" w:line="360" w:lineRule="auto"/>
        <w:rPr>
          <w:color w:val="000000"/>
        </w:rPr>
      </w:pPr>
      <w:r>
        <w:rPr>
          <w:rFonts w:ascii="Arial" w:eastAsia="Arial" w:hAnsi="Arial" w:cs="Arial"/>
          <w:color w:val="000000"/>
          <w:sz w:val="22"/>
        </w:rPr>
        <w:t>The Care Quality Commission regularly inspects care homes and evaluates medication safety procedures. Medication-related concerns remain one of the most common issues identified during inspections. The CQC (2023) reported that some care homes continue to experience problems relating to MAR chart completion, storage of controlled drugs, incorrect administration procedures and staff competency.</w:t>
      </w:r>
    </w:p>
    <w:p w14:paraId="340AD967" w14:textId="77777777" w:rsidR="00615590" w:rsidRDefault="00000000">
      <w:pPr>
        <w:pStyle w:val="NormalWeb"/>
        <w:spacing w:before="280" w:after="280" w:line="360" w:lineRule="auto"/>
        <w:rPr>
          <w:color w:val="000000"/>
        </w:rPr>
      </w:pPr>
      <w:r>
        <w:rPr>
          <w:rFonts w:ascii="Arial" w:eastAsia="Arial" w:hAnsi="Arial" w:cs="Arial"/>
          <w:color w:val="000000"/>
          <w:sz w:val="22"/>
        </w:rPr>
        <w:t>The National Institute for Health and Care Excellence (NICE) introduced guideline SC1:</w:t>
      </w:r>
      <w:r>
        <w:rPr>
          <w:rStyle w:val="apple-converted-space"/>
          <w:rFonts w:ascii="Arial" w:eastAsia="Arial" w:hAnsi="Arial" w:cs="Arial"/>
          <w:color w:val="000000"/>
          <w:sz w:val="22"/>
        </w:rPr>
        <w:t> </w:t>
      </w:r>
      <w:r>
        <w:rPr>
          <w:rStyle w:val="Emphasis"/>
          <w:rFonts w:ascii="Arial" w:eastAsia="Arial" w:hAnsi="Arial" w:cs="Arial"/>
          <w:color w:val="000000"/>
          <w:sz w:val="22"/>
        </w:rPr>
        <w:t>Managing Medicines in Care Homes</w:t>
      </w:r>
      <w:r>
        <w:rPr>
          <w:rStyle w:val="apple-converted-space"/>
          <w:rFonts w:ascii="Arial" w:eastAsia="Arial" w:hAnsi="Arial" w:cs="Arial"/>
          <w:color w:val="000000"/>
          <w:sz w:val="22"/>
        </w:rPr>
        <w:t> </w:t>
      </w:r>
      <w:r>
        <w:rPr>
          <w:rFonts w:ascii="Arial" w:eastAsia="Arial" w:hAnsi="Arial" w:cs="Arial"/>
          <w:color w:val="000000"/>
          <w:sz w:val="22"/>
        </w:rPr>
        <w:t>to improve medication safety and support best practice within residential settings (NICE, 2022). The guidance emphasises the importance of staff training, accurate record keeping, regular medication reviews and effective communication between professionals.</w:t>
      </w:r>
    </w:p>
    <w:p w14:paraId="1F430C0D" w14:textId="77777777" w:rsidR="00615590" w:rsidRDefault="00000000">
      <w:pPr>
        <w:pStyle w:val="NormalWeb"/>
        <w:spacing w:before="280" w:after="280" w:line="360" w:lineRule="auto"/>
        <w:rPr>
          <w:color w:val="000000"/>
        </w:rPr>
      </w:pPr>
      <w:r>
        <w:rPr>
          <w:rFonts w:ascii="Arial" w:eastAsia="Arial" w:hAnsi="Arial" w:cs="Arial"/>
          <w:color w:val="000000"/>
          <w:sz w:val="22"/>
        </w:rPr>
        <w:t>Medication errors may occur at different stages of the medication-management process. Prescribing errors occur when the wrong medication or dosage is prescribed. Dispensing errors occur within pharmacies when medicines are prepared incorrectly. Administration errors occur when staff give the wrong medication, omit doses or fail to follow instructions properly.</w:t>
      </w:r>
    </w:p>
    <w:p w14:paraId="4D29B5A2" w14:textId="7F2B91EC" w:rsidR="00CF5C4D" w:rsidRDefault="00CF5C4D">
      <w:pPr>
        <w:pStyle w:val="NormalWeb"/>
        <w:spacing w:before="280" w:after="280" w:line="360" w:lineRule="auto"/>
        <w:rPr>
          <w:rFonts w:ascii="Arial" w:hAnsi="Arial" w:cs="Arial"/>
          <w:color w:val="000000"/>
          <w:sz w:val="22"/>
          <w:szCs w:val="22"/>
        </w:rPr>
      </w:pPr>
      <w:r>
        <w:rPr>
          <w:rFonts w:ascii="Arial" w:hAnsi="Arial" w:cs="Arial"/>
          <w:color w:val="000000"/>
          <w:sz w:val="22"/>
          <w:szCs w:val="22"/>
        </w:rPr>
        <w:lastRenderedPageBreak/>
        <w:t>According to a more recent scoping assessment of the wider UK grey and academic literature, medicine-related incident rates in assisted living facilities vary widely, ranging from between 1% to 38% depending on the setting, formulation, and reporting system employed (Irons et al., 2022).</w:t>
      </w:r>
      <w:r>
        <w:rPr>
          <w:rFonts w:ascii="-webkit-standard" w:hAnsi="-webkit-standard"/>
          <w:color w:val="000000"/>
          <w:sz w:val="27"/>
          <w:szCs w:val="27"/>
        </w:rPr>
        <w:t xml:space="preserve"> </w:t>
      </w:r>
      <w:r>
        <w:rPr>
          <w:rFonts w:ascii="Arial" w:hAnsi="Arial" w:cs="Arial"/>
          <w:color w:val="000000"/>
          <w:sz w:val="22"/>
          <w:szCs w:val="22"/>
        </w:rPr>
        <w:t>A population-based analysis of psychotropic and anticholinergic drugs in 147 UK care facilities revealed that a significant percentage of residents were prescribed these higher-risk drug groups, raising the possibility of adverse events and monitoring failures (Grill et al., 2020).</w:t>
      </w:r>
      <w:r>
        <w:rPr>
          <w:rFonts w:ascii="Arial" w:eastAsia="Arial" w:hAnsi="Arial" w:cs="Arial"/>
          <w:color w:val="000000"/>
          <w:sz w:val="22"/>
        </w:rPr>
        <w:t xml:space="preserve"> </w:t>
      </w:r>
      <w:r>
        <w:rPr>
          <w:rFonts w:ascii="Arial" w:hAnsi="Arial" w:cs="Arial"/>
          <w:color w:val="000000"/>
          <w:sz w:val="22"/>
          <w:szCs w:val="22"/>
        </w:rPr>
        <w:t xml:space="preserve">The results demonstrated the scope of the problem, even though not all mistakes caused significant harm. </w:t>
      </w:r>
    </w:p>
    <w:p w14:paraId="1F458544" w14:textId="3A864C4B" w:rsidR="00615590" w:rsidRPr="00CF5C4D" w:rsidRDefault="00CF5C4D">
      <w:pPr>
        <w:pStyle w:val="NormalWeb"/>
        <w:spacing w:before="280" w:after="280" w:line="360" w:lineRule="auto"/>
        <w:rPr>
          <w:rFonts w:ascii="Arial" w:eastAsia="Arial" w:hAnsi="Arial" w:cs="Arial"/>
          <w:color w:val="000000"/>
          <w:sz w:val="22"/>
        </w:rPr>
      </w:pPr>
      <w:r>
        <w:rPr>
          <w:rFonts w:ascii="Arial" w:hAnsi="Arial" w:cs="Arial"/>
          <w:color w:val="000000"/>
          <w:sz w:val="22"/>
          <w:szCs w:val="22"/>
        </w:rPr>
        <w:t>This scale is also seen nationally, where medication errors are thot to have a significant clinical and financial impact on the NHS in England. This highlights the need for focused preventative measures, particularly in care-home settings (Elliott et al., 2018).</w:t>
      </w:r>
      <w:r>
        <w:rPr>
          <w:rFonts w:ascii="Arial" w:eastAsia="Arial" w:hAnsi="Arial" w:cs="Arial"/>
          <w:color w:val="000000"/>
          <w:sz w:val="22"/>
        </w:rPr>
        <w:t xml:space="preserve"> Several factors have been linked to medication errors in residential settings. Staffing shortages and excessive workloads are commonly associated with rushed medication rounds and reduced concentration. Interruptions during medication administration may also increase the likelihood of mistakes.</w:t>
      </w:r>
    </w:p>
    <w:p w14:paraId="4916419E" w14:textId="77777777" w:rsidR="00615590" w:rsidRDefault="00000000">
      <w:pPr>
        <w:pStyle w:val="NormalWeb"/>
        <w:spacing w:before="280" w:after="280" w:line="360" w:lineRule="auto"/>
        <w:rPr>
          <w:color w:val="000000"/>
        </w:rPr>
      </w:pPr>
      <w:r>
        <w:rPr>
          <w:rFonts w:ascii="Arial" w:eastAsia="Arial" w:hAnsi="Arial" w:cs="Arial"/>
          <w:color w:val="000000"/>
          <w:sz w:val="22"/>
        </w:rPr>
        <w:t>Training and competency are additional concerns. Some staff responsible for medication administration may not receive sufficient practical training before being expected to administer medicines independently. Alldred et al. (2016) found that inadequate training and poor multidisciplinary communication contributed to medication-related problems in care homes.</w:t>
      </w:r>
    </w:p>
    <w:p w14:paraId="75E021E9" w14:textId="77777777" w:rsidR="00615590" w:rsidRDefault="00000000">
      <w:pPr>
        <w:pStyle w:val="NormalWeb"/>
        <w:spacing w:before="280" w:after="280" w:line="360" w:lineRule="auto"/>
        <w:rPr>
          <w:color w:val="000000"/>
        </w:rPr>
      </w:pPr>
      <w:r>
        <w:rPr>
          <w:rFonts w:ascii="Arial" w:eastAsia="Arial" w:hAnsi="Arial" w:cs="Arial"/>
          <w:color w:val="000000"/>
          <w:sz w:val="22"/>
        </w:rPr>
        <w:t>Communication failures between healthcare professionals may create additional risks. Delays in updating prescriptions, unclear GP instructions and poor shift handovers may result in residents receiving incorrect medicines or dosages.</w:t>
      </w:r>
    </w:p>
    <w:p w14:paraId="3281EDD8" w14:textId="77777777" w:rsidR="00615590" w:rsidRDefault="00000000">
      <w:pPr>
        <w:pStyle w:val="NormalWeb"/>
        <w:spacing w:before="280" w:after="280" w:line="360" w:lineRule="auto"/>
        <w:rPr>
          <w:color w:val="000000"/>
        </w:rPr>
      </w:pPr>
      <w:r>
        <w:rPr>
          <w:rFonts w:ascii="Arial" w:eastAsia="Arial" w:hAnsi="Arial" w:cs="Arial"/>
          <w:color w:val="000000"/>
          <w:sz w:val="22"/>
        </w:rPr>
        <w:t>Digital medication systems have recently been introduced in many care homes in an attempt to reduce documentation errors. Electronic MAR systems may improve accountability and reduce missing signatures. However, technology-related issues and limited staff confidence with digital systems may still create challenges.</w:t>
      </w:r>
    </w:p>
    <w:p w14:paraId="3D8E373C" w14:textId="77777777" w:rsidR="00615590" w:rsidRDefault="00000000">
      <w:pPr>
        <w:pStyle w:val="NormalWeb"/>
        <w:spacing w:before="280" w:after="280" w:line="360" w:lineRule="auto"/>
        <w:rPr>
          <w:color w:val="000000"/>
        </w:rPr>
      </w:pPr>
      <w:r>
        <w:rPr>
          <w:rFonts w:ascii="Arial" w:eastAsia="Arial" w:hAnsi="Arial" w:cs="Arial"/>
          <w:color w:val="000000"/>
          <w:sz w:val="22"/>
        </w:rPr>
        <w:t>Medication errors can affect residents physically, emotionally and psychologically. Some errors may result in side effects, deterioration in health or hospitalisation. Others may reduce resident confidence in care staff and negatively affect relationships between families and care providers.</w:t>
      </w:r>
    </w:p>
    <w:p w14:paraId="10CA0564" w14:textId="77777777" w:rsidR="00616EDB" w:rsidRDefault="00000000" w:rsidP="00616EDB">
      <w:pPr>
        <w:pStyle w:val="NormalWeb"/>
        <w:spacing w:before="280" w:after="280" w:line="360" w:lineRule="auto"/>
        <w:rPr>
          <w:rFonts w:ascii="Arial" w:eastAsia="Arial" w:hAnsi="Arial" w:cs="Arial"/>
          <w:color w:val="000000"/>
          <w:sz w:val="22"/>
        </w:rPr>
      </w:pPr>
      <w:r>
        <w:rPr>
          <w:rFonts w:ascii="Arial" w:eastAsia="Arial" w:hAnsi="Arial" w:cs="Arial"/>
          <w:color w:val="000000"/>
          <w:sz w:val="22"/>
        </w:rPr>
        <w:lastRenderedPageBreak/>
        <w:t>The topic is therefore highly relevant to patient safety, safeguarding and quality of care within UK residential settings.</w:t>
      </w:r>
      <w:bookmarkStart w:id="2" w:name="__RefHeading___Toc360_207241122"/>
      <w:bookmarkEnd w:id="2"/>
    </w:p>
    <w:p w14:paraId="159AD191" w14:textId="77777777" w:rsidR="00616EDB" w:rsidRDefault="00616EDB" w:rsidP="00616EDB">
      <w:pPr>
        <w:pStyle w:val="NormalWeb"/>
        <w:spacing w:before="280" w:after="280" w:line="360" w:lineRule="auto"/>
        <w:rPr>
          <w:rFonts w:ascii="Arial" w:eastAsia="Arial" w:hAnsi="Arial" w:cs="Arial"/>
          <w:b/>
          <w:color w:val="000000"/>
          <w:sz w:val="28"/>
        </w:rPr>
      </w:pPr>
    </w:p>
    <w:p w14:paraId="44BDF919" w14:textId="77777777" w:rsidR="00616EDB" w:rsidRDefault="00616EDB" w:rsidP="00616EDB">
      <w:pPr>
        <w:pStyle w:val="NormalWeb"/>
        <w:spacing w:before="280" w:after="280" w:line="360" w:lineRule="auto"/>
        <w:rPr>
          <w:rFonts w:ascii="Arial" w:eastAsia="Arial" w:hAnsi="Arial" w:cs="Arial"/>
          <w:b/>
          <w:color w:val="000000"/>
          <w:sz w:val="28"/>
        </w:rPr>
      </w:pPr>
    </w:p>
    <w:p w14:paraId="68EFDAF4" w14:textId="77777777" w:rsidR="00616EDB" w:rsidRDefault="00616EDB" w:rsidP="00616EDB">
      <w:pPr>
        <w:pStyle w:val="NormalWeb"/>
        <w:spacing w:before="280" w:after="280" w:line="360" w:lineRule="auto"/>
        <w:rPr>
          <w:rFonts w:ascii="Arial" w:eastAsia="Arial" w:hAnsi="Arial" w:cs="Arial"/>
          <w:b/>
          <w:color w:val="000000"/>
          <w:sz w:val="28"/>
        </w:rPr>
      </w:pPr>
    </w:p>
    <w:p w14:paraId="1E3255BC" w14:textId="2FEB0900" w:rsidR="00616EDB" w:rsidRPr="00616EDB" w:rsidRDefault="00000000" w:rsidP="00616EDB">
      <w:pPr>
        <w:pStyle w:val="NormalWeb"/>
        <w:spacing w:before="280" w:after="280" w:line="360" w:lineRule="auto"/>
        <w:rPr>
          <w:color w:val="000000"/>
        </w:rPr>
      </w:pPr>
      <w:r>
        <w:rPr>
          <w:rFonts w:ascii="Arial" w:eastAsia="Arial" w:hAnsi="Arial" w:cs="Arial"/>
          <w:b/>
          <w:color w:val="000000"/>
          <w:sz w:val="28"/>
        </w:rPr>
        <w:t>Methods</w:t>
      </w:r>
    </w:p>
    <w:p w14:paraId="5AF6B4C8" w14:textId="0C0FD6A8" w:rsidR="00615590" w:rsidRDefault="00000000">
      <w:pPr>
        <w:pStyle w:val="Heading2"/>
        <w:spacing w:line="360" w:lineRule="auto"/>
        <w:rPr>
          <w:color w:val="000000"/>
        </w:rPr>
      </w:pPr>
      <w:r>
        <w:rPr>
          <w:rFonts w:ascii="Arial" w:eastAsia="Arial" w:hAnsi="Arial" w:cs="Arial"/>
          <w:b/>
          <w:color w:val="000000"/>
          <w:sz w:val="28"/>
        </w:rPr>
        <w:t>3.1 Research Design</w:t>
      </w:r>
    </w:p>
    <w:p w14:paraId="45824BC6" w14:textId="77777777" w:rsidR="00615590" w:rsidRDefault="00000000">
      <w:pPr>
        <w:pStyle w:val="NormalWeb"/>
        <w:spacing w:before="280" w:after="280" w:line="360" w:lineRule="auto"/>
        <w:rPr>
          <w:color w:val="000000"/>
        </w:rPr>
      </w:pPr>
      <w:r>
        <w:rPr>
          <w:rFonts w:ascii="Arial" w:eastAsia="Arial" w:hAnsi="Arial" w:cs="Arial"/>
          <w:color w:val="000000"/>
          <w:sz w:val="22"/>
        </w:rPr>
        <w:t>This study used a scoping review methodology. A scoping review was selected because it allows researchers to explore a broad area of literature, identify key themes and examine existing evidence relating to a specific topic.</w:t>
      </w:r>
    </w:p>
    <w:p w14:paraId="32A1D315" w14:textId="77777777" w:rsidR="00615590" w:rsidRDefault="00000000">
      <w:pPr>
        <w:pStyle w:val="NormalWeb"/>
        <w:spacing w:before="280" w:after="280" w:line="360" w:lineRule="auto"/>
        <w:rPr>
          <w:color w:val="000000"/>
        </w:rPr>
      </w:pPr>
      <w:r>
        <w:rPr>
          <w:rFonts w:ascii="Arial" w:eastAsia="Arial" w:hAnsi="Arial" w:cs="Arial"/>
          <w:color w:val="000000"/>
          <w:sz w:val="22"/>
        </w:rPr>
        <w:t>According to Arksey and O’Malley (2005), scoping reviews are particularly useful when a topic has not been reviewed comprehensively or when researchers wish to identify patterns and gaps within the literature.</w:t>
      </w:r>
    </w:p>
    <w:p w14:paraId="052B928A" w14:textId="77777777" w:rsidR="00615590" w:rsidRDefault="00000000">
      <w:pPr>
        <w:pStyle w:val="NormalWeb"/>
        <w:spacing w:before="280" w:after="280" w:line="360" w:lineRule="auto"/>
        <w:rPr>
          <w:color w:val="000000"/>
        </w:rPr>
      </w:pPr>
      <w:r>
        <w:rPr>
          <w:rFonts w:ascii="Arial" w:eastAsia="Arial" w:hAnsi="Arial" w:cs="Arial"/>
          <w:color w:val="000000"/>
          <w:sz w:val="22"/>
        </w:rPr>
        <w:t>The scoping review focused on peer-reviewed primary and secondary studies relating to medication errors in UK care homes.</w:t>
      </w:r>
    </w:p>
    <w:p w14:paraId="496842DA" w14:textId="77777777" w:rsidR="00616EDB" w:rsidRDefault="00616EDB" w:rsidP="00616EDB">
      <w:pPr>
        <w:pStyle w:val="Heading2"/>
        <w:spacing w:line="360" w:lineRule="auto"/>
        <w:rPr>
          <w:color w:val="000000"/>
        </w:rPr>
      </w:pPr>
      <w:r>
        <w:rPr>
          <w:rFonts w:ascii="Arial" w:eastAsia="Arial" w:hAnsi="Arial" w:cs="Arial"/>
          <w:b/>
          <w:color w:val="000000"/>
          <w:sz w:val="28"/>
        </w:rPr>
        <w:t>3.2 Search Strategy</w:t>
      </w:r>
    </w:p>
    <w:p w14:paraId="155ED22E" w14:textId="100AA847" w:rsidR="00615590" w:rsidRDefault="00000000">
      <w:pPr>
        <w:pStyle w:val="NormalWeb"/>
        <w:spacing w:before="280" w:after="280" w:line="360" w:lineRule="auto"/>
        <w:rPr>
          <w:color w:val="000000"/>
        </w:rPr>
      </w:pPr>
      <w:r>
        <w:rPr>
          <w:rFonts w:ascii="Arial" w:eastAsia="Arial" w:hAnsi="Arial" w:cs="Arial"/>
          <w:color w:val="000000"/>
          <w:sz w:val="22"/>
        </w:rPr>
        <w:t>Electronic databases were used to identify relevant academic literature. The databases searched included:</w:t>
      </w:r>
    </w:p>
    <w:p w14:paraId="71B1E615" w14:textId="77777777" w:rsidR="00615590" w:rsidRDefault="00000000">
      <w:pPr>
        <w:pStyle w:val="NormalWeb"/>
        <w:numPr>
          <w:ilvl w:val="0"/>
          <w:numId w:val="2"/>
        </w:numPr>
        <w:spacing w:before="280" w:after="0" w:line="360" w:lineRule="auto"/>
        <w:rPr>
          <w:color w:val="000000"/>
        </w:rPr>
      </w:pPr>
      <w:r>
        <w:rPr>
          <w:rFonts w:ascii="Arial" w:eastAsia="Arial" w:hAnsi="Arial" w:cs="Arial"/>
          <w:color w:val="000000"/>
          <w:sz w:val="22"/>
        </w:rPr>
        <w:t>PubMed</w:t>
      </w:r>
    </w:p>
    <w:p w14:paraId="50D49662" w14:textId="77777777" w:rsidR="00615590" w:rsidRDefault="00000000">
      <w:pPr>
        <w:pStyle w:val="NormalWeb"/>
        <w:numPr>
          <w:ilvl w:val="0"/>
          <w:numId w:val="2"/>
        </w:numPr>
        <w:spacing w:after="0" w:line="360" w:lineRule="auto"/>
        <w:rPr>
          <w:color w:val="000000"/>
        </w:rPr>
      </w:pPr>
      <w:r>
        <w:rPr>
          <w:rFonts w:ascii="Arial" w:eastAsia="Arial" w:hAnsi="Arial" w:cs="Arial"/>
          <w:color w:val="000000"/>
          <w:sz w:val="22"/>
        </w:rPr>
        <w:t>Google Scholar</w:t>
      </w:r>
    </w:p>
    <w:p w14:paraId="069A1708" w14:textId="77777777" w:rsidR="00615590" w:rsidRDefault="00000000">
      <w:pPr>
        <w:pStyle w:val="NormalWeb"/>
        <w:numPr>
          <w:ilvl w:val="0"/>
          <w:numId w:val="2"/>
        </w:numPr>
        <w:spacing w:after="0" w:line="360" w:lineRule="auto"/>
        <w:rPr>
          <w:color w:val="000000"/>
        </w:rPr>
      </w:pPr>
      <w:r>
        <w:rPr>
          <w:rFonts w:ascii="Arial" w:eastAsia="Arial" w:hAnsi="Arial" w:cs="Arial"/>
          <w:color w:val="000000"/>
          <w:sz w:val="22"/>
        </w:rPr>
        <w:t>Sage Journals</w:t>
      </w:r>
    </w:p>
    <w:p w14:paraId="607230D2" w14:textId="77777777" w:rsidR="00615590" w:rsidRDefault="00000000">
      <w:pPr>
        <w:pStyle w:val="NormalWeb"/>
        <w:numPr>
          <w:ilvl w:val="0"/>
          <w:numId w:val="2"/>
        </w:numPr>
        <w:spacing w:after="0" w:line="360" w:lineRule="auto"/>
        <w:rPr>
          <w:color w:val="000000"/>
        </w:rPr>
      </w:pPr>
      <w:r>
        <w:rPr>
          <w:rFonts w:ascii="Arial" w:eastAsia="Arial" w:hAnsi="Arial" w:cs="Arial"/>
          <w:color w:val="000000"/>
          <w:sz w:val="22"/>
        </w:rPr>
        <w:t>CINAHL</w:t>
      </w:r>
    </w:p>
    <w:p w14:paraId="17C7DADB" w14:textId="77777777" w:rsidR="00615590" w:rsidRDefault="00000000">
      <w:pPr>
        <w:pStyle w:val="NormalWeb"/>
        <w:numPr>
          <w:ilvl w:val="0"/>
          <w:numId w:val="2"/>
        </w:numPr>
        <w:spacing w:after="280" w:line="360" w:lineRule="auto"/>
        <w:rPr>
          <w:color w:val="000000"/>
        </w:rPr>
      </w:pPr>
      <w:r>
        <w:rPr>
          <w:rFonts w:ascii="Arial" w:eastAsia="Arial" w:hAnsi="Arial" w:cs="Arial"/>
          <w:color w:val="000000"/>
          <w:sz w:val="22"/>
        </w:rPr>
        <w:t>ScienceDirect</w:t>
      </w:r>
    </w:p>
    <w:p w14:paraId="6923D2FB" w14:textId="77777777" w:rsidR="00615590" w:rsidRDefault="00000000">
      <w:pPr>
        <w:pStyle w:val="NormalWeb"/>
        <w:spacing w:before="280" w:after="280" w:line="360" w:lineRule="auto"/>
        <w:rPr>
          <w:color w:val="000000"/>
        </w:rPr>
      </w:pPr>
      <w:r>
        <w:rPr>
          <w:rFonts w:ascii="Arial" w:eastAsia="Arial" w:hAnsi="Arial" w:cs="Arial"/>
          <w:color w:val="000000"/>
          <w:sz w:val="22"/>
        </w:rPr>
        <w:t>Keywords used during the search process included:</w:t>
      </w:r>
    </w:p>
    <w:p w14:paraId="1E61D5B5" w14:textId="77777777" w:rsidR="00615590" w:rsidRDefault="00000000">
      <w:pPr>
        <w:pStyle w:val="NormalWeb"/>
        <w:numPr>
          <w:ilvl w:val="0"/>
          <w:numId w:val="3"/>
        </w:numPr>
        <w:spacing w:before="280" w:after="0" w:line="360" w:lineRule="auto"/>
        <w:rPr>
          <w:color w:val="000000"/>
        </w:rPr>
      </w:pPr>
      <w:r>
        <w:rPr>
          <w:rFonts w:ascii="Arial" w:eastAsia="Arial" w:hAnsi="Arial" w:cs="Arial"/>
          <w:color w:val="000000"/>
          <w:sz w:val="22"/>
        </w:rPr>
        <w:t>“medication errors”</w:t>
      </w:r>
    </w:p>
    <w:p w14:paraId="2A503129" w14:textId="77777777" w:rsidR="00615590" w:rsidRDefault="00000000">
      <w:pPr>
        <w:pStyle w:val="NormalWeb"/>
        <w:numPr>
          <w:ilvl w:val="0"/>
          <w:numId w:val="3"/>
        </w:numPr>
        <w:spacing w:after="0" w:line="360" w:lineRule="auto"/>
        <w:rPr>
          <w:color w:val="000000"/>
        </w:rPr>
      </w:pPr>
      <w:r>
        <w:rPr>
          <w:rFonts w:ascii="Arial" w:eastAsia="Arial" w:hAnsi="Arial" w:cs="Arial"/>
          <w:color w:val="000000"/>
          <w:sz w:val="22"/>
        </w:rPr>
        <w:lastRenderedPageBreak/>
        <w:t>“care homes”</w:t>
      </w:r>
    </w:p>
    <w:p w14:paraId="617AB268" w14:textId="77777777" w:rsidR="00615590" w:rsidRDefault="00000000">
      <w:pPr>
        <w:pStyle w:val="NormalWeb"/>
        <w:numPr>
          <w:ilvl w:val="0"/>
          <w:numId w:val="3"/>
        </w:numPr>
        <w:spacing w:after="0" w:line="360" w:lineRule="auto"/>
        <w:rPr>
          <w:color w:val="000000"/>
        </w:rPr>
      </w:pPr>
      <w:r>
        <w:rPr>
          <w:rFonts w:ascii="Arial" w:eastAsia="Arial" w:hAnsi="Arial" w:cs="Arial"/>
          <w:color w:val="000000"/>
          <w:sz w:val="22"/>
        </w:rPr>
        <w:t>“nursing homes”</w:t>
      </w:r>
    </w:p>
    <w:p w14:paraId="3B1B28AE" w14:textId="77777777" w:rsidR="00615590" w:rsidRDefault="00000000">
      <w:pPr>
        <w:pStyle w:val="NormalWeb"/>
        <w:numPr>
          <w:ilvl w:val="0"/>
          <w:numId w:val="3"/>
        </w:numPr>
        <w:spacing w:after="0" w:line="360" w:lineRule="auto"/>
        <w:rPr>
          <w:color w:val="000000"/>
        </w:rPr>
      </w:pPr>
      <w:r>
        <w:rPr>
          <w:rFonts w:ascii="Arial" w:eastAsia="Arial" w:hAnsi="Arial" w:cs="Arial"/>
          <w:color w:val="000000"/>
          <w:sz w:val="22"/>
        </w:rPr>
        <w:t>“patient safety”</w:t>
      </w:r>
    </w:p>
    <w:p w14:paraId="1BF48071" w14:textId="77777777" w:rsidR="00615590" w:rsidRDefault="00000000">
      <w:pPr>
        <w:pStyle w:val="NormalWeb"/>
        <w:numPr>
          <w:ilvl w:val="0"/>
          <w:numId w:val="3"/>
        </w:numPr>
        <w:spacing w:after="0" w:line="360" w:lineRule="auto"/>
        <w:rPr>
          <w:color w:val="000000"/>
        </w:rPr>
      </w:pPr>
      <w:r>
        <w:rPr>
          <w:rFonts w:ascii="Arial" w:eastAsia="Arial" w:hAnsi="Arial" w:cs="Arial"/>
          <w:color w:val="000000"/>
          <w:sz w:val="22"/>
        </w:rPr>
        <w:t>“elderly care”</w:t>
      </w:r>
    </w:p>
    <w:p w14:paraId="0DF031BE" w14:textId="77777777" w:rsidR="00615590" w:rsidRDefault="00000000">
      <w:pPr>
        <w:pStyle w:val="NormalWeb"/>
        <w:numPr>
          <w:ilvl w:val="0"/>
          <w:numId w:val="3"/>
        </w:numPr>
        <w:spacing w:after="0" w:line="360" w:lineRule="auto"/>
        <w:rPr>
          <w:color w:val="000000"/>
        </w:rPr>
      </w:pPr>
      <w:r>
        <w:rPr>
          <w:rFonts w:ascii="Arial" w:eastAsia="Arial" w:hAnsi="Arial" w:cs="Arial"/>
          <w:color w:val="000000"/>
          <w:sz w:val="22"/>
        </w:rPr>
        <w:t>“medication administration”</w:t>
      </w:r>
    </w:p>
    <w:p w14:paraId="52B0EC76" w14:textId="77777777" w:rsidR="00615590" w:rsidRDefault="00000000">
      <w:pPr>
        <w:pStyle w:val="NormalWeb"/>
        <w:numPr>
          <w:ilvl w:val="0"/>
          <w:numId w:val="3"/>
        </w:numPr>
        <w:spacing w:after="280" w:line="360" w:lineRule="auto"/>
        <w:rPr>
          <w:color w:val="000000"/>
        </w:rPr>
      </w:pPr>
      <w:r>
        <w:rPr>
          <w:rFonts w:ascii="Arial" w:eastAsia="Arial" w:hAnsi="Arial" w:cs="Arial"/>
          <w:color w:val="000000"/>
          <w:sz w:val="22"/>
        </w:rPr>
        <w:t>“UK residential care”</w:t>
      </w:r>
    </w:p>
    <w:p w14:paraId="686C4BAC" w14:textId="77777777" w:rsidR="00615590" w:rsidRDefault="00000000">
      <w:pPr>
        <w:pStyle w:val="NormalWeb"/>
        <w:spacing w:before="280" w:after="280" w:line="360" w:lineRule="auto"/>
        <w:rPr>
          <w:color w:val="000000"/>
        </w:rPr>
      </w:pPr>
      <w:r>
        <w:rPr>
          <w:rFonts w:ascii="Arial" w:eastAsia="Arial" w:hAnsi="Arial" w:cs="Arial"/>
          <w:color w:val="000000"/>
          <w:sz w:val="22"/>
        </w:rPr>
        <w:t>Different combinations of these keywords were used to identify suitable peer-reviewed studies.</w:t>
      </w:r>
    </w:p>
    <w:p w14:paraId="1D9FF967" w14:textId="77777777" w:rsidR="00615590" w:rsidRDefault="00000000">
      <w:pPr>
        <w:pStyle w:val="Heading2"/>
        <w:spacing w:line="360" w:lineRule="auto"/>
        <w:rPr>
          <w:color w:val="000000"/>
        </w:rPr>
      </w:pPr>
      <w:r>
        <w:rPr>
          <w:rFonts w:ascii="Arial" w:eastAsia="Arial" w:hAnsi="Arial" w:cs="Arial"/>
          <w:b/>
          <w:color w:val="000000"/>
          <w:sz w:val="28"/>
        </w:rPr>
        <w:t>3.3 Inclusion and Exclusion Criteria</w:t>
      </w:r>
    </w:p>
    <w:p w14:paraId="1D2F97D2" w14:textId="77777777" w:rsidR="00615590" w:rsidRDefault="00000000">
      <w:pPr>
        <w:pStyle w:val="NormalWeb"/>
        <w:spacing w:before="280" w:after="280" w:line="360" w:lineRule="auto"/>
        <w:rPr>
          <w:color w:val="000000"/>
        </w:rPr>
      </w:pPr>
      <w:r>
        <w:rPr>
          <w:rFonts w:ascii="Arial" w:eastAsia="Arial" w:hAnsi="Arial" w:cs="Arial"/>
          <w:color w:val="000000"/>
          <w:sz w:val="22"/>
        </w:rPr>
        <w:t>The inclusion criteria for this scoping review were:</w:t>
      </w:r>
    </w:p>
    <w:p w14:paraId="45E01DFE" w14:textId="77777777" w:rsidR="00615590" w:rsidRDefault="00000000">
      <w:pPr>
        <w:pStyle w:val="NormalWeb"/>
        <w:numPr>
          <w:ilvl w:val="0"/>
          <w:numId w:val="4"/>
        </w:numPr>
        <w:spacing w:before="280" w:after="0" w:line="360" w:lineRule="auto"/>
        <w:rPr>
          <w:color w:val="000000"/>
        </w:rPr>
      </w:pPr>
      <w:r>
        <w:rPr>
          <w:rFonts w:ascii="Arial" w:eastAsia="Arial" w:hAnsi="Arial" w:cs="Arial"/>
          <w:color w:val="000000"/>
          <w:sz w:val="22"/>
        </w:rPr>
        <w:t>Peer-reviewed academic journal articles.</w:t>
      </w:r>
    </w:p>
    <w:p w14:paraId="41EB76C9" w14:textId="77777777" w:rsidR="00615590" w:rsidRDefault="00000000">
      <w:pPr>
        <w:pStyle w:val="NormalWeb"/>
        <w:numPr>
          <w:ilvl w:val="0"/>
          <w:numId w:val="4"/>
        </w:numPr>
        <w:spacing w:after="0" w:line="360" w:lineRule="auto"/>
        <w:rPr>
          <w:color w:val="000000"/>
        </w:rPr>
      </w:pPr>
      <w:r>
        <w:rPr>
          <w:rFonts w:ascii="Arial" w:eastAsia="Arial" w:hAnsi="Arial" w:cs="Arial"/>
          <w:color w:val="000000"/>
          <w:sz w:val="22"/>
        </w:rPr>
        <w:t>Studies written in English.</w:t>
      </w:r>
    </w:p>
    <w:p w14:paraId="0138CAE0" w14:textId="77777777" w:rsidR="00615590" w:rsidRDefault="00000000">
      <w:pPr>
        <w:pStyle w:val="NormalWeb"/>
        <w:numPr>
          <w:ilvl w:val="0"/>
          <w:numId w:val="4"/>
        </w:numPr>
        <w:spacing w:after="0" w:line="360" w:lineRule="auto"/>
        <w:rPr>
          <w:color w:val="000000"/>
        </w:rPr>
      </w:pPr>
      <w:r>
        <w:rPr>
          <w:rFonts w:ascii="Arial" w:eastAsia="Arial" w:hAnsi="Arial" w:cs="Arial"/>
          <w:color w:val="000000"/>
          <w:sz w:val="22"/>
        </w:rPr>
        <w:t>Studies published between 2009 and 2024.</w:t>
      </w:r>
    </w:p>
    <w:p w14:paraId="7ACB9C48" w14:textId="77777777" w:rsidR="00615590" w:rsidRDefault="00000000">
      <w:pPr>
        <w:pStyle w:val="NormalWeb"/>
        <w:numPr>
          <w:ilvl w:val="0"/>
          <w:numId w:val="4"/>
        </w:numPr>
        <w:spacing w:after="0" w:line="360" w:lineRule="auto"/>
        <w:rPr>
          <w:color w:val="000000"/>
        </w:rPr>
      </w:pPr>
      <w:r>
        <w:rPr>
          <w:rFonts w:ascii="Arial" w:eastAsia="Arial" w:hAnsi="Arial" w:cs="Arial"/>
          <w:color w:val="000000"/>
          <w:sz w:val="22"/>
        </w:rPr>
        <w:t>Research related to medication errors within UK care homes.</w:t>
      </w:r>
    </w:p>
    <w:p w14:paraId="70377D1A" w14:textId="77777777" w:rsidR="00615590" w:rsidRDefault="00000000">
      <w:pPr>
        <w:pStyle w:val="NormalWeb"/>
        <w:numPr>
          <w:ilvl w:val="0"/>
          <w:numId w:val="4"/>
        </w:numPr>
        <w:spacing w:after="280" w:line="360" w:lineRule="auto"/>
        <w:rPr>
          <w:color w:val="000000"/>
        </w:rPr>
      </w:pPr>
      <w:r>
        <w:rPr>
          <w:rFonts w:ascii="Arial" w:eastAsia="Arial" w:hAnsi="Arial" w:cs="Arial"/>
          <w:color w:val="000000"/>
          <w:sz w:val="22"/>
        </w:rPr>
        <w:t>Primary or secondary research studies.</w:t>
      </w:r>
    </w:p>
    <w:p w14:paraId="1BC73912" w14:textId="77777777" w:rsidR="00615590" w:rsidRDefault="00000000">
      <w:pPr>
        <w:pStyle w:val="NormalWeb"/>
        <w:spacing w:before="280" w:after="280" w:line="360" w:lineRule="auto"/>
        <w:rPr>
          <w:color w:val="000000"/>
        </w:rPr>
      </w:pPr>
      <w:r>
        <w:rPr>
          <w:rFonts w:ascii="Arial" w:eastAsia="Arial" w:hAnsi="Arial" w:cs="Arial"/>
          <w:color w:val="000000"/>
          <w:sz w:val="22"/>
        </w:rPr>
        <w:t>The exclusion criteria included:</w:t>
      </w:r>
    </w:p>
    <w:p w14:paraId="44E52D4C" w14:textId="77777777" w:rsidR="00615590" w:rsidRDefault="00000000">
      <w:pPr>
        <w:pStyle w:val="NormalWeb"/>
        <w:numPr>
          <w:ilvl w:val="0"/>
          <w:numId w:val="5"/>
        </w:numPr>
        <w:spacing w:before="280" w:after="0" w:line="360" w:lineRule="auto"/>
        <w:rPr>
          <w:color w:val="000000"/>
        </w:rPr>
      </w:pPr>
      <w:r>
        <w:rPr>
          <w:rFonts w:ascii="Arial" w:eastAsia="Arial" w:hAnsi="Arial" w:cs="Arial"/>
          <w:color w:val="000000"/>
          <w:sz w:val="22"/>
        </w:rPr>
        <w:t>Editorials and opinion papers.</w:t>
      </w:r>
    </w:p>
    <w:p w14:paraId="27079A92" w14:textId="77777777" w:rsidR="00615590" w:rsidRDefault="00000000">
      <w:pPr>
        <w:pStyle w:val="NormalWeb"/>
        <w:numPr>
          <w:ilvl w:val="0"/>
          <w:numId w:val="5"/>
        </w:numPr>
        <w:spacing w:after="0" w:line="360" w:lineRule="auto"/>
        <w:rPr>
          <w:color w:val="000000"/>
        </w:rPr>
      </w:pPr>
      <w:r>
        <w:rPr>
          <w:rFonts w:ascii="Arial" w:eastAsia="Arial" w:hAnsi="Arial" w:cs="Arial"/>
          <w:color w:val="000000"/>
          <w:sz w:val="22"/>
        </w:rPr>
        <w:t>Conference abstracts.</w:t>
      </w:r>
    </w:p>
    <w:p w14:paraId="69C1A456" w14:textId="77777777" w:rsidR="00615590" w:rsidRDefault="00000000">
      <w:pPr>
        <w:pStyle w:val="NormalWeb"/>
        <w:numPr>
          <w:ilvl w:val="0"/>
          <w:numId w:val="5"/>
        </w:numPr>
        <w:spacing w:after="0" w:line="360" w:lineRule="auto"/>
        <w:rPr>
          <w:color w:val="000000"/>
        </w:rPr>
      </w:pPr>
      <w:r>
        <w:rPr>
          <w:rFonts w:ascii="Arial" w:eastAsia="Arial" w:hAnsi="Arial" w:cs="Arial"/>
          <w:color w:val="000000"/>
          <w:sz w:val="22"/>
        </w:rPr>
        <w:t>Non-English publications.</w:t>
      </w:r>
    </w:p>
    <w:p w14:paraId="44CA5427" w14:textId="77777777" w:rsidR="00615590" w:rsidRDefault="00000000">
      <w:pPr>
        <w:pStyle w:val="NormalWeb"/>
        <w:numPr>
          <w:ilvl w:val="0"/>
          <w:numId w:val="5"/>
        </w:numPr>
        <w:spacing w:after="0" w:line="360" w:lineRule="auto"/>
        <w:rPr>
          <w:color w:val="000000"/>
        </w:rPr>
      </w:pPr>
      <w:r>
        <w:rPr>
          <w:rFonts w:ascii="Arial" w:eastAsia="Arial" w:hAnsi="Arial" w:cs="Arial"/>
          <w:color w:val="000000"/>
          <w:sz w:val="22"/>
        </w:rPr>
        <w:t>Studies unrelated to residential care.</w:t>
      </w:r>
    </w:p>
    <w:p w14:paraId="210B3F00" w14:textId="77777777" w:rsidR="00615590" w:rsidRDefault="00000000">
      <w:pPr>
        <w:pStyle w:val="NormalWeb"/>
        <w:numPr>
          <w:ilvl w:val="0"/>
          <w:numId w:val="5"/>
        </w:numPr>
        <w:spacing w:after="280" w:line="360" w:lineRule="auto"/>
        <w:rPr>
          <w:color w:val="000000"/>
        </w:rPr>
      </w:pPr>
      <w:r>
        <w:rPr>
          <w:rFonts w:ascii="Arial" w:eastAsia="Arial" w:hAnsi="Arial" w:cs="Arial"/>
          <w:color w:val="000000"/>
          <w:sz w:val="22"/>
        </w:rPr>
        <w:t>Studies focused exclusively on hospital settings.</w:t>
      </w:r>
    </w:p>
    <w:p w14:paraId="477CACE1" w14:textId="77777777" w:rsidR="00615590" w:rsidRDefault="00000000">
      <w:pPr>
        <w:pStyle w:val="Heading2"/>
        <w:spacing w:line="360" w:lineRule="auto"/>
        <w:rPr>
          <w:color w:val="000000"/>
        </w:rPr>
      </w:pPr>
      <w:r>
        <w:rPr>
          <w:rFonts w:ascii="Arial" w:eastAsia="Arial" w:hAnsi="Arial" w:cs="Arial"/>
          <w:b/>
          <w:color w:val="000000"/>
          <w:sz w:val="28"/>
        </w:rPr>
        <w:t>3.4 Selected Studies</w:t>
      </w:r>
    </w:p>
    <w:p w14:paraId="15011154" w14:textId="77777777" w:rsidR="00615590" w:rsidRDefault="00000000">
      <w:pPr>
        <w:pStyle w:val="NormalWeb"/>
        <w:spacing w:before="280" w:after="280" w:line="360" w:lineRule="auto"/>
        <w:rPr>
          <w:color w:val="000000"/>
        </w:rPr>
      </w:pPr>
      <w:r>
        <w:rPr>
          <w:rFonts w:ascii="Arial" w:eastAsia="Arial" w:hAnsi="Arial" w:cs="Arial"/>
          <w:color w:val="000000"/>
          <w:sz w:val="22"/>
        </w:rPr>
        <w:t>Five peer-reviewed studies were selected for analysis:</w:t>
      </w:r>
    </w:p>
    <w:p w14:paraId="650271F8" w14:textId="77777777" w:rsidR="00615590" w:rsidRDefault="00000000">
      <w:pPr>
        <w:pStyle w:val="NormalWeb"/>
        <w:numPr>
          <w:ilvl w:val="0"/>
          <w:numId w:val="6"/>
        </w:numPr>
        <w:spacing w:before="280" w:after="0" w:line="360" w:lineRule="auto"/>
        <w:rPr>
          <w:color w:val="000000"/>
        </w:rPr>
      </w:pPr>
      <w:r>
        <w:rPr>
          <w:rFonts w:ascii="Arial" w:eastAsia="Arial" w:hAnsi="Arial" w:cs="Arial"/>
          <w:color w:val="000000"/>
          <w:sz w:val="22"/>
        </w:rPr>
        <w:t>Barber et al. (2009)</w:t>
      </w:r>
    </w:p>
    <w:p w14:paraId="29DB289D" w14:textId="77777777" w:rsidR="00615590" w:rsidRDefault="00000000">
      <w:pPr>
        <w:pStyle w:val="NormalWeb"/>
        <w:numPr>
          <w:ilvl w:val="0"/>
          <w:numId w:val="6"/>
        </w:numPr>
        <w:spacing w:after="0" w:line="360" w:lineRule="auto"/>
        <w:rPr>
          <w:color w:val="000000"/>
        </w:rPr>
      </w:pPr>
      <w:r>
        <w:rPr>
          <w:rFonts w:ascii="Arial" w:eastAsia="Arial" w:hAnsi="Arial" w:cs="Arial"/>
          <w:color w:val="000000"/>
          <w:sz w:val="22"/>
        </w:rPr>
        <w:t>Alldred et al. (2016)</w:t>
      </w:r>
    </w:p>
    <w:p w14:paraId="57B1C9A1" w14:textId="77777777" w:rsidR="00615590" w:rsidRDefault="00000000">
      <w:pPr>
        <w:pStyle w:val="NormalWeb"/>
        <w:numPr>
          <w:ilvl w:val="0"/>
          <w:numId w:val="6"/>
        </w:numPr>
        <w:spacing w:after="0" w:line="360" w:lineRule="auto"/>
        <w:rPr>
          <w:color w:val="000000"/>
        </w:rPr>
      </w:pPr>
      <w:r>
        <w:rPr>
          <w:rFonts w:ascii="Arial" w:eastAsia="Arial" w:hAnsi="Arial" w:cs="Arial"/>
          <w:color w:val="000000"/>
          <w:sz w:val="22"/>
        </w:rPr>
        <w:t>Elliott et al. (2021)</w:t>
      </w:r>
    </w:p>
    <w:p w14:paraId="5A9100F9" w14:textId="77777777" w:rsidR="00615590" w:rsidRDefault="00000000">
      <w:pPr>
        <w:pStyle w:val="NormalWeb"/>
        <w:numPr>
          <w:ilvl w:val="0"/>
          <w:numId w:val="6"/>
        </w:numPr>
        <w:spacing w:after="0" w:line="360" w:lineRule="auto"/>
        <w:rPr>
          <w:color w:val="000000"/>
        </w:rPr>
      </w:pPr>
      <w:r>
        <w:rPr>
          <w:rFonts w:ascii="Arial" w:eastAsia="Arial" w:hAnsi="Arial" w:cs="Arial"/>
          <w:color w:val="000000"/>
          <w:sz w:val="22"/>
        </w:rPr>
        <w:t>Szczepura et al. (2011)</w:t>
      </w:r>
    </w:p>
    <w:p w14:paraId="07DF4859" w14:textId="77777777" w:rsidR="00615590" w:rsidRDefault="00000000">
      <w:pPr>
        <w:pStyle w:val="NormalWeb"/>
        <w:numPr>
          <w:ilvl w:val="0"/>
          <w:numId w:val="6"/>
        </w:numPr>
        <w:spacing w:after="280" w:line="360" w:lineRule="auto"/>
        <w:rPr>
          <w:color w:val="000000"/>
        </w:rPr>
      </w:pPr>
      <w:r>
        <w:rPr>
          <w:rFonts w:ascii="Arial" w:eastAsia="Arial" w:hAnsi="Arial" w:cs="Arial"/>
          <w:color w:val="000000"/>
          <w:sz w:val="22"/>
        </w:rPr>
        <w:t>Patterson et al. (2020)</w:t>
      </w:r>
    </w:p>
    <w:p w14:paraId="2573D666" w14:textId="77777777" w:rsidR="00FA510F" w:rsidRDefault="00000000" w:rsidP="00FA510F">
      <w:pPr>
        <w:pStyle w:val="NormalWeb"/>
        <w:spacing w:before="280" w:after="280" w:line="360" w:lineRule="auto"/>
        <w:rPr>
          <w:rFonts w:ascii="Arial" w:hAnsi="Arial" w:cs="Arial"/>
          <w:color w:val="000000"/>
          <w:sz w:val="22"/>
          <w:szCs w:val="22"/>
        </w:rPr>
      </w:pPr>
      <w:r>
        <w:rPr>
          <w:rFonts w:ascii="Arial" w:eastAsia="Arial" w:hAnsi="Arial" w:cs="Arial"/>
          <w:color w:val="000000"/>
          <w:sz w:val="22"/>
        </w:rPr>
        <w:lastRenderedPageBreak/>
        <w:t xml:space="preserve">These studies were selected because they focused directly on medication safety and patient outcomes within care-home settings. </w:t>
      </w:r>
      <w:r>
        <w:rPr>
          <w:rFonts w:ascii="Arial" w:hAnsi="Arial" w:cs="Arial"/>
          <w:color w:val="000000"/>
          <w:sz w:val="22"/>
          <w:szCs w:val="22"/>
        </w:rPr>
        <w:t>Staffing, training, communication, and documentation have all been found to be frequent contributory themes across the UK evidence base in the wider scoping research on this subject (Irons et al., 2022). This selection is generally in line with that literature.</w:t>
      </w:r>
    </w:p>
    <w:p w14:paraId="0D46BCB4" w14:textId="7E0874C0" w:rsidR="00615590" w:rsidRDefault="00000000" w:rsidP="00FA510F">
      <w:pPr>
        <w:pStyle w:val="NormalWeb"/>
        <w:spacing w:before="280" w:after="280" w:line="360" w:lineRule="auto"/>
        <w:rPr>
          <w:color w:val="000000"/>
        </w:rPr>
      </w:pPr>
      <w:r>
        <w:rPr>
          <w:rFonts w:ascii="Arial" w:eastAsia="Arial" w:hAnsi="Arial" w:cs="Arial"/>
          <w:b/>
          <w:color w:val="000000"/>
          <w:sz w:val="28"/>
        </w:rPr>
        <w:t>3.5 Data Analysis</w:t>
      </w:r>
    </w:p>
    <w:p w14:paraId="6DC21064" w14:textId="77777777" w:rsidR="00615590" w:rsidRDefault="00000000">
      <w:pPr>
        <w:pStyle w:val="NormalWeb"/>
        <w:spacing w:before="280" w:after="280" w:line="360" w:lineRule="auto"/>
        <w:rPr>
          <w:color w:val="000000"/>
        </w:rPr>
      </w:pPr>
      <w:r>
        <w:rPr>
          <w:rFonts w:ascii="Arial" w:eastAsia="Arial" w:hAnsi="Arial" w:cs="Arial"/>
          <w:color w:val="000000"/>
          <w:sz w:val="22"/>
        </w:rPr>
        <w:t>Thematic analysis was used to analyse findings from the selected studies.</w:t>
      </w:r>
    </w:p>
    <w:p w14:paraId="48FBC5B6" w14:textId="77777777" w:rsidR="00615590" w:rsidRDefault="00000000">
      <w:pPr>
        <w:pStyle w:val="NormalWeb"/>
        <w:spacing w:before="280" w:after="280" w:line="360" w:lineRule="auto"/>
        <w:rPr>
          <w:color w:val="000000"/>
        </w:rPr>
      </w:pPr>
      <w:r>
        <w:rPr>
          <w:rFonts w:ascii="Arial" w:eastAsia="Arial" w:hAnsi="Arial" w:cs="Arial"/>
          <w:color w:val="000000"/>
          <w:sz w:val="22"/>
        </w:rPr>
        <w:t>Braun and Clarke (2006) describe thematic analysis as a method used to identify, organise and interpret repeated patterns within qualitative or mixed-method research.</w:t>
      </w:r>
    </w:p>
    <w:p w14:paraId="7DDCBAD8" w14:textId="77777777" w:rsidR="00615590" w:rsidRDefault="00000000">
      <w:pPr>
        <w:pStyle w:val="NormalWeb"/>
        <w:spacing w:before="280" w:after="280" w:line="360" w:lineRule="auto"/>
        <w:rPr>
          <w:color w:val="000000"/>
        </w:rPr>
      </w:pPr>
      <w:r>
        <w:rPr>
          <w:rFonts w:ascii="Arial" w:eastAsia="Arial" w:hAnsi="Arial" w:cs="Arial"/>
          <w:color w:val="000000"/>
          <w:sz w:val="22"/>
        </w:rPr>
        <w:t>After reviewing the selected studies, common themes were identified and grouped together. The main themes included:</w:t>
      </w:r>
    </w:p>
    <w:p w14:paraId="17F8E79C" w14:textId="77777777" w:rsidR="00615590" w:rsidRDefault="00000000">
      <w:pPr>
        <w:pStyle w:val="NormalWeb"/>
        <w:numPr>
          <w:ilvl w:val="0"/>
          <w:numId w:val="7"/>
        </w:numPr>
        <w:spacing w:before="280" w:after="0" w:line="360" w:lineRule="auto"/>
        <w:rPr>
          <w:color w:val="000000"/>
        </w:rPr>
      </w:pPr>
      <w:r>
        <w:rPr>
          <w:rFonts w:ascii="Arial" w:eastAsia="Arial" w:hAnsi="Arial" w:cs="Arial"/>
          <w:color w:val="000000"/>
          <w:sz w:val="22"/>
        </w:rPr>
        <w:t>Staffing shortages and workload pressures</w:t>
      </w:r>
    </w:p>
    <w:p w14:paraId="42D9F7F4" w14:textId="77777777" w:rsidR="00615590" w:rsidRDefault="00000000">
      <w:pPr>
        <w:pStyle w:val="NormalWeb"/>
        <w:numPr>
          <w:ilvl w:val="0"/>
          <w:numId w:val="7"/>
        </w:numPr>
        <w:spacing w:after="0" w:line="360" w:lineRule="auto"/>
        <w:rPr>
          <w:color w:val="000000"/>
        </w:rPr>
      </w:pPr>
      <w:r>
        <w:rPr>
          <w:rFonts w:ascii="Arial" w:eastAsia="Arial" w:hAnsi="Arial" w:cs="Arial"/>
          <w:color w:val="000000"/>
          <w:sz w:val="22"/>
        </w:rPr>
        <w:t>Training and competency</w:t>
      </w:r>
    </w:p>
    <w:p w14:paraId="3F0A32E4" w14:textId="77777777" w:rsidR="00615590" w:rsidRDefault="00000000">
      <w:pPr>
        <w:pStyle w:val="NormalWeb"/>
        <w:numPr>
          <w:ilvl w:val="0"/>
          <w:numId w:val="7"/>
        </w:numPr>
        <w:spacing w:after="0" w:line="360" w:lineRule="auto"/>
        <w:rPr>
          <w:color w:val="000000"/>
        </w:rPr>
      </w:pPr>
      <w:r>
        <w:rPr>
          <w:rFonts w:ascii="Arial" w:eastAsia="Arial" w:hAnsi="Arial" w:cs="Arial"/>
          <w:color w:val="000000"/>
          <w:sz w:val="22"/>
        </w:rPr>
        <w:t>Communication failures</w:t>
      </w:r>
    </w:p>
    <w:p w14:paraId="054F3A36" w14:textId="77777777" w:rsidR="00615590" w:rsidRDefault="00000000">
      <w:pPr>
        <w:pStyle w:val="NormalWeb"/>
        <w:numPr>
          <w:ilvl w:val="0"/>
          <w:numId w:val="7"/>
        </w:numPr>
        <w:spacing w:after="0" w:line="360" w:lineRule="auto"/>
        <w:rPr>
          <w:color w:val="000000"/>
        </w:rPr>
      </w:pPr>
      <w:r>
        <w:rPr>
          <w:rFonts w:ascii="Arial" w:eastAsia="Arial" w:hAnsi="Arial" w:cs="Arial"/>
          <w:color w:val="000000"/>
          <w:sz w:val="22"/>
        </w:rPr>
        <w:t>Documentation and MAR chart errors</w:t>
      </w:r>
    </w:p>
    <w:p w14:paraId="4B78D3E0" w14:textId="77777777" w:rsidR="00615590" w:rsidRDefault="00000000">
      <w:pPr>
        <w:pStyle w:val="NormalWeb"/>
        <w:numPr>
          <w:ilvl w:val="0"/>
          <w:numId w:val="7"/>
        </w:numPr>
        <w:spacing w:after="280" w:line="360" w:lineRule="auto"/>
        <w:rPr>
          <w:color w:val="000000"/>
        </w:rPr>
      </w:pPr>
      <w:r>
        <w:rPr>
          <w:rFonts w:ascii="Arial" w:eastAsia="Arial" w:hAnsi="Arial" w:cs="Arial"/>
          <w:color w:val="000000"/>
          <w:sz w:val="22"/>
        </w:rPr>
        <w:t>Digital medication systems</w:t>
      </w:r>
    </w:p>
    <w:p w14:paraId="7565234B" w14:textId="77777777" w:rsidR="00615590" w:rsidRDefault="00000000">
      <w:pPr>
        <w:pStyle w:val="Heading2"/>
        <w:spacing w:line="360" w:lineRule="auto"/>
        <w:rPr>
          <w:color w:val="000000"/>
        </w:rPr>
      </w:pPr>
      <w:r>
        <w:rPr>
          <w:rFonts w:ascii="Arial" w:eastAsia="Arial" w:hAnsi="Arial" w:cs="Arial"/>
          <w:b/>
          <w:color w:val="000000"/>
          <w:sz w:val="28"/>
        </w:rPr>
        <w:t>3.6 Ethical Considerations</w:t>
      </w:r>
    </w:p>
    <w:p w14:paraId="4407FC2B" w14:textId="77777777" w:rsidR="00615590" w:rsidRDefault="00000000">
      <w:pPr>
        <w:pStyle w:val="NormalWeb"/>
        <w:spacing w:before="280" w:after="280" w:line="360" w:lineRule="auto"/>
        <w:rPr>
          <w:color w:val="000000"/>
        </w:rPr>
      </w:pPr>
      <w:r>
        <w:rPr>
          <w:rFonts w:ascii="Arial" w:eastAsia="Arial" w:hAnsi="Arial" w:cs="Arial"/>
          <w:color w:val="000000"/>
          <w:sz w:val="22"/>
        </w:rPr>
        <w:t>This study was based entirely on secondary research and therefore did not involve direct contact with patients or care staff.</w:t>
      </w:r>
    </w:p>
    <w:p w14:paraId="0161C448" w14:textId="77777777" w:rsidR="00615590" w:rsidRDefault="00000000">
      <w:pPr>
        <w:pStyle w:val="NormalWeb"/>
        <w:spacing w:before="280" w:after="280" w:line="360" w:lineRule="auto"/>
        <w:rPr>
          <w:color w:val="000000"/>
        </w:rPr>
      </w:pPr>
      <w:r>
        <w:rPr>
          <w:rFonts w:ascii="Arial" w:eastAsia="Arial" w:hAnsi="Arial" w:cs="Arial"/>
          <w:color w:val="000000"/>
          <w:sz w:val="22"/>
        </w:rPr>
        <w:t>However, ethical principles were still considered throughout the research process. Academic honesty and accurate referencing were maintained to avoid plagiarism. All information used within the report was obtained from credible academic and professional sources.</w:t>
      </w:r>
    </w:p>
    <w:p w14:paraId="1EB3BCA6" w14:textId="77777777" w:rsidR="00615590" w:rsidRDefault="00000000">
      <w:pPr>
        <w:pStyle w:val="NormalWeb"/>
        <w:spacing w:before="280" w:after="280" w:line="360" w:lineRule="auto"/>
        <w:rPr>
          <w:color w:val="000000"/>
        </w:rPr>
      </w:pPr>
      <w:r>
        <w:rPr>
          <w:rFonts w:ascii="Arial" w:eastAsia="Arial" w:hAnsi="Arial" w:cs="Arial"/>
          <w:color w:val="000000"/>
          <w:sz w:val="22"/>
        </w:rPr>
        <w:t>The researcher also considered the importance of presenting findings fairly and objectively without misrepresenting evidence.</w:t>
      </w:r>
    </w:p>
    <w:p w14:paraId="7058F283" w14:textId="77777777" w:rsidR="00615590" w:rsidRDefault="00615590">
      <w:pPr>
        <w:spacing w:line="360" w:lineRule="auto"/>
      </w:pPr>
    </w:p>
    <w:p w14:paraId="0BD56798" w14:textId="77777777" w:rsidR="00616EDB" w:rsidRDefault="00616EDB">
      <w:pPr>
        <w:pStyle w:val="Heading1"/>
        <w:spacing w:line="360" w:lineRule="auto"/>
        <w:rPr>
          <w:rFonts w:ascii="Arial" w:eastAsia="Arial" w:hAnsi="Arial" w:cs="Arial"/>
          <w:b/>
          <w:color w:val="000000"/>
          <w:sz w:val="28"/>
        </w:rPr>
      </w:pPr>
      <w:bookmarkStart w:id="3" w:name="__RefHeading___Toc362_207241122"/>
      <w:bookmarkEnd w:id="3"/>
    </w:p>
    <w:p w14:paraId="2C2B1BAD" w14:textId="77777777" w:rsidR="00616EDB" w:rsidRPr="00616EDB" w:rsidRDefault="00616EDB" w:rsidP="00616EDB"/>
    <w:p w14:paraId="5C2997FC" w14:textId="77777777" w:rsidR="00616EDB" w:rsidRDefault="00616EDB" w:rsidP="00616EDB">
      <w:pPr>
        <w:pStyle w:val="Heading1"/>
        <w:spacing w:line="360" w:lineRule="auto"/>
        <w:rPr>
          <w:rFonts w:ascii="Arial" w:eastAsia="Arial" w:hAnsi="Arial" w:cs="Arial"/>
          <w:b/>
          <w:color w:val="000000"/>
          <w:sz w:val="28"/>
        </w:rPr>
      </w:pPr>
      <w:r>
        <w:rPr>
          <w:rFonts w:ascii="Arial" w:eastAsia="Arial" w:hAnsi="Arial" w:cs="Arial"/>
          <w:b/>
          <w:color w:val="000000"/>
          <w:sz w:val="28"/>
        </w:rPr>
        <w:t>Results</w:t>
      </w:r>
    </w:p>
    <w:p w14:paraId="39878DC2" w14:textId="77777777" w:rsidR="00615590" w:rsidRDefault="00000000">
      <w:pPr>
        <w:pStyle w:val="Heading2"/>
        <w:spacing w:line="360" w:lineRule="auto"/>
        <w:rPr>
          <w:color w:val="000000"/>
        </w:rPr>
      </w:pPr>
      <w:r>
        <w:rPr>
          <w:rFonts w:ascii="Arial" w:eastAsia="Arial" w:hAnsi="Arial" w:cs="Arial"/>
          <w:b/>
          <w:color w:val="000000"/>
          <w:sz w:val="28"/>
        </w:rPr>
        <w:t>4.1 Summary Table of Selected Studies</w:t>
      </w:r>
    </w:p>
    <w:tbl>
      <w:tblPr>
        <w:tblW w:w="9026" w:type="dxa"/>
        <w:tblLayout w:type="fixed"/>
        <w:tblCellMar>
          <w:top w:w="15" w:type="dxa"/>
          <w:left w:w="15" w:type="dxa"/>
          <w:bottom w:w="15" w:type="dxa"/>
          <w:right w:w="15" w:type="dxa"/>
        </w:tblCellMar>
        <w:tblLook w:val="04A0" w:firstRow="1" w:lastRow="0" w:firstColumn="1" w:lastColumn="0" w:noHBand="0" w:noVBand="1"/>
      </w:tblPr>
      <w:tblGrid>
        <w:gridCol w:w="1781"/>
        <w:gridCol w:w="1778"/>
        <w:gridCol w:w="3280"/>
        <w:gridCol w:w="2187"/>
      </w:tblGrid>
      <w:tr w:rsidR="00615590" w14:paraId="28BC78D4" w14:textId="77777777">
        <w:trPr>
          <w:tblHeader/>
        </w:trPr>
        <w:tc>
          <w:tcPr>
            <w:tcW w:w="1780" w:type="dxa"/>
            <w:vAlign w:val="center"/>
          </w:tcPr>
          <w:p w14:paraId="20561B5A" w14:textId="77777777" w:rsidR="00615590" w:rsidRDefault="00000000">
            <w:pPr>
              <w:spacing w:line="360" w:lineRule="auto"/>
              <w:jc w:val="center"/>
              <w:rPr>
                <w:b/>
                <w:bCs/>
                <w:color w:val="000000"/>
              </w:rPr>
            </w:pPr>
            <w:r>
              <w:rPr>
                <w:rFonts w:ascii="Arial" w:eastAsia="Arial" w:hAnsi="Arial" w:cs="Arial"/>
                <w:b/>
                <w:bCs/>
                <w:color w:val="000000"/>
                <w:sz w:val="22"/>
              </w:rPr>
              <w:t>Author/Year</w:t>
            </w:r>
          </w:p>
        </w:tc>
        <w:tc>
          <w:tcPr>
            <w:tcW w:w="1778" w:type="dxa"/>
            <w:vAlign w:val="center"/>
          </w:tcPr>
          <w:p w14:paraId="2264174D" w14:textId="77777777" w:rsidR="00615590" w:rsidRDefault="00000000">
            <w:pPr>
              <w:spacing w:line="360" w:lineRule="auto"/>
              <w:jc w:val="center"/>
              <w:rPr>
                <w:b/>
                <w:bCs/>
                <w:color w:val="000000"/>
              </w:rPr>
            </w:pPr>
            <w:r>
              <w:rPr>
                <w:rFonts w:ascii="Arial" w:eastAsia="Arial" w:hAnsi="Arial" w:cs="Arial"/>
                <w:b/>
                <w:bCs/>
                <w:color w:val="000000"/>
                <w:sz w:val="22"/>
              </w:rPr>
              <w:t>Study Type</w:t>
            </w:r>
          </w:p>
        </w:tc>
        <w:tc>
          <w:tcPr>
            <w:tcW w:w="3280" w:type="dxa"/>
            <w:vAlign w:val="center"/>
          </w:tcPr>
          <w:p w14:paraId="74DEA303" w14:textId="77777777" w:rsidR="00615590" w:rsidRDefault="00000000">
            <w:pPr>
              <w:spacing w:line="360" w:lineRule="auto"/>
              <w:jc w:val="center"/>
              <w:rPr>
                <w:b/>
                <w:bCs/>
                <w:color w:val="000000"/>
              </w:rPr>
            </w:pPr>
            <w:r>
              <w:rPr>
                <w:rFonts w:ascii="Arial" w:eastAsia="Arial" w:hAnsi="Arial" w:cs="Arial"/>
                <w:b/>
                <w:bCs/>
                <w:color w:val="000000"/>
                <w:sz w:val="22"/>
              </w:rPr>
              <w:t>Main Findings</w:t>
            </w:r>
          </w:p>
        </w:tc>
        <w:tc>
          <w:tcPr>
            <w:tcW w:w="2187" w:type="dxa"/>
            <w:vAlign w:val="center"/>
          </w:tcPr>
          <w:p w14:paraId="1C209337" w14:textId="77777777" w:rsidR="00615590" w:rsidRDefault="00000000">
            <w:pPr>
              <w:spacing w:line="360" w:lineRule="auto"/>
              <w:jc w:val="center"/>
              <w:rPr>
                <w:b/>
                <w:bCs/>
                <w:color w:val="000000"/>
              </w:rPr>
            </w:pPr>
            <w:r>
              <w:rPr>
                <w:rFonts w:ascii="Arial" w:eastAsia="Arial" w:hAnsi="Arial" w:cs="Arial"/>
                <w:b/>
                <w:bCs/>
                <w:color w:val="000000"/>
                <w:sz w:val="22"/>
              </w:rPr>
              <w:t>Limitations</w:t>
            </w:r>
          </w:p>
        </w:tc>
      </w:tr>
      <w:tr w:rsidR="00615590" w14:paraId="65C6ACE7" w14:textId="77777777">
        <w:tc>
          <w:tcPr>
            <w:tcW w:w="1780" w:type="dxa"/>
            <w:vAlign w:val="center"/>
          </w:tcPr>
          <w:p w14:paraId="61741A4E" w14:textId="77777777" w:rsidR="00615590" w:rsidRDefault="00000000">
            <w:pPr>
              <w:spacing w:line="360" w:lineRule="auto"/>
              <w:rPr>
                <w:color w:val="000000"/>
              </w:rPr>
            </w:pPr>
            <w:r>
              <w:rPr>
                <w:rFonts w:ascii="Arial" w:eastAsia="Arial" w:hAnsi="Arial" w:cs="Arial"/>
                <w:color w:val="000000"/>
                <w:sz w:val="22"/>
              </w:rPr>
              <w:t>Barber et al. (2009)</w:t>
            </w:r>
          </w:p>
        </w:tc>
        <w:tc>
          <w:tcPr>
            <w:tcW w:w="1778" w:type="dxa"/>
            <w:vAlign w:val="center"/>
          </w:tcPr>
          <w:p w14:paraId="3E221281" w14:textId="77777777" w:rsidR="00615590" w:rsidRDefault="00000000">
            <w:pPr>
              <w:spacing w:line="360" w:lineRule="auto"/>
              <w:rPr>
                <w:color w:val="000000"/>
              </w:rPr>
            </w:pPr>
            <w:r>
              <w:rPr>
                <w:rFonts w:ascii="Arial" w:eastAsia="Arial" w:hAnsi="Arial" w:cs="Arial"/>
                <w:color w:val="000000"/>
                <w:sz w:val="22"/>
              </w:rPr>
              <w:t>Observational study</w:t>
            </w:r>
          </w:p>
        </w:tc>
        <w:tc>
          <w:tcPr>
            <w:tcW w:w="3280" w:type="dxa"/>
            <w:vAlign w:val="center"/>
          </w:tcPr>
          <w:p w14:paraId="3C2CB57B" w14:textId="77777777" w:rsidR="00615590" w:rsidRDefault="00000000">
            <w:pPr>
              <w:spacing w:line="360" w:lineRule="auto"/>
              <w:rPr>
                <w:color w:val="000000"/>
              </w:rPr>
            </w:pPr>
            <w:r>
              <w:rPr>
                <w:rFonts w:ascii="Arial" w:eastAsia="Arial" w:hAnsi="Arial" w:cs="Arial"/>
                <w:color w:val="000000"/>
                <w:sz w:val="22"/>
              </w:rPr>
              <w:t>High prevalence of medication errors in UK care homes</w:t>
            </w:r>
          </w:p>
        </w:tc>
        <w:tc>
          <w:tcPr>
            <w:tcW w:w="2187" w:type="dxa"/>
            <w:vAlign w:val="center"/>
          </w:tcPr>
          <w:p w14:paraId="1A3B08A0" w14:textId="77777777" w:rsidR="00615590" w:rsidRDefault="00000000">
            <w:pPr>
              <w:spacing w:line="360" w:lineRule="auto"/>
              <w:rPr>
                <w:color w:val="000000"/>
              </w:rPr>
            </w:pPr>
            <w:r>
              <w:rPr>
                <w:rFonts w:ascii="Arial" w:eastAsia="Arial" w:hAnsi="Arial" w:cs="Arial"/>
                <w:color w:val="000000"/>
                <w:sz w:val="22"/>
              </w:rPr>
              <w:t>Older study</w:t>
            </w:r>
          </w:p>
        </w:tc>
      </w:tr>
      <w:tr w:rsidR="00615590" w14:paraId="28FBB46D" w14:textId="77777777">
        <w:tc>
          <w:tcPr>
            <w:tcW w:w="1780" w:type="dxa"/>
            <w:vAlign w:val="center"/>
          </w:tcPr>
          <w:p w14:paraId="11E3FE66" w14:textId="77777777" w:rsidR="00615590" w:rsidRDefault="00000000">
            <w:pPr>
              <w:spacing w:line="360" w:lineRule="auto"/>
              <w:rPr>
                <w:color w:val="000000"/>
              </w:rPr>
            </w:pPr>
            <w:r>
              <w:rPr>
                <w:rFonts w:ascii="Arial" w:eastAsia="Arial" w:hAnsi="Arial" w:cs="Arial"/>
                <w:color w:val="000000"/>
                <w:sz w:val="22"/>
              </w:rPr>
              <w:t>Alldred et al. (2016)</w:t>
            </w:r>
          </w:p>
        </w:tc>
        <w:tc>
          <w:tcPr>
            <w:tcW w:w="1778" w:type="dxa"/>
            <w:vAlign w:val="center"/>
          </w:tcPr>
          <w:p w14:paraId="72A358C8" w14:textId="77777777" w:rsidR="00615590" w:rsidRDefault="00000000">
            <w:pPr>
              <w:spacing w:line="360" w:lineRule="auto"/>
              <w:rPr>
                <w:color w:val="000000"/>
              </w:rPr>
            </w:pPr>
            <w:r>
              <w:rPr>
                <w:rFonts w:ascii="Arial" w:eastAsia="Arial" w:hAnsi="Arial" w:cs="Arial"/>
                <w:color w:val="000000"/>
                <w:sz w:val="22"/>
              </w:rPr>
              <w:t>Systematic review</w:t>
            </w:r>
          </w:p>
        </w:tc>
        <w:tc>
          <w:tcPr>
            <w:tcW w:w="3280" w:type="dxa"/>
            <w:vAlign w:val="center"/>
          </w:tcPr>
          <w:p w14:paraId="7F91E6AA" w14:textId="77777777" w:rsidR="00615590" w:rsidRDefault="00000000">
            <w:pPr>
              <w:spacing w:line="360" w:lineRule="auto"/>
              <w:rPr>
                <w:color w:val="000000"/>
              </w:rPr>
            </w:pPr>
            <w:r>
              <w:rPr>
                <w:rFonts w:ascii="Arial" w:eastAsia="Arial" w:hAnsi="Arial" w:cs="Arial"/>
                <w:color w:val="000000"/>
                <w:sz w:val="22"/>
              </w:rPr>
              <w:t>Poor communication and training contributed to errors</w:t>
            </w:r>
          </w:p>
        </w:tc>
        <w:tc>
          <w:tcPr>
            <w:tcW w:w="2187" w:type="dxa"/>
            <w:vAlign w:val="center"/>
          </w:tcPr>
          <w:p w14:paraId="1B4B0B42" w14:textId="77777777" w:rsidR="00615590" w:rsidRDefault="00000000">
            <w:pPr>
              <w:spacing w:line="360" w:lineRule="auto"/>
              <w:rPr>
                <w:color w:val="000000"/>
              </w:rPr>
            </w:pPr>
            <w:r>
              <w:rPr>
                <w:rFonts w:ascii="Arial" w:eastAsia="Arial" w:hAnsi="Arial" w:cs="Arial"/>
                <w:color w:val="000000"/>
                <w:sz w:val="22"/>
              </w:rPr>
              <w:t>Some studies lacked consistency</w:t>
            </w:r>
          </w:p>
        </w:tc>
      </w:tr>
      <w:tr w:rsidR="00615590" w14:paraId="6763F8F8" w14:textId="77777777">
        <w:tc>
          <w:tcPr>
            <w:tcW w:w="1780" w:type="dxa"/>
            <w:vAlign w:val="center"/>
          </w:tcPr>
          <w:p w14:paraId="5B457E15" w14:textId="77777777" w:rsidR="00615590" w:rsidRDefault="00000000">
            <w:pPr>
              <w:spacing w:line="360" w:lineRule="auto"/>
              <w:rPr>
                <w:color w:val="000000"/>
              </w:rPr>
            </w:pPr>
            <w:r>
              <w:rPr>
                <w:rFonts w:ascii="Arial" w:eastAsia="Arial" w:hAnsi="Arial" w:cs="Arial"/>
                <w:color w:val="000000"/>
                <w:sz w:val="22"/>
              </w:rPr>
              <w:t>Elliott et al. (2021)</w:t>
            </w:r>
          </w:p>
        </w:tc>
        <w:tc>
          <w:tcPr>
            <w:tcW w:w="1778" w:type="dxa"/>
            <w:vAlign w:val="center"/>
          </w:tcPr>
          <w:p w14:paraId="1402C638" w14:textId="77777777" w:rsidR="00615590" w:rsidRDefault="00000000">
            <w:pPr>
              <w:spacing w:line="360" w:lineRule="auto"/>
              <w:rPr>
                <w:color w:val="000000"/>
              </w:rPr>
            </w:pPr>
            <w:r>
              <w:rPr>
                <w:rFonts w:ascii="Arial" w:eastAsia="Arial" w:hAnsi="Arial" w:cs="Arial"/>
                <w:color w:val="000000"/>
                <w:sz w:val="22"/>
              </w:rPr>
              <w:t>Systematic review</w:t>
            </w:r>
          </w:p>
        </w:tc>
        <w:tc>
          <w:tcPr>
            <w:tcW w:w="3280" w:type="dxa"/>
            <w:vAlign w:val="center"/>
          </w:tcPr>
          <w:p w14:paraId="497B1CF9" w14:textId="77777777" w:rsidR="00615590" w:rsidRDefault="00000000">
            <w:pPr>
              <w:spacing w:line="360" w:lineRule="auto"/>
              <w:rPr>
                <w:color w:val="000000"/>
              </w:rPr>
            </w:pPr>
            <w:r>
              <w:rPr>
                <w:rFonts w:ascii="Arial" w:eastAsia="Arial" w:hAnsi="Arial" w:cs="Arial"/>
                <w:color w:val="000000"/>
                <w:sz w:val="22"/>
              </w:rPr>
              <w:t>Polypharmacy increased medication-related harm</w:t>
            </w:r>
          </w:p>
        </w:tc>
        <w:tc>
          <w:tcPr>
            <w:tcW w:w="2187" w:type="dxa"/>
            <w:vAlign w:val="center"/>
          </w:tcPr>
          <w:p w14:paraId="13135301" w14:textId="77777777" w:rsidR="00615590" w:rsidRDefault="00000000">
            <w:pPr>
              <w:spacing w:line="360" w:lineRule="auto"/>
              <w:rPr>
                <w:color w:val="000000"/>
              </w:rPr>
            </w:pPr>
            <w:r>
              <w:rPr>
                <w:rFonts w:ascii="Arial" w:eastAsia="Arial" w:hAnsi="Arial" w:cs="Arial"/>
                <w:color w:val="000000"/>
                <w:sz w:val="22"/>
              </w:rPr>
              <w:t>Limited UK-specific focus</w:t>
            </w:r>
          </w:p>
        </w:tc>
      </w:tr>
      <w:tr w:rsidR="00615590" w14:paraId="7E7CBAD3" w14:textId="77777777">
        <w:tc>
          <w:tcPr>
            <w:tcW w:w="1780" w:type="dxa"/>
            <w:vAlign w:val="center"/>
          </w:tcPr>
          <w:p w14:paraId="0153375C" w14:textId="77777777" w:rsidR="00615590" w:rsidRDefault="00000000">
            <w:pPr>
              <w:spacing w:line="360" w:lineRule="auto"/>
              <w:rPr>
                <w:color w:val="000000"/>
              </w:rPr>
            </w:pPr>
            <w:r>
              <w:rPr>
                <w:rFonts w:ascii="Arial" w:eastAsia="Arial" w:hAnsi="Arial" w:cs="Arial"/>
                <w:color w:val="000000"/>
                <w:sz w:val="22"/>
              </w:rPr>
              <w:t>Szczepura et al. (2011)</w:t>
            </w:r>
          </w:p>
        </w:tc>
        <w:tc>
          <w:tcPr>
            <w:tcW w:w="1778" w:type="dxa"/>
            <w:vAlign w:val="center"/>
          </w:tcPr>
          <w:p w14:paraId="707F8229" w14:textId="77777777" w:rsidR="00615590" w:rsidRDefault="00000000">
            <w:pPr>
              <w:spacing w:line="360" w:lineRule="auto"/>
              <w:rPr>
                <w:color w:val="000000"/>
              </w:rPr>
            </w:pPr>
            <w:r>
              <w:rPr>
                <w:rFonts w:ascii="Arial" w:eastAsia="Arial" w:hAnsi="Arial" w:cs="Arial"/>
                <w:color w:val="000000"/>
                <w:sz w:val="22"/>
              </w:rPr>
              <w:t>Qualitative study</w:t>
            </w:r>
          </w:p>
        </w:tc>
        <w:tc>
          <w:tcPr>
            <w:tcW w:w="3280" w:type="dxa"/>
            <w:vAlign w:val="center"/>
          </w:tcPr>
          <w:p w14:paraId="66B15282" w14:textId="77777777" w:rsidR="00615590" w:rsidRDefault="00000000">
            <w:pPr>
              <w:spacing w:line="360" w:lineRule="auto"/>
              <w:rPr>
                <w:color w:val="000000"/>
              </w:rPr>
            </w:pPr>
            <w:r>
              <w:rPr>
                <w:rFonts w:ascii="Arial" w:eastAsia="Arial" w:hAnsi="Arial" w:cs="Arial"/>
                <w:color w:val="000000"/>
                <w:sz w:val="22"/>
              </w:rPr>
              <w:t>Staff interruptions and workload increased risk</w:t>
            </w:r>
          </w:p>
        </w:tc>
        <w:tc>
          <w:tcPr>
            <w:tcW w:w="2187" w:type="dxa"/>
            <w:vAlign w:val="center"/>
          </w:tcPr>
          <w:p w14:paraId="3BB73518" w14:textId="77777777" w:rsidR="00615590" w:rsidRDefault="00000000">
            <w:pPr>
              <w:spacing w:line="360" w:lineRule="auto"/>
              <w:rPr>
                <w:color w:val="000000"/>
              </w:rPr>
            </w:pPr>
            <w:r>
              <w:rPr>
                <w:rFonts w:ascii="Arial" w:eastAsia="Arial" w:hAnsi="Arial" w:cs="Arial"/>
                <w:color w:val="000000"/>
                <w:sz w:val="22"/>
              </w:rPr>
              <w:t>Small sample size</w:t>
            </w:r>
          </w:p>
        </w:tc>
      </w:tr>
      <w:tr w:rsidR="00615590" w14:paraId="56E8DE85" w14:textId="77777777">
        <w:tc>
          <w:tcPr>
            <w:tcW w:w="1780" w:type="dxa"/>
            <w:vAlign w:val="center"/>
          </w:tcPr>
          <w:p w14:paraId="12181A14" w14:textId="77777777" w:rsidR="00615590" w:rsidRDefault="00000000">
            <w:pPr>
              <w:spacing w:line="360" w:lineRule="auto"/>
              <w:rPr>
                <w:color w:val="000000"/>
              </w:rPr>
            </w:pPr>
            <w:r>
              <w:rPr>
                <w:rFonts w:ascii="Arial" w:eastAsia="Arial" w:hAnsi="Arial" w:cs="Arial"/>
                <w:color w:val="000000"/>
                <w:sz w:val="22"/>
              </w:rPr>
              <w:t>Patterson et al. (2020)</w:t>
            </w:r>
          </w:p>
        </w:tc>
        <w:tc>
          <w:tcPr>
            <w:tcW w:w="1778" w:type="dxa"/>
            <w:vAlign w:val="center"/>
          </w:tcPr>
          <w:p w14:paraId="41AD3A9F" w14:textId="77777777" w:rsidR="00615590" w:rsidRDefault="00000000">
            <w:pPr>
              <w:spacing w:line="360" w:lineRule="auto"/>
              <w:rPr>
                <w:color w:val="000000"/>
              </w:rPr>
            </w:pPr>
            <w:r>
              <w:rPr>
                <w:rFonts w:ascii="Arial" w:eastAsia="Arial" w:hAnsi="Arial" w:cs="Arial"/>
                <w:color w:val="000000"/>
                <w:sz w:val="22"/>
              </w:rPr>
              <w:t>Mixed-method study</w:t>
            </w:r>
          </w:p>
        </w:tc>
        <w:tc>
          <w:tcPr>
            <w:tcW w:w="3280" w:type="dxa"/>
            <w:vAlign w:val="center"/>
          </w:tcPr>
          <w:p w14:paraId="2DAEB8EF" w14:textId="77777777" w:rsidR="00615590" w:rsidRDefault="00000000">
            <w:pPr>
              <w:spacing w:line="360" w:lineRule="auto"/>
              <w:rPr>
                <w:color w:val="000000"/>
              </w:rPr>
            </w:pPr>
            <w:r>
              <w:rPr>
                <w:rFonts w:ascii="Arial" w:eastAsia="Arial" w:hAnsi="Arial" w:cs="Arial"/>
                <w:color w:val="000000"/>
                <w:sz w:val="22"/>
              </w:rPr>
              <w:t>Electronic MAR systems improved documentation</w:t>
            </w:r>
          </w:p>
        </w:tc>
        <w:tc>
          <w:tcPr>
            <w:tcW w:w="2187" w:type="dxa"/>
            <w:vAlign w:val="center"/>
          </w:tcPr>
          <w:p w14:paraId="22F97421" w14:textId="77777777" w:rsidR="00615590" w:rsidRDefault="00000000">
            <w:pPr>
              <w:spacing w:line="360" w:lineRule="auto"/>
              <w:rPr>
                <w:color w:val="000000"/>
              </w:rPr>
            </w:pPr>
            <w:r>
              <w:rPr>
                <w:rFonts w:ascii="Arial" w:eastAsia="Arial" w:hAnsi="Arial" w:cs="Arial"/>
                <w:color w:val="000000"/>
                <w:sz w:val="22"/>
              </w:rPr>
              <w:t>Technology barriers remained</w:t>
            </w:r>
          </w:p>
        </w:tc>
      </w:tr>
    </w:tbl>
    <w:p w14:paraId="3EAD6790" w14:textId="072EE728" w:rsidR="00615590" w:rsidRPr="00715EE8" w:rsidRDefault="00616EDB">
      <w:pPr>
        <w:spacing w:line="360" w:lineRule="auto"/>
        <w:rPr>
          <w:rFonts w:ascii="Arial" w:hAnsi="Arial" w:cs="Arial"/>
          <w:color w:val="000000"/>
          <w:sz w:val="22"/>
          <w:szCs w:val="22"/>
        </w:rPr>
      </w:pPr>
      <w:r>
        <w:rPr>
          <w:noProof/>
        </w:rPr>
        <w:lastRenderedPageBreak/>
        <w:drawing>
          <wp:inline distT="0" distB="0" distL="0" distR="0" wp14:anchorId="554137A4" wp14:editId="5CF472C7">
            <wp:extent cx="5731510" cy="6387465"/>
            <wp:effectExtent l="0" t="0" r="0" b="635"/>
            <wp:docPr id="167931303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313039" name="Picture 1679313039"/>
                    <pic:cNvPicPr/>
                  </pic:nvPicPr>
                  <pic:blipFill>
                    <a:blip r:embed="rId8">
                      <a:extLst>
                        <a:ext uri="{28A0092B-C50C-407E-A947-70E740481C1C}">
                          <a14:useLocalDpi xmlns:a14="http://schemas.microsoft.com/office/drawing/2010/main" val="0"/>
                        </a:ext>
                      </a:extLst>
                    </a:blip>
                    <a:stretch>
                      <a:fillRect/>
                    </a:stretch>
                  </pic:blipFill>
                  <pic:spPr>
                    <a:xfrm>
                      <a:off x="0" y="0"/>
                      <a:ext cx="5731510" cy="6387465"/>
                    </a:xfrm>
                    <a:prstGeom prst="rect">
                      <a:avLst/>
                    </a:prstGeom>
                  </pic:spPr>
                </pic:pic>
              </a:graphicData>
            </a:graphic>
          </wp:inline>
        </w:drawing>
      </w:r>
      <w:r>
        <w:rPr>
          <w:rFonts w:ascii="-webkit-standard" w:hAnsi="-webkit-standard"/>
          <w:color w:val="000000"/>
          <w:sz w:val="27"/>
          <w:szCs w:val="27"/>
        </w:rPr>
        <w:t xml:space="preserve"> </w:t>
      </w:r>
      <w:r>
        <w:rPr>
          <w:rFonts w:ascii="Arial" w:hAnsi="Arial" w:cs="Arial"/>
          <w:color w:val="000000"/>
          <w:sz w:val="22"/>
          <w:szCs w:val="22"/>
        </w:rPr>
        <w:t>Figure 1: ScreenShot with Summary of the five studies included in the scoping review (Ioan Ciprian Tanase own work)</w:t>
      </w:r>
    </w:p>
    <w:p w14:paraId="2E204D03" w14:textId="77777777" w:rsidR="00715EE8" w:rsidRDefault="00715EE8">
      <w:pPr>
        <w:pStyle w:val="Heading2"/>
        <w:spacing w:line="360" w:lineRule="auto"/>
        <w:rPr>
          <w:rFonts w:ascii="Arial" w:eastAsia="Arial" w:hAnsi="Arial" w:cs="Arial"/>
          <w:b/>
          <w:color w:val="000000"/>
          <w:sz w:val="28"/>
        </w:rPr>
      </w:pPr>
    </w:p>
    <w:p w14:paraId="5661EEB0" w14:textId="77777777" w:rsidR="00715EE8" w:rsidRDefault="00715EE8">
      <w:pPr>
        <w:pStyle w:val="Heading2"/>
        <w:spacing w:line="360" w:lineRule="auto"/>
        <w:rPr>
          <w:rFonts w:ascii="Arial" w:eastAsia="Arial" w:hAnsi="Arial" w:cs="Arial"/>
          <w:b/>
          <w:color w:val="000000"/>
          <w:sz w:val="28"/>
        </w:rPr>
      </w:pPr>
    </w:p>
    <w:p w14:paraId="1D6AD196" w14:textId="7F6164B8" w:rsidR="00615590" w:rsidRDefault="00000000">
      <w:pPr>
        <w:pStyle w:val="Heading2"/>
        <w:spacing w:line="360" w:lineRule="auto"/>
        <w:rPr>
          <w:color w:val="000000"/>
        </w:rPr>
      </w:pPr>
      <w:r>
        <w:rPr>
          <w:rFonts w:ascii="Arial" w:eastAsia="Arial" w:hAnsi="Arial" w:cs="Arial"/>
          <w:b/>
          <w:color w:val="000000"/>
          <w:sz w:val="28"/>
        </w:rPr>
        <w:t>Theme 1 – Staffing Shortages and Workload Pressures</w:t>
      </w:r>
    </w:p>
    <w:p w14:paraId="25F72BE7" w14:textId="77777777" w:rsidR="00615590" w:rsidRDefault="00000000">
      <w:pPr>
        <w:pStyle w:val="NormalWeb"/>
        <w:spacing w:before="280" w:after="280" w:line="360" w:lineRule="auto"/>
        <w:rPr>
          <w:color w:val="000000"/>
        </w:rPr>
      </w:pPr>
      <w:r>
        <w:rPr>
          <w:rFonts w:ascii="Arial" w:eastAsia="Arial" w:hAnsi="Arial" w:cs="Arial"/>
          <w:color w:val="000000"/>
          <w:sz w:val="22"/>
        </w:rPr>
        <w:t>A major theme identified within the literature was the impact of staffing shortages and excessive workloads on medication safety.</w:t>
      </w:r>
    </w:p>
    <w:p w14:paraId="54CA6596" w14:textId="77777777" w:rsidR="00715EE8" w:rsidRDefault="00000000">
      <w:pPr>
        <w:pStyle w:val="NormalWeb"/>
        <w:spacing w:before="280" w:after="280" w:line="360" w:lineRule="auto"/>
        <w:rPr>
          <w:rFonts w:ascii="Arial" w:eastAsia="Arial" w:hAnsi="Arial" w:cs="Arial"/>
          <w:color w:val="000000"/>
          <w:sz w:val="22"/>
        </w:rPr>
      </w:pPr>
      <w:r>
        <w:rPr>
          <w:rFonts w:ascii="Arial" w:eastAsia="Arial" w:hAnsi="Arial" w:cs="Arial"/>
          <w:color w:val="000000"/>
          <w:sz w:val="22"/>
        </w:rPr>
        <w:t>Several studies reported that care-home staff often experience significant pressure during medication rounds, particularly during morning and evening administration times.</w:t>
      </w:r>
    </w:p>
    <w:p w14:paraId="165C108A" w14:textId="2D669E0F" w:rsidR="00615590" w:rsidRDefault="00000000">
      <w:pPr>
        <w:pStyle w:val="NormalWeb"/>
        <w:spacing w:before="280" w:after="280" w:line="360" w:lineRule="auto"/>
        <w:rPr>
          <w:color w:val="000000"/>
        </w:rPr>
      </w:pPr>
      <w:r>
        <w:rPr>
          <w:rFonts w:ascii="Arial" w:eastAsia="Arial" w:hAnsi="Arial" w:cs="Arial"/>
          <w:color w:val="000000"/>
          <w:sz w:val="22"/>
        </w:rPr>
        <w:t xml:space="preserve"> Szczepura et al. (2011) found that rushed working environments reduced staff concentration and increased the likelihood of administration errors.</w:t>
      </w:r>
    </w:p>
    <w:p w14:paraId="64F34CE1" w14:textId="77777777" w:rsidR="00615590" w:rsidRDefault="00000000">
      <w:pPr>
        <w:pStyle w:val="NormalWeb"/>
        <w:spacing w:before="280" w:after="280" w:line="360" w:lineRule="auto"/>
        <w:rPr>
          <w:color w:val="000000"/>
        </w:rPr>
      </w:pPr>
      <w:r>
        <w:rPr>
          <w:rFonts w:ascii="Arial" w:eastAsia="Arial" w:hAnsi="Arial" w:cs="Arial"/>
          <w:color w:val="000000"/>
          <w:sz w:val="22"/>
        </w:rPr>
        <w:t>Care workers may be responsible for supporting multiple residents while simultaneously administering medicines, completing documentation and responding to emergencies. Understaffing can therefore create situations where staff feel pressured to complete medication rounds quickly.</w:t>
      </w:r>
    </w:p>
    <w:p w14:paraId="64D95044" w14:textId="77777777" w:rsidR="00615590" w:rsidRDefault="00000000">
      <w:pPr>
        <w:pStyle w:val="NormalWeb"/>
        <w:spacing w:before="280" w:after="280" w:line="360" w:lineRule="auto"/>
        <w:rPr>
          <w:color w:val="000000"/>
        </w:rPr>
      </w:pPr>
      <w:r>
        <w:rPr>
          <w:rFonts w:ascii="Arial" w:eastAsia="Arial" w:hAnsi="Arial" w:cs="Arial"/>
          <w:color w:val="000000"/>
          <w:sz w:val="22"/>
        </w:rPr>
        <w:t>Barber et al. (2009) also suggested that workload pressures contributed to missed doses and documentation mistakes. In some situations, staff interruptions during medication rounds increased the possibility of residents receiving incorrect medications.</w:t>
      </w:r>
    </w:p>
    <w:p w14:paraId="7FE93C8E" w14:textId="77777777" w:rsidR="00615590" w:rsidRDefault="00000000">
      <w:pPr>
        <w:pStyle w:val="NormalWeb"/>
        <w:spacing w:before="280" w:after="280" w:line="360" w:lineRule="auto"/>
        <w:rPr>
          <w:color w:val="000000"/>
        </w:rPr>
      </w:pPr>
      <w:r>
        <w:rPr>
          <w:rFonts w:ascii="Arial" w:eastAsia="Arial" w:hAnsi="Arial" w:cs="Arial"/>
          <w:color w:val="000000"/>
          <w:sz w:val="22"/>
        </w:rPr>
        <w:t>The literature suggests that staffing levels have a direct relationship with medication safety and patient outcomes.</w:t>
      </w:r>
    </w:p>
    <w:p w14:paraId="31C51D75" w14:textId="3242C1FA" w:rsidR="00615590" w:rsidRDefault="00615590">
      <w:pPr>
        <w:spacing w:line="360" w:lineRule="auto"/>
      </w:pPr>
    </w:p>
    <w:p w14:paraId="7207CD5E" w14:textId="77777777" w:rsidR="00615590" w:rsidRDefault="00000000">
      <w:pPr>
        <w:pStyle w:val="Heading2"/>
        <w:spacing w:line="360" w:lineRule="auto"/>
        <w:rPr>
          <w:color w:val="000000"/>
        </w:rPr>
      </w:pPr>
      <w:r>
        <w:rPr>
          <w:rFonts w:ascii="Arial" w:eastAsia="Arial" w:hAnsi="Arial" w:cs="Arial"/>
          <w:b/>
          <w:color w:val="000000"/>
          <w:sz w:val="28"/>
        </w:rPr>
        <w:t>Theme 2 – Training and Competency</w:t>
      </w:r>
    </w:p>
    <w:p w14:paraId="305E945F" w14:textId="77777777" w:rsidR="00615590" w:rsidRDefault="00000000">
      <w:pPr>
        <w:pStyle w:val="NormalWeb"/>
        <w:spacing w:before="280" w:after="280" w:line="360" w:lineRule="auto"/>
        <w:rPr>
          <w:color w:val="000000"/>
        </w:rPr>
      </w:pPr>
      <w:r>
        <w:rPr>
          <w:rFonts w:ascii="Arial" w:eastAsia="Arial" w:hAnsi="Arial" w:cs="Arial"/>
          <w:color w:val="000000"/>
          <w:sz w:val="22"/>
        </w:rPr>
        <w:t>Training and competency represented another important theme across the selected studies.</w:t>
      </w:r>
    </w:p>
    <w:p w14:paraId="376ED8DA" w14:textId="77777777" w:rsidR="00615590" w:rsidRDefault="00000000">
      <w:pPr>
        <w:pStyle w:val="NormalWeb"/>
        <w:spacing w:before="280" w:after="280" w:line="360" w:lineRule="auto"/>
        <w:rPr>
          <w:color w:val="000000"/>
        </w:rPr>
      </w:pPr>
      <w:r>
        <w:rPr>
          <w:rFonts w:ascii="Arial" w:eastAsia="Arial" w:hAnsi="Arial" w:cs="Arial"/>
          <w:color w:val="000000"/>
          <w:sz w:val="22"/>
        </w:rPr>
        <w:t>Alldred et al. (2016) reported that insufficient medication training contributed significantly to medication-related problems within care homes. Some staff lacked confidence when administering complex medications or controlled drugs.</w:t>
      </w:r>
    </w:p>
    <w:p w14:paraId="328202F4" w14:textId="77777777" w:rsidR="00615590" w:rsidRDefault="00000000">
      <w:pPr>
        <w:pStyle w:val="NormalWeb"/>
        <w:spacing w:before="280" w:after="280" w:line="360" w:lineRule="auto"/>
        <w:rPr>
          <w:color w:val="000000"/>
        </w:rPr>
      </w:pPr>
      <w:r>
        <w:rPr>
          <w:rFonts w:ascii="Arial" w:eastAsia="Arial" w:hAnsi="Arial" w:cs="Arial"/>
          <w:color w:val="000000"/>
          <w:sz w:val="22"/>
        </w:rPr>
        <w:t>Training is particularly important because medication administration requires knowledge of dosage instructions, side effects, PRN medication procedures and safe-recording practices.</w:t>
      </w:r>
    </w:p>
    <w:p w14:paraId="40B829BA" w14:textId="77777777" w:rsidR="00615590" w:rsidRDefault="00000000">
      <w:pPr>
        <w:pStyle w:val="NormalWeb"/>
        <w:spacing w:before="280" w:after="280" w:line="360" w:lineRule="auto"/>
        <w:rPr>
          <w:color w:val="000000"/>
        </w:rPr>
      </w:pPr>
      <w:r>
        <w:rPr>
          <w:rFonts w:ascii="Arial" w:eastAsia="Arial" w:hAnsi="Arial" w:cs="Arial"/>
          <w:color w:val="000000"/>
          <w:sz w:val="22"/>
        </w:rPr>
        <w:lastRenderedPageBreak/>
        <w:t>The literature also suggested that competency assessments were not always completed consistently across care organisations. Some studies identified variation in medication-training standards between care providers.</w:t>
      </w:r>
    </w:p>
    <w:p w14:paraId="74258B4D" w14:textId="77777777" w:rsidR="00615590" w:rsidRDefault="00000000">
      <w:pPr>
        <w:pStyle w:val="NormalWeb"/>
        <w:spacing w:before="280" w:after="280" w:line="360" w:lineRule="auto"/>
        <w:rPr>
          <w:color w:val="000000"/>
        </w:rPr>
      </w:pPr>
      <w:r>
        <w:rPr>
          <w:rFonts w:ascii="Arial" w:eastAsia="Arial" w:hAnsi="Arial" w:cs="Arial"/>
          <w:color w:val="000000"/>
          <w:sz w:val="22"/>
        </w:rPr>
        <w:t>Elliott et al. (2021) argued that ongoing refresher training and competency assessments could reduce administration errors and improve patient safety.</w:t>
      </w:r>
    </w:p>
    <w:p w14:paraId="5F5DF4CB" w14:textId="77777777" w:rsidR="00615590" w:rsidRDefault="00000000">
      <w:pPr>
        <w:pStyle w:val="NormalWeb"/>
        <w:spacing w:before="280" w:after="280" w:line="360" w:lineRule="auto"/>
        <w:rPr>
          <w:color w:val="000000"/>
        </w:rPr>
      </w:pPr>
      <w:r>
        <w:rPr>
          <w:rFonts w:ascii="Arial" w:eastAsia="Arial" w:hAnsi="Arial" w:cs="Arial"/>
          <w:color w:val="000000"/>
          <w:sz w:val="22"/>
        </w:rPr>
        <w:t>Overall, the findings indicate that staff education and competency are essential components of safe medicines management.</w:t>
      </w:r>
    </w:p>
    <w:p w14:paraId="3284F846" w14:textId="3C235363" w:rsidR="00615590" w:rsidRDefault="00615590">
      <w:pPr>
        <w:spacing w:line="360" w:lineRule="auto"/>
      </w:pPr>
    </w:p>
    <w:p w14:paraId="323557D1" w14:textId="77777777" w:rsidR="00615590" w:rsidRDefault="00000000">
      <w:pPr>
        <w:pStyle w:val="Heading2"/>
        <w:spacing w:line="360" w:lineRule="auto"/>
        <w:rPr>
          <w:color w:val="000000"/>
        </w:rPr>
      </w:pPr>
      <w:r>
        <w:rPr>
          <w:rFonts w:ascii="Arial" w:eastAsia="Arial" w:hAnsi="Arial" w:cs="Arial"/>
          <w:b/>
          <w:color w:val="000000"/>
          <w:sz w:val="28"/>
        </w:rPr>
        <w:t>Theme 3 – Communication Failures</w:t>
      </w:r>
    </w:p>
    <w:p w14:paraId="4376C438" w14:textId="77777777" w:rsidR="00615590" w:rsidRDefault="00000000">
      <w:pPr>
        <w:pStyle w:val="NormalWeb"/>
        <w:spacing w:before="280" w:after="280" w:line="360" w:lineRule="auto"/>
        <w:rPr>
          <w:color w:val="000000"/>
        </w:rPr>
      </w:pPr>
      <w:r>
        <w:rPr>
          <w:rFonts w:ascii="Arial" w:eastAsia="Arial" w:hAnsi="Arial" w:cs="Arial"/>
          <w:color w:val="000000"/>
          <w:sz w:val="22"/>
        </w:rPr>
        <w:t>Communication failures were repeatedly identified as a cause of medication errors.</w:t>
      </w:r>
    </w:p>
    <w:p w14:paraId="3E526346" w14:textId="77777777" w:rsidR="00615590" w:rsidRDefault="00000000">
      <w:pPr>
        <w:pStyle w:val="NormalWeb"/>
        <w:spacing w:before="280" w:after="280" w:line="360" w:lineRule="auto"/>
        <w:rPr>
          <w:color w:val="000000"/>
        </w:rPr>
      </w:pPr>
      <w:r>
        <w:rPr>
          <w:rFonts w:ascii="Arial" w:eastAsia="Arial" w:hAnsi="Arial" w:cs="Arial"/>
          <w:color w:val="000000"/>
          <w:sz w:val="22"/>
        </w:rPr>
        <w:t>Several studies found that poor communication between GPs, pharmacies and care-home staff contributed to incorrect prescriptions, delayed medication changes and inconsistent documentation.</w:t>
      </w:r>
    </w:p>
    <w:p w14:paraId="79B7407B" w14:textId="77777777" w:rsidR="00615590" w:rsidRDefault="00000000">
      <w:pPr>
        <w:pStyle w:val="NormalWeb"/>
        <w:spacing w:before="280" w:after="280" w:line="360" w:lineRule="auto"/>
        <w:rPr>
          <w:color w:val="000000"/>
        </w:rPr>
      </w:pPr>
      <w:r>
        <w:rPr>
          <w:rFonts w:ascii="Arial" w:eastAsia="Arial" w:hAnsi="Arial" w:cs="Arial"/>
          <w:color w:val="000000"/>
          <w:sz w:val="22"/>
        </w:rPr>
        <w:t>Alldred et al. (2016) noted that medication changes were not always communicated clearly between healthcare professionals. This sometimes resulted in outdated MAR charts being used during medication administration.</w:t>
      </w:r>
    </w:p>
    <w:p w14:paraId="0631968A" w14:textId="77777777" w:rsidR="00615590" w:rsidRDefault="00000000">
      <w:pPr>
        <w:pStyle w:val="NormalWeb"/>
        <w:spacing w:before="280" w:after="280" w:line="360" w:lineRule="auto"/>
        <w:rPr>
          <w:color w:val="000000"/>
        </w:rPr>
      </w:pPr>
      <w:r>
        <w:rPr>
          <w:rFonts w:ascii="Arial" w:eastAsia="Arial" w:hAnsi="Arial" w:cs="Arial"/>
          <w:color w:val="000000"/>
          <w:sz w:val="22"/>
        </w:rPr>
        <w:t>Shift handovers were another area where communication problems occurred. Inconsistent handovers between staff members occasionally resulted in missed doses or uncertainty regarding PRN medication administration.</w:t>
      </w:r>
    </w:p>
    <w:p w14:paraId="4BF2C561" w14:textId="6FA23049" w:rsidR="00615590" w:rsidRPr="00715EE8" w:rsidRDefault="00000000" w:rsidP="00715EE8">
      <w:pPr>
        <w:pStyle w:val="NormalWeb"/>
        <w:spacing w:before="280" w:after="280" w:line="360" w:lineRule="auto"/>
        <w:rPr>
          <w:color w:val="000000"/>
        </w:rPr>
      </w:pPr>
      <w:r>
        <w:rPr>
          <w:rFonts w:ascii="Arial" w:eastAsia="Arial" w:hAnsi="Arial" w:cs="Arial"/>
          <w:color w:val="000000"/>
          <w:sz w:val="22"/>
        </w:rPr>
        <w:t>The findings suggest that stronger multidisciplinary communication may improve medication safety within residential settings</w:t>
      </w:r>
    </w:p>
    <w:p w14:paraId="3B8AFFEB" w14:textId="77777777" w:rsidR="00615590" w:rsidRDefault="00000000">
      <w:pPr>
        <w:pStyle w:val="Heading2"/>
        <w:spacing w:line="360" w:lineRule="auto"/>
        <w:rPr>
          <w:color w:val="000000"/>
        </w:rPr>
      </w:pPr>
      <w:r>
        <w:rPr>
          <w:rFonts w:ascii="Arial" w:eastAsia="Arial" w:hAnsi="Arial" w:cs="Arial"/>
          <w:b/>
          <w:color w:val="000000"/>
          <w:sz w:val="28"/>
        </w:rPr>
        <w:t>Theme 4 – Documentation and MAR Chart Errors</w:t>
      </w:r>
    </w:p>
    <w:p w14:paraId="5E88A081" w14:textId="77777777" w:rsidR="00615590" w:rsidRDefault="00000000">
      <w:pPr>
        <w:pStyle w:val="NormalWeb"/>
        <w:spacing w:before="280" w:after="280" w:line="360" w:lineRule="auto"/>
        <w:rPr>
          <w:color w:val="000000"/>
        </w:rPr>
      </w:pPr>
      <w:r>
        <w:rPr>
          <w:rFonts w:ascii="Arial" w:eastAsia="Arial" w:hAnsi="Arial" w:cs="Arial"/>
          <w:color w:val="000000"/>
          <w:sz w:val="22"/>
        </w:rPr>
        <w:t>Documentation problems represented another major theme within the literature.</w:t>
      </w:r>
    </w:p>
    <w:p w14:paraId="3A824F4D" w14:textId="77777777" w:rsidR="00615590" w:rsidRDefault="00000000">
      <w:pPr>
        <w:pStyle w:val="NormalWeb"/>
        <w:spacing w:before="280" w:after="280" w:line="360" w:lineRule="auto"/>
        <w:rPr>
          <w:color w:val="000000"/>
        </w:rPr>
      </w:pPr>
      <w:r>
        <w:rPr>
          <w:rFonts w:ascii="Arial" w:eastAsia="Arial" w:hAnsi="Arial" w:cs="Arial"/>
          <w:color w:val="000000"/>
          <w:sz w:val="22"/>
        </w:rPr>
        <w:t>MAR charts are designed to provide accurate records of medication administration. However, several studies identified missing signatures, incomplete records and incorrect entries.</w:t>
      </w:r>
    </w:p>
    <w:p w14:paraId="34292007" w14:textId="77777777" w:rsidR="00615590" w:rsidRDefault="00000000">
      <w:pPr>
        <w:pStyle w:val="NormalWeb"/>
        <w:spacing w:before="280" w:after="280" w:line="360" w:lineRule="auto"/>
        <w:rPr>
          <w:color w:val="000000"/>
        </w:rPr>
      </w:pPr>
      <w:r>
        <w:rPr>
          <w:rFonts w:ascii="Arial" w:eastAsia="Arial" w:hAnsi="Arial" w:cs="Arial"/>
          <w:color w:val="000000"/>
          <w:sz w:val="22"/>
        </w:rPr>
        <w:lastRenderedPageBreak/>
        <w:t>The CQC (2023) reported that poor medication documentation remains a common issue during inspections of care homes in England.</w:t>
      </w:r>
    </w:p>
    <w:p w14:paraId="30F3E6BD" w14:textId="16016976" w:rsidR="00615590" w:rsidRDefault="00000000">
      <w:pPr>
        <w:pStyle w:val="NormalWeb"/>
        <w:spacing w:before="280" w:after="280" w:line="360" w:lineRule="auto"/>
        <w:rPr>
          <w:color w:val="000000"/>
        </w:rPr>
      </w:pPr>
      <w:r>
        <w:rPr>
          <w:rFonts w:ascii="Arial" w:eastAsia="Arial" w:hAnsi="Arial" w:cs="Arial"/>
          <w:color w:val="000000"/>
          <w:sz w:val="22"/>
        </w:rPr>
        <w:t>Barber et al. (2009) found that administration errors frequently involved failures to record medicines correctly after administration.Inaccurate documentation may create safeguarding risks because care providers cannot demonstrate whether medicines were administered appropriately.</w:t>
      </w:r>
    </w:p>
    <w:p w14:paraId="2F5518E6" w14:textId="16660707" w:rsidR="00615590" w:rsidRDefault="00DC53D8">
      <w:pPr>
        <w:spacing w:line="360" w:lineRule="auto"/>
      </w:pPr>
      <w:r>
        <w:rPr>
          <w:rFonts w:ascii="Arial" w:eastAsia="Arial" w:hAnsi="Arial" w:cs="Arial"/>
          <w:color w:val="000000"/>
          <w:kern w:val="0"/>
          <w:sz w:val="22"/>
          <w:lang w:eastAsia="en-GB"/>
        </w:rPr>
        <w:t>Similar criteria for identifying medication-monitoring errors in care-home residents were developed and confirmed by Alldred et al. (2008), who contend that insufficient monitoring records can mask early warning indications of damage and postpone necessary clinical action. The results show that maintaining correct records is crucial for patient safety and accountability.</w:t>
      </w:r>
    </w:p>
    <w:p w14:paraId="6EA8F90F" w14:textId="77777777" w:rsidR="00615590" w:rsidRDefault="00000000">
      <w:pPr>
        <w:pStyle w:val="Heading2"/>
        <w:spacing w:line="360" w:lineRule="auto"/>
        <w:rPr>
          <w:color w:val="000000"/>
        </w:rPr>
      </w:pPr>
      <w:r>
        <w:rPr>
          <w:rFonts w:ascii="Arial" w:eastAsia="Arial" w:hAnsi="Arial" w:cs="Arial"/>
          <w:b/>
          <w:color w:val="000000"/>
          <w:sz w:val="28"/>
        </w:rPr>
        <w:t>Theme 5 – Digital Medication Systems</w:t>
      </w:r>
    </w:p>
    <w:p w14:paraId="6367958E" w14:textId="77777777" w:rsidR="00615590" w:rsidRDefault="00000000">
      <w:pPr>
        <w:pStyle w:val="NormalWeb"/>
        <w:spacing w:before="280" w:after="280" w:line="360" w:lineRule="auto"/>
        <w:rPr>
          <w:color w:val="000000"/>
        </w:rPr>
      </w:pPr>
      <w:r>
        <w:rPr>
          <w:rFonts w:ascii="Arial" w:eastAsia="Arial" w:hAnsi="Arial" w:cs="Arial"/>
          <w:color w:val="000000"/>
          <w:sz w:val="22"/>
        </w:rPr>
        <w:t>The final theme identified within the literature related to electronic medication systems.</w:t>
      </w:r>
    </w:p>
    <w:p w14:paraId="17E15203" w14:textId="77777777" w:rsidR="00615590" w:rsidRDefault="00000000">
      <w:pPr>
        <w:pStyle w:val="NormalWeb"/>
        <w:spacing w:before="280" w:after="280" w:line="360" w:lineRule="auto"/>
        <w:rPr>
          <w:color w:val="000000"/>
        </w:rPr>
      </w:pPr>
      <w:r>
        <w:rPr>
          <w:rFonts w:ascii="Arial" w:eastAsia="Arial" w:hAnsi="Arial" w:cs="Arial"/>
          <w:color w:val="000000"/>
          <w:sz w:val="22"/>
        </w:rPr>
        <w:t>Patterson et al. (2020) found that electronic MAR systems improved medication documentation and reduced missing signatures. Digital systems also allowed managers to monitor medication rounds more effectively.</w:t>
      </w:r>
    </w:p>
    <w:p w14:paraId="3A14065F" w14:textId="77777777" w:rsidR="00615590" w:rsidRDefault="00000000">
      <w:pPr>
        <w:pStyle w:val="NormalWeb"/>
        <w:spacing w:before="280" w:after="280" w:line="360" w:lineRule="auto"/>
        <w:rPr>
          <w:color w:val="000000"/>
        </w:rPr>
      </w:pPr>
      <w:r>
        <w:rPr>
          <w:rFonts w:ascii="Arial" w:eastAsia="Arial" w:hAnsi="Arial" w:cs="Arial"/>
          <w:color w:val="000000"/>
          <w:sz w:val="22"/>
        </w:rPr>
        <w:t>However, some staff experienced difficulties adapting to electronic systems, particularly older employees with limited technological confidence.</w:t>
      </w:r>
    </w:p>
    <w:p w14:paraId="2D4536B7" w14:textId="77777777" w:rsidR="00615590" w:rsidRDefault="00000000">
      <w:pPr>
        <w:pStyle w:val="NormalWeb"/>
        <w:spacing w:before="280" w:after="280" w:line="360" w:lineRule="auto"/>
        <w:rPr>
          <w:color w:val="000000"/>
        </w:rPr>
      </w:pPr>
      <w:r>
        <w:rPr>
          <w:rFonts w:ascii="Arial" w:eastAsia="Arial" w:hAnsi="Arial" w:cs="Arial"/>
          <w:color w:val="000000"/>
          <w:sz w:val="22"/>
        </w:rPr>
        <w:t>Technical problems and internet failures occasionally disrupted medication administration processes.</w:t>
      </w:r>
    </w:p>
    <w:p w14:paraId="5350D9E7" w14:textId="77777777" w:rsidR="00615590" w:rsidRDefault="00000000">
      <w:pPr>
        <w:pStyle w:val="NormalWeb"/>
        <w:spacing w:before="280" w:after="280" w:line="360" w:lineRule="auto"/>
        <w:rPr>
          <w:color w:val="000000"/>
        </w:rPr>
      </w:pPr>
      <w:r>
        <w:rPr>
          <w:rFonts w:ascii="Arial" w:eastAsia="Arial" w:hAnsi="Arial" w:cs="Arial"/>
          <w:color w:val="000000"/>
          <w:sz w:val="22"/>
        </w:rPr>
        <w:t>Although electronic systems appear to reduce some human errors, the findings suggest that technology alone cannot completely eliminate medication-related risks.</w:t>
      </w:r>
    </w:p>
    <w:p w14:paraId="5FC46170" w14:textId="73A817E9" w:rsidR="00615590" w:rsidRDefault="00615590">
      <w:pPr>
        <w:spacing w:line="360" w:lineRule="auto"/>
      </w:pPr>
    </w:p>
    <w:p w14:paraId="7E4BE203" w14:textId="77777777" w:rsidR="00715EE8" w:rsidRDefault="00715EE8">
      <w:pPr>
        <w:pStyle w:val="Heading1"/>
        <w:spacing w:line="360" w:lineRule="auto"/>
        <w:rPr>
          <w:rFonts w:ascii="Arial" w:eastAsia="Arial" w:hAnsi="Arial" w:cs="Arial"/>
          <w:b/>
          <w:color w:val="000000"/>
          <w:sz w:val="28"/>
        </w:rPr>
      </w:pPr>
      <w:bookmarkStart w:id="4" w:name="__RefHeading___Toc364_207241122"/>
      <w:bookmarkEnd w:id="4"/>
    </w:p>
    <w:p w14:paraId="0BDADC75" w14:textId="060EBBEB" w:rsidR="00615590" w:rsidRDefault="00000000">
      <w:pPr>
        <w:pStyle w:val="Heading1"/>
        <w:spacing w:line="360" w:lineRule="auto"/>
        <w:rPr>
          <w:color w:val="000000"/>
        </w:rPr>
      </w:pPr>
      <w:r>
        <w:rPr>
          <w:rFonts w:ascii="Arial" w:eastAsia="Arial" w:hAnsi="Arial" w:cs="Arial"/>
          <w:b/>
          <w:color w:val="000000"/>
          <w:sz w:val="28"/>
        </w:rPr>
        <w:t>Discussion</w:t>
      </w:r>
    </w:p>
    <w:p w14:paraId="66483504" w14:textId="77777777" w:rsidR="00615590" w:rsidRDefault="00000000">
      <w:pPr>
        <w:pStyle w:val="NormalWeb"/>
        <w:spacing w:before="280" w:after="280" w:line="360" w:lineRule="auto"/>
        <w:rPr>
          <w:rFonts w:ascii="Arial" w:hAnsi="Arial" w:cs="Arial"/>
          <w:color w:val="000000"/>
        </w:rPr>
      </w:pPr>
      <w:r>
        <w:rPr>
          <w:rFonts w:ascii="Arial" w:eastAsia="Arial" w:hAnsi="Arial" w:cs="Arial"/>
          <w:color w:val="000000"/>
          <w:sz w:val="22"/>
        </w:rPr>
        <w:t>The findings of this scoping review demonstrate that medication errors within UK care homes are influenced by multiple organisational and human factors.</w:t>
      </w:r>
    </w:p>
    <w:p w14:paraId="7B26C359" w14:textId="77777777" w:rsidR="00615590" w:rsidRDefault="00000000">
      <w:pPr>
        <w:pStyle w:val="NormalWeb"/>
        <w:spacing w:before="280" w:after="280" w:line="360" w:lineRule="auto"/>
        <w:rPr>
          <w:rFonts w:ascii="Arial" w:hAnsi="Arial" w:cs="Arial"/>
          <w:color w:val="000000"/>
        </w:rPr>
      </w:pPr>
      <w:r>
        <w:rPr>
          <w:rFonts w:ascii="Arial" w:eastAsia="Arial" w:hAnsi="Arial" w:cs="Arial"/>
          <w:color w:val="000000"/>
          <w:sz w:val="22"/>
        </w:rPr>
        <w:t>One of the most consistent findings across the literature was the relationship between staffing pressures and medication safety. Understaffing appeared to increase workload stress and reduce the amount of time available for safe medication administration.</w:t>
      </w:r>
    </w:p>
    <w:p w14:paraId="192138ED" w14:textId="77777777" w:rsidR="00615590" w:rsidRDefault="00000000">
      <w:pPr>
        <w:pStyle w:val="NormalWeb"/>
        <w:spacing w:before="280" w:after="280" w:line="360" w:lineRule="auto"/>
        <w:rPr>
          <w:rFonts w:ascii="Arial" w:hAnsi="Arial" w:cs="Arial"/>
          <w:color w:val="000000"/>
        </w:rPr>
      </w:pPr>
      <w:r>
        <w:rPr>
          <w:rFonts w:ascii="Arial" w:eastAsia="Arial" w:hAnsi="Arial" w:cs="Arial"/>
          <w:color w:val="000000"/>
          <w:sz w:val="22"/>
        </w:rPr>
        <w:t>These findings are consistent with broader research relating to patient safety in health and social care environments. High workloads may reduce concentration and increase fatigue among staff, making errors more likely.</w:t>
      </w:r>
    </w:p>
    <w:p w14:paraId="2A919EDC" w14:textId="77777777" w:rsidR="00615590" w:rsidRDefault="00000000">
      <w:pPr>
        <w:pStyle w:val="NormalWeb"/>
        <w:spacing w:before="280" w:after="280" w:line="360" w:lineRule="auto"/>
        <w:rPr>
          <w:rFonts w:ascii="Arial" w:hAnsi="Arial" w:cs="Arial"/>
          <w:color w:val="000000"/>
        </w:rPr>
      </w:pPr>
      <w:r>
        <w:rPr>
          <w:rFonts w:ascii="Arial" w:eastAsia="Arial" w:hAnsi="Arial" w:cs="Arial"/>
          <w:color w:val="000000"/>
          <w:sz w:val="22"/>
        </w:rPr>
        <w:t>Training and competency also emerged as major factors influencing medication safety. Several studies suggested that staff did not always receive sufficient medication education before being expected to administer medicines independently.</w:t>
      </w:r>
    </w:p>
    <w:p w14:paraId="2F8831B1" w14:textId="77777777" w:rsidR="00615590" w:rsidRDefault="00000000">
      <w:pPr>
        <w:pStyle w:val="NormalWeb"/>
        <w:spacing w:before="280" w:after="280" w:line="360" w:lineRule="auto"/>
        <w:rPr>
          <w:rFonts w:ascii="Arial" w:hAnsi="Arial" w:cs="Arial"/>
          <w:color w:val="000000"/>
        </w:rPr>
      </w:pPr>
      <w:r>
        <w:rPr>
          <w:rFonts w:ascii="Arial" w:eastAsia="Arial" w:hAnsi="Arial" w:cs="Arial"/>
          <w:color w:val="000000"/>
          <w:sz w:val="22"/>
        </w:rPr>
        <w:t>This is particularly important within care homes because residents often receive complex medication regimens involving controlled drugs, PRN medicines and medications requiring careful monitoring.</w:t>
      </w:r>
    </w:p>
    <w:p w14:paraId="16E72FFD" w14:textId="77777777" w:rsidR="00615590" w:rsidRDefault="00000000">
      <w:pPr>
        <w:pStyle w:val="NormalWeb"/>
        <w:spacing w:before="280" w:after="280" w:line="360" w:lineRule="auto"/>
        <w:rPr>
          <w:rFonts w:ascii="Arial" w:hAnsi="Arial" w:cs="Arial"/>
          <w:color w:val="000000"/>
        </w:rPr>
      </w:pPr>
      <w:r>
        <w:rPr>
          <w:rFonts w:ascii="Arial" w:eastAsia="Arial" w:hAnsi="Arial" w:cs="Arial"/>
          <w:color w:val="000000"/>
          <w:sz w:val="22"/>
        </w:rPr>
        <w:t>The findings relating to communication failures highlighted the importance of multidisciplinary working. Effective communication between GPs, pharmacists and care-home staff is necessary to ensure accurate prescribing and administration.</w:t>
      </w:r>
    </w:p>
    <w:p w14:paraId="3E28CAD6" w14:textId="77777777" w:rsidR="00615590" w:rsidRDefault="00000000">
      <w:pPr>
        <w:pStyle w:val="NormalWeb"/>
        <w:spacing w:before="280" w:after="280" w:line="360" w:lineRule="auto"/>
        <w:rPr>
          <w:rFonts w:ascii="Arial" w:hAnsi="Arial" w:cs="Arial"/>
          <w:color w:val="000000"/>
        </w:rPr>
      </w:pPr>
      <w:r>
        <w:rPr>
          <w:rFonts w:ascii="Arial" w:eastAsia="Arial" w:hAnsi="Arial" w:cs="Arial"/>
          <w:color w:val="000000"/>
          <w:sz w:val="22"/>
        </w:rPr>
        <w:t>The review also demonstrated the importance of documentation systems. Poor MAR chart completion may create both clinical and legal risks for care providers.</w:t>
      </w:r>
    </w:p>
    <w:p w14:paraId="3DFA49FC" w14:textId="77777777" w:rsidR="00615590" w:rsidRDefault="00000000">
      <w:pPr>
        <w:pStyle w:val="NormalWeb"/>
        <w:spacing w:before="280" w:after="280" w:line="360" w:lineRule="auto"/>
        <w:rPr>
          <w:rFonts w:ascii="Arial" w:hAnsi="Arial" w:cs="Arial"/>
          <w:color w:val="000000"/>
        </w:rPr>
      </w:pPr>
      <w:r>
        <w:rPr>
          <w:rFonts w:ascii="Arial" w:eastAsia="Arial" w:hAnsi="Arial" w:cs="Arial"/>
          <w:color w:val="000000"/>
          <w:sz w:val="22"/>
        </w:rPr>
        <w:t>Digital medication systems appeared to improve accountability and reduce some documentation errors. However, technology-related problems and staff confidence remained barriers to successful implementation.</w:t>
      </w:r>
    </w:p>
    <w:p w14:paraId="45F52502" w14:textId="77777777" w:rsidR="00615590" w:rsidRDefault="00000000">
      <w:pPr>
        <w:pStyle w:val="NormalWeb"/>
        <w:spacing w:before="280" w:after="280" w:line="360" w:lineRule="auto"/>
        <w:rPr>
          <w:rFonts w:ascii="Arial" w:hAnsi="Arial" w:cs="Arial"/>
          <w:color w:val="000000"/>
        </w:rPr>
      </w:pPr>
      <w:r>
        <w:rPr>
          <w:rFonts w:ascii="Arial" w:eastAsia="Arial" w:hAnsi="Arial" w:cs="Arial"/>
          <w:color w:val="000000"/>
          <w:sz w:val="22"/>
        </w:rPr>
        <w:t>A strength of this scoping review is that it examined multiple peer-reviewed studies from different methodological perspectives. This allowed the identification of recurring themes across the literature.</w:t>
      </w:r>
    </w:p>
    <w:p w14:paraId="68999D1C" w14:textId="77777777" w:rsidR="00615590" w:rsidRDefault="00000000">
      <w:pPr>
        <w:pStyle w:val="NormalWeb"/>
        <w:spacing w:before="280" w:after="280" w:line="360" w:lineRule="auto"/>
        <w:rPr>
          <w:rFonts w:ascii="Arial" w:hAnsi="Arial" w:cs="Arial"/>
          <w:color w:val="000000"/>
        </w:rPr>
      </w:pPr>
      <w:r>
        <w:rPr>
          <w:rFonts w:ascii="Arial" w:eastAsia="Arial" w:hAnsi="Arial" w:cs="Arial"/>
          <w:color w:val="000000"/>
          <w:sz w:val="22"/>
        </w:rPr>
        <w:lastRenderedPageBreak/>
        <w:t>However, the review also has limitations. Some of the selected studies were relatively old, particularly Barber et al. (2009). In addition, some studies included international evidence rather than focusing exclusively on UK care homes.</w:t>
      </w:r>
    </w:p>
    <w:p w14:paraId="682D1DC6" w14:textId="77777777" w:rsidR="00615590" w:rsidRDefault="00000000">
      <w:pPr>
        <w:pStyle w:val="NormalWeb"/>
        <w:spacing w:before="280" w:after="280" w:line="360" w:lineRule="auto"/>
        <w:rPr>
          <w:rFonts w:ascii="Arial" w:hAnsi="Arial" w:cs="Arial"/>
          <w:color w:val="000000"/>
        </w:rPr>
      </w:pPr>
      <w:r>
        <w:rPr>
          <w:rFonts w:ascii="Arial" w:eastAsia="Arial" w:hAnsi="Arial" w:cs="Arial"/>
          <w:color w:val="000000"/>
          <w:sz w:val="22"/>
        </w:rPr>
        <w:t>Another limitation is that the review relied entirely on secondary research and therefore did not involve direct observation of medication practice within care homes.</w:t>
      </w:r>
    </w:p>
    <w:p w14:paraId="25DC36A2" w14:textId="77777777" w:rsidR="00615590" w:rsidRDefault="00000000">
      <w:pPr>
        <w:pStyle w:val="NormalWeb"/>
        <w:spacing w:before="280" w:after="280" w:line="360" w:lineRule="auto"/>
        <w:rPr>
          <w:rFonts w:ascii="Arial" w:hAnsi="Arial" w:cs="Arial"/>
          <w:color w:val="000000"/>
        </w:rPr>
      </w:pPr>
      <w:r>
        <w:rPr>
          <w:rFonts w:ascii="Arial" w:eastAsia="Arial" w:hAnsi="Arial" w:cs="Arial"/>
          <w:color w:val="000000"/>
          <w:sz w:val="22"/>
        </w:rPr>
        <w:t>Despite these limitations, the findings remain highly relevant to UK residential care practice.</w:t>
      </w:r>
    </w:p>
    <w:p w14:paraId="0C28A871" w14:textId="77777777" w:rsidR="00615590" w:rsidRPr="00715EE8" w:rsidRDefault="00000000">
      <w:pPr>
        <w:pStyle w:val="Heading2"/>
        <w:spacing w:line="360" w:lineRule="auto"/>
        <w:rPr>
          <w:rFonts w:ascii="Arial" w:hAnsi="Arial" w:cs="Arial"/>
          <w:bCs/>
          <w:color w:val="000000"/>
          <w:kern w:val="0"/>
          <w:sz w:val="22"/>
          <w:szCs w:val="22"/>
          <w:lang w:eastAsia="en-GB"/>
        </w:rPr>
      </w:pPr>
      <w:r>
        <w:rPr>
          <w:rFonts w:ascii="Arial" w:eastAsia="Arial" w:hAnsi="Arial" w:cs="Arial"/>
          <w:bCs/>
          <w:color w:val="000000"/>
          <w:sz w:val="22"/>
          <w:szCs w:val="22"/>
        </w:rPr>
        <w:t>Medication safety continues to represent an important safeguarding and quality-of-care issue within care homes. The findings suggest that improving staffing levels, training, communication and digital systems may help reduce medication-related harm. Human Factors and Medication Safety</w:t>
      </w:r>
    </w:p>
    <w:p w14:paraId="0ED2A463" w14:textId="77777777" w:rsidR="00615590" w:rsidRDefault="00000000">
      <w:pPr>
        <w:pStyle w:val="NormalWeb"/>
        <w:spacing w:before="280" w:after="280" w:line="360" w:lineRule="auto"/>
        <w:rPr>
          <w:rFonts w:ascii="Arial" w:hAnsi="Arial" w:cs="Arial"/>
          <w:color w:val="000000"/>
        </w:rPr>
      </w:pPr>
      <w:r>
        <w:rPr>
          <w:rFonts w:ascii="Arial" w:eastAsia="Arial" w:hAnsi="Arial" w:cs="Arial"/>
          <w:color w:val="000000"/>
          <w:sz w:val="22"/>
        </w:rPr>
        <w:t>The findings of this review can also be understood through the perspective of Human Factors Theory. Human factors refer to environmental, organisational and individual characteristics that influence human performance and behaviour. Within care-home environments, medication administration is affected by workload, interruptions, stress, fatigue and communication processes.</w:t>
      </w:r>
    </w:p>
    <w:p w14:paraId="41F91952" w14:textId="77777777" w:rsidR="00615590" w:rsidRDefault="00000000">
      <w:pPr>
        <w:pStyle w:val="NormalWeb"/>
        <w:spacing w:before="280" w:after="280" w:line="360" w:lineRule="auto"/>
        <w:rPr>
          <w:rFonts w:ascii="Arial" w:hAnsi="Arial" w:cs="Arial"/>
          <w:color w:val="000000"/>
        </w:rPr>
      </w:pPr>
      <w:r>
        <w:rPr>
          <w:rFonts w:ascii="Arial" w:eastAsia="Arial" w:hAnsi="Arial" w:cs="Arial"/>
          <w:color w:val="000000"/>
          <w:sz w:val="22"/>
        </w:rPr>
        <w:t>Human Factors Theory suggests that errors rarely occur because of a single mistake made by one individual. Instead, they usually result from a combination of system weaknesses and organisational pressures. For example, a medication administration error may occur when a staff member is interrupted during a medication round, working under time pressure and using an outdated MAR chart. Although the final error may be attributed to the individual administering the medication, the underlying causes often involve wider organisational issues.</w:t>
      </w:r>
    </w:p>
    <w:p w14:paraId="0C4D30D7" w14:textId="77777777" w:rsidR="00615590" w:rsidRDefault="00000000">
      <w:pPr>
        <w:pStyle w:val="NormalWeb"/>
        <w:spacing w:before="280" w:after="280" w:line="360" w:lineRule="auto"/>
        <w:rPr>
          <w:rFonts w:ascii="Arial" w:hAnsi="Arial" w:cs="Arial"/>
          <w:color w:val="000000"/>
        </w:rPr>
      </w:pPr>
      <w:r>
        <w:rPr>
          <w:rFonts w:ascii="Arial" w:eastAsia="Arial" w:hAnsi="Arial" w:cs="Arial"/>
          <w:color w:val="000000"/>
          <w:sz w:val="22"/>
        </w:rPr>
        <w:t>This perspective is particularly relevant within residential care because staff frequently manage multiple responsibilities simultaneously. Medication rounds often occur alongside personal care activities, responding to call bells, supporting residents during mealtimes and communicating with healthcare professionals. These competing demands can reduce concentration and increase the likelihood of mistakes.</w:t>
      </w:r>
    </w:p>
    <w:p w14:paraId="1D730E2E" w14:textId="77777777" w:rsidR="00DC53D8" w:rsidRDefault="00DC53D8" w:rsidP="00DC53D8">
      <w:pPr>
        <w:pStyle w:val="NormalWeb"/>
        <w:spacing w:before="280" w:after="280" w:line="360" w:lineRule="auto"/>
        <w:rPr>
          <w:rFonts w:ascii="Arial" w:hAnsi="Arial" w:cs="Arial"/>
          <w:color w:val="000000"/>
          <w:sz w:val="22"/>
          <w:szCs w:val="22"/>
        </w:rPr>
      </w:pPr>
      <w:r>
        <w:rPr>
          <w:rFonts w:ascii="Arial" w:hAnsi="Arial" w:cs="Arial"/>
          <w:color w:val="000000"/>
          <w:sz w:val="22"/>
          <w:szCs w:val="22"/>
        </w:rPr>
        <w:t xml:space="preserve">In order to create safer healthcare systems, Carayon, Xie, and Kianfar (2014) contend that human factors and ergonomics techniques are essential. This includes redesigning medication-administration workflows, equipment, and technology to lower the risk of error at the point of treatment. The study's evaluation of the literature demonstrates the significance </w:t>
      </w:r>
      <w:r>
        <w:rPr>
          <w:rFonts w:ascii="Arial" w:hAnsi="Arial" w:cs="Arial"/>
          <w:color w:val="000000"/>
          <w:sz w:val="22"/>
          <w:szCs w:val="22"/>
        </w:rPr>
        <w:lastRenderedPageBreak/>
        <w:t>of including human factors into efforts for improving pharmaceutical safety.</w:t>
      </w:r>
      <w:r>
        <w:rPr>
          <w:rFonts w:ascii="Arial" w:eastAsia="Arial" w:hAnsi="Arial" w:cs="Arial"/>
          <w:color w:val="000000"/>
          <w:sz w:val="22"/>
          <w:szCs w:val="22"/>
        </w:rPr>
        <w:t xml:space="preserve"> </w:t>
      </w:r>
      <w:r>
        <w:rPr>
          <w:rFonts w:ascii="Arial" w:hAnsi="Arial" w:cs="Arial"/>
          <w:color w:val="000000"/>
          <w:sz w:val="22"/>
          <w:szCs w:val="22"/>
        </w:rPr>
        <w:t>Organisations may neglect to address the systemic reasons of pharmaceutical errors if they only concentrate on individual accountability. On the other hand, businesses may be in a better position to enhance patient safety results if they look at workforce levels, workflow design, communication systems, and training initiatives.</w:t>
      </w:r>
    </w:p>
    <w:p w14:paraId="19C8DBA8" w14:textId="6C8DF814" w:rsidR="00615590" w:rsidRDefault="00000000" w:rsidP="00DC53D8">
      <w:pPr>
        <w:pStyle w:val="NormalWeb"/>
        <w:spacing w:before="280" w:after="280" w:line="360" w:lineRule="auto"/>
        <w:rPr>
          <w:rFonts w:ascii="Arial" w:hAnsi="Arial" w:cs="Arial"/>
          <w:color w:val="000000"/>
        </w:rPr>
      </w:pPr>
      <w:r>
        <w:rPr>
          <w:rFonts w:ascii="Arial" w:eastAsia="Arial" w:hAnsi="Arial" w:cs="Arial"/>
          <w:b/>
          <w:color w:val="000000"/>
          <w:sz w:val="28"/>
        </w:rPr>
        <w:t>The Swiss Cheese Model and Medication Errors</w:t>
      </w:r>
    </w:p>
    <w:p w14:paraId="499F89A8" w14:textId="77777777" w:rsidR="00615590" w:rsidRDefault="00000000">
      <w:pPr>
        <w:pStyle w:val="NormalWeb"/>
        <w:spacing w:before="280" w:after="280" w:line="360" w:lineRule="auto"/>
        <w:rPr>
          <w:rFonts w:ascii="Arial" w:hAnsi="Arial" w:cs="Arial"/>
          <w:color w:val="000000"/>
        </w:rPr>
      </w:pPr>
      <w:r>
        <w:rPr>
          <w:rFonts w:ascii="Arial" w:eastAsia="Arial" w:hAnsi="Arial" w:cs="Arial"/>
          <w:color w:val="000000"/>
          <w:sz w:val="22"/>
        </w:rPr>
        <w:t>Another useful framework for understanding medication errors is the Swiss Cheese Model developed by Reason (2000). This model proposes that healthcare systems contain multiple layers of defence designed to prevent errors from reaching patients. Examples of these defences include prescribing checks, pharmacy verification, medication audits, MAR documentation systems and staff competency assessments.</w:t>
      </w:r>
    </w:p>
    <w:p w14:paraId="0870D2C4" w14:textId="77777777" w:rsidR="00615590" w:rsidRDefault="00000000">
      <w:pPr>
        <w:pStyle w:val="NormalWeb"/>
        <w:spacing w:before="280" w:after="280" w:line="360" w:lineRule="auto"/>
        <w:rPr>
          <w:rFonts w:ascii="Arial" w:hAnsi="Arial" w:cs="Arial"/>
          <w:color w:val="000000"/>
        </w:rPr>
      </w:pPr>
      <w:r>
        <w:rPr>
          <w:rFonts w:ascii="Arial" w:eastAsia="Arial" w:hAnsi="Arial" w:cs="Arial"/>
          <w:color w:val="000000"/>
          <w:sz w:val="22"/>
        </w:rPr>
        <w:t>However, each layer may contain weaknesses or "holes". When several weaknesses align simultaneously, medication errors may pass through all protective barriers and result in patient harm.</w:t>
      </w:r>
    </w:p>
    <w:p w14:paraId="6B526FC9" w14:textId="77777777" w:rsidR="00615590" w:rsidRDefault="00000000">
      <w:pPr>
        <w:pStyle w:val="NormalWeb"/>
        <w:spacing w:before="280" w:after="280" w:line="360" w:lineRule="auto"/>
        <w:rPr>
          <w:rFonts w:ascii="Arial" w:hAnsi="Arial" w:cs="Arial"/>
          <w:color w:val="000000"/>
        </w:rPr>
      </w:pPr>
      <w:r>
        <w:rPr>
          <w:rFonts w:ascii="Arial" w:eastAsia="Arial" w:hAnsi="Arial" w:cs="Arial"/>
          <w:color w:val="000000"/>
          <w:sz w:val="22"/>
        </w:rPr>
        <w:t>Within care homes, an example could involve a GP prescribing an incorrect dosage, a pharmacy dispensing the medication without identifying the error, staff failing to recognise the discrepancy and incomplete documentation preventing effective monitoring. In this situation, several failures occur across different stages of the medication-management process.</w:t>
      </w:r>
    </w:p>
    <w:p w14:paraId="54974FE7" w14:textId="77777777" w:rsidR="00615590" w:rsidRDefault="00000000">
      <w:pPr>
        <w:pStyle w:val="NormalWeb"/>
        <w:spacing w:before="280" w:after="280" w:line="360" w:lineRule="auto"/>
        <w:rPr>
          <w:rFonts w:ascii="Arial" w:hAnsi="Arial" w:cs="Arial"/>
          <w:color w:val="000000"/>
        </w:rPr>
      </w:pPr>
      <w:r>
        <w:rPr>
          <w:rFonts w:ascii="Arial" w:eastAsia="Arial" w:hAnsi="Arial" w:cs="Arial"/>
          <w:color w:val="000000"/>
          <w:sz w:val="22"/>
        </w:rPr>
        <w:t>The Swiss Cheese Model highlights the importance of implementing multiple safeguards rather than relying on a single intervention. This supports findings from the reviewed literature, which suggest that improving medication safety requires coordinated action involving healthcare professionals, managers, pharmacists and frontline care staff.</w:t>
      </w:r>
    </w:p>
    <w:p w14:paraId="4BE141AF" w14:textId="77777777" w:rsidR="00615590" w:rsidRDefault="00000000">
      <w:pPr>
        <w:pStyle w:val="Heading2"/>
        <w:spacing w:line="360" w:lineRule="auto"/>
        <w:rPr>
          <w:rFonts w:ascii="Arial" w:hAnsi="Arial" w:cs="Arial"/>
          <w:color w:val="000000"/>
          <w:sz w:val="24"/>
          <w:szCs w:val="24"/>
        </w:rPr>
      </w:pPr>
      <w:r>
        <w:rPr>
          <w:rFonts w:ascii="Arial" w:eastAsia="Arial" w:hAnsi="Arial" w:cs="Arial"/>
          <w:b/>
          <w:color w:val="000000"/>
          <w:sz w:val="28"/>
          <w:szCs w:val="24"/>
        </w:rPr>
        <w:t>Safety Culture in Care Homes</w:t>
      </w:r>
    </w:p>
    <w:p w14:paraId="1BA1BE94" w14:textId="77777777" w:rsidR="00615590" w:rsidRDefault="00000000">
      <w:pPr>
        <w:pStyle w:val="NormalWeb"/>
        <w:spacing w:before="280" w:after="280" w:line="360" w:lineRule="auto"/>
        <w:rPr>
          <w:rFonts w:ascii="Arial" w:hAnsi="Arial" w:cs="Arial"/>
          <w:color w:val="000000"/>
        </w:rPr>
      </w:pPr>
      <w:r>
        <w:rPr>
          <w:rFonts w:ascii="Arial" w:eastAsia="Arial" w:hAnsi="Arial" w:cs="Arial"/>
          <w:color w:val="000000"/>
          <w:sz w:val="22"/>
        </w:rPr>
        <w:t>Safety culture has become increasingly recognised as an important factor influencing patient outcomes within health and social care settings. A positive safety culture encourages openness, accountability and continuous learning. Staff working within organisations that promote a strong safety culture are generally more willing to report medication incidents, near misses and concerns regarding medication practices.</w:t>
      </w:r>
    </w:p>
    <w:p w14:paraId="2718EBBD" w14:textId="77777777" w:rsidR="00615590" w:rsidRDefault="00000000">
      <w:pPr>
        <w:pStyle w:val="NormalWeb"/>
        <w:spacing w:before="280" w:after="280" w:line="360" w:lineRule="auto"/>
        <w:rPr>
          <w:rFonts w:ascii="Arial" w:hAnsi="Arial" w:cs="Arial"/>
          <w:color w:val="000000"/>
        </w:rPr>
      </w:pPr>
      <w:r>
        <w:rPr>
          <w:rFonts w:ascii="Arial" w:eastAsia="Arial" w:hAnsi="Arial" w:cs="Arial"/>
          <w:color w:val="000000"/>
          <w:sz w:val="22"/>
        </w:rPr>
        <w:lastRenderedPageBreak/>
        <w:t>Incident reporting provides valuable opportunities for learning and service improvement. Near misses are particularly important because they identify potential risks before harm occurs. Organisations that analyse near-miss incidents can implement preventative strategies before more serious medication errors occur.</w:t>
      </w:r>
    </w:p>
    <w:p w14:paraId="75259B73" w14:textId="404F610F" w:rsidR="00615590" w:rsidRDefault="00000000" w:rsidP="00715EE8">
      <w:pPr>
        <w:pStyle w:val="NormalWeb"/>
        <w:spacing w:before="280" w:after="280" w:line="360" w:lineRule="auto"/>
        <w:rPr>
          <w:rFonts w:ascii="Arial" w:eastAsia="Arial" w:hAnsi="Arial" w:cs="Arial"/>
          <w:color w:val="000000"/>
          <w:sz w:val="22"/>
        </w:rPr>
      </w:pPr>
      <w:r>
        <w:rPr>
          <w:rFonts w:ascii="Arial" w:eastAsia="Arial" w:hAnsi="Arial" w:cs="Arial"/>
          <w:color w:val="000000"/>
          <w:sz w:val="22"/>
        </w:rPr>
        <w:t xml:space="preserve">Several studies included within this review suggested that fear of blame may discourage some staff from reporting medication incidents. This can limit organisational learning and reduce opportunities to improve practice. Managers therefore play a critical role in creating environments where staff feel supported when reporting concerns. </w:t>
      </w:r>
      <w:r>
        <w:rPr>
          <w:rFonts w:ascii="Arial" w:hAnsi="Arial" w:cs="Arial"/>
          <w:color w:val="000000"/>
          <w:sz w:val="22"/>
          <w:szCs w:val="22"/>
        </w:rPr>
        <w:t>Marshall et al. (2018), who evaluated a safety-improvement intervention in ninety care facilities in England, confirm this. They discovered that integrating staff training with culture-change activities resulted in quantifiable changes in staff safety priorities and working practices.</w:t>
      </w:r>
      <w:r>
        <w:rPr>
          <w:rFonts w:ascii="Arial" w:eastAsia="Arial" w:hAnsi="Arial" w:cs="Arial"/>
          <w:color w:val="000000"/>
          <w:sz w:val="22"/>
        </w:rPr>
        <w:t>Developing a positive safety culture requires effective leadership, regular supervision, ongoing education and a commitment to continuous quality improvement. Care homes that prioritise safety culture may experience lower rates of medication-related harm and improved outcomes for residents.</w:t>
      </w:r>
    </w:p>
    <w:p w14:paraId="426367FE" w14:textId="77777777" w:rsidR="00CF5C4D" w:rsidRDefault="00CF5C4D" w:rsidP="00715EE8">
      <w:pPr>
        <w:pStyle w:val="NormalWeb"/>
        <w:spacing w:before="280" w:after="280" w:line="360" w:lineRule="auto"/>
        <w:rPr>
          <w:rFonts w:ascii="Arial" w:eastAsia="Arial" w:hAnsi="Arial" w:cs="Arial"/>
          <w:color w:val="000000"/>
          <w:sz w:val="22"/>
        </w:rPr>
      </w:pPr>
    </w:p>
    <w:p w14:paraId="142E1856" w14:textId="77777777" w:rsidR="00CF5C4D" w:rsidRDefault="00CF5C4D" w:rsidP="00715EE8">
      <w:pPr>
        <w:pStyle w:val="NormalWeb"/>
        <w:spacing w:before="280" w:after="280" w:line="360" w:lineRule="auto"/>
        <w:rPr>
          <w:rFonts w:ascii="Arial" w:eastAsia="Arial" w:hAnsi="Arial" w:cs="Arial"/>
          <w:color w:val="000000"/>
          <w:sz w:val="22"/>
        </w:rPr>
      </w:pPr>
    </w:p>
    <w:p w14:paraId="0933286A" w14:textId="77777777" w:rsidR="00CF5C4D" w:rsidRDefault="00CF5C4D" w:rsidP="00715EE8">
      <w:pPr>
        <w:pStyle w:val="NormalWeb"/>
        <w:spacing w:before="280" w:after="280" w:line="360" w:lineRule="auto"/>
        <w:rPr>
          <w:rFonts w:ascii="Arial" w:eastAsia="Arial" w:hAnsi="Arial" w:cs="Arial"/>
          <w:color w:val="000000"/>
          <w:sz w:val="22"/>
        </w:rPr>
      </w:pPr>
    </w:p>
    <w:p w14:paraId="081A6196" w14:textId="77777777" w:rsidR="00CF5C4D" w:rsidRDefault="00CF5C4D" w:rsidP="00715EE8">
      <w:pPr>
        <w:pStyle w:val="NormalWeb"/>
        <w:spacing w:before="280" w:after="280" w:line="360" w:lineRule="auto"/>
        <w:rPr>
          <w:rFonts w:ascii="Arial" w:eastAsia="Arial" w:hAnsi="Arial" w:cs="Arial"/>
          <w:color w:val="000000"/>
          <w:sz w:val="22"/>
        </w:rPr>
      </w:pPr>
    </w:p>
    <w:p w14:paraId="63B88C40" w14:textId="77777777" w:rsidR="00CF5C4D" w:rsidRDefault="00CF5C4D" w:rsidP="00715EE8">
      <w:pPr>
        <w:pStyle w:val="NormalWeb"/>
        <w:spacing w:before="280" w:after="280" w:line="360" w:lineRule="auto"/>
        <w:rPr>
          <w:rFonts w:ascii="Arial" w:eastAsia="Arial" w:hAnsi="Arial" w:cs="Arial"/>
          <w:color w:val="000000"/>
          <w:sz w:val="22"/>
        </w:rPr>
      </w:pPr>
    </w:p>
    <w:p w14:paraId="4661BB7A" w14:textId="77777777" w:rsidR="00CF5C4D" w:rsidRDefault="00CF5C4D" w:rsidP="00715EE8">
      <w:pPr>
        <w:pStyle w:val="NormalWeb"/>
        <w:spacing w:before="280" w:after="280" w:line="360" w:lineRule="auto"/>
        <w:rPr>
          <w:rFonts w:ascii="Arial" w:eastAsia="Arial" w:hAnsi="Arial" w:cs="Arial"/>
          <w:color w:val="000000"/>
          <w:sz w:val="22"/>
        </w:rPr>
      </w:pPr>
    </w:p>
    <w:p w14:paraId="017E777D" w14:textId="77777777" w:rsidR="00CF5C4D" w:rsidRDefault="00CF5C4D" w:rsidP="00715EE8">
      <w:pPr>
        <w:pStyle w:val="NormalWeb"/>
        <w:spacing w:before="280" w:after="280" w:line="360" w:lineRule="auto"/>
        <w:rPr>
          <w:rFonts w:ascii="Arial" w:eastAsia="Arial" w:hAnsi="Arial" w:cs="Arial"/>
          <w:color w:val="000000"/>
          <w:sz w:val="22"/>
        </w:rPr>
      </w:pPr>
    </w:p>
    <w:p w14:paraId="70625A2C" w14:textId="77777777" w:rsidR="00CF5C4D" w:rsidRDefault="00CF5C4D" w:rsidP="00715EE8">
      <w:pPr>
        <w:pStyle w:val="NormalWeb"/>
        <w:spacing w:before="280" w:after="280" w:line="360" w:lineRule="auto"/>
        <w:rPr>
          <w:rFonts w:ascii="Arial" w:eastAsia="Arial" w:hAnsi="Arial" w:cs="Arial"/>
          <w:color w:val="000000"/>
          <w:sz w:val="22"/>
        </w:rPr>
      </w:pPr>
    </w:p>
    <w:p w14:paraId="59D46087" w14:textId="77777777" w:rsidR="00CF5C4D" w:rsidRPr="00715EE8" w:rsidRDefault="00CF5C4D" w:rsidP="00715EE8">
      <w:pPr>
        <w:pStyle w:val="NormalWeb"/>
        <w:spacing w:before="280" w:after="280" w:line="360" w:lineRule="auto"/>
        <w:rPr>
          <w:rFonts w:ascii="Arial" w:hAnsi="Arial" w:cs="Arial"/>
          <w:color w:val="000000"/>
        </w:rPr>
      </w:pPr>
    </w:p>
    <w:p w14:paraId="3EC97E9E" w14:textId="77777777" w:rsidR="00615590" w:rsidRDefault="00000000">
      <w:pPr>
        <w:pStyle w:val="Heading1"/>
        <w:spacing w:line="360" w:lineRule="auto"/>
        <w:rPr>
          <w:color w:val="000000"/>
        </w:rPr>
      </w:pPr>
      <w:bookmarkStart w:id="5" w:name="__RefHeading___Toc366_207241122"/>
      <w:bookmarkEnd w:id="5"/>
      <w:r>
        <w:rPr>
          <w:rFonts w:ascii="Arial" w:eastAsia="Arial" w:hAnsi="Arial" w:cs="Arial"/>
          <w:b/>
          <w:color w:val="000000"/>
          <w:sz w:val="28"/>
        </w:rPr>
        <w:lastRenderedPageBreak/>
        <w:t>6. Conclusion and Recommendations</w:t>
      </w:r>
    </w:p>
    <w:p w14:paraId="530B4658" w14:textId="77777777" w:rsidR="00615590" w:rsidRDefault="00000000">
      <w:pPr>
        <w:pStyle w:val="NormalWeb"/>
        <w:spacing w:before="280" w:after="280" w:line="360" w:lineRule="auto"/>
        <w:rPr>
          <w:color w:val="000000"/>
        </w:rPr>
      </w:pPr>
      <w:r>
        <w:rPr>
          <w:rFonts w:ascii="Arial" w:eastAsia="Arial" w:hAnsi="Arial" w:cs="Arial"/>
          <w:color w:val="000000"/>
          <w:sz w:val="22"/>
        </w:rPr>
        <w:t>This scoping review explored the main causes of medication errors in UK care homes and examined how these errors affect patient safety.</w:t>
      </w:r>
    </w:p>
    <w:p w14:paraId="72967ABA" w14:textId="77777777" w:rsidR="00615590" w:rsidRDefault="00000000">
      <w:pPr>
        <w:pStyle w:val="NormalWeb"/>
        <w:spacing w:before="280" w:after="280" w:line="360" w:lineRule="auto"/>
        <w:rPr>
          <w:color w:val="000000"/>
        </w:rPr>
      </w:pPr>
      <w:r>
        <w:rPr>
          <w:rFonts w:ascii="Arial" w:eastAsia="Arial" w:hAnsi="Arial" w:cs="Arial"/>
          <w:color w:val="000000"/>
          <w:sz w:val="22"/>
        </w:rPr>
        <w:t>The review identified several major contributing factors including staffing shortages, workload pressures, inadequate training, communication failures and poor documentation practices.</w:t>
      </w:r>
    </w:p>
    <w:p w14:paraId="11EF2CD5" w14:textId="77777777" w:rsidR="00615590" w:rsidRDefault="00000000">
      <w:pPr>
        <w:pStyle w:val="NormalWeb"/>
        <w:spacing w:before="280" w:after="280" w:line="360" w:lineRule="auto"/>
        <w:rPr>
          <w:color w:val="000000"/>
        </w:rPr>
      </w:pPr>
      <w:r>
        <w:rPr>
          <w:rFonts w:ascii="Arial" w:eastAsia="Arial" w:hAnsi="Arial" w:cs="Arial"/>
          <w:color w:val="000000"/>
          <w:sz w:val="22"/>
        </w:rPr>
        <w:t>The findings demonstrated that medication errors may negatively affect resident safety, wellbeing and quality of care. Medication-related mistakes may result in deterioration in health, hospital admission and safeguarding concerns.</w:t>
      </w:r>
    </w:p>
    <w:p w14:paraId="1F979337" w14:textId="77777777" w:rsidR="00615590" w:rsidRDefault="00000000">
      <w:pPr>
        <w:pStyle w:val="NormalWeb"/>
        <w:spacing w:before="280" w:after="280" w:line="360" w:lineRule="auto"/>
        <w:rPr>
          <w:color w:val="000000"/>
        </w:rPr>
      </w:pPr>
      <w:r>
        <w:rPr>
          <w:rFonts w:ascii="Arial" w:eastAsia="Arial" w:hAnsi="Arial" w:cs="Arial"/>
          <w:color w:val="000000"/>
          <w:sz w:val="22"/>
        </w:rPr>
        <w:t>The review also highlighted the growing role of digital medication systems in improving documentation accuracy and accountability.</w:t>
      </w:r>
    </w:p>
    <w:p w14:paraId="14F7626D" w14:textId="77777777" w:rsidR="00615590" w:rsidRDefault="00000000">
      <w:pPr>
        <w:pStyle w:val="NormalWeb"/>
        <w:spacing w:before="280" w:after="280" w:line="360" w:lineRule="auto"/>
        <w:rPr>
          <w:color w:val="000000"/>
        </w:rPr>
      </w:pPr>
      <w:r>
        <w:rPr>
          <w:rFonts w:ascii="Arial" w:eastAsia="Arial" w:hAnsi="Arial" w:cs="Arial"/>
          <w:color w:val="000000"/>
          <w:sz w:val="22"/>
        </w:rPr>
        <w:t>However, technology alone cannot eliminate medication errors. Organisational culture, staffing levels and staff competency remain essential components of safe medicines management. The findings of this review have several important implications for practice within UK care homes. Firstly, medication safety should be recognised as a shared responsibility involving care staff, nurses, managers, pharmacists and medical practitioners. Effective medicines management depends upon collaboration between all professionals involved in resident care.</w:t>
      </w:r>
    </w:p>
    <w:p w14:paraId="7187A0F9" w14:textId="77777777" w:rsidR="00615590" w:rsidRDefault="00000000">
      <w:pPr>
        <w:pStyle w:val="NormalWeb"/>
        <w:spacing w:before="280" w:after="280" w:line="360" w:lineRule="auto"/>
        <w:rPr>
          <w:color w:val="000000"/>
        </w:rPr>
      </w:pPr>
      <w:r>
        <w:rPr>
          <w:rFonts w:ascii="Arial" w:eastAsia="Arial" w:hAnsi="Arial" w:cs="Arial"/>
          <w:color w:val="000000"/>
          <w:sz w:val="22"/>
        </w:rPr>
        <w:t>Secondly, organisations should recognise that medication errors are often linked to wider system issues rather than isolated staff mistakes. Addressing staffing shortages, improving communication pathways and strengthening medication training may therefore produce greater improvements in patient safety than focusing exclusively on individual performance.</w:t>
      </w:r>
    </w:p>
    <w:p w14:paraId="7B376531" w14:textId="77777777" w:rsidR="00615590" w:rsidRDefault="00000000">
      <w:pPr>
        <w:pStyle w:val="NormalWeb"/>
        <w:spacing w:before="280" w:after="280" w:line="360" w:lineRule="auto"/>
        <w:rPr>
          <w:color w:val="000000"/>
        </w:rPr>
      </w:pPr>
      <w:r>
        <w:rPr>
          <w:rFonts w:ascii="Arial" w:eastAsia="Arial" w:hAnsi="Arial" w:cs="Arial"/>
          <w:color w:val="000000"/>
          <w:sz w:val="22"/>
        </w:rPr>
        <w:t>Thirdly, regular medication audits should be integrated into quality-assurance processes. Audits can identify recurring documentation issues, training needs and procedural weaknesses before serious incidents occur. Findings from audits should be used to support continuous service improvement and staff development.</w:t>
      </w:r>
    </w:p>
    <w:p w14:paraId="6BC2BC5B" w14:textId="4388007F" w:rsidR="00715EE8" w:rsidRPr="00CF5C4D" w:rsidRDefault="00000000">
      <w:pPr>
        <w:pStyle w:val="NormalWeb"/>
        <w:spacing w:before="280" w:after="280" w:line="360" w:lineRule="auto"/>
        <w:rPr>
          <w:color w:val="000000"/>
        </w:rPr>
      </w:pPr>
      <w:r>
        <w:rPr>
          <w:rFonts w:ascii="Arial" w:eastAsia="Arial" w:hAnsi="Arial" w:cs="Arial"/>
          <w:color w:val="000000"/>
          <w:sz w:val="22"/>
        </w:rPr>
        <w:t>Finally, organisations should continue exploring opportunities to implement digital technologies that improve medicines management. Although electronic systems are not without challenges, evidence suggests that they may reduce documentation errors and improve accountability when supported by appropriate training and leadership.</w:t>
      </w:r>
    </w:p>
    <w:p w14:paraId="5686E061" w14:textId="77777777" w:rsidR="00715EE8" w:rsidRDefault="00715EE8" w:rsidP="00715EE8">
      <w:pPr>
        <w:pStyle w:val="Heading2"/>
        <w:spacing w:line="360" w:lineRule="auto"/>
        <w:rPr>
          <w:color w:val="000000"/>
        </w:rPr>
      </w:pPr>
      <w:r>
        <w:rPr>
          <w:rFonts w:ascii="Arial" w:eastAsia="Arial" w:hAnsi="Arial" w:cs="Arial"/>
          <w:b/>
          <w:color w:val="000000"/>
          <w:sz w:val="28"/>
        </w:rPr>
        <w:lastRenderedPageBreak/>
        <w:t>Recommendation list</w:t>
      </w:r>
    </w:p>
    <w:p w14:paraId="47499AA9" w14:textId="0246A8B4" w:rsidR="00615590" w:rsidRDefault="00000000">
      <w:pPr>
        <w:pStyle w:val="NormalWeb"/>
        <w:spacing w:before="280" w:after="280" w:line="360" w:lineRule="auto"/>
        <w:rPr>
          <w:color w:val="000000"/>
        </w:rPr>
      </w:pPr>
      <w:r>
        <w:rPr>
          <w:rFonts w:ascii="Arial" w:eastAsia="Arial" w:hAnsi="Arial" w:cs="Arial"/>
          <w:color w:val="000000"/>
          <w:sz w:val="22"/>
        </w:rPr>
        <w:t>Based on the findings of this review, several recommendations can be made:</w:t>
      </w:r>
    </w:p>
    <w:p w14:paraId="6DBF1F75" w14:textId="77777777" w:rsidR="00615590" w:rsidRDefault="00000000">
      <w:pPr>
        <w:pStyle w:val="Heading3"/>
        <w:spacing w:line="360" w:lineRule="auto"/>
        <w:rPr>
          <w:color w:val="000000"/>
        </w:rPr>
      </w:pPr>
      <w:r>
        <w:rPr>
          <w:rFonts w:ascii="Arial" w:eastAsia="Arial" w:hAnsi="Arial" w:cs="Arial"/>
          <w:b/>
          <w:color w:val="000000"/>
        </w:rPr>
        <w:t>Recommendation 1 – Improve Staffing Levels</w:t>
      </w:r>
    </w:p>
    <w:p w14:paraId="5826B214" w14:textId="77777777" w:rsidR="00615590" w:rsidRDefault="00000000">
      <w:pPr>
        <w:pStyle w:val="NormalWeb"/>
        <w:spacing w:before="280" w:after="280" w:line="360" w:lineRule="auto"/>
        <w:rPr>
          <w:color w:val="000000"/>
        </w:rPr>
      </w:pPr>
      <w:r>
        <w:rPr>
          <w:rFonts w:ascii="Arial" w:eastAsia="Arial" w:hAnsi="Arial" w:cs="Arial"/>
          <w:color w:val="000000"/>
          <w:sz w:val="22"/>
        </w:rPr>
        <w:t>Care providers should ensure that sufficient staffing levels are maintained during medication rounds. Reduced workload pressures may improve concentration and reduce administration errors.</w:t>
      </w:r>
    </w:p>
    <w:p w14:paraId="49119D2D" w14:textId="77777777" w:rsidR="00715EE8" w:rsidRDefault="00000000" w:rsidP="00715EE8">
      <w:pPr>
        <w:pStyle w:val="Heading3"/>
        <w:spacing w:line="360" w:lineRule="auto"/>
        <w:rPr>
          <w:rFonts w:ascii="Arial" w:eastAsia="Arial" w:hAnsi="Arial" w:cs="Arial"/>
          <w:b/>
          <w:color w:val="000000"/>
        </w:rPr>
      </w:pPr>
      <w:r>
        <w:rPr>
          <w:rFonts w:ascii="Arial" w:eastAsia="Arial" w:hAnsi="Arial" w:cs="Arial"/>
          <w:b/>
          <w:color w:val="000000"/>
        </w:rPr>
        <w:t>Recommendation 2 – Strengthen Medication Training</w:t>
      </w:r>
    </w:p>
    <w:p w14:paraId="63AB8840" w14:textId="6CD52C4E" w:rsidR="00615590" w:rsidRDefault="00000000" w:rsidP="00715EE8">
      <w:pPr>
        <w:pStyle w:val="Heading3"/>
        <w:spacing w:line="360" w:lineRule="auto"/>
        <w:rPr>
          <w:color w:val="000000"/>
        </w:rPr>
      </w:pPr>
      <w:r>
        <w:rPr>
          <w:rFonts w:ascii="Arial" w:eastAsia="Arial" w:hAnsi="Arial" w:cs="Arial"/>
          <w:color w:val="000000"/>
          <w:sz w:val="22"/>
        </w:rPr>
        <w:t>Regular medication-training programmes and competency assessments should be implemented for all staff involved in medication administration.</w:t>
      </w:r>
    </w:p>
    <w:p w14:paraId="4696E2AE" w14:textId="77777777" w:rsidR="00615590" w:rsidRDefault="00000000">
      <w:pPr>
        <w:pStyle w:val="Heading3"/>
        <w:spacing w:line="360" w:lineRule="auto"/>
        <w:rPr>
          <w:color w:val="000000"/>
        </w:rPr>
      </w:pPr>
      <w:r>
        <w:rPr>
          <w:rFonts w:ascii="Arial" w:eastAsia="Arial" w:hAnsi="Arial" w:cs="Arial"/>
          <w:b/>
          <w:color w:val="000000"/>
        </w:rPr>
        <w:t>Recommendation 3 – Improve Communication Systems</w:t>
      </w:r>
    </w:p>
    <w:p w14:paraId="2583087A" w14:textId="77777777" w:rsidR="00615590" w:rsidRDefault="00000000">
      <w:pPr>
        <w:pStyle w:val="NormalWeb"/>
        <w:spacing w:before="280" w:after="280" w:line="360" w:lineRule="auto"/>
        <w:rPr>
          <w:color w:val="000000"/>
        </w:rPr>
      </w:pPr>
      <w:r>
        <w:rPr>
          <w:rFonts w:ascii="Arial" w:eastAsia="Arial" w:hAnsi="Arial" w:cs="Arial"/>
          <w:color w:val="000000"/>
          <w:sz w:val="22"/>
        </w:rPr>
        <w:t>Care homes should improve communication between GPs, pharmacies and care staff in order to reduce prescription-related errors.</w:t>
      </w:r>
    </w:p>
    <w:p w14:paraId="2EE8ECF0" w14:textId="77777777" w:rsidR="00615590" w:rsidRDefault="00000000">
      <w:pPr>
        <w:pStyle w:val="Heading3"/>
        <w:spacing w:line="360" w:lineRule="auto"/>
        <w:rPr>
          <w:color w:val="000000"/>
        </w:rPr>
      </w:pPr>
      <w:r>
        <w:rPr>
          <w:rFonts w:ascii="Arial" w:eastAsia="Arial" w:hAnsi="Arial" w:cs="Arial"/>
          <w:b/>
          <w:color w:val="000000"/>
        </w:rPr>
        <w:t>Recommendation 4 – Increase Medication Audits</w:t>
      </w:r>
    </w:p>
    <w:p w14:paraId="38D68B01" w14:textId="77777777" w:rsidR="00615590" w:rsidRDefault="00000000">
      <w:pPr>
        <w:pStyle w:val="NormalWeb"/>
        <w:spacing w:before="280" w:after="280" w:line="360" w:lineRule="auto"/>
        <w:rPr>
          <w:color w:val="000000"/>
        </w:rPr>
      </w:pPr>
      <w:r>
        <w:rPr>
          <w:rFonts w:ascii="Arial" w:eastAsia="Arial" w:hAnsi="Arial" w:cs="Arial"/>
          <w:color w:val="000000"/>
          <w:sz w:val="22"/>
        </w:rPr>
        <w:t>Regular medication audits should be conducted to identify documentation problems and improve accountability.</w:t>
      </w:r>
    </w:p>
    <w:p w14:paraId="199F7AB6" w14:textId="77777777" w:rsidR="00615590" w:rsidRDefault="00000000">
      <w:pPr>
        <w:pStyle w:val="Heading3"/>
        <w:spacing w:line="360" w:lineRule="auto"/>
        <w:rPr>
          <w:color w:val="000000"/>
        </w:rPr>
      </w:pPr>
      <w:r>
        <w:rPr>
          <w:rFonts w:ascii="Arial" w:eastAsia="Arial" w:hAnsi="Arial" w:cs="Arial"/>
          <w:b/>
          <w:color w:val="000000"/>
        </w:rPr>
        <w:t>Recommendation 5 – Develop Digital Medication Systems</w:t>
      </w:r>
    </w:p>
    <w:p w14:paraId="16334753" w14:textId="77777777" w:rsidR="00615590" w:rsidRDefault="00000000">
      <w:pPr>
        <w:pStyle w:val="NormalWeb"/>
        <w:spacing w:before="280" w:after="280" w:line="360" w:lineRule="auto"/>
        <w:rPr>
          <w:color w:val="000000"/>
        </w:rPr>
      </w:pPr>
      <w:r>
        <w:rPr>
          <w:rFonts w:ascii="Arial" w:eastAsia="Arial" w:hAnsi="Arial" w:cs="Arial"/>
          <w:color w:val="000000"/>
          <w:sz w:val="22"/>
        </w:rPr>
        <w:t>Care organisations should continue investing in electronic medication systems while also providing appropriate staff training.</w:t>
      </w:r>
    </w:p>
    <w:p w14:paraId="4843FF43" w14:textId="77777777" w:rsidR="00615590" w:rsidRDefault="00000000">
      <w:pPr>
        <w:pStyle w:val="Heading2"/>
        <w:spacing w:line="360" w:lineRule="auto"/>
        <w:rPr>
          <w:color w:val="000000"/>
        </w:rPr>
      </w:pPr>
      <w:r>
        <w:rPr>
          <w:rFonts w:ascii="Arial" w:eastAsia="Arial" w:hAnsi="Arial" w:cs="Arial"/>
          <w:b/>
          <w:color w:val="000000"/>
          <w:sz w:val="28"/>
        </w:rPr>
        <w:t>Recommendations for Future Research</w:t>
      </w:r>
    </w:p>
    <w:p w14:paraId="73A48B72" w14:textId="77777777" w:rsidR="00615590" w:rsidRDefault="00000000">
      <w:pPr>
        <w:pStyle w:val="NormalWeb"/>
        <w:spacing w:before="280" w:after="280" w:line="360" w:lineRule="auto"/>
        <w:rPr>
          <w:color w:val="000000"/>
        </w:rPr>
      </w:pPr>
      <w:r>
        <w:rPr>
          <w:rFonts w:ascii="Arial" w:eastAsia="Arial" w:hAnsi="Arial" w:cs="Arial"/>
          <w:color w:val="000000"/>
          <w:sz w:val="22"/>
        </w:rPr>
        <w:t>Future research could explore:</w:t>
      </w:r>
    </w:p>
    <w:p w14:paraId="0A869A04" w14:textId="77777777" w:rsidR="00615590" w:rsidRDefault="00000000">
      <w:pPr>
        <w:pStyle w:val="NormalWeb"/>
        <w:numPr>
          <w:ilvl w:val="0"/>
          <w:numId w:val="8"/>
        </w:numPr>
        <w:spacing w:before="280" w:after="0" w:line="360" w:lineRule="auto"/>
        <w:rPr>
          <w:color w:val="000000"/>
        </w:rPr>
      </w:pPr>
      <w:r>
        <w:rPr>
          <w:rFonts w:ascii="Arial" w:eastAsia="Arial" w:hAnsi="Arial" w:cs="Arial"/>
          <w:color w:val="000000"/>
          <w:sz w:val="22"/>
        </w:rPr>
        <w:t>The effectiveness of electronic MAR systems in reducing medication errors.</w:t>
      </w:r>
    </w:p>
    <w:p w14:paraId="68CF39D5" w14:textId="77777777" w:rsidR="00615590" w:rsidRDefault="00000000">
      <w:pPr>
        <w:pStyle w:val="NormalWeb"/>
        <w:numPr>
          <w:ilvl w:val="0"/>
          <w:numId w:val="8"/>
        </w:numPr>
        <w:spacing w:after="0" w:line="360" w:lineRule="auto"/>
        <w:rPr>
          <w:color w:val="000000"/>
        </w:rPr>
      </w:pPr>
      <w:r>
        <w:rPr>
          <w:rFonts w:ascii="Arial" w:eastAsia="Arial" w:hAnsi="Arial" w:cs="Arial"/>
          <w:color w:val="000000"/>
          <w:sz w:val="22"/>
        </w:rPr>
        <w:t>The relationship between staffing ratios and medication safety.</w:t>
      </w:r>
    </w:p>
    <w:p w14:paraId="70EA8AED" w14:textId="77777777" w:rsidR="00615590" w:rsidRDefault="00000000">
      <w:pPr>
        <w:pStyle w:val="NormalWeb"/>
        <w:numPr>
          <w:ilvl w:val="0"/>
          <w:numId w:val="8"/>
        </w:numPr>
        <w:spacing w:after="0" w:line="360" w:lineRule="auto"/>
        <w:rPr>
          <w:color w:val="000000"/>
        </w:rPr>
      </w:pPr>
      <w:r>
        <w:rPr>
          <w:rFonts w:ascii="Arial" w:eastAsia="Arial" w:hAnsi="Arial" w:cs="Arial"/>
          <w:color w:val="000000"/>
          <w:sz w:val="22"/>
        </w:rPr>
        <w:t>Staff experiences relating to medication administration in care homes.</w:t>
      </w:r>
    </w:p>
    <w:p w14:paraId="70E08B2C" w14:textId="77777777" w:rsidR="00615590" w:rsidRDefault="00000000">
      <w:pPr>
        <w:pStyle w:val="NormalWeb"/>
        <w:numPr>
          <w:ilvl w:val="0"/>
          <w:numId w:val="8"/>
        </w:numPr>
        <w:spacing w:after="280" w:line="360" w:lineRule="auto"/>
        <w:rPr>
          <w:color w:val="000000"/>
        </w:rPr>
      </w:pPr>
      <w:r>
        <w:rPr>
          <w:rFonts w:ascii="Arial" w:eastAsia="Arial" w:hAnsi="Arial" w:cs="Arial"/>
          <w:color w:val="000000"/>
          <w:sz w:val="22"/>
        </w:rPr>
        <w:t>The impact of burnout and stress on medication errors.</w:t>
      </w:r>
    </w:p>
    <w:p w14:paraId="71481888" w14:textId="77777777" w:rsidR="00615590" w:rsidRDefault="00000000">
      <w:pPr>
        <w:pStyle w:val="NormalWeb"/>
        <w:spacing w:before="280" w:after="280" w:line="360" w:lineRule="auto"/>
        <w:rPr>
          <w:color w:val="000000"/>
        </w:rPr>
      </w:pPr>
      <w:r>
        <w:rPr>
          <w:rFonts w:ascii="Arial" w:eastAsia="Arial" w:hAnsi="Arial" w:cs="Arial"/>
          <w:color w:val="000000"/>
          <w:sz w:val="22"/>
        </w:rPr>
        <w:lastRenderedPageBreak/>
        <w:t>Overall, medication safety remains a major issue within UK care homes. Continued investment in training, staffing and communication systems will therefore remain essential for protecting vulnerable residents.</w:t>
      </w:r>
    </w:p>
    <w:p w14:paraId="75E21BDA" w14:textId="0F5AD12B" w:rsidR="00615590" w:rsidRDefault="00615590">
      <w:pPr>
        <w:spacing w:line="360" w:lineRule="auto"/>
      </w:pPr>
    </w:p>
    <w:p w14:paraId="51BF3F05" w14:textId="77777777" w:rsidR="00715EE8" w:rsidRDefault="00715EE8">
      <w:pPr>
        <w:spacing w:line="360" w:lineRule="auto"/>
      </w:pPr>
    </w:p>
    <w:p w14:paraId="702550B2" w14:textId="77777777" w:rsidR="00715EE8" w:rsidRDefault="00715EE8">
      <w:pPr>
        <w:spacing w:line="360" w:lineRule="auto"/>
      </w:pPr>
    </w:p>
    <w:p w14:paraId="22060A3B" w14:textId="77777777" w:rsidR="00715EE8" w:rsidRDefault="00715EE8">
      <w:pPr>
        <w:spacing w:line="360" w:lineRule="auto"/>
      </w:pPr>
    </w:p>
    <w:p w14:paraId="48174760" w14:textId="77777777" w:rsidR="00715EE8" w:rsidRDefault="00715EE8">
      <w:pPr>
        <w:spacing w:line="360" w:lineRule="auto"/>
      </w:pPr>
    </w:p>
    <w:p w14:paraId="412B2EB7" w14:textId="77777777" w:rsidR="00715EE8" w:rsidRDefault="00715EE8">
      <w:pPr>
        <w:spacing w:line="360" w:lineRule="auto"/>
      </w:pPr>
    </w:p>
    <w:p w14:paraId="4EB9E174" w14:textId="77777777" w:rsidR="00715EE8" w:rsidRDefault="00715EE8">
      <w:pPr>
        <w:spacing w:line="360" w:lineRule="auto"/>
      </w:pPr>
    </w:p>
    <w:p w14:paraId="5F544072" w14:textId="77777777" w:rsidR="00715EE8" w:rsidRDefault="00715EE8">
      <w:pPr>
        <w:spacing w:line="360" w:lineRule="auto"/>
      </w:pPr>
    </w:p>
    <w:p w14:paraId="33523CBA" w14:textId="77777777" w:rsidR="00715EE8" w:rsidRDefault="00715EE8">
      <w:pPr>
        <w:spacing w:line="360" w:lineRule="auto"/>
      </w:pPr>
    </w:p>
    <w:p w14:paraId="469A6897" w14:textId="77777777" w:rsidR="00715EE8" w:rsidRDefault="00715EE8">
      <w:pPr>
        <w:spacing w:line="360" w:lineRule="auto"/>
      </w:pPr>
    </w:p>
    <w:p w14:paraId="3F5E8D07" w14:textId="77777777" w:rsidR="00715EE8" w:rsidRDefault="00715EE8">
      <w:pPr>
        <w:spacing w:line="360" w:lineRule="auto"/>
      </w:pPr>
    </w:p>
    <w:p w14:paraId="42A478A2" w14:textId="77777777" w:rsidR="00715EE8" w:rsidRDefault="00715EE8">
      <w:pPr>
        <w:spacing w:line="360" w:lineRule="auto"/>
      </w:pPr>
    </w:p>
    <w:p w14:paraId="43F59AC3" w14:textId="77777777" w:rsidR="00715EE8" w:rsidRDefault="00715EE8">
      <w:pPr>
        <w:spacing w:line="360" w:lineRule="auto"/>
      </w:pPr>
    </w:p>
    <w:p w14:paraId="4EC5804F" w14:textId="77777777" w:rsidR="00715EE8" w:rsidRDefault="00715EE8">
      <w:pPr>
        <w:spacing w:line="360" w:lineRule="auto"/>
      </w:pPr>
    </w:p>
    <w:p w14:paraId="491DC986" w14:textId="77777777" w:rsidR="00715EE8" w:rsidRDefault="00715EE8">
      <w:pPr>
        <w:spacing w:line="360" w:lineRule="auto"/>
      </w:pPr>
    </w:p>
    <w:p w14:paraId="374CBA51" w14:textId="77777777" w:rsidR="00715EE8" w:rsidRDefault="00715EE8">
      <w:pPr>
        <w:spacing w:line="360" w:lineRule="auto"/>
      </w:pPr>
    </w:p>
    <w:p w14:paraId="7C2F9911" w14:textId="77777777" w:rsidR="00715EE8" w:rsidRDefault="00715EE8">
      <w:pPr>
        <w:spacing w:line="360" w:lineRule="auto"/>
      </w:pPr>
    </w:p>
    <w:p w14:paraId="08C6B00B" w14:textId="77777777" w:rsidR="00715EE8" w:rsidRDefault="00715EE8">
      <w:pPr>
        <w:spacing w:line="360" w:lineRule="auto"/>
      </w:pPr>
    </w:p>
    <w:p w14:paraId="7E538389" w14:textId="77777777" w:rsidR="00615590" w:rsidRDefault="00000000">
      <w:pPr>
        <w:pStyle w:val="Heading1"/>
        <w:spacing w:line="360" w:lineRule="auto"/>
        <w:rPr>
          <w:color w:val="000000"/>
        </w:rPr>
      </w:pPr>
      <w:bookmarkStart w:id="6" w:name="__RefHeading___Toc368_207241122"/>
      <w:bookmarkEnd w:id="6"/>
      <w:r>
        <w:rPr>
          <w:rFonts w:ascii="Arial" w:eastAsia="Arial" w:hAnsi="Arial" w:cs="Arial"/>
          <w:b/>
          <w:color w:val="000000"/>
          <w:sz w:val="28"/>
        </w:rPr>
        <w:lastRenderedPageBreak/>
        <w:t>References</w:t>
      </w:r>
    </w:p>
    <w:p w14:paraId="10A00001" w14:textId="77777777" w:rsidR="00615590" w:rsidRDefault="00000000">
      <w:pPr>
        <w:pStyle w:val="NormalWeb"/>
        <w:spacing w:before="280" w:after="280" w:line="360" w:lineRule="auto"/>
        <w:rPr>
          <w:color w:val="000000"/>
        </w:rPr>
      </w:pPr>
      <w:r>
        <w:rPr>
          <w:rFonts w:ascii="Arial" w:eastAsia="Arial" w:hAnsi="Arial" w:cs="Arial"/>
          <w:color w:val="000000"/>
          <w:sz w:val="22"/>
        </w:rPr>
        <w:t>Alldred, D.P., Standage, C. and Zermansky, A.G. et al. (2008) ‘Development and validation of criteria to identify medication-monitoring errors in care home residents’,</w:t>
      </w:r>
      <w:r>
        <w:rPr>
          <w:rStyle w:val="apple-converted-space"/>
          <w:rFonts w:ascii="Arial" w:eastAsia="Arial" w:hAnsi="Arial" w:cs="Arial"/>
          <w:color w:val="000000"/>
          <w:sz w:val="22"/>
        </w:rPr>
        <w:t xml:space="preserve"> </w:t>
      </w:r>
      <w:r>
        <w:rPr>
          <w:rStyle w:val="Emphasis"/>
          <w:rFonts w:ascii="Arial" w:eastAsia="Arial" w:hAnsi="Arial" w:cs="Arial"/>
          <w:color w:val="000000"/>
          <w:sz w:val="22"/>
        </w:rPr>
        <w:t>International Journal of Pharmacy Practice</w:t>
      </w:r>
      <w:r>
        <w:rPr>
          <w:rFonts w:ascii="Arial" w:eastAsia="Arial" w:hAnsi="Arial" w:cs="Arial"/>
          <w:color w:val="000000"/>
          <w:sz w:val="22"/>
        </w:rPr>
        <w:t>, 16(5), pp. 317–323.</w:t>
      </w:r>
    </w:p>
    <w:p w14:paraId="64EA1D06" w14:textId="77777777" w:rsidR="00615590" w:rsidRDefault="00000000">
      <w:pPr>
        <w:pStyle w:val="NormalWeb"/>
        <w:spacing w:before="280" w:after="280" w:line="360" w:lineRule="auto"/>
        <w:rPr>
          <w:color w:val="000000"/>
        </w:rPr>
      </w:pPr>
      <w:r>
        <w:rPr>
          <w:rFonts w:ascii="Arial" w:eastAsia="Arial" w:hAnsi="Arial" w:cs="Arial"/>
          <w:color w:val="000000"/>
          <w:sz w:val="22"/>
        </w:rPr>
        <w:t>Alldred, D.P. et al. (2016) ‘Interventions to optimise prescribing for older people in care homes’,</w:t>
      </w:r>
      <w:r>
        <w:rPr>
          <w:rStyle w:val="apple-converted-space"/>
          <w:rFonts w:ascii="Arial" w:eastAsia="Arial" w:hAnsi="Arial" w:cs="Arial"/>
          <w:color w:val="000000"/>
          <w:sz w:val="22"/>
        </w:rPr>
        <w:t> </w:t>
      </w:r>
      <w:r>
        <w:rPr>
          <w:rStyle w:val="Emphasis"/>
          <w:rFonts w:ascii="Arial" w:eastAsia="Arial" w:hAnsi="Arial" w:cs="Arial"/>
          <w:color w:val="000000"/>
          <w:sz w:val="22"/>
        </w:rPr>
        <w:t>Cochrane Database of Systematic Reviews</w:t>
      </w:r>
      <w:r>
        <w:rPr>
          <w:rFonts w:ascii="Arial" w:eastAsia="Arial" w:hAnsi="Arial" w:cs="Arial"/>
          <w:color w:val="000000"/>
          <w:sz w:val="22"/>
        </w:rPr>
        <w:t>, 2(2), pp. 1–95.</w:t>
      </w:r>
    </w:p>
    <w:p w14:paraId="04684B92" w14:textId="77777777" w:rsidR="00615590" w:rsidRDefault="00000000">
      <w:pPr>
        <w:pStyle w:val="NormalWeb"/>
        <w:spacing w:before="280" w:after="280" w:line="360" w:lineRule="auto"/>
        <w:rPr>
          <w:color w:val="000000"/>
        </w:rPr>
      </w:pPr>
      <w:r>
        <w:rPr>
          <w:rFonts w:ascii="Arial" w:eastAsia="Arial" w:hAnsi="Arial" w:cs="Arial"/>
          <w:color w:val="000000"/>
          <w:sz w:val="22"/>
        </w:rPr>
        <w:t>Arksey, H. and O’Malley, L. (2005) ‘Scoping studies: towards a methodological framework’,</w:t>
      </w:r>
      <w:r>
        <w:rPr>
          <w:rStyle w:val="apple-converted-space"/>
          <w:rFonts w:ascii="Arial" w:eastAsia="Arial" w:hAnsi="Arial" w:cs="Arial"/>
          <w:color w:val="000000"/>
          <w:sz w:val="22"/>
        </w:rPr>
        <w:t> </w:t>
      </w:r>
      <w:r>
        <w:rPr>
          <w:rStyle w:val="Emphasis"/>
          <w:rFonts w:ascii="Arial" w:eastAsia="Arial" w:hAnsi="Arial" w:cs="Arial"/>
          <w:color w:val="000000"/>
          <w:sz w:val="22"/>
        </w:rPr>
        <w:t>International Journal of Social Research Methodology</w:t>
      </w:r>
      <w:r>
        <w:rPr>
          <w:rFonts w:ascii="Arial" w:eastAsia="Arial" w:hAnsi="Arial" w:cs="Arial"/>
          <w:color w:val="000000"/>
          <w:sz w:val="22"/>
        </w:rPr>
        <w:t>, 8(1), pp. 19–32.</w:t>
      </w:r>
    </w:p>
    <w:p w14:paraId="3027D218" w14:textId="77777777" w:rsidR="00615590" w:rsidRDefault="00000000">
      <w:pPr>
        <w:pStyle w:val="NormalWeb"/>
        <w:spacing w:before="280" w:after="280" w:line="360" w:lineRule="auto"/>
        <w:rPr>
          <w:color w:val="000000"/>
        </w:rPr>
      </w:pPr>
      <w:r>
        <w:rPr>
          <w:rFonts w:ascii="Arial" w:eastAsia="Arial" w:hAnsi="Arial" w:cs="Arial"/>
          <w:color w:val="000000"/>
          <w:sz w:val="22"/>
        </w:rPr>
        <w:t>Barber, N.D. et al. (2009) ‘Care homes’ use of medicines study: prevalence, causes and potential harm of medication errors in care homes for older people’,</w:t>
      </w:r>
      <w:r>
        <w:rPr>
          <w:rStyle w:val="apple-converted-space"/>
          <w:rFonts w:ascii="Arial" w:eastAsia="Arial" w:hAnsi="Arial" w:cs="Arial"/>
          <w:color w:val="000000"/>
          <w:sz w:val="22"/>
        </w:rPr>
        <w:t> </w:t>
      </w:r>
      <w:r>
        <w:rPr>
          <w:rStyle w:val="Emphasis"/>
          <w:rFonts w:ascii="Arial" w:eastAsia="Arial" w:hAnsi="Arial" w:cs="Arial"/>
          <w:color w:val="000000"/>
          <w:sz w:val="22"/>
        </w:rPr>
        <w:t>Quality and Safety in Health Care</w:t>
      </w:r>
      <w:r>
        <w:rPr>
          <w:rFonts w:ascii="Arial" w:eastAsia="Arial" w:hAnsi="Arial" w:cs="Arial"/>
          <w:color w:val="000000"/>
          <w:sz w:val="22"/>
        </w:rPr>
        <w:t>, 18(5), pp. 341–346.</w:t>
      </w:r>
    </w:p>
    <w:p w14:paraId="02B3A316" w14:textId="77777777" w:rsidR="00615590" w:rsidRDefault="00000000">
      <w:pPr>
        <w:pStyle w:val="NormalWeb"/>
        <w:spacing w:before="280" w:after="280" w:line="360" w:lineRule="auto"/>
        <w:rPr>
          <w:color w:val="000000"/>
        </w:rPr>
      </w:pPr>
      <w:r>
        <w:rPr>
          <w:rFonts w:ascii="Arial" w:eastAsia="Arial" w:hAnsi="Arial" w:cs="Arial"/>
          <w:color w:val="000000"/>
          <w:sz w:val="22"/>
        </w:rPr>
        <w:t>Braun, V. and Clarke, V. (2006) ‘Using thematic analysis in psychology’,</w:t>
      </w:r>
      <w:r>
        <w:rPr>
          <w:rStyle w:val="apple-converted-space"/>
          <w:rFonts w:ascii="Arial" w:eastAsia="Arial" w:hAnsi="Arial" w:cs="Arial"/>
          <w:color w:val="000000"/>
          <w:sz w:val="22"/>
        </w:rPr>
        <w:t> </w:t>
      </w:r>
      <w:r>
        <w:rPr>
          <w:rStyle w:val="Emphasis"/>
          <w:rFonts w:ascii="Arial" w:eastAsia="Arial" w:hAnsi="Arial" w:cs="Arial"/>
          <w:color w:val="000000"/>
          <w:sz w:val="22"/>
        </w:rPr>
        <w:t>Qualitative Research in Psychology</w:t>
      </w:r>
      <w:r>
        <w:rPr>
          <w:rFonts w:ascii="Arial" w:eastAsia="Arial" w:hAnsi="Arial" w:cs="Arial"/>
          <w:color w:val="000000"/>
          <w:sz w:val="22"/>
        </w:rPr>
        <w:t>, 3(2), pp. 77–101.</w:t>
      </w:r>
    </w:p>
    <w:p w14:paraId="10A00002" w14:textId="77777777" w:rsidR="00615590" w:rsidRDefault="00000000">
      <w:pPr>
        <w:pStyle w:val="NormalWeb"/>
        <w:spacing w:before="280" w:after="280" w:line="360" w:lineRule="auto"/>
        <w:rPr>
          <w:color w:val="000000"/>
        </w:rPr>
      </w:pPr>
      <w:r>
        <w:rPr>
          <w:rFonts w:ascii="Arial" w:eastAsia="Arial" w:hAnsi="Arial" w:cs="Arial"/>
          <w:color w:val="000000"/>
          <w:sz w:val="22"/>
        </w:rPr>
        <w:t>Carayon, P., Xie, A. and Kianfar, S. (2014) ‘Human factors and ergonomics as a patient safety practice’,</w:t>
      </w:r>
      <w:r>
        <w:rPr>
          <w:rStyle w:val="apple-converted-space"/>
          <w:rFonts w:ascii="Arial" w:eastAsia="Arial" w:hAnsi="Arial" w:cs="Arial"/>
          <w:color w:val="000000"/>
          <w:sz w:val="22"/>
        </w:rPr>
        <w:t xml:space="preserve"> </w:t>
      </w:r>
      <w:r>
        <w:rPr>
          <w:rStyle w:val="Emphasis"/>
          <w:rFonts w:ascii="Arial" w:eastAsia="Arial" w:hAnsi="Arial" w:cs="Arial"/>
          <w:color w:val="000000"/>
          <w:sz w:val="22"/>
        </w:rPr>
        <w:t>BMJ Quality and Safety</w:t>
      </w:r>
      <w:r>
        <w:rPr>
          <w:rFonts w:ascii="Arial" w:eastAsia="Arial" w:hAnsi="Arial" w:cs="Arial"/>
          <w:color w:val="000000"/>
          <w:sz w:val="22"/>
        </w:rPr>
        <w:t>, 23(3), pp. 196–205.</w:t>
      </w:r>
    </w:p>
    <w:p w14:paraId="40843798" w14:textId="77777777" w:rsidR="00615590" w:rsidRDefault="00000000">
      <w:pPr>
        <w:pStyle w:val="NormalWeb"/>
        <w:spacing w:before="280" w:after="280" w:line="360" w:lineRule="auto"/>
        <w:rPr>
          <w:color w:val="000000"/>
        </w:rPr>
      </w:pPr>
      <w:r>
        <w:rPr>
          <w:rFonts w:ascii="Arial" w:eastAsia="Arial" w:hAnsi="Arial" w:cs="Arial"/>
          <w:color w:val="000000"/>
          <w:sz w:val="22"/>
        </w:rPr>
        <w:t>Care Quality Commission (CQC) (2023)</w:t>
      </w:r>
      <w:r>
        <w:rPr>
          <w:rStyle w:val="apple-converted-space"/>
          <w:rFonts w:ascii="Arial" w:eastAsia="Arial" w:hAnsi="Arial" w:cs="Arial"/>
          <w:color w:val="000000"/>
          <w:sz w:val="22"/>
        </w:rPr>
        <w:t> </w:t>
      </w:r>
      <w:r>
        <w:rPr>
          <w:rStyle w:val="Emphasis"/>
          <w:rFonts w:ascii="Arial" w:eastAsia="Arial" w:hAnsi="Arial" w:cs="Arial"/>
          <w:color w:val="000000"/>
          <w:sz w:val="22"/>
        </w:rPr>
        <w:t>Medicines optimisation in care homes</w:t>
      </w:r>
      <w:r>
        <w:rPr>
          <w:rFonts w:ascii="Arial" w:eastAsia="Arial" w:hAnsi="Arial" w:cs="Arial"/>
          <w:color w:val="000000"/>
          <w:sz w:val="22"/>
        </w:rPr>
        <w:t>. London: CQC.</w:t>
      </w:r>
    </w:p>
    <w:p w14:paraId="10A00003" w14:textId="77777777" w:rsidR="00615590" w:rsidRDefault="00000000">
      <w:pPr>
        <w:pStyle w:val="NormalWeb"/>
        <w:spacing w:before="280" w:after="280" w:line="360" w:lineRule="auto"/>
        <w:rPr>
          <w:color w:val="000000"/>
        </w:rPr>
      </w:pPr>
      <w:r>
        <w:rPr>
          <w:rFonts w:ascii="Arial" w:eastAsia="Arial" w:hAnsi="Arial" w:cs="Arial"/>
          <w:color w:val="000000"/>
          <w:sz w:val="22"/>
        </w:rPr>
        <w:t>Elliott, R.A., Camacho, E., Campbell, F., Jankovic, D. and James, M.S. (2018)</w:t>
      </w:r>
      <w:r>
        <w:rPr>
          <w:rStyle w:val="apple-converted-space"/>
          <w:rFonts w:ascii="Arial" w:eastAsia="Arial" w:hAnsi="Arial" w:cs="Arial"/>
          <w:color w:val="000000"/>
          <w:sz w:val="22"/>
        </w:rPr>
        <w:t xml:space="preserve"> </w:t>
      </w:r>
      <w:r>
        <w:rPr>
          <w:rStyle w:val="Emphasis"/>
          <w:rFonts w:ascii="Arial" w:eastAsia="Arial" w:hAnsi="Arial" w:cs="Arial"/>
          <w:color w:val="000000"/>
          <w:sz w:val="22"/>
        </w:rPr>
        <w:t>Prevalence and Economic Burden of Medication Errors in the NHS in England</w:t>
      </w:r>
      <w:r>
        <w:rPr>
          <w:rFonts w:ascii="Arial" w:eastAsia="Arial" w:hAnsi="Arial" w:cs="Arial"/>
          <w:color w:val="000000"/>
          <w:sz w:val="22"/>
        </w:rPr>
        <w:t>. Manchester: Policy Research Unit in Economic Evaluation of Health and Care Interventions (EEPRU).</w:t>
      </w:r>
    </w:p>
    <w:p w14:paraId="2B558954" w14:textId="77777777" w:rsidR="00615590" w:rsidRDefault="00000000">
      <w:pPr>
        <w:pStyle w:val="NormalWeb"/>
        <w:spacing w:before="280" w:after="280" w:line="360" w:lineRule="auto"/>
        <w:rPr>
          <w:color w:val="000000"/>
        </w:rPr>
      </w:pPr>
      <w:r>
        <w:rPr>
          <w:rFonts w:ascii="Arial" w:eastAsia="Arial" w:hAnsi="Arial" w:cs="Arial"/>
          <w:color w:val="000000"/>
          <w:sz w:val="22"/>
        </w:rPr>
        <w:t>Elliott, R.A. et al. (2021) ‘Medication errors in nursing homes: a systematic review’,</w:t>
      </w:r>
      <w:r>
        <w:rPr>
          <w:rStyle w:val="apple-converted-space"/>
          <w:rFonts w:ascii="Arial" w:eastAsia="Arial" w:hAnsi="Arial" w:cs="Arial"/>
          <w:color w:val="000000"/>
          <w:sz w:val="22"/>
        </w:rPr>
        <w:t> </w:t>
      </w:r>
      <w:r>
        <w:rPr>
          <w:rStyle w:val="Emphasis"/>
          <w:rFonts w:ascii="Arial" w:eastAsia="Arial" w:hAnsi="Arial" w:cs="Arial"/>
          <w:color w:val="000000"/>
          <w:sz w:val="22"/>
        </w:rPr>
        <w:t>Drugs &amp; Aging</w:t>
      </w:r>
      <w:r>
        <w:rPr>
          <w:rFonts w:ascii="Arial" w:eastAsia="Arial" w:hAnsi="Arial" w:cs="Arial"/>
          <w:color w:val="000000"/>
          <w:sz w:val="22"/>
        </w:rPr>
        <w:t>, 38(4), pp. 323–337.</w:t>
      </w:r>
    </w:p>
    <w:p w14:paraId="10A00004" w14:textId="77777777" w:rsidR="00615590" w:rsidRDefault="00000000">
      <w:pPr>
        <w:pStyle w:val="NormalWeb"/>
        <w:spacing w:before="280" w:after="280" w:line="360" w:lineRule="auto"/>
        <w:rPr>
          <w:color w:val="000000"/>
        </w:rPr>
      </w:pPr>
      <w:r>
        <w:rPr>
          <w:rFonts w:ascii="Arial" w:eastAsia="Arial" w:hAnsi="Arial" w:cs="Arial"/>
          <w:color w:val="000000"/>
          <w:sz w:val="22"/>
        </w:rPr>
        <w:t>Grill, P., Marwick, C. and De Souza, N. et al. (2020) ‘The burden of psychotropic and anticholinergic medicines use in care homes: population-based analysis in 147 care homes’,</w:t>
      </w:r>
      <w:r>
        <w:rPr>
          <w:rStyle w:val="apple-converted-space"/>
          <w:rFonts w:ascii="Arial" w:eastAsia="Arial" w:hAnsi="Arial" w:cs="Arial"/>
          <w:color w:val="000000"/>
          <w:sz w:val="22"/>
        </w:rPr>
        <w:t xml:space="preserve"> </w:t>
      </w:r>
      <w:r>
        <w:rPr>
          <w:rStyle w:val="Emphasis"/>
          <w:rFonts w:ascii="Arial" w:eastAsia="Arial" w:hAnsi="Arial" w:cs="Arial"/>
          <w:color w:val="000000"/>
          <w:sz w:val="22"/>
        </w:rPr>
        <w:t>Age and Ageing</w:t>
      </w:r>
      <w:r>
        <w:rPr>
          <w:rFonts w:ascii="Arial" w:eastAsia="Arial" w:hAnsi="Arial" w:cs="Arial"/>
          <w:color w:val="000000"/>
          <w:sz w:val="22"/>
        </w:rPr>
        <w:t>, 50(1), pp. 183–189.</w:t>
      </w:r>
    </w:p>
    <w:p w14:paraId="0B823476" w14:textId="77777777" w:rsidR="00615590" w:rsidRDefault="00000000">
      <w:pPr>
        <w:pStyle w:val="NormalWeb"/>
        <w:spacing w:before="280" w:after="280" w:line="360" w:lineRule="auto"/>
        <w:rPr>
          <w:color w:val="000000"/>
        </w:rPr>
      </w:pPr>
      <w:r>
        <w:rPr>
          <w:rFonts w:ascii="Arial" w:eastAsia="Arial" w:hAnsi="Arial" w:cs="Arial"/>
          <w:color w:val="000000"/>
          <w:sz w:val="22"/>
        </w:rPr>
        <w:t>Health and Social Care Act 2008. London: HMSO.</w:t>
      </w:r>
    </w:p>
    <w:p w14:paraId="10A00005" w14:textId="77777777" w:rsidR="00615590" w:rsidRDefault="00000000">
      <w:pPr>
        <w:pStyle w:val="NormalWeb"/>
        <w:spacing w:before="280" w:after="280" w:line="360" w:lineRule="auto"/>
        <w:rPr>
          <w:color w:val="000000"/>
        </w:rPr>
      </w:pPr>
      <w:r>
        <w:rPr>
          <w:rFonts w:ascii="Arial" w:eastAsia="Arial" w:hAnsi="Arial" w:cs="Arial"/>
          <w:color w:val="000000"/>
          <w:sz w:val="22"/>
        </w:rPr>
        <w:lastRenderedPageBreak/>
        <w:t>Irons, M.W., Auta, A., Portlock, J. and Manfrin, A. (2022) ‘Medication errors and processes to reduce them in care homes in the United Kingdom: a scoping review’,</w:t>
      </w:r>
      <w:r>
        <w:rPr>
          <w:rStyle w:val="apple-converted-space"/>
          <w:rFonts w:ascii="Arial" w:eastAsia="Arial" w:hAnsi="Arial" w:cs="Arial"/>
          <w:color w:val="000000"/>
          <w:sz w:val="22"/>
        </w:rPr>
        <w:t xml:space="preserve"> </w:t>
      </w:r>
      <w:r>
        <w:rPr>
          <w:rStyle w:val="Emphasis"/>
          <w:rFonts w:ascii="Arial" w:eastAsia="Arial" w:hAnsi="Arial" w:cs="Arial"/>
          <w:color w:val="000000"/>
          <w:sz w:val="22"/>
        </w:rPr>
        <w:t>Home Health Care Services Quarterly</w:t>
      </w:r>
      <w:r>
        <w:rPr>
          <w:rFonts w:ascii="Arial" w:eastAsia="Arial" w:hAnsi="Arial" w:cs="Arial"/>
          <w:color w:val="000000"/>
          <w:sz w:val="22"/>
        </w:rPr>
        <w:t>, 41(2), pp. 91–123.</w:t>
      </w:r>
    </w:p>
    <w:p w14:paraId="10A00006" w14:textId="77777777" w:rsidR="00615590" w:rsidRDefault="00000000">
      <w:pPr>
        <w:pStyle w:val="NormalWeb"/>
        <w:spacing w:before="280" w:after="280" w:line="360" w:lineRule="auto"/>
        <w:rPr>
          <w:color w:val="000000"/>
        </w:rPr>
      </w:pPr>
      <w:r>
        <w:rPr>
          <w:rFonts w:ascii="Arial" w:eastAsia="Arial" w:hAnsi="Arial" w:cs="Arial"/>
          <w:color w:val="000000"/>
          <w:sz w:val="22"/>
        </w:rPr>
        <w:t>Marshall, M., Pfeifer, N., de Silva, D., Wei, L., Anderson, J., Cruickshank, L. and Attreed-James, K. (2018) ‘An evaluation of a safety improvement intervention in care homes in England: a participatory qualitative study’,</w:t>
      </w:r>
      <w:r>
        <w:rPr>
          <w:rStyle w:val="apple-converted-space"/>
          <w:rFonts w:ascii="Arial" w:eastAsia="Arial" w:hAnsi="Arial" w:cs="Arial"/>
          <w:color w:val="000000"/>
          <w:sz w:val="22"/>
        </w:rPr>
        <w:t xml:space="preserve"> </w:t>
      </w:r>
      <w:r>
        <w:rPr>
          <w:rStyle w:val="Emphasis"/>
          <w:rFonts w:ascii="Arial" w:eastAsia="Arial" w:hAnsi="Arial" w:cs="Arial"/>
          <w:color w:val="000000"/>
          <w:sz w:val="22"/>
        </w:rPr>
        <w:t>Journal of the Royal Society of Medicine</w:t>
      </w:r>
      <w:r>
        <w:rPr>
          <w:rFonts w:ascii="Arial" w:eastAsia="Arial" w:hAnsi="Arial" w:cs="Arial"/>
          <w:color w:val="000000"/>
          <w:sz w:val="22"/>
        </w:rPr>
        <w:t>, 111(11), pp. 414–421.</w:t>
      </w:r>
    </w:p>
    <w:p w14:paraId="1D233749" w14:textId="77777777" w:rsidR="00615590" w:rsidRDefault="00000000">
      <w:pPr>
        <w:pStyle w:val="NormalWeb"/>
        <w:spacing w:before="280" w:after="280" w:line="360" w:lineRule="auto"/>
        <w:rPr>
          <w:color w:val="000000"/>
        </w:rPr>
      </w:pPr>
      <w:r>
        <w:rPr>
          <w:rFonts w:ascii="Arial" w:eastAsia="Arial" w:hAnsi="Arial" w:cs="Arial"/>
          <w:color w:val="000000"/>
          <w:sz w:val="22"/>
        </w:rPr>
        <w:t>Medicines Act 1968. London: HMSO.</w:t>
      </w:r>
    </w:p>
    <w:p w14:paraId="6B0CA9A2" w14:textId="77777777" w:rsidR="00615590" w:rsidRDefault="00000000">
      <w:pPr>
        <w:pStyle w:val="NormalWeb"/>
        <w:spacing w:before="280" w:after="280" w:line="360" w:lineRule="auto"/>
        <w:rPr>
          <w:color w:val="000000"/>
        </w:rPr>
      </w:pPr>
      <w:r>
        <w:rPr>
          <w:rFonts w:ascii="Arial" w:eastAsia="Arial" w:hAnsi="Arial" w:cs="Arial"/>
          <w:color w:val="000000"/>
          <w:sz w:val="22"/>
        </w:rPr>
        <w:t>Misuse of Drugs Act 1971. London: HMSO.</w:t>
      </w:r>
    </w:p>
    <w:p w14:paraId="5FD49BF1" w14:textId="77777777" w:rsidR="00615590" w:rsidRDefault="00000000">
      <w:pPr>
        <w:pStyle w:val="NormalWeb"/>
        <w:spacing w:before="280" w:after="280" w:line="360" w:lineRule="auto"/>
        <w:rPr>
          <w:color w:val="000000"/>
        </w:rPr>
      </w:pPr>
      <w:r>
        <w:rPr>
          <w:rFonts w:ascii="Arial" w:eastAsia="Arial" w:hAnsi="Arial" w:cs="Arial"/>
          <w:color w:val="000000"/>
          <w:sz w:val="22"/>
        </w:rPr>
        <w:t>National Institute for Health and Care Excellence (NICE) (2022)</w:t>
      </w:r>
      <w:r>
        <w:rPr>
          <w:rStyle w:val="apple-converted-space"/>
          <w:rFonts w:ascii="Arial" w:eastAsia="Arial" w:hAnsi="Arial" w:cs="Arial"/>
          <w:color w:val="000000"/>
          <w:sz w:val="22"/>
        </w:rPr>
        <w:t> </w:t>
      </w:r>
      <w:r>
        <w:rPr>
          <w:rStyle w:val="Emphasis"/>
          <w:rFonts w:ascii="Arial" w:eastAsia="Arial" w:hAnsi="Arial" w:cs="Arial"/>
          <w:color w:val="000000"/>
          <w:sz w:val="22"/>
        </w:rPr>
        <w:t>Managing medicines in care homes</w:t>
      </w:r>
      <w:r>
        <w:rPr>
          <w:rFonts w:ascii="Arial" w:eastAsia="Arial" w:hAnsi="Arial" w:cs="Arial"/>
          <w:color w:val="000000"/>
          <w:sz w:val="22"/>
        </w:rPr>
        <w:t>. London: NICE.</w:t>
      </w:r>
    </w:p>
    <w:p w14:paraId="7A6F628F" w14:textId="77777777" w:rsidR="00615590" w:rsidRDefault="00000000">
      <w:pPr>
        <w:pStyle w:val="NormalWeb"/>
        <w:spacing w:before="280" w:after="280" w:line="360" w:lineRule="auto"/>
        <w:rPr>
          <w:color w:val="000000"/>
        </w:rPr>
      </w:pPr>
      <w:r>
        <w:rPr>
          <w:rFonts w:ascii="Arial" w:eastAsia="Arial" w:hAnsi="Arial" w:cs="Arial"/>
          <w:color w:val="000000"/>
          <w:sz w:val="22"/>
        </w:rPr>
        <w:t>Patterson, S.M. et al. (2020) ‘Electronic medication administration records in care homes’,</w:t>
      </w:r>
      <w:r>
        <w:rPr>
          <w:rStyle w:val="apple-converted-space"/>
          <w:rFonts w:ascii="Arial" w:eastAsia="Arial" w:hAnsi="Arial" w:cs="Arial"/>
          <w:color w:val="000000"/>
          <w:sz w:val="22"/>
        </w:rPr>
        <w:t> </w:t>
      </w:r>
      <w:r>
        <w:rPr>
          <w:rStyle w:val="Emphasis"/>
          <w:rFonts w:ascii="Arial" w:eastAsia="Arial" w:hAnsi="Arial" w:cs="Arial"/>
          <w:color w:val="000000"/>
          <w:sz w:val="22"/>
        </w:rPr>
        <w:t>BMC Geriatrics</w:t>
      </w:r>
      <w:r>
        <w:rPr>
          <w:rFonts w:ascii="Arial" w:eastAsia="Arial" w:hAnsi="Arial" w:cs="Arial"/>
          <w:color w:val="000000"/>
          <w:sz w:val="22"/>
        </w:rPr>
        <w:t>, 20(1), pp. 1–10.</w:t>
      </w:r>
    </w:p>
    <w:p w14:paraId="1E250B60" w14:textId="77777777" w:rsidR="00615590" w:rsidRDefault="00000000">
      <w:pPr>
        <w:pStyle w:val="NormalWeb"/>
        <w:spacing w:before="280" w:after="280" w:line="360" w:lineRule="auto"/>
        <w:rPr>
          <w:color w:val="000000"/>
        </w:rPr>
      </w:pPr>
      <w:r>
        <w:rPr>
          <w:rFonts w:ascii="Arial" w:eastAsia="Arial" w:hAnsi="Arial" w:cs="Arial"/>
          <w:color w:val="000000"/>
          <w:sz w:val="22"/>
        </w:rPr>
        <w:t>Reason, J. (2000) ‘Human error: models and management’,</w:t>
      </w:r>
      <w:r>
        <w:rPr>
          <w:rStyle w:val="apple-converted-space"/>
          <w:rFonts w:ascii="Arial" w:eastAsia="Arial" w:hAnsi="Arial" w:cs="Arial"/>
          <w:color w:val="000000"/>
          <w:sz w:val="22"/>
        </w:rPr>
        <w:t xml:space="preserve"> </w:t>
      </w:r>
      <w:r>
        <w:rPr>
          <w:rStyle w:val="Emphasis"/>
          <w:rFonts w:ascii="Arial" w:eastAsia="Arial" w:hAnsi="Arial" w:cs="Arial"/>
          <w:color w:val="000000"/>
          <w:sz w:val="22"/>
        </w:rPr>
        <w:t>BMJ</w:t>
      </w:r>
      <w:r>
        <w:rPr>
          <w:rFonts w:ascii="Arial" w:eastAsia="Arial" w:hAnsi="Arial" w:cs="Arial"/>
          <w:color w:val="000000"/>
          <w:sz w:val="22"/>
        </w:rPr>
        <w:t>, 320(7237), pp. 768–770.</w:t>
      </w:r>
    </w:p>
    <w:p w14:paraId="0E322C6F" w14:textId="77777777" w:rsidR="00615590" w:rsidRDefault="00000000">
      <w:pPr>
        <w:pStyle w:val="NormalWeb"/>
        <w:spacing w:before="280" w:after="280" w:line="360" w:lineRule="auto"/>
        <w:rPr>
          <w:color w:val="000000"/>
        </w:rPr>
      </w:pPr>
      <w:r>
        <w:rPr>
          <w:rFonts w:ascii="Arial" w:eastAsia="Arial" w:hAnsi="Arial" w:cs="Arial"/>
          <w:color w:val="000000"/>
          <w:sz w:val="22"/>
        </w:rPr>
        <w:t>Szczepura, A. et al. (2011) ‘Medication administration in care homes’,</w:t>
      </w:r>
      <w:r>
        <w:rPr>
          <w:rStyle w:val="apple-converted-space"/>
          <w:rFonts w:ascii="Arial" w:eastAsia="Arial" w:hAnsi="Arial" w:cs="Arial"/>
          <w:color w:val="000000"/>
          <w:sz w:val="22"/>
        </w:rPr>
        <w:t> </w:t>
      </w:r>
      <w:r>
        <w:rPr>
          <w:rStyle w:val="Emphasis"/>
          <w:rFonts w:ascii="Arial" w:eastAsia="Arial" w:hAnsi="Arial" w:cs="Arial"/>
          <w:color w:val="000000"/>
          <w:sz w:val="22"/>
        </w:rPr>
        <w:t>Health Services Management Research</w:t>
      </w:r>
      <w:r>
        <w:rPr>
          <w:rFonts w:ascii="Arial" w:eastAsia="Arial" w:hAnsi="Arial" w:cs="Arial"/>
          <w:color w:val="000000"/>
          <w:sz w:val="22"/>
        </w:rPr>
        <w:t>, 24(4), pp. 197–204.</w:t>
      </w:r>
    </w:p>
    <w:p w14:paraId="35DF4789" w14:textId="77777777" w:rsidR="00615590" w:rsidRDefault="00000000">
      <w:pPr>
        <w:pStyle w:val="NormalWeb"/>
        <w:spacing w:before="280" w:after="280" w:line="360" w:lineRule="auto"/>
        <w:rPr>
          <w:color w:val="000000"/>
        </w:rPr>
      </w:pPr>
      <w:r>
        <w:rPr>
          <w:rFonts w:ascii="Arial" w:eastAsia="Arial" w:hAnsi="Arial" w:cs="Arial"/>
          <w:color w:val="000000"/>
          <w:sz w:val="22"/>
        </w:rPr>
        <w:t>World Health Organization (WHO) (2021)</w:t>
      </w:r>
      <w:r>
        <w:rPr>
          <w:rStyle w:val="apple-converted-space"/>
          <w:rFonts w:ascii="Arial" w:eastAsia="Arial" w:hAnsi="Arial" w:cs="Arial"/>
          <w:color w:val="000000"/>
          <w:sz w:val="22"/>
        </w:rPr>
        <w:t> </w:t>
      </w:r>
      <w:r>
        <w:rPr>
          <w:rStyle w:val="Emphasis"/>
          <w:rFonts w:ascii="Arial" w:eastAsia="Arial" w:hAnsi="Arial" w:cs="Arial"/>
          <w:color w:val="000000"/>
          <w:sz w:val="22"/>
        </w:rPr>
        <w:t>Medication Safety in Polypharmacy</w:t>
      </w:r>
      <w:r>
        <w:rPr>
          <w:rFonts w:ascii="Arial" w:eastAsia="Arial" w:hAnsi="Arial" w:cs="Arial"/>
          <w:color w:val="000000"/>
          <w:sz w:val="22"/>
        </w:rPr>
        <w:t>. Geneva: WHO.</w:t>
      </w:r>
    </w:p>
    <w:p w14:paraId="51C828DD" w14:textId="77777777" w:rsidR="00615590" w:rsidRDefault="00615590">
      <w:pPr>
        <w:spacing w:line="360" w:lineRule="auto"/>
        <w:rPr>
          <w:rFonts w:ascii="Arial" w:hAnsi="Arial" w:cs="Arial"/>
          <w:sz w:val="28"/>
          <w:szCs w:val="28"/>
        </w:rPr>
      </w:pPr>
    </w:p>
    <w:sectPr w:rsidR="00615590">
      <w:footerReference w:type="even" r:id="rId9"/>
      <w:footerReference w:type="default" r:id="rId10"/>
      <w:footerReference w:type="first" r:id="rId11"/>
      <w:pgSz w:w="11906" w:h="16838"/>
      <w:pgMar w:top="1440" w:right="1440" w:bottom="1440" w:left="1440"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F5D1100" w14:textId="77777777" w:rsidR="00BB1F4C" w:rsidRDefault="00BB1F4C">
      <w:pPr>
        <w:spacing w:after="0" w:line="240" w:lineRule="auto"/>
      </w:pPr>
      <w:r>
        <w:separator/>
      </w:r>
    </w:p>
  </w:endnote>
  <w:endnote w:type="continuationSeparator" w:id="0">
    <w:p w14:paraId="1E539942" w14:textId="77777777" w:rsidR="00BB1F4C" w:rsidRDefault="00BB1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FreeSans">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1453EA" w14:textId="77777777" w:rsidR="00615590" w:rsidRDefault="006155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6B050E" w14:textId="77777777" w:rsidR="00615590" w:rsidRDefault="00000000">
    <w:pPr>
      <w:pStyle w:val="Footer"/>
      <w:jc w:val="center"/>
    </w:pPr>
    <w:r>
      <w:fldChar w:fldCharType="begin"/>
    </w:r>
    <w:r>
      <w:instrText xml:space="preserve"> PAGE </w:instrText>
    </w:r>
    <w:r>
      <w:fldChar w:fldCharType="separate"/>
    </w:r>
    <w:r>
      <w:t>19</w:t>
    </w:r>
    <w:r>
      <w:fldChar w:fldCharType="end"/>
    </w:r>
  </w:p>
  <w:p w14:paraId="6FADCE90" w14:textId="77777777" w:rsidR="00615590" w:rsidRDefault="006155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8CB176E" w14:textId="77777777" w:rsidR="00615590" w:rsidRDefault="006155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963C7FF" w14:textId="77777777" w:rsidR="00BB1F4C" w:rsidRDefault="00BB1F4C">
      <w:pPr>
        <w:spacing w:after="0" w:line="240" w:lineRule="auto"/>
      </w:pPr>
      <w:r>
        <w:separator/>
      </w:r>
    </w:p>
  </w:footnote>
  <w:footnote w:type="continuationSeparator" w:id="0">
    <w:p w14:paraId="66A102B6" w14:textId="77777777" w:rsidR="00BB1F4C" w:rsidRDefault="00BB1F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9B62F7"/>
    <w:multiLevelType w:val="multilevel"/>
    <w:tmpl w:val="BFBE5BF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1C0364F7"/>
    <w:multiLevelType w:val="multilevel"/>
    <w:tmpl w:val="67BE47F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C080F7B"/>
    <w:multiLevelType w:val="multilevel"/>
    <w:tmpl w:val="1D92C20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28E50C6E"/>
    <w:multiLevelType w:val="multilevel"/>
    <w:tmpl w:val="227A26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F8C0C3E"/>
    <w:multiLevelType w:val="multilevel"/>
    <w:tmpl w:val="9A26282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4936614C"/>
    <w:multiLevelType w:val="multilevel"/>
    <w:tmpl w:val="ECE475F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49561DD2"/>
    <w:multiLevelType w:val="multilevel"/>
    <w:tmpl w:val="51EE9C3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5EC321A3"/>
    <w:multiLevelType w:val="multilevel"/>
    <w:tmpl w:val="5F70C11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69F0713C"/>
    <w:multiLevelType w:val="multilevel"/>
    <w:tmpl w:val="B0A8CEF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281694775">
    <w:abstractNumId w:val="0"/>
  </w:num>
  <w:num w:numId="2" w16cid:durableId="651519023">
    <w:abstractNumId w:val="2"/>
  </w:num>
  <w:num w:numId="3" w16cid:durableId="754670382">
    <w:abstractNumId w:val="6"/>
  </w:num>
  <w:num w:numId="4" w16cid:durableId="1243249313">
    <w:abstractNumId w:val="4"/>
  </w:num>
  <w:num w:numId="5" w16cid:durableId="38819470">
    <w:abstractNumId w:val="5"/>
  </w:num>
  <w:num w:numId="6" w16cid:durableId="1919705505">
    <w:abstractNumId w:val="3"/>
  </w:num>
  <w:num w:numId="7" w16cid:durableId="407962443">
    <w:abstractNumId w:val="7"/>
  </w:num>
  <w:num w:numId="8" w16cid:durableId="818031799">
    <w:abstractNumId w:val="8"/>
  </w:num>
  <w:num w:numId="9" w16cid:durableId="1259556241">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590"/>
    <w:rsid w:val="000B2A1B"/>
    <w:rsid w:val="002359B0"/>
    <w:rsid w:val="003924C7"/>
    <w:rsid w:val="004E5ACA"/>
    <w:rsid w:val="00550678"/>
    <w:rsid w:val="00615590"/>
    <w:rsid w:val="00616EDB"/>
    <w:rsid w:val="006B6676"/>
    <w:rsid w:val="00715EE8"/>
    <w:rsid w:val="00A817B7"/>
    <w:rsid w:val="00A921AF"/>
    <w:rsid w:val="00AF003B"/>
    <w:rsid w:val="00B406D0"/>
    <w:rsid w:val="00BB1F4C"/>
    <w:rsid w:val="00BD7A7C"/>
    <w:rsid w:val="00BE179A"/>
    <w:rsid w:val="00C07957"/>
    <w:rsid w:val="00CF5C4D"/>
    <w:rsid w:val="00D06AD5"/>
    <w:rsid w:val="00DC53D8"/>
    <w:rsid w:val="00E0395A"/>
    <w:rsid w:val="00FA510F"/>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BA087"/>
  <w15:docId w15:val="{AE8161FE-9C91-CA4D-B0B9-AD253C016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ptos" w:eastAsia="Aptos" w:hAnsi="Aptos" w:cs="Times New Roman"/>
        <w:lang w:val="en-GB" w:eastAsia="en-GB"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6"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qFormat/>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qFormat/>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qFormat/>
    <w:rsid w:val="0058254B"/>
    <w:rPr>
      <w:rFonts w:eastAsia="Times New Roman" w:cs="Times New Roman"/>
      <w:color w:val="0F4761"/>
      <w:sz w:val="28"/>
      <w:szCs w:val="28"/>
    </w:rPr>
  </w:style>
  <w:style w:type="character" w:customStyle="1" w:styleId="Heading4Char">
    <w:name w:val="Heading 4 Char"/>
    <w:link w:val="Heading4"/>
    <w:uiPriority w:val="9"/>
    <w:semiHidden/>
    <w:qFormat/>
    <w:rsid w:val="0058254B"/>
    <w:rPr>
      <w:rFonts w:eastAsia="Times New Roman" w:cs="Times New Roman"/>
      <w:i/>
      <w:iCs/>
      <w:color w:val="0F4761"/>
    </w:rPr>
  </w:style>
  <w:style w:type="character" w:customStyle="1" w:styleId="Heading5Char">
    <w:name w:val="Heading 5 Char"/>
    <w:link w:val="Heading5"/>
    <w:uiPriority w:val="9"/>
    <w:semiHidden/>
    <w:qFormat/>
    <w:rsid w:val="0058254B"/>
    <w:rPr>
      <w:rFonts w:eastAsia="Times New Roman" w:cs="Times New Roman"/>
      <w:color w:val="0F4761"/>
    </w:rPr>
  </w:style>
  <w:style w:type="character" w:customStyle="1" w:styleId="Heading6Char">
    <w:name w:val="Heading 6 Char"/>
    <w:link w:val="Heading6"/>
    <w:uiPriority w:val="9"/>
    <w:semiHidden/>
    <w:qFormat/>
    <w:rsid w:val="0058254B"/>
    <w:rPr>
      <w:rFonts w:eastAsia="Times New Roman" w:cs="Times New Roman"/>
      <w:i/>
      <w:iCs/>
      <w:color w:val="595959"/>
    </w:rPr>
  </w:style>
  <w:style w:type="character" w:customStyle="1" w:styleId="Heading7Char">
    <w:name w:val="Heading 7 Char"/>
    <w:link w:val="Heading7"/>
    <w:uiPriority w:val="9"/>
    <w:semiHidden/>
    <w:qFormat/>
    <w:rsid w:val="0058254B"/>
    <w:rPr>
      <w:rFonts w:eastAsia="Times New Roman" w:cs="Times New Roman"/>
      <w:color w:val="595959"/>
    </w:rPr>
  </w:style>
  <w:style w:type="character" w:customStyle="1" w:styleId="Heading8Char">
    <w:name w:val="Heading 8 Char"/>
    <w:link w:val="Heading8"/>
    <w:uiPriority w:val="9"/>
    <w:semiHidden/>
    <w:qFormat/>
    <w:rsid w:val="0058254B"/>
    <w:rPr>
      <w:rFonts w:eastAsia="Times New Roman" w:cs="Times New Roman"/>
      <w:i/>
      <w:iCs/>
      <w:color w:val="272727"/>
    </w:rPr>
  </w:style>
  <w:style w:type="character" w:customStyle="1" w:styleId="Heading9Char">
    <w:name w:val="Heading 9 Char"/>
    <w:link w:val="Heading9"/>
    <w:uiPriority w:val="9"/>
    <w:semiHidden/>
    <w:qFormat/>
    <w:rsid w:val="0058254B"/>
    <w:rPr>
      <w:rFonts w:eastAsia="Times New Roman" w:cs="Times New Roman"/>
      <w:color w:val="272727"/>
    </w:rPr>
  </w:style>
  <w:style w:type="character" w:customStyle="1" w:styleId="TitleChar">
    <w:name w:val="Title Char"/>
    <w:link w:val="Title"/>
    <w:uiPriority w:val="10"/>
    <w:qFormat/>
    <w:rsid w:val="0058254B"/>
    <w:rPr>
      <w:rFonts w:ascii="Aptos Display" w:eastAsia="Times New Roman" w:hAnsi="Aptos Display" w:cs="Times New Roman"/>
      <w:spacing w:val="-10"/>
      <w:kern w:val="2"/>
      <w:sz w:val="56"/>
      <w:szCs w:val="56"/>
    </w:rPr>
  </w:style>
  <w:style w:type="character" w:customStyle="1" w:styleId="SubtitleChar">
    <w:name w:val="Subtitle Char"/>
    <w:link w:val="Subtitle"/>
    <w:uiPriority w:val="11"/>
    <w:qFormat/>
    <w:rsid w:val="0058254B"/>
    <w:rPr>
      <w:rFonts w:eastAsia="Times New Roman" w:cs="Times New Roman"/>
      <w:color w:val="595959"/>
      <w:spacing w:val="15"/>
      <w:sz w:val="28"/>
      <w:szCs w:val="28"/>
    </w:rPr>
  </w:style>
  <w:style w:type="character" w:customStyle="1" w:styleId="QuoteChar">
    <w:name w:val="Quote Char"/>
    <w:link w:val="Quote"/>
    <w:uiPriority w:val="29"/>
    <w:qFormat/>
    <w:rsid w:val="0058254B"/>
    <w:rPr>
      <w:i/>
      <w:iCs/>
      <w:color w:val="404040"/>
    </w:rPr>
  </w:style>
  <w:style w:type="character" w:styleId="IntenseEmphasis">
    <w:name w:val="Intense Emphasis"/>
    <w:uiPriority w:val="21"/>
    <w:qFormat/>
    <w:rsid w:val="0058254B"/>
    <w:rPr>
      <w:i/>
      <w:iCs/>
      <w:color w:val="0F4761"/>
    </w:rPr>
  </w:style>
  <w:style w:type="character" w:customStyle="1" w:styleId="IntenseQuoteChar">
    <w:name w:val="Intense Quote Char"/>
    <w:link w:val="IntenseQuote"/>
    <w:uiPriority w:val="30"/>
    <w:qFormat/>
    <w:rsid w:val="0058254B"/>
    <w:rPr>
      <w:i/>
      <w:iCs/>
      <w:color w:val="0F4761"/>
    </w:rPr>
  </w:style>
  <w:style w:type="character" w:styleId="IntenseReference">
    <w:name w:val="Intense Reference"/>
    <w:uiPriority w:val="32"/>
    <w:qFormat/>
    <w:rsid w:val="0058254B"/>
    <w:rPr>
      <w:b/>
      <w:bCs/>
      <w:smallCaps/>
      <w:color w:val="0F4761"/>
      <w:spacing w:val="5"/>
    </w:rPr>
  </w:style>
  <w:style w:type="character" w:customStyle="1" w:styleId="apple-converted-space">
    <w:name w:val="apple-converted-space"/>
    <w:basedOn w:val="DefaultParagraphFont"/>
    <w:qFormat/>
    <w:rsid w:val="008375B5"/>
  </w:style>
  <w:style w:type="character" w:styleId="Strong">
    <w:name w:val="Strong"/>
    <w:uiPriority w:val="22"/>
    <w:qFormat/>
    <w:rsid w:val="008375B5"/>
    <w:rPr>
      <w:b/>
      <w:bCs/>
    </w:rPr>
  </w:style>
  <w:style w:type="character" w:customStyle="1" w:styleId="HeaderChar">
    <w:name w:val="Header Char"/>
    <w:link w:val="Header"/>
    <w:uiPriority w:val="99"/>
    <w:qFormat/>
    <w:rsid w:val="008375B5"/>
    <w:rPr>
      <w:kern w:val="2"/>
      <w:sz w:val="24"/>
      <w:szCs w:val="24"/>
      <w:lang w:eastAsia="en-US"/>
    </w:rPr>
  </w:style>
  <w:style w:type="character" w:customStyle="1" w:styleId="FooterChar">
    <w:name w:val="Footer Char"/>
    <w:link w:val="Footer"/>
    <w:uiPriority w:val="99"/>
    <w:qFormat/>
    <w:rsid w:val="008375B5"/>
    <w:rPr>
      <w:kern w:val="2"/>
      <w:sz w:val="24"/>
      <w:szCs w:val="24"/>
      <w:lang w:eastAsia="en-US"/>
    </w:rPr>
  </w:style>
  <w:style w:type="character" w:styleId="Emphasis">
    <w:name w:val="Emphasis"/>
    <w:basedOn w:val="DefaultParagraphFont"/>
    <w:uiPriority w:val="20"/>
    <w:qFormat/>
    <w:rsid w:val="00A14E35"/>
    <w:rPr>
      <w:i/>
      <w:iCs/>
    </w:rPr>
  </w:style>
  <w:style w:type="character" w:styleId="Hyperlink">
    <w:name w:val="Hyperlink"/>
    <w:basedOn w:val="DefaultParagraphFont"/>
    <w:uiPriority w:val="99"/>
    <w:semiHidden/>
    <w:unhideWhenUsed/>
    <w:rsid w:val="00A14E35"/>
    <w:rPr>
      <w:color w:val="0000FF"/>
      <w:u w:val="single"/>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FreeSans"/>
      <w:sz w:val="28"/>
      <w:szCs w:val="28"/>
    </w:rPr>
  </w:style>
  <w:style w:type="paragraph" w:styleId="BodyText">
    <w:name w:val="Body Text"/>
    <w:basedOn w:val="Normal"/>
    <w:pPr>
      <w:spacing w:after="140"/>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rPr>
  </w:style>
  <w:style w:type="paragraph" w:customStyle="1" w:styleId="Index">
    <w:name w:val="Index"/>
    <w:basedOn w:val="Normal"/>
    <w:qFormat/>
    <w:pPr>
      <w:suppressLineNumbers/>
    </w:pPr>
    <w:rPr>
      <w:rFonts w:cs="FreeSans"/>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sz w:val="56"/>
      <w:szCs w:val="56"/>
    </w:rPr>
  </w:style>
  <w:style w:type="paragraph" w:styleId="Subtitle">
    <w:name w:val="Subtitle"/>
    <w:basedOn w:val="Normal"/>
    <w:next w:val="Normal"/>
    <w:link w:val="SubtitleChar"/>
    <w:uiPriority w:val="11"/>
    <w:qFormat/>
    <w:rsid w:val="0058254B"/>
    <w:rPr>
      <w:rFonts w:eastAsia="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paragraph" w:styleId="ListParagraph">
    <w:name w:val="List Paragraph"/>
    <w:basedOn w:val="Normal"/>
    <w:uiPriority w:val="34"/>
    <w:qFormat/>
    <w:rsid w:val="0058254B"/>
    <w:pPr>
      <w:ind w:left="720"/>
      <w:contextualSpacing/>
    </w:p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paragraph" w:styleId="NormalWeb">
    <w:name w:val="Normal (Web)"/>
    <w:basedOn w:val="Normal"/>
    <w:uiPriority w:val="99"/>
    <w:unhideWhenUsed/>
    <w:qFormat/>
    <w:rsid w:val="008375B5"/>
    <w:pPr>
      <w:spacing w:beforeAutospacing="1" w:afterAutospacing="1" w:line="240" w:lineRule="auto"/>
    </w:pPr>
    <w:rPr>
      <w:rFonts w:ascii="Times New Roman" w:eastAsia="Times New Roman" w:hAnsi="Times New Roman"/>
      <w:kern w:val="0"/>
      <w:lang w:eastAsia="en-GB"/>
    </w:rPr>
  </w:style>
  <w:style w:type="paragraph" w:customStyle="1" w:styleId="HeaderandFooter">
    <w:name w:val="Header and Footer"/>
    <w:basedOn w:val="Normal"/>
    <w:qFormat/>
  </w:style>
  <w:style w:type="paragraph" w:styleId="Header">
    <w:name w:val="header"/>
    <w:basedOn w:val="Normal"/>
    <w:link w:val="HeaderChar"/>
    <w:uiPriority w:val="99"/>
    <w:unhideWhenUsed/>
    <w:rsid w:val="008375B5"/>
    <w:pPr>
      <w:tabs>
        <w:tab w:val="center" w:pos="4513"/>
        <w:tab w:val="right" w:pos="9026"/>
      </w:tabs>
    </w:pPr>
  </w:style>
  <w:style w:type="paragraph" w:styleId="Footer">
    <w:name w:val="footer"/>
    <w:basedOn w:val="Normal"/>
    <w:link w:val="FooterChar"/>
    <w:uiPriority w:val="99"/>
    <w:unhideWhenUsed/>
    <w:rsid w:val="008375B5"/>
    <w:pPr>
      <w:tabs>
        <w:tab w:val="center" w:pos="4513"/>
        <w:tab w:val="right" w:pos="9026"/>
      </w:tabs>
    </w:pPr>
  </w:style>
  <w:style w:type="paragraph" w:customStyle="1" w:styleId="p1">
    <w:name w:val="p1"/>
    <w:basedOn w:val="Normal"/>
    <w:qFormat/>
    <w:rsid w:val="00756A58"/>
    <w:pPr>
      <w:spacing w:after="0" w:line="240" w:lineRule="auto"/>
    </w:pPr>
    <w:rPr>
      <w:rFonts w:ascii="Arial" w:eastAsia="Times New Roman" w:hAnsi="Arial" w:cs="Arial"/>
      <w:color w:val="000000"/>
      <w:kern w:val="0"/>
      <w:sz w:val="17"/>
      <w:szCs w:val="17"/>
      <w:lang w:eastAsia="en-GB"/>
    </w:rPr>
  </w:style>
  <w:style w:type="paragraph" w:styleId="TOC1">
    <w:name w:val="toc 1"/>
    <w:basedOn w:val="Index"/>
    <w:pPr>
      <w:tabs>
        <w:tab w:val="right" w:leader="dot" w:pos="902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4957</Words>
  <Characters>28261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dc:description/>
  <cp:lastModifiedBy>Ioan Ciprian Tanase (2414116)</cp:lastModifiedBy>
  <cp:revision>2</cp:revision>
  <dcterms:created xsi:type="dcterms:W3CDTF">2026-08-12T10:17:00Z</dcterms:created>
  <dcterms:modified xsi:type="dcterms:W3CDTF">2026-08-12T10:17:00Z</dcterms:modified>
  <dc:language>en-US</dc:language>
</cp:coreProperties>
</file>