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6CE5" w:rsidRPr="00676CE5" w:rsidRDefault="00676CE5" w:rsidP="00676CE5">
      <w:pPr>
        <w:rPr>
          <w:rFonts w:ascii="Arial" w:hAnsi="Arial" w:cs="Arial"/>
        </w:rPr>
      </w:pPr>
      <w:r w:rsidRPr="00676CE5">
        <w:rPr>
          <w:rFonts w:ascii="Arial" w:hAnsi="Arial" w:cs="Arial"/>
          <w:noProof/>
        </w:rPr>
        <w:drawing>
          <wp:inline distT="0" distB="0" distL="0" distR="0" wp14:anchorId="699D65A2" wp14:editId="5650E9D1">
            <wp:extent cx="2303145" cy="923290"/>
            <wp:effectExtent l="0" t="0" r="1905" b="0"/>
            <wp:docPr id="2" name="Picture 2" descr="Description: 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U:\UWTSD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3145" cy="923290"/>
                    </a:xfrm>
                    <a:prstGeom prst="rect">
                      <a:avLst/>
                    </a:prstGeom>
                    <a:noFill/>
                    <a:ln>
                      <a:noFill/>
                    </a:ln>
                  </pic:spPr>
                </pic:pic>
              </a:graphicData>
            </a:graphic>
          </wp:inline>
        </w:drawing>
      </w:r>
      <w:r w:rsidRPr="00676CE5">
        <w:rPr>
          <w:rFonts w:ascii="Arial" w:hAnsi="Arial" w:cs="Arial"/>
        </w:rPr>
        <w:t xml:space="preserve">LEVEL 6       </w:t>
      </w:r>
    </w:p>
    <w:p w:rsidR="00676CE5" w:rsidRPr="00676CE5" w:rsidRDefault="00676CE5" w:rsidP="00676CE5">
      <w:pPr>
        <w:rPr>
          <w:rFonts w:ascii="Arial" w:hAnsi="Arial" w:cs="Arial"/>
          <w:b/>
          <w:caps/>
          <w:sz w:val="28"/>
          <w:szCs w:val="20"/>
        </w:rPr>
      </w:pPr>
      <w:r w:rsidRPr="00676CE5">
        <w:rPr>
          <w:rFonts w:ascii="Arial" w:hAnsi="Arial" w:cs="Arial"/>
          <w:b/>
          <w:caps/>
          <w:sz w:val="28"/>
          <w:szCs w:val="20"/>
        </w:rPr>
        <w:t xml:space="preserve">                                                                      </w:t>
      </w:r>
    </w:p>
    <w:p w:rsidR="00676CE5" w:rsidRPr="00676CE5" w:rsidRDefault="00676CE5" w:rsidP="00676CE5">
      <w:pPr>
        <w:rPr>
          <w:rFonts w:ascii="Arial" w:hAnsi="Arial" w:cs="Arial"/>
          <w:b/>
          <w:caps/>
          <w:sz w:val="28"/>
          <w:szCs w:val="20"/>
        </w:rPr>
      </w:pPr>
      <w:r w:rsidRPr="00676CE5">
        <w:rPr>
          <w:rFonts w:ascii="Arial" w:hAnsi="Arial" w:cs="Arial"/>
          <w:b/>
          <w:caps/>
          <w:sz w:val="28"/>
          <w:szCs w:val="20"/>
        </w:rPr>
        <w:t xml:space="preserve">SEMESTER 1/2                                                                         </w:t>
      </w:r>
    </w:p>
    <w:p w:rsidR="00676CE5" w:rsidRPr="00676CE5" w:rsidRDefault="00676CE5" w:rsidP="00676CE5">
      <w:pPr>
        <w:rPr>
          <w:rFonts w:ascii="Arial" w:hAnsi="Arial" w:cs="Arial"/>
          <w:b/>
          <w:caps/>
          <w:sz w:val="28"/>
          <w:szCs w:val="20"/>
        </w:rPr>
      </w:pPr>
    </w:p>
    <w:p w:rsidR="00676CE5" w:rsidRPr="00676CE5" w:rsidRDefault="00676CE5" w:rsidP="00676CE5">
      <w:pPr>
        <w:rPr>
          <w:rFonts w:ascii="Arial" w:hAnsi="Arial" w:cs="Arial"/>
          <w:b/>
          <w:caps/>
          <w:sz w:val="28"/>
          <w:szCs w:val="20"/>
        </w:rPr>
      </w:pPr>
    </w:p>
    <w:p w:rsidR="00676CE5" w:rsidRPr="00676CE5" w:rsidRDefault="00676CE5" w:rsidP="00676CE5">
      <w:pPr>
        <w:rPr>
          <w:rFonts w:ascii="Arial" w:hAnsi="Arial" w:cs="Arial"/>
          <w:b/>
          <w:caps/>
          <w:sz w:val="28"/>
          <w:szCs w:val="20"/>
        </w:rPr>
      </w:pPr>
    </w:p>
    <w:p w:rsidR="00676CE5" w:rsidRPr="00676CE5" w:rsidRDefault="00676CE5" w:rsidP="00676CE5">
      <w:pPr>
        <w:rPr>
          <w:rFonts w:ascii="Arial" w:hAnsi="Arial" w:cs="Arial"/>
          <w:b/>
          <w:caps/>
          <w:sz w:val="28"/>
          <w:szCs w:val="20"/>
        </w:rPr>
      </w:pPr>
      <w:r w:rsidRPr="00676CE5">
        <w:rPr>
          <w:rFonts w:ascii="Arial" w:hAnsi="Arial" w:cs="Arial"/>
          <w:b/>
          <w:caps/>
          <w:sz w:val="28"/>
          <w:szCs w:val="20"/>
        </w:rPr>
        <w:t>STUDENT NUMBER: 1500997</w:t>
      </w:r>
    </w:p>
    <w:p w:rsidR="00676CE5" w:rsidRPr="00676CE5" w:rsidRDefault="00676CE5" w:rsidP="00676CE5">
      <w:pPr>
        <w:rPr>
          <w:rFonts w:ascii="Arial" w:hAnsi="Arial" w:cs="Arial"/>
          <w:b/>
          <w:caps/>
          <w:sz w:val="28"/>
          <w:szCs w:val="20"/>
        </w:rPr>
      </w:pPr>
    </w:p>
    <w:p w:rsidR="00676CE5" w:rsidRPr="00676CE5" w:rsidRDefault="00676CE5" w:rsidP="00676CE5">
      <w:pPr>
        <w:rPr>
          <w:rFonts w:ascii="Arial" w:hAnsi="Arial" w:cs="Arial"/>
          <w:b/>
          <w:caps/>
          <w:sz w:val="28"/>
          <w:szCs w:val="20"/>
        </w:rPr>
      </w:pPr>
    </w:p>
    <w:p w:rsidR="00676CE5" w:rsidRPr="00676CE5" w:rsidRDefault="00676CE5" w:rsidP="00676CE5">
      <w:pPr>
        <w:rPr>
          <w:rFonts w:ascii="Arial" w:hAnsi="Arial" w:cs="Arial"/>
          <w:b/>
          <w:caps/>
          <w:sz w:val="28"/>
          <w:szCs w:val="20"/>
        </w:rPr>
      </w:pPr>
    </w:p>
    <w:p w:rsidR="00676CE5" w:rsidRPr="00676CE5" w:rsidRDefault="00676CE5" w:rsidP="00676CE5">
      <w:pPr>
        <w:jc w:val="center"/>
        <w:rPr>
          <w:rFonts w:ascii="Arial" w:hAnsi="Arial" w:cs="Arial"/>
          <w:b/>
          <w:caps/>
          <w:sz w:val="28"/>
          <w:szCs w:val="20"/>
          <w:lang w:val="en-US"/>
        </w:rPr>
      </w:pPr>
      <w:r w:rsidRPr="00676CE5">
        <w:rPr>
          <w:rFonts w:ascii="Arial" w:hAnsi="Arial" w:cs="Arial"/>
          <w:b/>
          <w:caps/>
          <w:sz w:val="28"/>
          <w:szCs w:val="20"/>
        </w:rPr>
        <w:t>MODULE CODE: ECAD6004</w:t>
      </w:r>
    </w:p>
    <w:p w:rsidR="00676CE5" w:rsidRPr="00676CE5" w:rsidRDefault="00676CE5" w:rsidP="00676CE5">
      <w:pPr>
        <w:jc w:val="center"/>
        <w:rPr>
          <w:rFonts w:ascii="Arial" w:hAnsi="Arial" w:cs="Arial"/>
          <w:b/>
          <w:caps/>
          <w:sz w:val="28"/>
          <w:szCs w:val="20"/>
        </w:rPr>
      </w:pPr>
    </w:p>
    <w:p w:rsidR="00676CE5" w:rsidRPr="00676CE5" w:rsidRDefault="00676CE5" w:rsidP="00676CE5">
      <w:pPr>
        <w:spacing w:after="240"/>
        <w:jc w:val="center"/>
        <w:rPr>
          <w:rFonts w:ascii="Arial" w:hAnsi="Arial" w:cs="Arial"/>
          <w:b/>
          <w:sz w:val="28"/>
          <w:szCs w:val="20"/>
        </w:rPr>
      </w:pPr>
      <w:r w:rsidRPr="00676CE5">
        <w:rPr>
          <w:rFonts w:ascii="Arial" w:hAnsi="Arial" w:cs="Arial"/>
          <w:b/>
          <w:sz w:val="28"/>
          <w:szCs w:val="20"/>
          <w:lang w:val="en-US"/>
        </w:rPr>
        <w:t xml:space="preserve">Enterprising and Creative Teaching and Learning </w:t>
      </w:r>
    </w:p>
    <w:p w:rsidR="00676CE5" w:rsidRPr="00676CE5" w:rsidRDefault="00676CE5" w:rsidP="00676CE5">
      <w:pPr>
        <w:spacing w:after="240"/>
        <w:jc w:val="center"/>
        <w:rPr>
          <w:rFonts w:ascii="Arial" w:hAnsi="Arial" w:cs="Arial"/>
          <w:b/>
          <w:sz w:val="28"/>
          <w:szCs w:val="20"/>
        </w:rPr>
      </w:pPr>
    </w:p>
    <w:p w:rsidR="00676CE5" w:rsidRPr="00676CE5" w:rsidRDefault="00676CE5" w:rsidP="00676CE5">
      <w:pPr>
        <w:spacing w:after="240"/>
        <w:rPr>
          <w:rFonts w:ascii="Arial" w:hAnsi="Arial" w:cs="Arial"/>
          <w:b/>
          <w:caps/>
          <w:sz w:val="28"/>
          <w:szCs w:val="28"/>
        </w:rPr>
      </w:pPr>
      <w:r w:rsidRPr="00676CE5">
        <w:rPr>
          <w:rFonts w:ascii="Arial" w:hAnsi="Arial" w:cs="Arial"/>
          <w:b/>
          <w:caps/>
          <w:sz w:val="28"/>
          <w:szCs w:val="28"/>
        </w:rPr>
        <w:t xml:space="preserve">aSSESSMENT TYPE: aSSIGNMENT </w:t>
      </w:r>
    </w:p>
    <w:p w:rsidR="00676CE5" w:rsidRPr="00676CE5" w:rsidRDefault="00676CE5" w:rsidP="00676CE5">
      <w:pPr>
        <w:rPr>
          <w:rFonts w:ascii="Arial" w:hAnsi="Arial" w:cs="Arial"/>
          <w:b/>
          <w:caps/>
          <w:sz w:val="28"/>
          <w:szCs w:val="28"/>
        </w:rPr>
      </w:pPr>
      <w:r>
        <w:rPr>
          <w:rFonts w:ascii="Arial" w:hAnsi="Arial" w:cs="Arial"/>
          <w:b/>
          <w:caps/>
          <w:sz w:val="28"/>
          <w:szCs w:val="28"/>
        </w:rPr>
        <w:t>Assessment/Component: 2</w:t>
      </w:r>
    </w:p>
    <w:p w:rsidR="00676CE5" w:rsidRPr="00676CE5" w:rsidRDefault="00676CE5" w:rsidP="00676CE5">
      <w:pPr>
        <w:spacing w:after="120"/>
        <w:rPr>
          <w:rFonts w:ascii="Arial" w:hAnsi="Arial" w:cs="Arial"/>
          <w:szCs w:val="20"/>
        </w:rPr>
      </w:pPr>
    </w:p>
    <w:p w:rsidR="00676CE5" w:rsidRPr="00676CE5" w:rsidRDefault="00676CE5" w:rsidP="00676CE5">
      <w:pPr>
        <w:spacing w:after="120"/>
        <w:rPr>
          <w:rFonts w:ascii="Arial" w:hAnsi="Arial" w:cs="Arial"/>
          <w:b/>
          <w:sz w:val="28"/>
          <w:szCs w:val="28"/>
        </w:rPr>
      </w:pPr>
      <w:r w:rsidRPr="00676CE5">
        <w:rPr>
          <w:rFonts w:ascii="Arial" w:hAnsi="Arial" w:cs="Arial"/>
          <w:b/>
          <w:sz w:val="28"/>
          <w:szCs w:val="28"/>
        </w:rPr>
        <w:t xml:space="preserve">COMPONENT WEIGHTING: </w:t>
      </w:r>
      <w:r w:rsidRPr="00676CE5">
        <w:rPr>
          <w:rFonts w:ascii="Arial" w:hAnsi="Arial" w:cs="Arial"/>
          <w:b/>
          <w:sz w:val="28"/>
          <w:szCs w:val="28"/>
          <w:u w:val="single"/>
        </w:rPr>
        <w:t>50</w:t>
      </w:r>
      <w:r w:rsidRPr="00676CE5">
        <w:rPr>
          <w:rFonts w:ascii="Arial" w:hAnsi="Arial" w:cs="Arial"/>
          <w:b/>
          <w:sz w:val="28"/>
          <w:szCs w:val="28"/>
        </w:rPr>
        <w:t>%</w:t>
      </w:r>
    </w:p>
    <w:p w:rsidR="00676CE5" w:rsidRPr="00676CE5" w:rsidRDefault="00676CE5" w:rsidP="00676CE5">
      <w:pPr>
        <w:spacing w:after="120"/>
        <w:rPr>
          <w:rFonts w:ascii="Arial" w:hAnsi="Arial" w:cs="Arial"/>
          <w:b/>
          <w:sz w:val="28"/>
          <w:szCs w:val="28"/>
        </w:rPr>
      </w:pPr>
    </w:p>
    <w:p w:rsidR="00676CE5" w:rsidRPr="00676CE5" w:rsidRDefault="00676CE5" w:rsidP="00676CE5">
      <w:pPr>
        <w:rPr>
          <w:rFonts w:ascii="Arial" w:hAnsi="Arial" w:cs="Arial"/>
          <w:bCs/>
          <w:sz w:val="22"/>
          <w:szCs w:val="18"/>
        </w:rPr>
      </w:pPr>
      <w:r w:rsidRPr="00676CE5">
        <w:rPr>
          <w:rFonts w:ascii="Arial" w:hAnsi="Arial" w:cs="Arial"/>
          <w:b/>
          <w:sz w:val="20"/>
        </w:rPr>
        <w:t>Assignment Title:</w:t>
      </w:r>
      <w:r w:rsidRPr="00676CE5">
        <w:rPr>
          <w:rFonts w:ascii="Arial" w:hAnsi="Arial" w:cs="Arial"/>
          <w:b/>
          <w:bCs/>
          <w:sz w:val="16"/>
          <w:szCs w:val="16"/>
        </w:rPr>
        <w:t xml:space="preserve"> </w:t>
      </w:r>
      <w:r w:rsidRPr="00676CE5">
        <w:t xml:space="preserve"> </w:t>
      </w:r>
      <w:r w:rsidRPr="00676CE5">
        <w:rPr>
          <w:rFonts w:ascii="Arial" w:hAnsi="Arial" w:cs="Arial"/>
          <w:bCs/>
          <w:szCs w:val="16"/>
        </w:rPr>
        <w:t xml:space="preserve"> </w:t>
      </w:r>
    </w:p>
    <w:p w:rsidR="00676CE5" w:rsidRPr="00676CE5" w:rsidRDefault="00676CE5" w:rsidP="00676CE5">
      <w:pPr>
        <w:rPr>
          <w:rFonts w:ascii="Arial" w:hAnsi="Arial" w:cstheme="minorBidi"/>
          <w:b/>
          <w:sz w:val="20"/>
          <w:szCs w:val="22"/>
        </w:rPr>
      </w:pPr>
    </w:p>
    <w:p w:rsidR="00676CE5" w:rsidRPr="0066580A" w:rsidRDefault="00676CE5" w:rsidP="00676CE5">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p w:rsidR="00676CE5" w:rsidRPr="00676CE5" w:rsidRDefault="00676CE5" w:rsidP="00676CE5">
      <w:pPr>
        <w:spacing w:after="120"/>
        <w:rPr>
          <w:rFonts w:ascii="Arial" w:hAnsi="Arial" w:cs="Arial"/>
          <w:b/>
          <w:sz w:val="28"/>
          <w:szCs w:val="28"/>
          <w:u w:val="single"/>
        </w:rPr>
      </w:pPr>
    </w:p>
    <w:p w:rsidR="00676CE5" w:rsidRPr="00676CE5" w:rsidRDefault="00676CE5" w:rsidP="00676CE5">
      <w:pPr>
        <w:spacing w:after="120"/>
        <w:rPr>
          <w:rFonts w:ascii="Arial" w:hAnsi="Arial" w:cs="Arial"/>
          <w:b/>
          <w:sz w:val="28"/>
          <w:szCs w:val="28"/>
          <w:u w:val="single"/>
        </w:rPr>
      </w:pPr>
    </w:p>
    <w:p w:rsidR="00676CE5" w:rsidRPr="00676CE5" w:rsidRDefault="00676CE5" w:rsidP="00676CE5">
      <w:pPr>
        <w:rPr>
          <w:rFonts w:ascii="Arial" w:hAnsi="Arial" w:cs="Arial"/>
          <w:b/>
          <w:sz w:val="28"/>
          <w:szCs w:val="28"/>
        </w:rPr>
      </w:pPr>
      <w:r>
        <w:rPr>
          <w:rFonts w:ascii="Arial" w:hAnsi="Arial" w:cs="Arial"/>
          <w:b/>
          <w:sz w:val="28"/>
          <w:szCs w:val="28"/>
        </w:rPr>
        <w:t>SUBMISSION DETAILS: 14</w:t>
      </w:r>
      <w:r w:rsidR="00404C24">
        <w:rPr>
          <w:rFonts w:ascii="Arial" w:hAnsi="Arial" w:cs="Arial"/>
          <w:b/>
          <w:sz w:val="28"/>
          <w:szCs w:val="28"/>
        </w:rPr>
        <w:t>/03</w:t>
      </w:r>
      <w:r>
        <w:rPr>
          <w:rFonts w:ascii="Arial" w:hAnsi="Arial" w:cs="Arial"/>
          <w:b/>
          <w:sz w:val="28"/>
          <w:szCs w:val="28"/>
        </w:rPr>
        <w:t>/18</w:t>
      </w:r>
    </w:p>
    <w:p w:rsidR="00E21A4E" w:rsidRDefault="00E21A4E"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p w:rsidR="00676CE5" w:rsidRDefault="00676CE5" w:rsidP="00E21A4E">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21A4E" w:rsidRPr="00CE0319" w:rsidTr="00581853">
        <w:trPr>
          <w:trHeight w:val="75"/>
        </w:trPr>
        <w:tc>
          <w:tcPr>
            <w:tcW w:w="10598" w:type="dxa"/>
            <w:shd w:val="clear" w:color="auto" w:fill="D9D9D9"/>
          </w:tcPr>
          <w:p w:rsidR="00E21A4E" w:rsidRPr="00CE0319" w:rsidRDefault="00E21A4E" w:rsidP="00581853">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rsidR="00E21A4E" w:rsidRDefault="00E21A4E" w:rsidP="00E21A4E">
      <w:pPr>
        <w:pStyle w:val="BodyText1"/>
        <w:tabs>
          <w:tab w:val="clear" w:pos="720"/>
          <w:tab w:val="clear" w:pos="1440"/>
        </w:tabs>
        <w:jc w:val="both"/>
        <w:rPr>
          <w:rFonts w:ascii="Calibri" w:hAnsi="Calibri"/>
          <w:sz w:val="20"/>
        </w:rPr>
      </w:pPr>
    </w:p>
    <w:p w:rsidR="00E21A4E" w:rsidRDefault="00E21A4E" w:rsidP="00E21A4E">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E21A4E" w:rsidRPr="0045662B" w:rsidRDefault="00E21A4E" w:rsidP="00E21A4E">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3"/>
        <w:gridCol w:w="1016"/>
        <w:gridCol w:w="984"/>
        <w:gridCol w:w="982"/>
        <w:gridCol w:w="1076"/>
        <w:gridCol w:w="1015"/>
        <w:gridCol w:w="1011"/>
      </w:tblGrid>
      <w:tr w:rsidR="00E21A4E" w:rsidRPr="00266B32" w:rsidTr="00581853">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E21A4E" w:rsidRPr="00F61A20" w:rsidRDefault="00E21A4E" w:rsidP="0058185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E21A4E" w:rsidRPr="00F61A20" w:rsidRDefault="00E21A4E" w:rsidP="00581853">
            <w:pPr>
              <w:rPr>
                <w:rFonts w:ascii="Calibri" w:hAnsi="Calibri"/>
                <w:b/>
                <w:sz w:val="22"/>
              </w:rPr>
            </w:pPr>
            <w:r w:rsidRPr="00F61A20">
              <w:rPr>
                <w:rFonts w:ascii="Calibri" w:hAnsi="Calibri"/>
                <w:b/>
                <w:sz w:val="22"/>
              </w:rPr>
              <w:t>Level of Achievement</w:t>
            </w:r>
          </w:p>
        </w:tc>
      </w:tr>
      <w:tr w:rsidR="00E21A4E" w:rsidRPr="00CC0370" w:rsidTr="00581853">
        <w:trPr>
          <w:trHeight w:val="571"/>
        </w:trPr>
        <w:tc>
          <w:tcPr>
            <w:tcW w:w="1055" w:type="pct"/>
            <w:vMerge/>
            <w:tcBorders>
              <w:left w:val="single" w:sz="4" w:space="0" w:color="auto"/>
              <w:bottom w:val="single" w:sz="4" w:space="0" w:color="auto"/>
              <w:right w:val="single" w:sz="4" w:space="0" w:color="auto"/>
            </w:tcBorders>
            <w:shd w:val="clear" w:color="auto" w:fill="BFBFBF"/>
          </w:tcPr>
          <w:p w:rsidR="00E21A4E" w:rsidRPr="00F61A20" w:rsidRDefault="00E21A4E" w:rsidP="00581853">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E21A4E" w:rsidRDefault="00E21A4E" w:rsidP="00581853">
            <w:pPr>
              <w:jc w:val="center"/>
              <w:rPr>
                <w:rFonts w:ascii="Calibri" w:hAnsi="Calibri"/>
                <w:b/>
                <w:sz w:val="18"/>
              </w:rPr>
            </w:pPr>
          </w:p>
          <w:p w:rsidR="00E21A4E" w:rsidRPr="009D3EA4" w:rsidRDefault="00E21A4E" w:rsidP="00581853">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E21A4E" w:rsidRDefault="00E21A4E" w:rsidP="00581853">
            <w:pPr>
              <w:jc w:val="center"/>
              <w:rPr>
                <w:rFonts w:ascii="Calibri" w:hAnsi="Calibri"/>
                <w:b/>
                <w:sz w:val="18"/>
              </w:rPr>
            </w:pPr>
          </w:p>
          <w:p w:rsidR="00E21A4E" w:rsidRPr="00F61A20" w:rsidRDefault="00E21A4E" w:rsidP="00581853">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E21A4E" w:rsidRDefault="00E21A4E" w:rsidP="00581853">
            <w:pPr>
              <w:jc w:val="center"/>
              <w:rPr>
                <w:rFonts w:ascii="Calibri" w:hAnsi="Calibri"/>
                <w:b/>
                <w:sz w:val="18"/>
              </w:rPr>
            </w:pPr>
          </w:p>
          <w:p w:rsidR="00E21A4E" w:rsidRPr="00F61A20" w:rsidRDefault="00E21A4E" w:rsidP="00581853">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E21A4E" w:rsidRDefault="00E21A4E" w:rsidP="00581853">
            <w:pPr>
              <w:jc w:val="center"/>
              <w:rPr>
                <w:rFonts w:ascii="Calibri" w:hAnsi="Calibri"/>
                <w:b/>
                <w:sz w:val="18"/>
              </w:rPr>
            </w:pPr>
          </w:p>
          <w:p w:rsidR="00E21A4E" w:rsidRPr="00F61A20" w:rsidRDefault="00E21A4E" w:rsidP="00581853">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E21A4E" w:rsidRDefault="00E21A4E" w:rsidP="00581853">
            <w:pPr>
              <w:jc w:val="center"/>
              <w:rPr>
                <w:rFonts w:ascii="Calibri" w:hAnsi="Calibri"/>
                <w:b/>
                <w:sz w:val="18"/>
              </w:rPr>
            </w:pPr>
          </w:p>
          <w:p w:rsidR="00E21A4E" w:rsidRPr="00F61A20" w:rsidRDefault="00E21A4E" w:rsidP="00581853">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E21A4E" w:rsidRDefault="00E21A4E" w:rsidP="00581853">
            <w:pPr>
              <w:jc w:val="center"/>
              <w:rPr>
                <w:rFonts w:ascii="Calibri" w:hAnsi="Calibri"/>
                <w:b/>
                <w:sz w:val="18"/>
              </w:rPr>
            </w:pPr>
          </w:p>
          <w:p w:rsidR="00E21A4E" w:rsidRPr="00F61A20" w:rsidRDefault="00E21A4E" w:rsidP="00581853">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E21A4E" w:rsidRPr="00CC0370" w:rsidTr="00581853">
        <w:trPr>
          <w:trHeight w:val="468"/>
        </w:trPr>
        <w:tc>
          <w:tcPr>
            <w:tcW w:w="1055" w:type="pct"/>
            <w:tcBorders>
              <w:top w:val="single" w:sz="4" w:space="0" w:color="auto"/>
              <w:left w:val="single" w:sz="4" w:space="0" w:color="auto"/>
              <w:right w:val="single" w:sz="4" w:space="0" w:color="auto"/>
            </w:tcBorders>
            <w:shd w:val="clear" w:color="auto" w:fill="BFBFBF"/>
          </w:tcPr>
          <w:p w:rsidR="00E21A4E" w:rsidRPr="00F61A20" w:rsidRDefault="00E21A4E" w:rsidP="00581853">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E21A4E" w:rsidRPr="00EB4F96" w:rsidRDefault="00E21A4E" w:rsidP="00581853">
            <w:pPr>
              <w:spacing w:after="120"/>
              <w:jc w:val="center"/>
              <w:rPr>
                <w:rFonts w:ascii="Calibri" w:hAnsi="Calibri"/>
                <w:b/>
                <w:sz w:val="12"/>
                <w:szCs w:val="16"/>
              </w:rPr>
            </w:pPr>
            <w:r w:rsidRPr="00EB4F96">
              <w:rPr>
                <w:rFonts w:ascii="Calibri" w:hAnsi="Calibri"/>
                <w:b/>
                <w:sz w:val="12"/>
                <w:szCs w:val="16"/>
              </w:rPr>
              <w:t>EXCEPTIONAL</w:t>
            </w:r>
          </w:p>
        </w:tc>
      </w:tr>
      <w:tr w:rsidR="00E21A4E" w:rsidRPr="00CC0370" w:rsidTr="00581853">
        <w:trPr>
          <w:trHeight w:val="468"/>
        </w:trPr>
        <w:tc>
          <w:tcPr>
            <w:tcW w:w="1055" w:type="pct"/>
            <w:vMerge w:val="restart"/>
            <w:tcBorders>
              <w:top w:val="single" w:sz="4" w:space="0" w:color="auto"/>
              <w:left w:val="single" w:sz="4" w:space="0" w:color="auto"/>
              <w:right w:val="single" w:sz="4" w:space="0" w:color="auto"/>
            </w:tcBorders>
          </w:tcPr>
          <w:p w:rsidR="00E21A4E" w:rsidRPr="00F61A20" w:rsidRDefault="00E21A4E" w:rsidP="00581853">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80-100%</w:t>
            </w:r>
          </w:p>
        </w:tc>
      </w:tr>
      <w:tr w:rsidR="00E21A4E" w:rsidRPr="00CC0370" w:rsidTr="00581853">
        <w:trPr>
          <w:trHeight w:val="967"/>
        </w:trPr>
        <w:tc>
          <w:tcPr>
            <w:tcW w:w="1055" w:type="pct"/>
            <w:vMerge/>
            <w:tcBorders>
              <w:left w:val="single" w:sz="4" w:space="0" w:color="auto"/>
              <w:bottom w:val="single" w:sz="4" w:space="0" w:color="auto"/>
              <w:right w:val="single" w:sz="4" w:space="0" w:color="auto"/>
            </w:tcBorders>
          </w:tcPr>
          <w:p w:rsidR="00E21A4E" w:rsidRPr="00F61A20" w:rsidRDefault="00E21A4E" w:rsidP="0058185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 w:val="18"/>
                <w:szCs w:val="32"/>
              </w:rPr>
            </w:pPr>
            <w:r w:rsidRPr="00F61A20">
              <w:rPr>
                <w:rFonts w:ascii="Calibri" w:hAnsi="Calibri"/>
                <w:szCs w:val="32"/>
              </w:rPr>
              <w:sym w:font="Wingdings" w:char="F06F"/>
            </w:r>
          </w:p>
        </w:tc>
      </w:tr>
      <w:tr w:rsidR="00E21A4E" w:rsidRPr="00CC0370" w:rsidTr="00581853">
        <w:trPr>
          <w:trHeight w:val="468"/>
        </w:trPr>
        <w:tc>
          <w:tcPr>
            <w:tcW w:w="1055" w:type="pct"/>
            <w:vMerge w:val="restart"/>
            <w:tcBorders>
              <w:top w:val="single" w:sz="4" w:space="0" w:color="auto"/>
              <w:left w:val="single" w:sz="4" w:space="0" w:color="auto"/>
              <w:right w:val="single" w:sz="4" w:space="0" w:color="auto"/>
            </w:tcBorders>
          </w:tcPr>
          <w:p w:rsidR="00E21A4E" w:rsidRPr="005E72F8" w:rsidRDefault="00E21A4E" w:rsidP="00581853">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80-100%</w:t>
            </w:r>
          </w:p>
        </w:tc>
      </w:tr>
      <w:tr w:rsidR="00E21A4E" w:rsidRPr="00CC0370" w:rsidTr="00581853">
        <w:trPr>
          <w:trHeight w:val="986"/>
        </w:trPr>
        <w:tc>
          <w:tcPr>
            <w:tcW w:w="1055" w:type="pct"/>
            <w:vMerge/>
            <w:tcBorders>
              <w:left w:val="single" w:sz="4" w:space="0" w:color="auto"/>
              <w:bottom w:val="single" w:sz="4" w:space="0" w:color="auto"/>
              <w:right w:val="single" w:sz="4" w:space="0" w:color="auto"/>
            </w:tcBorders>
          </w:tcPr>
          <w:p w:rsidR="00E21A4E" w:rsidRPr="00F61A20" w:rsidRDefault="00E21A4E" w:rsidP="0058185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 w:val="18"/>
                <w:szCs w:val="32"/>
              </w:rPr>
            </w:pPr>
            <w:r w:rsidRPr="00F61A20">
              <w:rPr>
                <w:rFonts w:ascii="Calibri" w:hAnsi="Calibri"/>
                <w:szCs w:val="32"/>
              </w:rPr>
              <w:sym w:font="Wingdings" w:char="F06F"/>
            </w:r>
          </w:p>
        </w:tc>
      </w:tr>
      <w:tr w:rsidR="00E21A4E" w:rsidRPr="00CC0370" w:rsidTr="00581853">
        <w:trPr>
          <w:trHeight w:val="468"/>
        </w:trPr>
        <w:tc>
          <w:tcPr>
            <w:tcW w:w="1055" w:type="pct"/>
            <w:vMerge w:val="restart"/>
            <w:tcBorders>
              <w:top w:val="single" w:sz="4" w:space="0" w:color="auto"/>
              <w:left w:val="single" w:sz="4" w:space="0" w:color="auto"/>
              <w:right w:val="single" w:sz="4" w:space="0" w:color="auto"/>
            </w:tcBorders>
          </w:tcPr>
          <w:p w:rsidR="00E21A4E" w:rsidRDefault="00E21A4E" w:rsidP="00581853">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E21A4E" w:rsidRPr="006B04CC" w:rsidRDefault="00E21A4E" w:rsidP="00581853">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80-100%</w:t>
            </w:r>
          </w:p>
        </w:tc>
      </w:tr>
      <w:tr w:rsidR="00E21A4E" w:rsidRPr="00CC0370" w:rsidTr="00581853">
        <w:trPr>
          <w:trHeight w:val="1141"/>
        </w:trPr>
        <w:tc>
          <w:tcPr>
            <w:tcW w:w="1055" w:type="pct"/>
            <w:vMerge/>
            <w:tcBorders>
              <w:left w:val="single" w:sz="4" w:space="0" w:color="auto"/>
              <w:bottom w:val="single" w:sz="4" w:space="0" w:color="auto"/>
              <w:right w:val="single" w:sz="4" w:space="0" w:color="auto"/>
            </w:tcBorders>
          </w:tcPr>
          <w:p w:rsidR="00E21A4E" w:rsidRPr="00F61A20" w:rsidRDefault="00E21A4E" w:rsidP="0058185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Pr>
                <w:rFonts w:ascii="Calibri" w:hAnsi="Calibri"/>
                <w:szCs w:val="32"/>
              </w:rPr>
              <w:t>X</w:t>
            </w:r>
          </w:p>
        </w:tc>
        <w:tc>
          <w:tcPr>
            <w:tcW w:w="562"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 w:val="18"/>
                <w:szCs w:val="32"/>
              </w:rPr>
            </w:pPr>
            <w:r w:rsidRPr="00F61A20">
              <w:rPr>
                <w:rFonts w:ascii="Calibri" w:hAnsi="Calibri"/>
                <w:szCs w:val="32"/>
              </w:rPr>
              <w:sym w:font="Wingdings" w:char="F06F"/>
            </w:r>
          </w:p>
        </w:tc>
      </w:tr>
      <w:tr w:rsidR="00E21A4E" w:rsidRPr="00CC0370" w:rsidTr="00581853">
        <w:trPr>
          <w:trHeight w:val="469"/>
        </w:trPr>
        <w:tc>
          <w:tcPr>
            <w:tcW w:w="1055" w:type="pct"/>
            <w:vMerge w:val="restart"/>
            <w:tcBorders>
              <w:top w:val="single" w:sz="4" w:space="0" w:color="auto"/>
              <w:left w:val="single" w:sz="4" w:space="0" w:color="auto"/>
              <w:right w:val="single" w:sz="4" w:space="0" w:color="auto"/>
            </w:tcBorders>
          </w:tcPr>
          <w:p w:rsidR="00E21A4E" w:rsidRPr="00F61A20" w:rsidRDefault="00E21A4E" w:rsidP="00581853">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rsidR="00E21A4E" w:rsidRPr="00F61A20" w:rsidRDefault="00E21A4E" w:rsidP="00581853">
            <w:pPr>
              <w:jc w:val="center"/>
              <w:rPr>
                <w:rFonts w:ascii="Calibri" w:hAnsi="Calibri"/>
                <w:b/>
                <w:sz w:val="18"/>
              </w:rPr>
            </w:pPr>
            <w:r w:rsidRPr="00F61A20">
              <w:rPr>
                <w:rFonts w:ascii="Calibri" w:hAnsi="Calibri"/>
                <w:b/>
                <w:sz w:val="18"/>
              </w:rPr>
              <w:t>80-100%</w:t>
            </w:r>
          </w:p>
        </w:tc>
      </w:tr>
      <w:tr w:rsidR="00E21A4E" w:rsidRPr="00CC0370" w:rsidTr="00581853">
        <w:trPr>
          <w:trHeight w:val="986"/>
        </w:trPr>
        <w:tc>
          <w:tcPr>
            <w:tcW w:w="1055" w:type="pct"/>
            <w:vMerge/>
            <w:tcBorders>
              <w:left w:val="single" w:sz="4" w:space="0" w:color="auto"/>
              <w:bottom w:val="single" w:sz="4" w:space="0" w:color="auto"/>
              <w:right w:val="single" w:sz="4" w:space="0" w:color="auto"/>
            </w:tcBorders>
          </w:tcPr>
          <w:p w:rsidR="00E21A4E" w:rsidRPr="00F61A20" w:rsidRDefault="00E21A4E" w:rsidP="00581853">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E21A4E" w:rsidRPr="00F61A20" w:rsidRDefault="00E21A4E" w:rsidP="00581853">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21A4E" w:rsidRPr="00971172" w:rsidTr="00581853">
        <w:trPr>
          <w:trHeight w:val="75"/>
        </w:trPr>
        <w:tc>
          <w:tcPr>
            <w:tcW w:w="5299" w:type="dxa"/>
            <w:shd w:val="clear" w:color="auto" w:fill="D9D9D9"/>
          </w:tcPr>
          <w:p w:rsidR="00E21A4E" w:rsidRPr="00CE0319" w:rsidRDefault="00E21A4E" w:rsidP="0058185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E21A4E" w:rsidRPr="00CE0319" w:rsidRDefault="00E21A4E" w:rsidP="0058185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21A4E" w:rsidRPr="00971172" w:rsidTr="00581853">
        <w:trPr>
          <w:trHeight w:val="555"/>
        </w:trPr>
        <w:tc>
          <w:tcPr>
            <w:tcW w:w="5299" w:type="dxa"/>
            <w:tcBorders>
              <w:bottom w:val="single" w:sz="8" w:space="0" w:color="000000"/>
            </w:tcBorders>
          </w:tcPr>
          <w:p w:rsidR="00E21A4E" w:rsidRPr="00CE0319" w:rsidRDefault="00E21A4E" w:rsidP="00581853">
            <w:pPr>
              <w:pStyle w:val="BulletedList"/>
              <w:numPr>
                <w:ilvl w:val="0"/>
                <w:numId w:val="0"/>
              </w:numPr>
              <w:ind w:left="432"/>
              <w:rPr>
                <w:rFonts w:ascii="Calibri" w:hAnsi="Calibri"/>
                <w:sz w:val="20"/>
                <w:szCs w:val="20"/>
              </w:rPr>
            </w:pPr>
          </w:p>
          <w:p w:rsidR="00E21A4E" w:rsidRDefault="00E21A4E" w:rsidP="00581853">
            <w:pPr>
              <w:pStyle w:val="BulletedList"/>
              <w:numPr>
                <w:ilvl w:val="0"/>
                <w:numId w:val="0"/>
              </w:numPr>
              <w:ind w:left="432"/>
              <w:rPr>
                <w:rFonts w:ascii="Calibri" w:hAnsi="Calibri"/>
                <w:sz w:val="20"/>
                <w:szCs w:val="20"/>
              </w:rPr>
            </w:pPr>
            <w:r>
              <w:rPr>
                <w:rFonts w:ascii="Calibri" w:hAnsi="Calibri"/>
                <w:sz w:val="20"/>
                <w:szCs w:val="20"/>
              </w:rPr>
              <w:t>I have attempted to use both material from lectures and wider reading to select appropriate strategies to develop learner’s creative skills.</w:t>
            </w:r>
          </w:p>
          <w:p w:rsidR="00E21A4E" w:rsidRPr="00CE0319" w:rsidRDefault="00E21A4E" w:rsidP="0058185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E21A4E" w:rsidRPr="00CE0319" w:rsidRDefault="00E21A4E" w:rsidP="00581853">
            <w:pPr>
              <w:pStyle w:val="BulletedList"/>
              <w:numPr>
                <w:ilvl w:val="0"/>
                <w:numId w:val="0"/>
              </w:numPr>
              <w:rPr>
                <w:rFonts w:ascii="Calibri" w:hAnsi="Calibri"/>
                <w:sz w:val="20"/>
                <w:szCs w:val="20"/>
              </w:rPr>
            </w:pPr>
          </w:p>
          <w:p w:rsidR="00E21A4E" w:rsidRPr="00CE0319" w:rsidRDefault="00E21A4E" w:rsidP="00581853">
            <w:pPr>
              <w:pStyle w:val="BulletedList"/>
              <w:numPr>
                <w:ilvl w:val="0"/>
                <w:numId w:val="0"/>
              </w:numPr>
              <w:ind w:left="432"/>
              <w:rPr>
                <w:rFonts w:ascii="Calibri" w:hAnsi="Calibri"/>
                <w:sz w:val="20"/>
                <w:szCs w:val="20"/>
              </w:rPr>
            </w:pPr>
            <w:r>
              <w:rPr>
                <w:rFonts w:ascii="Calibri" w:hAnsi="Calibri"/>
                <w:sz w:val="20"/>
                <w:szCs w:val="20"/>
              </w:rPr>
              <w:t>Perhaps more criticality of the strategies.</w:t>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E21A4E" w:rsidRPr="00971172" w:rsidTr="00581853">
        <w:trPr>
          <w:trHeight w:val="586"/>
        </w:trPr>
        <w:tc>
          <w:tcPr>
            <w:tcW w:w="2204" w:type="dxa"/>
            <w:shd w:val="clear" w:color="auto" w:fill="D9D9D9"/>
          </w:tcPr>
          <w:p w:rsidR="00E21A4E" w:rsidRPr="00CE0319" w:rsidRDefault="00E21A4E" w:rsidP="0058185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E21A4E" w:rsidRPr="00CE0319" w:rsidRDefault="00E21A4E" w:rsidP="00581853">
            <w:pPr>
              <w:spacing w:before="120" w:after="120"/>
              <w:jc w:val="both"/>
              <w:rPr>
                <w:rFonts w:ascii="Calibri" w:hAnsi="Calibri" w:cs="Calibri"/>
                <w:b/>
              </w:rPr>
            </w:pPr>
            <w:r>
              <w:rPr>
                <w:rFonts w:ascii="Calibri" w:hAnsi="Calibri" w:cs="Calibri"/>
                <w:b/>
              </w:rPr>
              <w:t>Elise Rees</w:t>
            </w:r>
          </w:p>
        </w:tc>
        <w:tc>
          <w:tcPr>
            <w:tcW w:w="1047" w:type="dxa"/>
            <w:shd w:val="clear" w:color="auto" w:fill="D9D9D9"/>
          </w:tcPr>
          <w:p w:rsidR="00E21A4E" w:rsidRPr="00CE0319" w:rsidRDefault="00E21A4E" w:rsidP="00581853">
            <w:pPr>
              <w:spacing w:before="120" w:after="120"/>
              <w:jc w:val="both"/>
              <w:rPr>
                <w:rFonts w:ascii="Calibri" w:hAnsi="Calibri" w:cs="Calibri"/>
                <w:b/>
              </w:rPr>
            </w:pPr>
            <w:r>
              <w:rPr>
                <w:rFonts w:ascii="Calibri" w:hAnsi="Calibri" w:cs="Calibri"/>
                <w:b/>
              </w:rPr>
              <w:t>Date</w:t>
            </w:r>
          </w:p>
        </w:tc>
        <w:tc>
          <w:tcPr>
            <w:tcW w:w="3489" w:type="dxa"/>
          </w:tcPr>
          <w:p w:rsidR="00E21A4E" w:rsidRPr="00CE0319" w:rsidRDefault="00E21A4E" w:rsidP="00581853">
            <w:pPr>
              <w:spacing w:before="120" w:after="120"/>
              <w:jc w:val="both"/>
              <w:rPr>
                <w:rFonts w:ascii="Calibri" w:hAnsi="Calibri" w:cs="Calibri"/>
                <w:b/>
              </w:rPr>
            </w:pPr>
            <w:r>
              <w:rPr>
                <w:rFonts w:ascii="Calibri" w:hAnsi="Calibri" w:cs="Calibri"/>
                <w:b/>
              </w:rPr>
              <w:t>14.03.18</w:t>
            </w:r>
          </w:p>
        </w:tc>
      </w:tr>
    </w:tbl>
    <w:p w:rsidR="00ED66CD" w:rsidRDefault="00ED66CD"/>
    <w:p w:rsidR="00E21A4E" w:rsidRDefault="00E21A4E"/>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8394"/>
      </w:tblGrid>
      <w:tr w:rsidR="00E21A4E" w:rsidRPr="00CE0319" w:rsidTr="00581853">
        <w:trPr>
          <w:trHeight w:val="574"/>
        </w:trPr>
        <w:tc>
          <w:tcPr>
            <w:tcW w:w="2204" w:type="dxa"/>
            <w:tcBorders>
              <w:bottom w:val="single" w:sz="8" w:space="0" w:color="000000"/>
            </w:tcBorders>
            <w:shd w:val="clear" w:color="auto" w:fill="D9D9D9"/>
          </w:tcPr>
          <w:p w:rsidR="00E21A4E" w:rsidRPr="00CE0319" w:rsidRDefault="00E21A4E" w:rsidP="0058185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tcBorders>
              <w:bottom w:val="single" w:sz="8" w:space="0" w:color="000000"/>
            </w:tcBorders>
          </w:tcPr>
          <w:p w:rsidR="00E21A4E" w:rsidRPr="00CE0319" w:rsidRDefault="00E21A4E" w:rsidP="00581853">
            <w:pPr>
              <w:spacing w:before="120" w:after="120"/>
              <w:jc w:val="both"/>
              <w:rPr>
                <w:rFonts w:ascii="Calibri" w:hAnsi="Calibri" w:cs="Calibri"/>
                <w:b/>
              </w:rPr>
            </w:pPr>
            <w:r>
              <w:rPr>
                <w:rFonts w:ascii="Calibri" w:hAnsi="Calibri" w:cs="Calibri"/>
                <w:b/>
              </w:rPr>
              <w:t>LEREES</w:t>
            </w:r>
          </w:p>
        </w:tc>
      </w:tr>
    </w:tbl>
    <w:p w:rsidR="00E21A4E" w:rsidRDefault="00E21A4E"/>
    <w:p w:rsidR="00E21A4E" w:rsidRDefault="00E21A4E"/>
    <w:p w:rsidR="00E21A4E" w:rsidRDefault="00E21A4E"/>
    <w:p w:rsidR="00E21A4E" w:rsidRDefault="00E21A4E"/>
    <w:p w:rsidR="00E21A4E" w:rsidRDefault="00E21A4E"/>
    <w:p w:rsidR="00E21A4E" w:rsidRDefault="00E21A4E"/>
    <w:p w:rsidR="00E21A4E" w:rsidRPr="00735476" w:rsidRDefault="00735476">
      <w:pPr>
        <w:rPr>
          <w:u w:val="single"/>
        </w:rPr>
      </w:pPr>
      <w:r w:rsidRPr="00735476">
        <w:rPr>
          <w:u w:val="single"/>
        </w:rPr>
        <w:t>Link to Video</w:t>
      </w:r>
    </w:p>
    <w:p w:rsidR="00735476" w:rsidRDefault="00735476"/>
    <w:p w:rsidR="00735476" w:rsidRDefault="00735476">
      <w:hyperlink r:id="rId8" w:history="1">
        <w:r w:rsidRPr="00081B5A">
          <w:rPr>
            <w:rStyle w:val="Hyperlink"/>
          </w:rPr>
          <w:t>https://www.youtube.com/watch?v=2uYJZjuhxHs</w:t>
        </w:r>
      </w:hyperlink>
      <w:r>
        <w:t xml:space="preserve"> </w:t>
      </w:r>
    </w:p>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E21A4E" w:rsidRDefault="00E21A4E"/>
    <w:p w:rsidR="00735476" w:rsidRDefault="00735476"/>
    <w:p w:rsidR="00E21A4E" w:rsidRDefault="00E21A4E"/>
    <w:p w:rsidR="00E21A4E" w:rsidRDefault="00E21A4E"/>
    <w:p w:rsidR="00701E1F" w:rsidRDefault="00701E1F" w:rsidP="0018301E">
      <w:pPr>
        <w:spacing w:after="200" w:line="360" w:lineRule="auto"/>
        <w:rPr>
          <w:rFonts w:eastAsiaTheme="minorHAnsi"/>
          <w:u w:val="single"/>
          <w:lang w:eastAsia="en-US"/>
        </w:rPr>
      </w:pPr>
      <w:r>
        <w:rPr>
          <w:rFonts w:eastAsiaTheme="minorHAnsi"/>
          <w:u w:val="single"/>
          <w:lang w:eastAsia="en-US"/>
        </w:rPr>
        <w:t>Summary</w:t>
      </w:r>
    </w:p>
    <w:p w:rsidR="002661B9" w:rsidRDefault="003D5E43" w:rsidP="0018301E">
      <w:pPr>
        <w:autoSpaceDE w:val="0"/>
        <w:autoSpaceDN w:val="0"/>
        <w:adjustRightInd w:val="0"/>
        <w:spacing w:line="360" w:lineRule="auto"/>
        <w:jc w:val="both"/>
      </w:pPr>
      <w:r>
        <w:rPr>
          <w:color w:val="000000"/>
        </w:rPr>
        <w:t>Defining creativity is complex, t</w:t>
      </w:r>
      <w:r>
        <w:rPr>
          <w:color w:val="000000"/>
        </w:rPr>
        <w:t>he highly inf</w:t>
      </w:r>
      <w:r w:rsidRPr="00B16472">
        <w:rPr>
          <w:color w:val="000000"/>
        </w:rPr>
        <w:t>luential National Advisory Committee on Creative and Cultural Education</w:t>
      </w:r>
      <w:r>
        <w:rPr>
          <w:color w:val="000000"/>
        </w:rPr>
        <w:t xml:space="preserve"> define creativity as </w:t>
      </w:r>
      <w:r w:rsidRPr="00B16472">
        <w:rPr>
          <w:color w:val="000000"/>
        </w:rPr>
        <w:t>(</w:t>
      </w:r>
      <w:r>
        <w:rPr>
          <w:color w:val="000000"/>
        </w:rPr>
        <w:t>1999:31</w:t>
      </w:r>
      <w:r w:rsidRPr="00B16472">
        <w:rPr>
          <w:color w:val="000000"/>
        </w:rPr>
        <w:t>)</w:t>
      </w:r>
      <w:r>
        <w:rPr>
          <w:color w:val="000000"/>
        </w:rPr>
        <w:t xml:space="preserve"> ‘Imaginative</w:t>
      </w:r>
      <w:r w:rsidRPr="008B0109">
        <w:rPr>
          <w:rFonts w:ascii="TimesNewRomanPS-BoldMT+1" w:hAnsi="TimesNewRomanPS-BoldMT+1" w:cs="TimesNewRomanPS-BoldMT+1"/>
          <w:bCs/>
        </w:rPr>
        <w:t xml:space="preserve"> activity fashioned so as to</w:t>
      </w:r>
      <w:r>
        <w:rPr>
          <w:rFonts w:ascii="TimesNewRomanPS-BoldMT+1" w:hAnsi="TimesNewRomanPS-BoldMT+1" w:cs="TimesNewRomanPS-BoldMT+1"/>
          <w:bCs/>
        </w:rPr>
        <w:t xml:space="preserve"> </w:t>
      </w:r>
      <w:r w:rsidRPr="008B0109">
        <w:rPr>
          <w:rFonts w:ascii="TimesNewRomanPS-BoldMT+1" w:hAnsi="TimesNewRomanPS-BoldMT+1" w:cs="TimesNewRomanPS-BoldMT+1"/>
          <w:bCs/>
        </w:rPr>
        <w:t>produce outcomes that are both original and of value</w:t>
      </w:r>
      <w:r>
        <w:rPr>
          <w:rFonts w:ascii="TimesNewRomanPS-BoldMT+1" w:hAnsi="TimesNewRomanPS-BoldMT+1" w:cs="TimesNewRomanPS-BoldMT+1"/>
          <w:bCs/>
        </w:rPr>
        <w:t xml:space="preserve">’. Adopted </w:t>
      </w:r>
      <w:r w:rsidRPr="00B16472">
        <w:rPr>
          <w:color w:val="000000"/>
        </w:rPr>
        <w:t>within educat</w:t>
      </w:r>
      <w:r>
        <w:rPr>
          <w:color w:val="000000"/>
        </w:rPr>
        <w:t xml:space="preserve">ional policy and </w:t>
      </w:r>
      <w:r w:rsidRPr="00B16472">
        <w:rPr>
          <w:color w:val="000000"/>
        </w:rPr>
        <w:t>encompass</w:t>
      </w:r>
      <w:r>
        <w:rPr>
          <w:color w:val="000000"/>
        </w:rPr>
        <w:t>ing</w:t>
      </w:r>
      <w:r w:rsidRPr="00B16472">
        <w:rPr>
          <w:color w:val="000000"/>
        </w:rPr>
        <w:t xml:space="preserve"> ideas shared by other</w:t>
      </w:r>
      <w:r>
        <w:rPr>
          <w:color w:val="000000"/>
        </w:rPr>
        <w:t>s, it</w:t>
      </w:r>
      <w:r w:rsidRPr="00B16472">
        <w:rPr>
          <w:color w:val="000000"/>
        </w:rPr>
        <w:t xml:space="preserve"> provides a helpful starting point</w:t>
      </w:r>
      <w:r w:rsidR="002661B9">
        <w:rPr>
          <w:color w:val="000000"/>
        </w:rPr>
        <w:t>.</w:t>
      </w:r>
      <w:r>
        <w:t xml:space="preserve"> </w:t>
      </w:r>
      <w:r w:rsidR="00701E1F">
        <w:rPr>
          <w:rFonts w:eastAsiaTheme="minorHAnsi"/>
          <w:lang w:eastAsia="en-US"/>
        </w:rPr>
        <w:t>Some of the myths surrounding creativity relate to ideas that only special people are creative, that creativity is only related to the arts and it can’t be taught, however a well-documented</w:t>
      </w:r>
      <w:r w:rsidR="002661B9">
        <w:rPr>
          <w:rFonts w:eastAsiaTheme="minorHAnsi"/>
          <w:lang w:eastAsia="en-US"/>
        </w:rPr>
        <w:t>, robust body of research</w:t>
      </w:r>
      <w:r w:rsidR="00701E1F">
        <w:rPr>
          <w:rFonts w:eastAsiaTheme="minorHAnsi"/>
          <w:lang w:eastAsia="en-US"/>
        </w:rPr>
        <w:t xml:space="preserve"> argues that every individual has creative abilities, provides a compelling argument that creativity is possible in all areas of human activity and that creativity can be taught (NACCCE, 1999).</w:t>
      </w:r>
    </w:p>
    <w:p w:rsidR="002661B9" w:rsidRPr="002661B9" w:rsidRDefault="002661B9" w:rsidP="0018301E">
      <w:pPr>
        <w:autoSpaceDE w:val="0"/>
        <w:autoSpaceDN w:val="0"/>
        <w:adjustRightInd w:val="0"/>
        <w:spacing w:line="360" w:lineRule="auto"/>
        <w:jc w:val="both"/>
      </w:pPr>
    </w:p>
    <w:p w:rsidR="00701E1F" w:rsidRDefault="00A17B5A" w:rsidP="0018301E">
      <w:pPr>
        <w:spacing w:after="200" w:line="360" w:lineRule="auto"/>
        <w:rPr>
          <w:rFonts w:eastAsiaTheme="minorHAnsi"/>
          <w:lang w:eastAsia="en-US"/>
        </w:rPr>
      </w:pPr>
      <w:r>
        <w:rPr>
          <w:rFonts w:eastAsiaTheme="minorHAnsi"/>
          <w:lang w:eastAsia="en-US"/>
        </w:rPr>
        <w:t>According to Robinson (2015) and others, schools can sti</w:t>
      </w:r>
      <w:r w:rsidR="002661B9">
        <w:rPr>
          <w:rFonts w:eastAsiaTheme="minorHAnsi"/>
          <w:lang w:eastAsia="en-US"/>
        </w:rPr>
        <w:t>f</w:t>
      </w:r>
      <w:r>
        <w:rPr>
          <w:rFonts w:eastAsiaTheme="minorHAnsi"/>
          <w:lang w:eastAsia="en-US"/>
        </w:rPr>
        <w:t xml:space="preserve">le children’s imaginations, dampen their curiosity and kill their creativity, thus their creative potential is diminished. According to the NACCCE </w:t>
      </w:r>
      <w:r w:rsidR="002661B9">
        <w:rPr>
          <w:rFonts w:eastAsiaTheme="minorHAnsi"/>
          <w:lang w:eastAsia="en-US"/>
        </w:rPr>
        <w:t xml:space="preserve">(1999) </w:t>
      </w:r>
      <w:r>
        <w:rPr>
          <w:rFonts w:eastAsiaTheme="minorHAnsi"/>
          <w:lang w:eastAsia="en-US"/>
        </w:rPr>
        <w:t xml:space="preserve">some of the negative influences include high levels of prescription in terms of content delivery, the teaching methods used by practitioners, the emphasis given to some subjects at the expense of others, and the importance afforded to summative assessments and measurable outcomes, can all inhibit teachers and children’s creative abilities. </w:t>
      </w:r>
    </w:p>
    <w:p w:rsidR="00A17B5A" w:rsidRDefault="002661B9" w:rsidP="0018301E">
      <w:pPr>
        <w:spacing w:after="200" w:line="360" w:lineRule="auto"/>
        <w:rPr>
          <w:rFonts w:eastAsiaTheme="minorHAnsi"/>
          <w:lang w:eastAsia="en-US"/>
        </w:rPr>
      </w:pPr>
      <w:r>
        <w:rPr>
          <w:rFonts w:eastAsiaTheme="minorHAnsi"/>
          <w:lang w:eastAsia="en-US"/>
        </w:rPr>
        <w:t xml:space="preserve">Following Donaldson’s review (2015) a </w:t>
      </w:r>
      <w:r w:rsidR="00A17B5A">
        <w:rPr>
          <w:rFonts w:eastAsiaTheme="minorHAnsi"/>
          <w:lang w:eastAsia="en-US"/>
        </w:rPr>
        <w:t>paradigm shift</w:t>
      </w:r>
      <w:r>
        <w:rPr>
          <w:rFonts w:eastAsiaTheme="minorHAnsi"/>
          <w:lang w:eastAsia="en-US"/>
        </w:rPr>
        <w:t xml:space="preserve"> is</w:t>
      </w:r>
      <w:r w:rsidR="00A17B5A">
        <w:rPr>
          <w:rFonts w:eastAsiaTheme="minorHAnsi"/>
          <w:lang w:eastAsia="en-US"/>
        </w:rPr>
        <w:t xml:space="preserve"> </w:t>
      </w:r>
      <w:r w:rsidRPr="00873015">
        <w:rPr>
          <w:rFonts w:eastAsia="Calibri"/>
          <w:color w:val="000000"/>
          <w:lang w:eastAsia="ja-JP"/>
        </w:rPr>
        <w:t>emerging within the educational landscape. Encompassed wi</w:t>
      </w:r>
      <w:r>
        <w:rPr>
          <w:rFonts w:eastAsia="Calibri"/>
          <w:color w:val="000000"/>
          <w:lang w:eastAsia="ja-JP"/>
        </w:rPr>
        <w:t xml:space="preserve">thin this shift is </w:t>
      </w:r>
      <w:r w:rsidRPr="00873015">
        <w:rPr>
          <w:rFonts w:eastAsia="Calibri"/>
          <w:color w:val="000000"/>
          <w:lang w:eastAsia="ja-JP"/>
        </w:rPr>
        <w:t>a curriculum divided into Areas of Learning and Experience, underpinning the importance afforded to exp</w:t>
      </w:r>
      <w:r>
        <w:rPr>
          <w:rFonts w:eastAsia="Calibri"/>
          <w:color w:val="000000"/>
          <w:lang w:eastAsia="ja-JP"/>
        </w:rPr>
        <w:t xml:space="preserve">eriential learning. </w:t>
      </w:r>
      <w:r w:rsidR="00A17B5A">
        <w:rPr>
          <w:rFonts w:eastAsiaTheme="minorHAnsi"/>
          <w:lang w:eastAsia="en-US"/>
        </w:rPr>
        <w:t>The status afforded to creativity within education is evident with one of Donaldson’s four purposes, that children should develop as: enterprising and creative contributors who are ready to play a full part in life and work. This highlights a fundamental importance for teachers, namely how they can teach for creativity, and provide learning experiences that develop their creativity rather than stifle it.</w:t>
      </w:r>
    </w:p>
    <w:p w:rsidR="00B0788D" w:rsidRDefault="00B0788D" w:rsidP="0018301E">
      <w:pPr>
        <w:spacing w:line="360" w:lineRule="auto"/>
        <w:jc w:val="both"/>
        <w:rPr>
          <w:color w:val="333333"/>
        </w:rPr>
      </w:pPr>
      <w:r>
        <w:t>Whilst the impact the physical environment can exert on learning is well established, the effect of its design was quantified recently within a substantive piece of research conducted by Bareett et al, (2015) entitled Clever Classrooms. Barrett reported d</w:t>
      </w:r>
      <w:r w:rsidRPr="00CF223A">
        <w:t>ifferences in the</w:t>
      </w:r>
      <w:r>
        <w:t xml:space="preserve"> </w:t>
      </w:r>
      <w:r w:rsidRPr="00CF223A">
        <w:t xml:space="preserve">physical characteristics of classrooms </w:t>
      </w:r>
      <w:r>
        <w:t xml:space="preserve">as </w:t>
      </w:r>
      <w:r w:rsidRPr="00CF223A">
        <w:t>explain</w:t>
      </w:r>
      <w:r>
        <w:t>ing</w:t>
      </w:r>
      <w:r w:rsidRPr="00CF223A">
        <w:t xml:space="preserve"> 16% of the variation in learning progress over a year</w:t>
      </w:r>
      <w:r>
        <w:t xml:space="preserve">, with </w:t>
      </w:r>
      <w:r w:rsidR="00676CE5">
        <w:t>well-designed</w:t>
      </w:r>
      <w:r>
        <w:t xml:space="preserve"> classrooms having the potential to boost academic performance.</w:t>
      </w:r>
      <w:r w:rsidRPr="001F00D1">
        <w:t xml:space="preserve"> I have therefore chosen to introduce strategies that focus on the physical learning environment. </w:t>
      </w:r>
    </w:p>
    <w:p w:rsidR="00A17B5A" w:rsidRPr="00701BDB" w:rsidRDefault="00A17B5A" w:rsidP="0018301E">
      <w:pPr>
        <w:pStyle w:val="NormalWeb"/>
        <w:shd w:val="clear" w:color="auto" w:fill="FFFFFF"/>
        <w:spacing w:before="240" w:after="240" w:line="360" w:lineRule="auto"/>
        <w:rPr>
          <w:rFonts w:ascii="Arial" w:eastAsiaTheme="minorHAnsi" w:hAnsi="Arial" w:cs="Arial"/>
          <w:color w:val="534D42"/>
          <w:sz w:val="22"/>
          <w:szCs w:val="22"/>
          <w:shd w:val="clear" w:color="auto" w:fill="FFFFFF"/>
          <w:lang w:eastAsia="en-US"/>
        </w:rPr>
      </w:pPr>
      <w:r>
        <w:rPr>
          <w:rFonts w:eastAsiaTheme="minorHAnsi"/>
          <w:lang w:eastAsia="en-US"/>
        </w:rPr>
        <w:t xml:space="preserve">Through the implementation </w:t>
      </w:r>
      <w:r w:rsidRPr="00A17B5A">
        <w:rPr>
          <w:rFonts w:eastAsiaTheme="minorHAnsi"/>
          <w:lang w:eastAsia="en-US"/>
        </w:rPr>
        <w:t xml:space="preserve">of </w:t>
      </w:r>
      <w:r w:rsidRPr="00A17B5A">
        <w:t>a challenge and investigation area outdoors</w:t>
      </w:r>
      <w:r w:rsidR="008A057C">
        <w:t xml:space="preserve"> I</w:t>
      </w:r>
      <w:r w:rsidR="002661B9">
        <w:t xml:space="preserve"> aim to develop children’s creativity</w:t>
      </w:r>
      <w:r>
        <w:rPr>
          <w:color w:val="333333"/>
        </w:rPr>
        <w:t xml:space="preserve">. </w:t>
      </w:r>
      <w:r w:rsidRPr="008C5F55">
        <w:t>Resonating with the philosophy of the Foundation Phase Framework which recognis</w:t>
      </w:r>
      <w:r>
        <w:t>es</w:t>
      </w:r>
      <w:r w:rsidRPr="008C5F55">
        <w:t xml:space="preserve"> the value of the outdoors as a resource for experiential learning</w:t>
      </w:r>
      <w:r>
        <w:t>,</w:t>
      </w:r>
      <w:r w:rsidR="003F6CF5">
        <w:t xml:space="preserve"> (DCELLS, 2009; DfES, 2015). I hope that the a</w:t>
      </w:r>
      <w:r w:rsidRPr="008C5F55">
        <w:t>rea will encourage</w:t>
      </w:r>
      <w:r>
        <w:t xml:space="preserve"> hands on exploration via the processes of i</w:t>
      </w:r>
      <w:r w:rsidRPr="008C5F55">
        <w:t xml:space="preserve">nvestigating, discovering, inventing and as such </w:t>
      </w:r>
      <w:r>
        <w:t xml:space="preserve">will </w:t>
      </w:r>
      <w:r w:rsidRPr="008C5F55">
        <w:t xml:space="preserve">according to Rosen (2010) </w:t>
      </w:r>
      <w:r>
        <w:t>provide a space where creativity can</w:t>
      </w:r>
      <w:r w:rsidRPr="008C5F55">
        <w:t xml:space="preserve"> flourish.</w:t>
      </w:r>
      <w:r w:rsidR="003F6CF5" w:rsidRPr="003F6CF5">
        <w:t xml:space="preserve"> </w:t>
      </w:r>
      <w:r w:rsidR="003F6CF5">
        <w:t>An array of resources will be provided, thoughtfully planned</w:t>
      </w:r>
      <w:r w:rsidR="003F6CF5">
        <w:t xml:space="preserve"> </w:t>
      </w:r>
      <w:r w:rsidR="003F6CF5">
        <w:t>to create links between children’s natural interests and the activities, whilst remaining mindful of the choice overload hypothesis (Schwartz 2000) where too much choice can be overwhelming for young children.</w:t>
      </w:r>
      <w:r w:rsidR="003F6CF5">
        <w:t xml:space="preserve"> </w:t>
      </w:r>
      <w:r w:rsidR="00701BDB">
        <w:t xml:space="preserve">As Sullo (2011) states that whilst offering choice promotes learning, too many choices may cause stress and self-doubt, </w:t>
      </w:r>
      <w:r w:rsidR="001B4D13">
        <w:t>overwhelming a child, and</w:t>
      </w:r>
      <w:r w:rsidR="00701BDB">
        <w:t xml:space="preserve"> as a result performance and engagement reduces. </w:t>
      </w:r>
    </w:p>
    <w:p w:rsidR="00701BDB" w:rsidRPr="00985BC6" w:rsidRDefault="00701BDB" w:rsidP="0018301E">
      <w:pPr>
        <w:spacing w:line="360" w:lineRule="auto"/>
      </w:pPr>
      <w:r w:rsidRPr="00E64043">
        <w:t>Moving from outdoors provision</w:t>
      </w:r>
      <w:r>
        <w:t>,</w:t>
      </w:r>
      <w:r w:rsidRPr="00E64043">
        <w:t xml:space="preserve"> my second strategy will </w:t>
      </w:r>
      <w:r>
        <w:t xml:space="preserve">involve the creation of a Creativity and </w:t>
      </w:r>
      <w:r w:rsidRPr="00E64043">
        <w:t>Innovation zone</w:t>
      </w:r>
      <w:r>
        <w:t xml:space="preserve">. Although zoning has its critics who argue it implies certain types of </w:t>
      </w:r>
      <w:r w:rsidRPr="00D92DE2">
        <w:t xml:space="preserve">learning </w:t>
      </w:r>
      <w:r>
        <w:t xml:space="preserve">only </w:t>
      </w:r>
      <w:r w:rsidRPr="00D92DE2">
        <w:t>takes place</w:t>
      </w:r>
      <w:r>
        <w:t xml:space="preserve"> </w:t>
      </w:r>
      <w:r w:rsidRPr="00D92DE2">
        <w:t xml:space="preserve">in </w:t>
      </w:r>
      <w:r>
        <w:t>a specific zone (</w:t>
      </w:r>
      <w:r w:rsidRPr="00D92DE2">
        <w:t>Brewer, 2004</w:t>
      </w:r>
      <w:r>
        <w:t>) teachers using every means at there disposal need to model for children that all types of learning takes place everywhere.</w:t>
      </w:r>
      <w:r>
        <w:t xml:space="preserve"> </w:t>
      </w:r>
      <w:r>
        <w:t>Designed for adaptability, flexible seating such as beanbags would be introduced alongside Hokki stools which research has shown can promote sustained concentration in restless children. Offering this type of seating allows the children freedom to move and work in different areas with different partners promoting interdependent working, with movement allowing time for thinking and reflecting. This area will enable children to design new and innovative resources, promote divergent and convergent thinking through brainstorming activities supported by utilising desks with whiteboards as table tops enabling children to mind map, draft and redraft their work.</w:t>
      </w:r>
      <w:r w:rsidRPr="00FF495B">
        <w:t xml:space="preserve"> </w:t>
      </w:r>
      <w:r>
        <w:t>However in terms of SEND a teacher will need to remain mindful to accommodate the particular needs of these children and remain attentive to the needs of the less outgoing children who may struggle with flexible seating and who may be anxious about too much change in their environment.</w:t>
      </w:r>
      <w:r w:rsidR="0055645A">
        <w:t xml:space="preserve"> </w:t>
      </w:r>
      <w:r w:rsidR="0055645A">
        <w:t xml:space="preserve">Morris (2017) </w:t>
      </w:r>
      <w:r w:rsidR="00B0788D">
        <w:t xml:space="preserve">also </w:t>
      </w:r>
      <w:r w:rsidR="0055645A">
        <w:t>express</w:t>
      </w:r>
      <w:r w:rsidR="00B0788D">
        <w:t>es</w:t>
      </w:r>
      <w:r w:rsidR="0055645A">
        <w:t xml:space="preserve"> concerns that children</w:t>
      </w:r>
      <w:r w:rsidR="00B0788D">
        <w:t xml:space="preserve"> can</w:t>
      </w:r>
      <w:r w:rsidR="0055645A">
        <w:t xml:space="preserve"> bec</w:t>
      </w:r>
      <w:r w:rsidR="00B0788D">
        <w:t>o</w:t>
      </w:r>
      <w:r w:rsidR="0055645A">
        <w:t>me territorial over their chairs</w:t>
      </w:r>
      <w:r w:rsidR="00472697">
        <w:t xml:space="preserve"> thus c</w:t>
      </w:r>
      <w:r>
        <w:t xml:space="preserve">areful monitoring of movement </w:t>
      </w:r>
      <w:r>
        <w:t>and classroom management</w:t>
      </w:r>
      <w:r w:rsidR="00B0788D">
        <w:t xml:space="preserve"> </w:t>
      </w:r>
      <w:r w:rsidR="00472697">
        <w:t xml:space="preserve">would be required to </w:t>
      </w:r>
      <w:r w:rsidR="00B0788D">
        <w:t xml:space="preserve">prevent </w:t>
      </w:r>
      <w:r w:rsidR="00472697">
        <w:t xml:space="preserve">any potential </w:t>
      </w:r>
      <w:r w:rsidR="00B0788D">
        <w:t>chaos in the classroom</w:t>
      </w:r>
      <w:r>
        <w:t xml:space="preserve"> </w:t>
      </w:r>
      <w:r w:rsidR="00472697">
        <w:t xml:space="preserve">which would </w:t>
      </w:r>
      <w:r>
        <w:t>negatively impact the children’</w:t>
      </w:r>
      <w:r>
        <w:t>s learning</w:t>
      </w:r>
      <w:r w:rsidR="00472697">
        <w:t>.</w:t>
      </w:r>
      <w:r w:rsidR="0055645A">
        <w:t xml:space="preserve"> </w:t>
      </w:r>
    </w:p>
    <w:p w:rsidR="0055645A" w:rsidRDefault="0055645A" w:rsidP="0018301E">
      <w:pPr>
        <w:autoSpaceDE w:val="0"/>
        <w:autoSpaceDN w:val="0"/>
        <w:adjustRightInd w:val="0"/>
        <w:spacing w:line="360" w:lineRule="auto"/>
        <w:jc w:val="both"/>
        <w:rPr>
          <w:rFonts w:ascii="TimesNewRomanPSMT+1" w:hAnsi="TimesNewRomanPSMT+1" w:cs="TimesNewRomanPSMT+1"/>
        </w:rPr>
      </w:pPr>
      <w:r>
        <w:rPr>
          <w:rFonts w:ascii="TimesNewRomanPSMT+1" w:hAnsi="TimesNewRomanPSMT+1" w:cs="TimesNewRomanPSMT+1"/>
        </w:rPr>
        <w:t xml:space="preserve">To conclude, </w:t>
      </w:r>
      <w:r w:rsidR="00472697">
        <w:rPr>
          <w:rFonts w:ascii="TimesNewRomanPSMT+1" w:hAnsi="TimesNewRomanPSMT+1" w:cs="TimesNewRomanPSMT+1"/>
        </w:rPr>
        <w:t>s</w:t>
      </w:r>
      <w:r>
        <w:rPr>
          <w:rFonts w:ascii="TimesNewRomanPSMT+1" w:hAnsi="TimesNewRomanPSMT+1" w:cs="TimesNewRomanPSMT+1"/>
        </w:rPr>
        <w:t>paces are needed that inspire children, fire their imaginations,</w:t>
      </w:r>
      <w:r>
        <w:rPr>
          <w:rFonts w:ascii="TimesNewRomanPSMT+1" w:hAnsi="TimesNewRomanPSMT+1" w:cs="TimesNewRomanPSMT+1"/>
        </w:rPr>
        <w:t xml:space="preserve"> and encourage them to innovate. All</w:t>
      </w:r>
      <w:r>
        <w:rPr>
          <w:rFonts w:ascii="TimesNewRomanPSMT+1" w:hAnsi="TimesNewRomanPSMT+1" w:cs="TimesNewRomanPSMT+1"/>
        </w:rPr>
        <w:t xml:space="preserve"> children have the capacity to be creative and their time at school must </w:t>
      </w:r>
      <w:r>
        <w:t xml:space="preserve">help them to identify their creative strengths and unlock their creative abilities. </w:t>
      </w:r>
    </w:p>
    <w:p w:rsidR="00472697" w:rsidRDefault="00472697" w:rsidP="0018301E">
      <w:pPr>
        <w:autoSpaceDE w:val="0"/>
        <w:autoSpaceDN w:val="0"/>
        <w:adjustRightInd w:val="0"/>
        <w:spacing w:line="360" w:lineRule="auto"/>
        <w:jc w:val="both"/>
        <w:rPr>
          <w:rFonts w:eastAsiaTheme="minorHAnsi"/>
          <w:u w:val="single"/>
          <w:lang w:eastAsia="en-US"/>
        </w:rPr>
      </w:pPr>
    </w:p>
    <w:p w:rsidR="00E21A4E" w:rsidRPr="00E21A4E" w:rsidRDefault="00E21A4E" w:rsidP="0018301E">
      <w:pPr>
        <w:autoSpaceDE w:val="0"/>
        <w:autoSpaceDN w:val="0"/>
        <w:adjustRightInd w:val="0"/>
        <w:spacing w:line="360" w:lineRule="auto"/>
        <w:jc w:val="both"/>
        <w:rPr>
          <w:rFonts w:ascii="TimesNewRomanPSMT+1" w:hAnsi="TimesNewRomanPSMT+1" w:cs="TimesNewRomanPSMT+1"/>
        </w:rPr>
      </w:pPr>
      <w:r w:rsidRPr="00E21A4E">
        <w:rPr>
          <w:rFonts w:eastAsiaTheme="minorHAnsi"/>
          <w:u w:val="single"/>
          <w:lang w:eastAsia="en-US"/>
        </w:rPr>
        <w:t>Reference List</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Anoiko (2011) Creativity. Available at: </w:t>
      </w:r>
      <w:hyperlink r:id="rId9" w:history="1">
        <w:r w:rsidRPr="00E21A4E">
          <w:rPr>
            <w:rFonts w:eastAsiaTheme="minorHAnsi"/>
            <w:color w:val="0000FF" w:themeColor="hyperlink"/>
            <w:u w:val="single"/>
            <w:lang w:eastAsia="en-US"/>
          </w:rPr>
          <w:t>https://oiko.files.wordpress.com/2011/03/2011_wiki_anoiko_creativity1.pdf</w:t>
        </w:r>
      </w:hyperlink>
      <w:r w:rsidRPr="00E21A4E">
        <w:rPr>
          <w:rFonts w:eastAsiaTheme="minorHAnsi"/>
          <w:lang w:eastAsia="en-US"/>
        </w:rPr>
        <w:t xml:space="preserve"> [Accessed 1st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Aubrey, K., Riley. A (2016) </w:t>
      </w:r>
      <w:r w:rsidRPr="00E21A4E">
        <w:rPr>
          <w:rFonts w:eastAsiaTheme="minorHAnsi"/>
          <w:i/>
          <w:lang w:eastAsia="en-US"/>
        </w:rPr>
        <w:t>Understanding and Using Educational Theories</w:t>
      </w:r>
      <w:r w:rsidRPr="00E21A4E">
        <w:rPr>
          <w:rFonts w:eastAsiaTheme="minorHAnsi"/>
          <w:lang w:eastAsia="en-US"/>
        </w:rPr>
        <w:t>. London: SAGE.</w:t>
      </w:r>
    </w:p>
    <w:p w:rsidR="00E21A4E" w:rsidRPr="00E21A4E" w:rsidRDefault="00E21A4E" w:rsidP="0018301E">
      <w:pPr>
        <w:spacing w:after="200" w:line="360" w:lineRule="auto"/>
        <w:rPr>
          <w:rFonts w:eastAsiaTheme="minorHAnsi"/>
          <w:lang w:eastAsia="en-US"/>
        </w:rPr>
      </w:pPr>
      <w:r w:rsidRPr="00453516">
        <w:rPr>
          <w:rFonts w:eastAsiaTheme="minorHAnsi"/>
          <w:lang w:eastAsia="en-US"/>
        </w:rPr>
        <w:t>Bailey.</w:t>
      </w:r>
      <w:r w:rsidR="00453516">
        <w:rPr>
          <w:rFonts w:eastAsiaTheme="minorHAnsi"/>
          <w:lang w:eastAsia="en-US"/>
        </w:rPr>
        <w:t xml:space="preserve"> </w:t>
      </w:r>
      <w:r w:rsidRPr="00453516">
        <w:rPr>
          <w:rFonts w:eastAsiaTheme="minorHAnsi"/>
          <w:lang w:eastAsia="en-US"/>
        </w:rPr>
        <w:t>R.,</w:t>
      </w:r>
      <w:r w:rsidRPr="00E21A4E">
        <w:rPr>
          <w:rFonts w:eastAsiaTheme="minorHAnsi"/>
          <w:lang w:eastAsia="en-US"/>
        </w:rPr>
        <w:t xml:space="preserve"> Featherstone</w:t>
      </w:r>
      <w:r w:rsidRPr="00453516">
        <w:rPr>
          <w:rFonts w:eastAsiaTheme="minorHAnsi"/>
          <w:lang w:eastAsia="en-US"/>
        </w:rPr>
        <w:t>.S</w:t>
      </w:r>
      <w:r w:rsidRPr="00E21A4E">
        <w:rPr>
          <w:rFonts w:eastAsiaTheme="minorHAnsi"/>
          <w:lang w:eastAsia="en-US"/>
        </w:rPr>
        <w:t xml:space="preserve"> (</w:t>
      </w:r>
      <w:r w:rsidR="00453516" w:rsidRPr="00453516">
        <w:rPr>
          <w:rFonts w:eastAsiaTheme="minorHAnsi"/>
          <w:lang w:eastAsia="en-US"/>
        </w:rPr>
        <w:t>2013</w:t>
      </w:r>
      <w:r w:rsidRPr="00E21A4E">
        <w:rPr>
          <w:rFonts w:eastAsiaTheme="minorHAnsi"/>
          <w:lang w:eastAsia="en-US"/>
        </w:rPr>
        <w:t xml:space="preserve">) </w:t>
      </w:r>
      <w:r w:rsidRPr="00E21A4E">
        <w:rPr>
          <w:rFonts w:eastAsiaTheme="minorHAnsi"/>
          <w:i/>
          <w:lang w:eastAsia="en-US"/>
        </w:rPr>
        <w:t>Child initiated</w:t>
      </w:r>
      <w:r w:rsidRPr="00453516">
        <w:rPr>
          <w:rFonts w:eastAsiaTheme="minorHAnsi"/>
          <w:i/>
          <w:lang w:eastAsia="en-US"/>
        </w:rPr>
        <w:t xml:space="preserve"> learning</w:t>
      </w:r>
      <w:r w:rsidRPr="00453516">
        <w:rPr>
          <w:rFonts w:eastAsiaTheme="minorHAnsi"/>
          <w:lang w:eastAsia="en-US"/>
        </w:rPr>
        <w:t>. Featherstone</w:t>
      </w:r>
      <w:r w:rsidR="00453516" w:rsidRPr="00453516">
        <w:rPr>
          <w:rFonts w:eastAsiaTheme="minorHAnsi"/>
          <w:lang w:eastAsia="en-US"/>
        </w:rPr>
        <w:t>: London.</w:t>
      </w:r>
    </w:p>
    <w:p w:rsidR="00701E1F" w:rsidRDefault="00701E1F" w:rsidP="0018301E">
      <w:pPr>
        <w:spacing w:after="200" w:line="360" w:lineRule="auto"/>
        <w:rPr>
          <w:rFonts w:eastAsiaTheme="minorHAnsi"/>
          <w:lang w:eastAsia="en-US"/>
        </w:rPr>
      </w:pPr>
      <w:r>
        <w:rPr>
          <w:rFonts w:eastAsiaTheme="minorHAnsi"/>
          <w:lang w:eastAsia="en-US"/>
        </w:rPr>
        <w:t xml:space="preserve">Barrett, P., Zhang, Y., Davies., F., Barrett, L. (2015) ‘Clever Classroom’s. University of Salford. Available at: </w:t>
      </w:r>
      <w:hyperlink r:id="rId10" w:history="1">
        <w:r w:rsidRPr="00081B5A">
          <w:rPr>
            <w:rStyle w:val="Hyperlink"/>
            <w:rFonts w:eastAsiaTheme="minorHAnsi"/>
            <w:lang w:eastAsia="en-US"/>
          </w:rPr>
          <w:t>https://www.salford.ac.uk/cleverclassrooms/1503-Salford-Uni-Report-DIGITAL.pdf</w:t>
        </w:r>
      </w:hyperlink>
      <w:r>
        <w:rPr>
          <w:rFonts w:eastAsiaTheme="minorHAnsi"/>
          <w:lang w:eastAsia="en-US"/>
        </w:rPr>
        <w:t xml:space="preserve"> [Accessed 1st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Blaschke, L. (2012) ‘Heutagogy and Lifelong Learning: A Review of Heutagogical Practice and Self-Determined Learning’. Vol 13. No 1. Available at: </w:t>
      </w:r>
      <w:hyperlink r:id="rId11" w:history="1">
        <w:r w:rsidRPr="00E21A4E">
          <w:rPr>
            <w:rFonts w:eastAsiaTheme="minorHAnsi"/>
            <w:color w:val="0000FF" w:themeColor="hyperlink"/>
            <w:u w:val="single"/>
            <w:lang w:eastAsia="en-US"/>
          </w:rPr>
          <w:t>http://www.irrodl.org/index.php/irrodl/article/viewFile/1076/2113</w:t>
        </w:r>
      </w:hyperlink>
      <w:r w:rsidRPr="00E21A4E">
        <w:rPr>
          <w:rFonts w:eastAsiaTheme="minorHAnsi"/>
          <w:lang w:eastAsia="en-US"/>
        </w:rPr>
        <w:t xml:space="preserve"> [Accessed 3rd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Burnard, P., Craft, A. &amp; Cremin, T. (2006) </w:t>
      </w:r>
      <w:r w:rsidR="00453516">
        <w:rPr>
          <w:rFonts w:eastAsiaTheme="minorHAnsi"/>
          <w:lang w:eastAsia="en-US"/>
        </w:rPr>
        <w:t>‘</w:t>
      </w:r>
      <w:r w:rsidRPr="00E21A4E">
        <w:rPr>
          <w:rFonts w:eastAsiaTheme="minorHAnsi"/>
          <w:lang w:eastAsia="en-US"/>
        </w:rPr>
        <w:t>Documenting ‘possibility thinking’: a journey of collaborative enquiry</w:t>
      </w:r>
      <w:r w:rsidR="00453516">
        <w:rPr>
          <w:rFonts w:eastAsiaTheme="minorHAnsi"/>
          <w:lang w:eastAsia="en-US"/>
        </w:rPr>
        <w:t>’,</w:t>
      </w:r>
      <w:r w:rsidRPr="00E21A4E">
        <w:rPr>
          <w:rFonts w:eastAsiaTheme="minorHAnsi"/>
          <w:lang w:eastAsia="en-US"/>
        </w:rPr>
        <w:t xml:space="preserve"> </w:t>
      </w:r>
      <w:r w:rsidRPr="00E21A4E">
        <w:rPr>
          <w:rFonts w:eastAsiaTheme="minorHAnsi"/>
          <w:i/>
          <w:iCs/>
          <w:lang w:eastAsia="en-US"/>
        </w:rPr>
        <w:t>International Journal of Early Years Education, 14</w:t>
      </w:r>
      <w:r w:rsidRPr="00E21A4E">
        <w:rPr>
          <w:rFonts w:eastAsiaTheme="minorHAnsi"/>
          <w:lang w:eastAsia="en-US"/>
        </w:rPr>
        <w:t>(3), 243–262</w:t>
      </w:r>
    </w:p>
    <w:p w:rsidR="00E21A4E" w:rsidRPr="00E21A4E" w:rsidRDefault="00E21A4E" w:rsidP="0018301E">
      <w:pPr>
        <w:spacing w:after="200" w:line="360" w:lineRule="auto"/>
        <w:rPr>
          <w:rFonts w:eastAsiaTheme="minorHAnsi"/>
          <w:lang w:eastAsia="en-US"/>
        </w:rPr>
      </w:pPr>
      <w:r w:rsidRPr="00E21A4E">
        <w:rPr>
          <w:rFonts w:asciiTheme="minorHAnsi" w:eastAsiaTheme="minorHAnsi" w:hAnsiTheme="minorHAnsi" w:cstheme="minorBidi"/>
          <w:sz w:val="23"/>
          <w:szCs w:val="23"/>
          <w:lang w:eastAsia="en-US"/>
        </w:rPr>
        <w:t xml:space="preserve"> </w:t>
      </w:r>
      <w:r w:rsidRPr="00E21A4E">
        <w:rPr>
          <w:rFonts w:eastAsiaTheme="minorHAnsi"/>
          <w:lang w:eastAsia="en-US"/>
        </w:rPr>
        <w:t xml:space="preserve">Claxton, G. (1997) </w:t>
      </w:r>
      <w:r w:rsidRPr="00E21A4E">
        <w:rPr>
          <w:rFonts w:eastAsiaTheme="minorHAnsi"/>
          <w:i/>
          <w:lang w:eastAsia="en-US"/>
        </w:rPr>
        <w:t>Hare brain, tortoise mind: why intelligence increases when you think less</w:t>
      </w:r>
      <w:r w:rsidRPr="00E21A4E">
        <w:rPr>
          <w:rFonts w:eastAsiaTheme="minorHAnsi"/>
          <w:lang w:eastAsia="en-US"/>
        </w:rPr>
        <w:t>. London: Fourth Estate.</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Costa, A (2009) Habits of Mind. Available at: </w:t>
      </w:r>
      <w:hyperlink r:id="rId12" w:history="1">
        <w:r w:rsidRPr="00E21A4E">
          <w:rPr>
            <w:rFonts w:eastAsiaTheme="minorHAnsi"/>
            <w:color w:val="0000FF" w:themeColor="hyperlink"/>
            <w:u w:val="single"/>
            <w:lang w:eastAsia="en-US"/>
          </w:rPr>
          <w:t>https://www.youtube.com/watch?v=OT0vXFP_RYI</w:t>
        </w:r>
      </w:hyperlink>
      <w:r w:rsidRPr="00E21A4E">
        <w:rPr>
          <w:rFonts w:eastAsiaTheme="minorHAnsi"/>
          <w:lang w:eastAsia="en-US"/>
        </w:rPr>
        <w:t xml:space="preserve">  [Accessed 4</w:t>
      </w:r>
      <w:r w:rsidRPr="00E21A4E">
        <w:rPr>
          <w:rFonts w:eastAsiaTheme="minorHAnsi"/>
          <w:vertAlign w:val="superscript"/>
          <w:lang w:eastAsia="en-US"/>
        </w:rPr>
        <w:t>th</w:t>
      </w:r>
      <w:r w:rsidRPr="00E21A4E">
        <w:rPr>
          <w:rFonts w:eastAsiaTheme="minorHAnsi"/>
          <w:lang w:eastAsia="en-US"/>
        </w:rPr>
        <w:t xml:space="preserve">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Costa, A., Kallick, B. (Unknown) ‘The 16 Habits of Mind identified by Costa and Kallick’.</w:t>
      </w:r>
      <w:r w:rsidRPr="00E21A4E">
        <w:rPr>
          <w:rFonts w:asciiTheme="minorHAnsi" w:eastAsiaTheme="minorHAnsi" w:hAnsiTheme="minorHAnsi" w:cstheme="minorBidi"/>
          <w:sz w:val="22"/>
          <w:szCs w:val="22"/>
          <w:lang w:eastAsia="en-US"/>
        </w:rPr>
        <w:t xml:space="preserve"> </w:t>
      </w:r>
      <w:r w:rsidRPr="00E21A4E">
        <w:rPr>
          <w:rFonts w:eastAsiaTheme="minorHAnsi"/>
          <w:lang w:eastAsia="en-US"/>
        </w:rPr>
        <w:t xml:space="preserve">Available at: </w:t>
      </w:r>
      <w:hyperlink r:id="rId13" w:history="1">
        <w:r w:rsidRPr="00E21A4E">
          <w:rPr>
            <w:rFonts w:eastAsiaTheme="minorHAnsi"/>
            <w:color w:val="0000FF" w:themeColor="hyperlink"/>
            <w:u w:val="single"/>
            <w:lang w:eastAsia="en-US"/>
          </w:rPr>
          <w:t>http://www.ccsnh.edu/sites/default/files/content/documents/CCSNH%20MLC%20HABITS%20OF%20MIND%20COSTA-KALLICK%20DESCRIPTION%201-8-10.pdf</w:t>
        </w:r>
      </w:hyperlink>
      <w:r w:rsidRPr="00E21A4E">
        <w:rPr>
          <w:rFonts w:eastAsiaTheme="minorHAnsi"/>
          <w:lang w:eastAsia="en-US"/>
        </w:rPr>
        <w:t xml:space="preserve"> [Accessed 4</w:t>
      </w:r>
      <w:r w:rsidRPr="00E21A4E">
        <w:rPr>
          <w:rFonts w:eastAsiaTheme="minorHAnsi"/>
          <w:vertAlign w:val="superscript"/>
          <w:lang w:eastAsia="en-US"/>
        </w:rPr>
        <w:t>th</w:t>
      </w:r>
      <w:r w:rsidRPr="00E21A4E">
        <w:rPr>
          <w:rFonts w:eastAsiaTheme="minorHAnsi"/>
          <w:lang w:eastAsia="en-US"/>
        </w:rPr>
        <w:t xml:space="preserve">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Craft, A. (2000) </w:t>
      </w:r>
      <w:r w:rsidRPr="00E21A4E">
        <w:rPr>
          <w:rFonts w:eastAsiaTheme="minorHAnsi"/>
          <w:i/>
          <w:lang w:eastAsia="en-US"/>
        </w:rPr>
        <w:t>Creativity across the Primary Curriculum: Framing and Developing Practice</w:t>
      </w:r>
      <w:r w:rsidRPr="00E21A4E">
        <w:rPr>
          <w:rFonts w:eastAsiaTheme="minorHAnsi"/>
          <w:lang w:eastAsia="en-US"/>
        </w:rPr>
        <w:t>. London: Routledge.</w:t>
      </w:r>
    </w:p>
    <w:p w:rsidR="00E21A4E" w:rsidRPr="00E21A4E" w:rsidRDefault="00A754E7" w:rsidP="0018301E">
      <w:pPr>
        <w:spacing w:after="200" w:line="360" w:lineRule="auto"/>
        <w:rPr>
          <w:rFonts w:eastAsiaTheme="minorHAnsi"/>
          <w:lang w:eastAsia="en-US"/>
        </w:rPr>
      </w:pPr>
      <w:r w:rsidRPr="00A754E7">
        <w:rPr>
          <w:rFonts w:eastAsiaTheme="minorHAnsi"/>
          <w:lang w:eastAsia="en-US"/>
        </w:rPr>
        <w:t>Craft, A.,</w:t>
      </w:r>
      <w:r w:rsidR="00E21A4E" w:rsidRPr="00E21A4E">
        <w:rPr>
          <w:rFonts w:eastAsiaTheme="minorHAnsi"/>
          <w:lang w:eastAsia="en-US"/>
        </w:rPr>
        <w:t xml:space="preserve"> Jeffery</w:t>
      </w:r>
      <w:r w:rsidRPr="00A754E7">
        <w:rPr>
          <w:rFonts w:eastAsiaTheme="minorHAnsi"/>
          <w:lang w:eastAsia="en-US"/>
        </w:rPr>
        <w:t xml:space="preserve">, B (Unknown) </w:t>
      </w:r>
      <w:r>
        <w:rPr>
          <w:rFonts w:eastAsiaTheme="minorHAnsi"/>
          <w:lang w:eastAsia="en-US"/>
        </w:rPr>
        <w:t>‘</w:t>
      </w:r>
      <w:r w:rsidR="00E21A4E" w:rsidRPr="00A754E7">
        <w:t>TEACHING CREATIVELY AND TEACHING FOR CREATIVITY: DISTINCTIONS AND RELATIONSHIPS</w:t>
      </w:r>
      <w:r>
        <w:t>’,</w:t>
      </w:r>
      <w:r w:rsidRPr="00A754E7">
        <w:t xml:space="preserve"> Educational Studies. Available at: </w:t>
      </w:r>
      <w:hyperlink r:id="rId14" w:history="1">
        <w:r w:rsidRPr="00A754E7">
          <w:rPr>
            <w:rStyle w:val="Hyperlink"/>
          </w:rPr>
          <w:t>http://oro.open.ac.uk/425/2/CT-TFC-Final-Ed_Studies.pdf</w:t>
        </w:r>
      </w:hyperlink>
      <w:r w:rsidRPr="00A754E7">
        <w:t xml:space="preserve">  [Accessed 4</w:t>
      </w:r>
      <w:r w:rsidRPr="00A754E7">
        <w:rPr>
          <w:vertAlign w:val="superscript"/>
        </w:rPr>
        <w:t>th</w:t>
      </w:r>
      <w:r w:rsidRPr="00A754E7">
        <w:t xml:space="preserve"> 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Cremin, T., Burnard, P., Craft, A. (2006) </w:t>
      </w:r>
      <w:r w:rsidR="00453516">
        <w:rPr>
          <w:rFonts w:eastAsiaTheme="minorHAnsi"/>
          <w:lang w:eastAsia="en-US"/>
        </w:rPr>
        <w:t>‘</w:t>
      </w:r>
      <w:r w:rsidRPr="00E21A4E">
        <w:rPr>
          <w:rFonts w:eastAsiaTheme="minorHAnsi"/>
          <w:lang w:eastAsia="en-US"/>
        </w:rPr>
        <w:t>Pedagogies of possibility thinking</w:t>
      </w:r>
      <w:r w:rsidR="00453516" w:rsidRPr="00453516">
        <w:rPr>
          <w:rFonts w:eastAsiaTheme="minorHAnsi"/>
          <w:lang w:eastAsia="en-US"/>
        </w:rPr>
        <w:t>’</w:t>
      </w:r>
      <w:r w:rsidR="00453516">
        <w:rPr>
          <w:rFonts w:eastAsiaTheme="minorHAnsi"/>
          <w:i/>
          <w:lang w:eastAsia="en-US"/>
        </w:rPr>
        <w:t>,</w:t>
      </w:r>
      <w:r w:rsidRPr="00E21A4E">
        <w:rPr>
          <w:rFonts w:eastAsiaTheme="minorHAnsi"/>
          <w:i/>
          <w:lang w:eastAsia="en-US"/>
        </w:rPr>
        <w:t xml:space="preserve"> International Journal of Thinking Skills and Creativity</w:t>
      </w:r>
      <w:r w:rsidRPr="00E21A4E">
        <w:rPr>
          <w:rFonts w:eastAsiaTheme="minorHAnsi"/>
          <w:lang w:eastAsia="en-US"/>
        </w:rPr>
        <w:t>, 1:2, 108-19.</w:t>
      </w:r>
    </w:p>
    <w:p w:rsidR="00E21A4E" w:rsidRPr="00E21A4E" w:rsidRDefault="00E21A4E" w:rsidP="0018301E">
      <w:pPr>
        <w:spacing w:after="200" w:line="360" w:lineRule="auto"/>
        <w:rPr>
          <w:rFonts w:eastAsiaTheme="minorHAnsi"/>
          <w:lang w:eastAsia="en-US"/>
        </w:rPr>
      </w:pPr>
      <w:r w:rsidRPr="00E21A4E">
        <w:rPr>
          <w:rFonts w:eastAsiaTheme="minorHAnsi"/>
          <w:bCs/>
          <w:lang w:eastAsia="en-US"/>
        </w:rPr>
        <w:t xml:space="preserve">Davies, D., Jindal-Snape, D., Collier, C., Howe, A., Digby, R. and Hay, P. (2014) </w:t>
      </w:r>
      <w:r w:rsidR="00453516">
        <w:rPr>
          <w:rFonts w:eastAsiaTheme="minorHAnsi"/>
          <w:bCs/>
          <w:lang w:eastAsia="en-US"/>
        </w:rPr>
        <w:t>‘</w:t>
      </w:r>
      <w:r w:rsidRPr="00E21A4E">
        <w:rPr>
          <w:rFonts w:eastAsiaTheme="minorHAnsi"/>
          <w:bCs/>
          <w:lang w:eastAsia="en-US"/>
        </w:rPr>
        <w:t>The Roles and Development Needs of Teachers to Promote Creativity: A Systematic Review of Literature</w:t>
      </w:r>
      <w:r w:rsidR="00453516">
        <w:rPr>
          <w:rFonts w:eastAsiaTheme="minorHAnsi"/>
          <w:bCs/>
          <w:lang w:eastAsia="en-US"/>
        </w:rPr>
        <w:t>’</w:t>
      </w:r>
      <w:r w:rsidRPr="00E21A4E">
        <w:rPr>
          <w:rFonts w:eastAsiaTheme="minorHAnsi"/>
          <w:bCs/>
          <w:lang w:eastAsia="en-US"/>
        </w:rPr>
        <w:t xml:space="preserve">, </w:t>
      </w:r>
      <w:r w:rsidRPr="00E21A4E">
        <w:rPr>
          <w:rFonts w:eastAsiaTheme="minorHAnsi"/>
          <w:bCs/>
          <w:i/>
          <w:iCs/>
          <w:lang w:eastAsia="en-US"/>
        </w:rPr>
        <w:t xml:space="preserve">Teaching and Teacher Education </w:t>
      </w:r>
      <w:r w:rsidRPr="00E21A4E">
        <w:rPr>
          <w:rFonts w:eastAsiaTheme="minorHAnsi"/>
          <w:bCs/>
          <w:lang w:eastAsia="en-US"/>
        </w:rPr>
        <w:t>41: 34-41</w:t>
      </w:r>
      <w:r w:rsidRPr="00E21A4E">
        <w:rPr>
          <w:rFonts w:eastAsiaTheme="minorHAnsi"/>
          <w:bCs/>
          <w:i/>
          <w:iCs/>
          <w:lang w:eastAsia="en-US"/>
        </w:rPr>
        <w:t xml:space="preserve">. </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Desailly, J. (2015) 2</w:t>
      </w:r>
      <w:r w:rsidRPr="00E21A4E">
        <w:rPr>
          <w:rFonts w:eastAsiaTheme="minorHAnsi"/>
          <w:vertAlign w:val="superscript"/>
          <w:lang w:eastAsia="en-US"/>
        </w:rPr>
        <w:t>nd</w:t>
      </w:r>
      <w:r w:rsidRPr="00E21A4E">
        <w:rPr>
          <w:rFonts w:eastAsiaTheme="minorHAnsi"/>
          <w:lang w:eastAsia="en-US"/>
        </w:rPr>
        <w:t xml:space="preserve"> ed. </w:t>
      </w:r>
      <w:r w:rsidRPr="00E21A4E">
        <w:rPr>
          <w:rFonts w:eastAsiaTheme="minorHAnsi"/>
          <w:i/>
          <w:lang w:eastAsia="en-US"/>
        </w:rPr>
        <w:t>Creativity in the Primary Classroom</w:t>
      </w:r>
      <w:r w:rsidRPr="00E21A4E">
        <w:rPr>
          <w:rFonts w:eastAsiaTheme="minorHAnsi"/>
          <w:lang w:eastAsia="en-US"/>
        </w:rPr>
        <w:t>. London: SAGE.</w:t>
      </w:r>
    </w:p>
    <w:p w:rsidR="00BA039B" w:rsidRDefault="003F4380" w:rsidP="00BA039B">
      <w:pPr>
        <w:spacing w:line="360" w:lineRule="auto"/>
      </w:pPr>
      <w:r>
        <w:t xml:space="preserve">Donaldson, G. (2015) </w:t>
      </w:r>
      <w:bookmarkStart w:id="0" w:name="_GoBack"/>
      <w:bookmarkEnd w:id="0"/>
      <w:r w:rsidR="00BA039B" w:rsidRPr="00C81D8A">
        <w:t xml:space="preserve">Successful Futures: Independent Review of Curriculum and Assessment Arrangements in Wales. Available at: </w:t>
      </w:r>
      <w:hyperlink r:id="rId15" w:history="1">
        <w:r w:rsidR="00BA039B" w:rsidRPr="00C81D8A">
          <w:rPr>
            <w:rStyle w:val="Hyperlink"/>
          </w:rPr>
          <w:t>https://hwbplus.wales.gov.uk/schools/6714052/Documents/Donaldson%20Report.pdf</w:t>
        </w:r>
      </w:hyperlink>
      <w:r w:rsidR="00BA039B" w:rsidRPr="00C81D8A">
        <w:t xml:space="preserve"> [Accessed 3</w:t>
      </w:r>
      <w:r w:rsidR="00BA039B" w:rsidRPr="00C81D8A">
        <w:rPr>
          <w:vertAlign w:val="superscript"/>
        </w:rPr>
        <w:t>rd</w:t>
      </w:r>
      <w:r w:rsidR="00BA039B">
        <w:t xml:space="preserve"> March 2018</w:t>
      </w:r>
      <w:r w:rsidR="00BA039B" w:rsidRPr="00C81D8A">
        <w:t>].</w:t>
      </w:r>
    </w:p>
    <w:p w:rsidR="00BA039B" w:rsidRPr="00BA039B" w:rsidRDefault="00BA039B" w:rsidP="00BA039B">
      <w:pPr>
        <w:spacing w:line="360" w:lineRule="auto"/>
      </w:pP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Edwards, C.P., Springate, K. W. (1995) </w:t>
      </w:r>
      <w:r w:rsidRPr="00E21A4E">
        <w:rPr>
          <w:rFonts w:eastAsiaTheme="minorHAnsi"/>
          <w:i/>
          <w:lang w:eastAsia="en-US"/>
        </w:rPr>
        <w:t>Encouraging Creativity in Early Childhood Classrooms</w:t>
      </w:r>
      <w:r w:rsidRPr="00E21A4E">
        <w:rPr>
          <w:rFonts w:eastAsiaTheme="minorHAnsi"/>
          <w:lang w:eastAsia="en-US"/>
        </w:rPr>
        <w:t>. Urbana, IL: ERIC Clearinghouse on Elementary and Early Childhood Education (ED389474).</w:t>
      </w:r>
    </w:p>
    <w:p w:rsidR="00E21A4E" w:rsidRPr="00E21A4E" w:rsidRDefault="00E21A4E" w:rsidP="0018301E">
      <w:pPr>
        <w:keepNext/>
        <w:keepLines/>
        <w:shd w:val="clear" w:color="auto" w:fill="FFFFFF"/>
        <w:spacing w:line="360" w:lineRule="auto"/>
        <w:outlineLvl w:val="0"/>
        <w:rPr>
          <w:bCs/>
          <w:kern w:val="36"/>
        </w:rPr>
      </w:pPr>
      <w:r w:rsidRPr="00E21A4E">
        <w:rPr>
          <w:rFonts w:eastAsiaTheme="majorEastAsia"/>
          <w:lang w:eastAsia="en-US"/>
        </w:rPr>
        <w:t xml:space="preserve">Fisher, R (2013) </w:t>
      </w:r>
      <w:r w:rsidRPr="00E21A4E">
        <w:rPr>
          <w:bCs/>
          <w:i/>
          <w:kern w:val="36"/>
        </w:rPr>
        <w:t>Unlocking Creativity: Teaching Across the Curriculum: A Teacher's Guide to Creativity Across the Curriculum</w:t>
      </w:r>
      <w:r w:rsidRPr="00E21A4E">
        <w:rPr>
          <w:bCs/>
          <w:kern w:val="36"/>
        </w:rPr>
        <w:t>. Oxon: Routledge.</w:t>
      </w:r>
    </w:p>
    <w:p w:rsidR="00E21A4E" w:rsidRPr="00E21A4E" w:rsidRDefault="00E21A4E" w:rsidP="0018301E">
      <w:pPr>
        <w:keepNext/>
        <w:keepLines/>
        <w:shd w:val="clear" w:color="auto" w:fill="FFFFFF"/>
        <w:spacing w:after="30" w:line="360" w:lineRule="auto"/>
        <w:textAlignment w:val="baseline"/>
        <w:outlineLvl w:val="0"/>
        <w:rPr>
          <w:color w:val="2C3231"/>
          <w:kern w:val="36"/>
        </w:rPr>
      </w:pPr>
      <w:r w:rsidRPr="00E21A4E">
        <w:rPr>
          <w:rFonts w:eastAsiaTheme="majorEastAsia"/>
        </w:rPr>
        <w:t>Frenkel, K (2012) ‘</w:t>
      </w:r>
      <w:r w:rsidRPr="00E21A4E">
        <w:rPr>
          <w:color w:val="2C3231"/>
          <w:kern w:val="36"/>
        </w:rPr>
        <w:t xml:space="preserve">Tina Seelig’s Insights on Creativity’. The creativity Post. </w:t>
      </w:r>
    </w:p>
    <w:p w:rsidR="00E21A4E" w:rsidRPr="00E21A4E" w:rsidRDefault="00E21A4E" w:rsidP="0018301E">
      <w:pPr>
        <w:spacing w:after="200" w:line="360" w:lineRule="auto"/>
        <w:rPr>
          <w:rFonts w:eastAsiaTheme="minorHAnsi"/>
        </w:rPr>
      </w:pPr>
      <w:r w:rsidRPr="00E21A4E">
        <w:rPr>
          <w:rFonts w:eastAsiaTheme="minorHAnsi"/>
        </w:rPr>
        <w:t xml:space="preserve">Available at: </w:t>
      </w:r>
      <w:hyperlink r:id="rId16" w:history="1">
        <w:r w:rsidRPr="00E21A4E">
          <w:rPr>
            <w:rFonts w:eastAsiaTheme="minorHAnsi"/>
            <w:color w:val="0000FF" w:themeColor="hyperlink"/>
            <w:u w:val="single"/>
          </w:rPr>
          <w:t>http://www.creativitypost.com/create/tina_seeligs_insights_on_creativity</w:t>
        </w:r>
      </w:hyperlink>
      <w:r w:rsidRPr="00E21A4E">
        <w:rPr>
          <w:rFonts w:eastAsiaTheme="minorHAnsi"/>
        </w:rPr>
        <w:t xml:space="preserve"> [Accessed 5th March 2018].</w:t>
      </w:r>
    </w:p>
    <w:p w:rsidR="00E21A4E" w:rsidRPr="00E21A4E" w:rsidRDefault="00E21A4E" w:rsidP="0018301E">
      <w:pPr>
        <w:spacing w:after="200" w:line="360" w:lineRule="auto"/>
        <w:rPr>
          <w:rFonts w:eastAsiaTheme="minorHAnsi"/>
          <w:color w:val="000000"/>
          <w:shd w:val="clear" w:color="auto" w:fill="FFFFFF"/>
          <w:lang w:eastAsia="en-US"/>
        </w:rPr>
      </w:pPr>
      <w:r w:rsidRPr="00E21A4E">
        <w:rPr>
          <w:rFonts w:eastAsiaTheme="minorHAnsi"/>
          <w:lang w:eastAsia="en-US"/>
        </w:rPr>
        <w:t xml:space="preserve">Gandini, L., Hill, L., Cadwell, L. &amp; Schwall, C. (Eds.) (2005). </w:t>
      </w:r>
      <w:r w:rsidRPr="00E21A4E">
        <w:rPr>
          <w:rFonts w:eastAsiaTheme="minorHAnsi"/>
          <w:i/>
          <w:iCs/>
          <w:lang w:eastAsia="en-US"/>
        </w:rPr>
        <w:t xml:space="preserve">In the Spirit of the Studio: Learning from the Atelier of Reggio Emilia. </w:t>
      </w:r>
      <w:r w:rsidRPr="00E21A4E">
        <w:rPr>
          <w:rFonts w:eastAsiaTheme="minorHAnsi"/>
          <w:lang w:eastAsia="en-US"/>
        </w:rPr>
        <w:t>New York: Teachers’ College Press.</w:t>
      </w:r>
    </w:p>
    <w:p w:rsidR="00E21A4E" w:rsidRPr="00E21A4E" w:rsidRDefault="00E21A4E" w:rsidP="0018301E">
      <w:pPr>
        <w:spacing w:after="200" w:line="360" w:lineRule="auto"/>
        <w:rPr>
          <w:rFonts w:eastAsiaTheme="minorHAnsi"/>
          <w:color w:val="000000"/>
          <w:shd w:val="clear" w:color="auto" w:fill="FFFFFF"/>
          <w:lang w:eastAsia="en-US"/>
        </w:rPr>
      </w:pPr>
      <w:r w:rsidRPr="00E21A4E">
        <w:rPr>
          <w:rFonts w:eastAsiaTheme="minorHAnsi"/>
          <w:color w:val="000000"/>
          <w:shd w:val="clear" w:color="auto" w:fill="FFFFFF"/>
          <w:lang w:eastAsia="en-US"/>
        </w:rPr>
        <w:t xml:space="preserve">Gerstein, J (2012) ‘Schools are still killing creativity’. Available at: </w:t>
      </w:r>
      <w:hyperlink r:id="rId17" w:history="1">
        <w:r w:rsidRPr="00E21A4E">
          <w:rPr>
            <w:rFonts w:eastAsiaTheme="minorHAnsi"/>
            <w:color w:val="0000FF" w:themeColor="hyperlink"/>
            <w:u w:val="single"/>
            <w:shd w:val="clear" w:color="auto" w:fill="FFFFFF"/>
            <w:lang w:eastAsia="en-US"/>
          </w:rPr>
          <w:t>https://usergeneratededucation.wordpress.com/2012/04/25/schools-are-still-killing-creativity/</w:t>
        </w:r>
      </w:hyperlink>
      <w:r w:rsidRPr="00E21A4E">
        <w:rPr>
          <w:rFonts w:eastAsiaTheme="minorHAnsi"/>
          <w:color w:val="000000"/>
          <w:shd w:val="clear" w:color="auto" w:fill="FFFFFF"/>
          <w:lang w:eastAsia="en-US"/>
        </w:rPr>
        <w:t xml:space="preserve">  [Accessed 3</w:t>
      </w:r>
      <w:r w:rsidRPr="00E21A4E">
        <w:rPr>
          <w:rFonts w:eastAsiaTheme="minorHAnsi"/>
          <w:color w:val="000000"/>
          <w:shd w:val="clear" w:color="auto" w:fill="FFFFFF"/>
          <w:vertAlign w:val="superscript"/>
          <w:lang w:eastAsia="en-US"/>
        </w:rPr>
        <w:t>rd</w:t>
      </w:r>
      <w:r w:rsidRPr="00E21A4E">
        <w:rPr>
          <w:rFonts w:eastAsiaTheme="minorHAnsi"/>
          <w:color w:val="000000"/>
          <w:shd w:val="clear" w:color="auto" w:fill="FFFFFF"/>
          <w:lang w:eastAsia="en-US"/>
        </w:rPr>
        <w:t xml:space="preserve"> March 2018].</w:t>
      </w:r>
    </w:p>
    <w:p w:rsidR="00A754E7" w:rsidRPr="00E21A4E" w:rsidRDefault="00A754E7" w:rsidP="0018301E">
      <w:pPr>
        <w:spacing w:after="200" w:line="360" w:lineRule="auto"/>
        <w:rPr>
          <w:rFonts w:eastAsiaTheme="minorHAnsi"/>
          <w:lang w:eastAsia="en-US"/>
        </w:rPr>
      </w:pPr>
      <w:r w:rsidRPr="00E21A4E">
        <w:rPr>
          <w:rFonts w:eastAsiaTheme="minorHAnsi"/>
          <w:lang w:eastAsia="en-US"/>
        </w:rPr>
        <w:t xml:space="preserve">Grainger, T., Barnes, J., Scoffham, S. (2004) </w:t>
      </w:r>
      <w:r>
        <w:rPr>
          <w:rFonts w:eastAsiaTheme="minorHAnsi"/>
          <w:lang w:eastAsia="en-US"/>
        </w:rPr>
        <w:t>‘</w:t>
      </w:r>
      <w:r w:rsidRPr="00E21A4E">
        <w:rPr>
          <w:rFonts w:eastAsiaTheme="minorHAnsi"/>
          <w:lang w:eastAsia="en-US"/>
        </w:rPr>
        <w:t>A creative cocktail: Creative teaching in initial teaching education</w:t>
      </w:r>
      <w:r>
        <w:rPr>
          <w:rFonts w:eastAsiaTheme="minorHAnsi"/>
          <w:lang w:eastAsia="en-US"/>
        </w:rPr>
        <w:t>’,</w:t>
      </w:r>
      <w:r w:rsidRPr="00E21A4E">
        <w:rPr>
          <w:rFonts w:eastAsiaTheme="minorHAnsi"/>
          <w:lang w:eastAsia="en-US"/>
        </w:rPr>
        <w:t xml:space="preserve"> </w:t>
      </w:r>
      <w:r w:rsidRPr="00E21A4E">
        <w:rPr>
          <w:rFonts w:eastAsiaTheme="minorHAnsi"/>
          <w:i/>
          <w:lang w:eastAsia="en-US"/>
        </w:rPr>
        <w:t>Journal of Education and Teaching</w:t>
      </w:r>
      <w:r w:rsidRPr="00E21A4E">
        <w:rPr>
          <w:rFonts w:eastAsiaTheme="minorHAnsi"/>
          <w:lang w:eastAsia="en-US"/>
        </w:rPr>
        <w:t xml:space="preserve">, 38:3, 243-53. Available at: </w:t>
      </w:r>
      <w:hyperlink r:id="rId18" w:history="1">
        <w:r w:rsidRPr="00E21A4E">
          <w:rPr>
            <w:rFonts w:eastAsiaTheme="minorHAnsi"/>
            <w:color w:val="0000FF" w:themeColor="hyperlink"/>
            <w:u w:val="single"/>
            <w:lang w:eastAsia="en-US"/>
          </w:rPr>
          <w:t>http://oro.open.ac.uk/12525/1/12525.pdf</w:t>
        </w:r>
      </w:hyperlink>
      <w:r w:rsidRPr="00E21A4E">
        <w:rPr>
          <w:rFonts w:eastAsiaTheme="minorHAnsi"/>
          <w:lang w:eastAsia="en-US"/>
        </w:rPr>
        <w:t xml:space="preserve"> [Accessed 4th March 2018].</w:t>
      </w:r>
    </w:p>
    <w:p w:rsidR="00A754E7" w:rsidRPr="00E21A4E" w:rsidRDefault="00A754E7" w:rsidP="0018301E">
      <w:pPr>
        <w:spacing w:after="200" w:line="360" w:lineRule="auto"/>
        <w:rPr>
          <w:rFonts w:eastAsiaTheme="minorHAnsi"/>
          <w:lang w:eastAsia="en-US"/>
        </w:rPr>
      </w:pPr>
      <w:r w:rsidRPr="00E21A4E">
        <w:rPr>
          <w:rFonts w:eastAsiaTheme="minorHAnsi"/>
          <w:lang w:eastAsia="en-US"/>
        </w:rPr>
        <w:t xml:space="preserve">Grainger, T., Goouch, K. &amp; Lambirth, A. (2005). </w:t>
      </w:r>
      <w:r w:rsidRPr="00E21A4E">
        <w:rPr>
          <w:rFonts w:eastAsiaTheme="minorHAnsi"/>
          <w:i/>
          <w:iCs/>
          <w:lang w:eastAsia="en-US"/>
        </w:rPr>
        <w:t xml:space="preserve">Creativity and writing: developing voice and verve in the classroom. </w:t>
      </w:r>
      <w:r w:rsidRPr="00E21A4E">
        <w:rPr>
          <w:rFonts w:eastAsiaTheme="minorHAnsi"/>
          <w:lang w:eastAsia="en-US"/>
        </w:rPr>
        <w:t xml:space="preserve">London: Routledge. </w:t>
      </w:r>
    </w:p>
    <w:p w:rsidR="00E21A4E" w:rsidRPr="00E21A4E" w:rsidRDefault="00E21A4E" w:rsidP="0018301E">
      <w:pPr>
        <w:spacing w:after="200" w:line="360" w:lineRule="auto"/>
        <w:rPr>
          <w:rFonts w:eastAsiaTheme="minorHAnsi"/>
          <w:color w:val="000000"/>
          <w:shd w:val="clear" w:color="auto" w:fill="FFFFFF"/>
          <w:lang w:eastAsia="en-US"/>
        </w:rPr>
      </w:pPr>
      <w:r w:rsidRPr="00E21A4E">
        <w:rPr>
          <w:rFonts w:eastAsiaTheme="minorHAnsi"/>
          <w:color w:val="000000"/>
          <w:shd w:val="clear" w:color="auto" w:fill="FFFFFF"/>
          <w:lang w:eastAsia="en-US"/>
        </w:rPr>
        <w:t xml:space="preserve">Guilford, J.P. (1950) </w:t>
      </w:r>
      <w:r w:rsidR="00A754E7">
        <w:rPr>
          <w:rFonts w:eastAsiaTheme="minorHAnsi"/>
          <w:color w:val="000000"/>
          <w:shd w:val="clear" w:color="auto" w:fill="FFFFFF"/>
          <w:lang w:eastAsia="en-US"/>
        </w:rPr>
        <w:t>‘</w:t>
      </w:r>
      <w:r w:rsidRPr="00E21A4E">
        <w:rPr>
          <w:rFonts w:eastAsiaTheme="minorHAnsi"/>
          <w:color w:val="000000"/>
          <w:shd w:val="clear" w:color="auto" w:fill="FFFFFF"/>
          <w:lang w:eastAsia="en-US"/>
        </w:rPr>
        <w:t>Creativity</w:t>
      </w:r>
      <w:r w:rsidR="00A754E7">
        <w:rPr>
          <w:rFonts w:eastAsiaTheme="minorHAnsi"/>
          <w:color w:val="000000"/>
          <w:shd w:val="clear" w:color="auto" w:fill="FFFFFF"/>
          <w:lang w:eastAsia="en-US"/>
        </w:rPr>
        <w:t>’,</w:t>
      </w:r>
      <w:r w:rsidRPr="00E21A4E">
        <w:rPr>
          <w:rFonts w:eastAsiaTheme="minorHAnsi"/>
          <w:color w:val="000000"/>
          <w:shd w:val="clear" w:color="auto" w:fill="FFFFFF"/>
          <w:lang w:eastAsia="en-US"/>
        </w:rPr>
        <w:t xml:space="preserve"> </w:t>
      </w:r>
      <w:r w:rsidRPr="00E21A4E">
        <w:rPr>
          <w:rFonts w:eastAsiaTheme="minorHAnsi"/>
          <w:i/>
          <w:color w:val="000000"/>
          <w:shd w:val="clear" w:color="auto" w:fill="FFFFFF"/>
          <w:lang w:eastAsia="en-US"/>
        </w:rPr>
        <w:t>American Psychologist</w:t>
      </w:r>
      <w:r w:rsidRPr="00E21A4E">
        <w:rPr>
          <w:rFonts w:eastAsiaTheme="minorHAnsi"/>
          <w:color w:val="000000"/>
          <w:shd w:val="clear" w:color="auto" w:fill="FFFFFF"/>
          <w:lang w:eastAsia="en-US"/>
        </w:rPr>
        <w:t>, 5, 444-454. Available at:</w:t>
      </w:r>
      <w:r w:rsidRPr="00E21A4E">
        <w:rPr>
          <w:rFonts w:eastAsiaTheme="minorHAnsi"/>
          <w:color w:val="000000"/>
          <w:lang w:eastAsia="en-US"/>
        </w:rPr>
        <w:t xml:space="preserve"> </w:t>
      </w:r>
      <w:hyperlink r:id="rId19" w:history="1">
        <w:r w:rsidRPr="00E21A4E">
          <w:rPr>
            <w:rFonts w:eastAsiaTheme="minorHAnsi"/>
            <w:color w:val="0000FF" w:themeColor="hyperlink"/>
            <w:u w:val="single"/>
            <w:shd w:val="clear" w:color="auto" w:fill="FFFFFF"/>
            <w:lang w:eastAsia="en-US"/>
          </w:rPr>
          <w:t>http://dx.doi.org/10.1037/h0063487</w:t>
        </w:r>
      </w:hyperlink>
      <w:r w:rsidRPr="00E21A4E">
        <w:rPr>
          <w:rFonts w:eastAsiaTheme="minorHAnsi"/>
          <w:color w:val="000000"/>
          <w:shd w:val="clear" w:color="auto" w:fill="FFFFFF"/>
          <w:lang w:eastAsia="en-US"/>
        </w:rPr>
        <w:t xml:space="preserve"> [Accessed 1st March 2018].</w:t>
      </w:r>
    </w:p>
    <w:p w:rsidR="00E21A4E" w:rsidRPr="00E21A4E" w:rsidRDefault="00E21A4E" w:rsidP="0018301E">
      <w:pPr>
        <w:spacing w:after="200" w:line="360" w:lineRule="auto"/>
        <w:rPr>
          <w:rFonts w:eastAsiaTheme="minorHAnsi"/>
        </w:rPr>
      </w:pPr>
      <w:r w:rsidRPr="00E21A4E">
        <w:rPr>
          <w:rFonts w:eastAsiaTheme="minorHAnsi"/>
        </w:rPr>
        <w:t>Hodder Education (2014) ‘</w:t>
      </w:r>
      <w:r w:rsidRPr="00E21A4E">
        <w:rPr>
          <w:rFonts w:eastAsiaTheme="minorHAnsi"/>
          <w:lang w:eastAsia="en-US"/>
        </w:rPr>
        <w:t>Promote creativity and creative learning in young children: Unit CYPOP 7’.</w:t>
      </w:r>
      <w:r w:rsidRPr="00E21A4E">
        <w:rPr>
          <w:rFonts w:asciiTheme="minorHAnsi" w:eastAsiaTheme="minorHAnsi" w:hAnsiTheme="minorHAnsi" w:cstheme="minorBidi"/>
          <w:sz w:val="22"/>
          <w:szCs w:val="22"/>
          <w:lang w:eastAsia="en-US"/>
        </w:rPr>
        <w:t xml:space="preserve"> </w:t>
      </w:r>
      <w:r w:rsidRPr="00E21A4E">
        <w:rPr>
          <w:rFonts w:eastAsiaTheme="minorHAnsi"/>
          <w:lang w:eastAsia="en-US"/>
        </w:rPr>
        <w:t xml:space="preserve">Available at: </w:t>
      </w:r>
      <w:hyperlink r:id="rId20" w:history="1">
        <w:r w:rsidRPr="00E21A4E">
          <w:rPr>
            <w:rFonts w:eastAsiaTheme="minorHAnsi"/>
            <w:color w:val="0000FF" w:themeColor="hyperlink"/>
            <w:u w:val="single"/>
            <w:lang w:eastAsia="en-US"/>
          </w:rPr>
          <w:t>https://moodle.uwtsd.ac.uk/pluginfile.php/111396/mod_resource/content/1/creativity%20in%20EY.pdf</w:t>
        </w:r>
      </w:hyperlink>
      <w:r w:rsidRPr="00E21A4E">
        <w:rPr>
          <w:rFonts w:eastAsiaTheme="minorHAnsi"/>
          <w:lang w:eastAsia="en-US"/>
        </w:rPr>
        <w:t xml:space="preserve"> [Accessed 4</w:t>
      </w:r>
      <w:r w:rsidRPr="00E21A4E">
        <w:rPr>
          <w:rFonts w:eastAsiaTheme="minorHAnsi"/>
          <w:vertAlign w:val="superscript"/>
          <w:lang w:eastAsia="en-US"/>
        </w:rPr>
        <w:t>th</w:t>
      </w:r>
      <w:r w:rsidRPr="00E21A4E">
        <w:rPr>
          <w:rFonts w:eastAsiaTheme="minorHAnsi"/>
          <w:lang w:eastAsia="en-US"/>
        </w:rPr>
        <w:t xml:space="preserve"> March 2018].</w:t>
      </w:r>
    </w:p>
    <w:p w:rsidR="00E21A4E" w:rsidRPr="00E21A4E" w:rsidRDefault="00A754E7" w:rsidP="0018301E">
      <w:pPr>
        <w:spacing w:after="200" w:line="360" w:lineRule="auto"/>
        <w:rPr>
          <w:rFonts w:eastAsiaTheme="minorHAnsi"/>
          <w:lang w:eastAsia="en-US"/>
        </w:rPr>
      </w:pPr>
      <w:r>
        <w:rPr>
          <w:rFonts w:eastAsiaTheme="minorHAnsi"/>
          <w:lang w:eastAsia="en-US"/>
        </w:rPr>
        <w:t>Jeffrey, B. (2006) ‘</w:t>
      </w:r>
      <w:r w:rsidR="00E21A4E" w:rsidRPr="00E21A4E">
        <w:rPr>
          <w:rFonts w:eastAsiaTheme="minorHAnsi"/>
          <w:lang w:eastAsia="en-US"/>
        </w:rPr>
        <w:t>Creative teaching and learning: towards a common discourse and practice</w:t>
      </w:r>
      <w:r>
        <w:rPr>
          <w:rFonts w:eastAsiaTheme="minorHAnsi"/>
          <w:lang w:eastAsia="en-US"/>
        </w:rPr>
        <w:t>’,</w:t>
      </w:r>
      <w:r w:rsidR="00E21A4E" w:rsidRPr="00E21A4E">
        <w:rPr>
          <w:rFonts w:eastAsiaTheme="minorHAnsi"/>
          <w:lang w:eastAsia="en-US"/>
        </w:rPr>
        <w:t xml:space="preserve"> </w:t>
      </w:r>
      <w:r w:rsidR="00E21A4E" w:rsidRPr="00E21A4E">
        <w:rPr>
          <w:rFonts w:eastAsiaTheme="minorHAnsi"/>
          <w:i/>
          <w:iCs/>
          <w:lang w:eastAsia="en-US"/>
        </w:rPr>
        <w:t>Cambridge Journal of Education, 36</w:t>
      </w:r>
      <w:r w:rsidR="00E21A4E" w:rsidRPr="00E21A4E">
        <w:rPr>
          <w:rFonts w:eastAsiaTheme="minorHAnsi"/>
          <w:lang w:eastAsia="en-US"/>
        </w:rPr>
        <w:t>(3), 399–414.</w:t>
      </w:r>
    </w:p>
    <w:p w:rsidR="00E21A4E" w:rsidRPr="00E21A4E" w:rsidRDefault="00A754E7" w:rsidP="0018301E">
      <w:pPr>
        <w:spacing w:after="200" w:line="360" w:lineRule="auto"/>
        <w:rPr>
          <w:rFonts w:eastAsiaTheme="minorHAnsi"/>
          <w:lang w:eastAsia="en-US"/>
        </w:rPr>
      </w:pPr>
      <w:r>
        <w:rPr>
          <w:rFonts w:eastAsiaTheme="minorHAnsi"/>
          <w:lang w:eastAsia="en-US"/>
        </w:rPr>
        <w:t>Malaguzzi, L.</w:t>
      </w:r>
      <w:r w:rsidR="00E21A4E" w:rsidRPr="00E21A4E">
        <w:rPr>
          <w:rFonts w:eastAsiaTheme="minorHAnsi"/>
          <w:lang w:eastAsia="en-US"/>
        </w:rPr>
        <w:t>‘History, ideas, and basic philosophy: an interview with Lella Gandini.’ In: Edwards,</w:t>
      </w:r>
      <w:r>
        <w:rPr>
          <w:rFonts w:eastAsiaTheme="minorHAnsi"/>
          <w:lang w:eastAsia="en-US"/>
        </w:rPr>
        <w:t xml:space="preserve"> C., Gandini, L., Forman, G (ed), (1993) </w:t>
      </w:r>
      <w:r w:rsidR="00E21A4E" w:rsidRPr="00E21A4E">
        <w:rPr>
          <w:rFonts w:eastAsiaTheme="minorHAnsi"/>
          <w:lang w:eastAsia="en-US"/>
        </w:rPr>
        <w:t>T</w:t>
      </w:r>
      <w:r w:rsidR="00E21A4E" w:rsidRPr="00E21A4E">
        <w:rPr>
          <w:rFonts w:eastAsiaTheme="minorHAnsi"/>
          <w:i/>
          <w:lang w:eastAsia="en-US"/>
        </w:rPr>
        <w:t>he Hundred Languages of Children: The Reggio Emilia Approach – Advanced Reflections.</w:t>
      </w:r>
      <w:r w:rsidRPr="00A754E7">
        <w:rPr>
          <w:rFonts w:eastAsiaTheme="minorHAnsi"/>
          <w:lang w:eastAsia="en-US"/>
        </w:rPr>
        <w:t xml:space="preserve"> </w:t>
      </w:r>
      <w:r>
        <w:rPr>
          <w:rFonts w:eastAsiaTheme="minorHAnsi"/>
          <w:lang w:eastAsia="en-US"/>
        </w:rPr>
        <w:t>(2</w:t>
      </w:r>
      <w:r w:rsidRPr="00A754E7">
        <w:rPr>
          <w:rFonts w:eastAsiaTheme="minorHAnsi"/>
          <w:vertAlign w:val="superscript"/>
          <w:lang w:eastAsia="en-US"/>
        </w:rPr>
        <w:t>nd</w:t>
      </w:r>
      <w:r>
        <w:rPr>
          <w:rFonts w:eastAsiaTheme="minorHAnsi"/>
          <w:lang w:eastAsia="en-US"/>
        </w:rPr>
        <w:t xml:space="preserve"> ed) </w:t>
      </w:r>
      <w:r w:rsidR="00E21A4E" w:rsidRPr="00E21A4E">
        <w:rPr>
          <w:rFonts w:eastAsiaTheme="minorHAnsi"/>
          <w:i/>
          <w:lang w:eastAsia="en-US"/>
        </w:rPr>
        <w:t xml:space="preserve"> </w:t>
      </w:r>
      <w:r>
        <w:rPr>
          <w:rFonts w:eastAsiaTheme="minorHAnsi"/>
          <w:lang w:eastAsia="en-US"/>
        </w:rPr>
        <w:t>Greenwich CT:</w:t>
      </w:r>
      <w:r w:rsidR="00E21A4E" w:rsidRPr="00E21A4E">
        <w:rPr>
          <w:rFonts w:eastAsiaTheme="minorHAnsi"/>
          <w:lang w:eastAsia="en-US"/>
        </w:rPr>
        <w:t xml:space="preserve"> Ablex Publishing.</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Mellou, E. (1996) ‘Can creativity be nu</w:t>
      </w:r>
      <w:r w:rsidR="00453516">
        <w:rPr>
          <w:rFonts w:eastAsiaTheme="minorHAnsi"/>
          <w:lang w:eastAsia="en-US"/>
        </w:rPr>
        <w:t xml:space="preserve">rtured in young children?’, </w:t>
      </w:r>
      <w:r w:rsidRPr="00E21A4E">
        <w:rPr>
          <w:rFonts w:eastAsiaTheme="minorHAnsi"/>
          <w:i/>
          <w:lang w:eastAsia="en-US"/>
        </w:rPr>
        <w:t>Early Child Development and Care</w:t>
      </w:r>
      <w:r w:rsidRPr="00E21A4E">
        <w:rPr>
          <w:rFonts w:eastAsiaTheme="minorHAnsi"/>
          <w:lang w:eastAsia="en-US"/>
        </w:rPr>
        <w:t xml:space="preserve">, 119, 119–30. Available at: </w:t>
      </w:r>
      <w:hyperlink r:id="rId21" w:history="1">
        <w:r w:rsidRPr="00E21A4E">
          <w:rPr>
            <w:rFonts w:eastAsiaTheme="minorHAnsi"/>
            <w:color w:val="0000FF" w:themeColor="hyperlink"/>
            <w:u w:val="single"/>
            <w:lang w:eastAsia="en-US"/>
          </w:rPr>
          <w:t>https://www.tandfonline.com/doi/abs/10.1080/0300443961190109</w:t>
        </w:r>
      </w:hyperlink>
      <w:r w:rsidRPr="00E21A4E">
        <w:rPr>
          <w:rFonts w:eastAsiaTheme="minorHAnsi"/>
          <w:lang w:eastAsia="en-US"/>
        </w:rPr>
        <w:t xml:space="preserve"> [Accessed 3rd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Menter, I. (2010) </w:t>
      </w:r>
      <w:r w:rsidRPr="00E21A4E">
        <w:rPr>
          <w:rFonts w:eastAsiaTheme="minorHAnsi"/>
          <w:i/>
          <w:iCs/>
          <w:lang w:eastAsia="en-US"/>
        </w:rPr>
        <w:t xml:space="preserve">Teachers - formation, training and identity: a literature review. </w:t>
      </w:r>
      <w:r w:rsidRPr="00E21A4E">
        <w:rPr>
          <w:rFonts w:eastAsiaTheme="minorHAnsi"/>
          <w:lang w:eastAsia="en-US"/>
        </w:rPr>
        <w:t>Newcastle-upon-Tyne: Creativity, Culture and Education.</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MindShift (2014) ‘Can Any School Foster Pure Creativity?’. Available at: </w:t>
      </w:r>
      <w:hyperlink r:id="rId22" w:history="1">
        <w:r w:rsidRPr="00E21A4E">
          <w:rPr>
            <w:rFonts w:eastAsiaTheme="minorHAnsi"/>
            <w:color w:val="0000FF" w:themeColor="hyperlink"/>
            <w:u w:val="single"/>
            <w:lang w:eastAsia="en-US"/>
          </w:rPr>
          <w:t>https://ww2.kqed.org/mindshift/2014/03/18/can-creativity-truly-be-fostered-in-classrooms-of-today/</w:t>
        </w:r>
      </w:hyperlink>
      <w:r w:rsidRPr="00E21A4E">
        <w:rPr>
          <w:rFonts w:eastAsiaTheme="minorHAnsi"/>
          <w:lang w:eastAsia="en-US"/>
        </w:rPr>
        <w:t xml:space="preserve"> [Accessed 3</w:t>
      </w:r>
      <w:r w:rsidRPr="00E21A4E">
        <w:rPr>
          <w:rFonts w:eastAsiaTheme="minorHAnsi"/>
          <w:vertAlign w:val="superscript"/>
          <w:lang w:eastAsia="en-US"/>
        </w:rPr>
        <w:t>rd</w:t>
      </w:r>
      <w:r w:rsidRPr="00E21A4E">
        <w:rPr>
          <w:rFonts w:eastAsiaTheme="minorHAnsi"/>
          <w:lang w:eastAsia="en-US"/>
        </w:rPr>
        <w:t xml:space="preserve"> March 2018].</w:t>
      </w:r>
    </w:p>
    <w:p w:rsidR="004D65C0" w:rsidRDefault="004D65C0" w:rsidP="0018301E">
      <w:pPr>
        <w:spacing w:after="200" w:line="360" w:lineRule="auto"/>
        <w:rPr>
          <w:rFonts w:eastAsiaTheme="minorHAnsi"/>
          <w:lang w:eastAsia="en-US"/>
        </w:rPr>
      </w:pPr>
      <w:r>
        <w:rPr>
          <w:rFonts w:eastAsiaTheme="minorHAnsi"/>
          <w:lang w:eastAsia="en-US"/>
        </w:rPr>
        <w:t xml:space="preserve">Morris, </w:t>
      </w:r>
      <w:r w:rsidR="00433823">
        <w:rPr>
          <w:rFonts w:eastAsiaTheme="minorHAnsi"/>
          <w:lang w:eastAsia="en-US"/>
        </w:rPr>
        <w:t>K</w:t>
      </w:r>
      <w:r>
        <w:rPr>
          <w:rFonts w:eastAsiaTheme="minorHAnsi"/>
          <w:lang w:eastAsia="en-US"/>
        </w:rPr>
        <w:t xml:space="preserve"> (2017) </w:t>
      </w:r>
      <w:r w:rsidR="00433823">
        <w:rPr>
          <w:rFonts w:eastAsiaTheme="minorHAnsi"/>
          <w:lang w:eastAsia="en-US"/>
        </w:rPr>
        <w:t>‘</w:t>
      </w:r>
      <w:r w:rsidR="00433823" w:rsidRPr="00433823">
        <w:rPr>
          <w:color w:val="000000"/>
          <w:shd w:val="clear" w:color="auto" w:fill="FFFFFF"/>
        </w:rPr>
        <w:t>5 Reasons Flexible Seating Didn’t Work for Me</w:t>
      </w:r>
      <w:r w:rsidR="00433823">
        <w:rPr>
          <w:color w:val="000000"/>
          <w:shd w:val="clear" w:color="auto" w:fill="FFFFFF"/>
        </w:rPr>
        <w:t>’</w:t>
      </w:r>
      <w:r w:rsidR="00433823" w:rsidRPr="00433823">
        <w:rPr>
          <w:color w:val="000000"/>
          <w:shd w:val="clear" w:color="auto" w:fill="FFFFFF"/>
        </w:rPr>
        <w:t>.</w:t>
      </w:r>
      <w:r w:rsidR="00433823">
        <w:rPr>
          <w:rFonts w:ascii="Helvetica" w:hAnsi="Helvetica" w:cs="Helvetica"/>
          <w:color w:val="000000"/>
          <w:shd w:val="clear" w:color="auto" w:fill="FFFFFF"/>
        </w:rPr>
        <w:t xml:space="preserve"> </w:t>
      </w:r>
      <w:r>
        <w:rPr>
          <w:rFonts w:eastAsiaTheme="minorHAnsi"/>
          <w:lang w:eastAsia="en-US"/>
        </w:rPr>
        <w:t xml:space="preserve">Available at: </w:t>
      </w:r>
      <w:hyperlink r:id="rId23" w:history="1">
        <w:r w:rsidR="00433823" w:rsidRPr="00081B5A">
          <w:rPr>
            <w:rStyle w:val="Hyperlink"/>
            <w:rFonts w:eastAsiaTheme="minorHAnsi"/>
            <w:lang w:eastAsia="en-US"/>
          </w:rPr>
          <w:t>https://kaysemorris.com/5-reasons-flexible-seating-didnt-work/</w:t>
        </w:r>
      </w:hyperlink>
      <w:r w:rsidR="00433823">
        <w:rPr>
          <w:rFonts w:eastAsiaTheme="minorHAnsi"/>
          <w:lang w:eastAsia="en-US"/>
        </w:rPr>
        <w:t xml:space="preserve"> [Accessed 2</w:t>
      </w:r>
      <w:r w:rsidR="00433823" w:rsidRPr="00433823">
        <w:rPr>
          <w:rFonts w:eastAsiaTheme="minorHAnsi"/>
          <w:vertAlign w:val="superscript"/>
          <w:lang w:eastAsia="en-US"/>
        </w:rPr>
        <w:t>nd</w:t>
      </w:r>
      <w:r w:rsidR="00433823">
        <w:rPr>
          <w:rFonts w:eastAsiaTheme="minorHAnsi"/>
          <w:lang w:eastAsia="en-US"/>
        </w:rPr>
        <w:t xml:space="preserve"> March 2018].</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 xml:space="preserve">National Foundation of Educational Research (2004) Developing young children’s creativity: what can we learn from research?. Issue 32. Available at: </w:t>
      </w:r>
      <w:hyperlink r:id="rId24" w:history="1">
        <w:r w:rsidRPr="00E21A4E">
          <w:rPr>
            <w:rFonts w:eastAsiaTheme="minorHAnsi"/>
            <w:color w:val="0000FF"/>
            <w:u w:val="single"/>
            <w:lang w:eastAsia="en-US"/>
          </w:rPr>
          <w:t>https://www.nfer.ac.uk/publications/55502/55502.pdf</w:t>
        </w:r>
      </w:hyperlink>
      <w:r w:rsidRPr="00E21A4E">
        <w:rPr>
          <w:rFonts w:eastAsiaTheme="minorHAnsi"/>
          <w:lang w:eastAsia="en-US"/>
        </w:rPr>
        <w:t xml:space="preserve"> [Accessed 28th February 2018].</w:t>
      </w:r>
    </w:p>
    <w:p w:rsidR="00E21A4E" w:rsidRPr="00E21A4E" w:rsidRDefault="00E21A4E" w:rsidP="0018301E">
      <w:pPr>
        <w:spacing w:after="200" w:line="360" w:lineRule="auto"/>
        <w:rPr>
          <w:rFonts w:eastAsiaTheme="minorHAnsi"/>
          <w:shd w:val="clear" w:color="auto" w:fill="FFFFFF"/>
          <w:lang w:eastAsia="en-US"/>
        </w:rPr>
      </w:pPr>
      <w:r w:rsidRPr="00E21A4E">
        <w:rPr>
          <w:rFonts w:eastAsiaTheme="minorHAnsi"/>
          <w:shd w:val="clear" w:color="auto" w:fill="FFFFFF"/>
          <w:lang w:eastAsia="en-US"/>
        </w:rPr>
        <w:t xml:space="preserve">NACCCE. National Advisory Committee on Creative and Cultural Education (1999) </w:t>
      </w:r>
      <w:r w:rsidRPr="00E21A4E">
        <w:rPr>
          <w:rFonts w:eastAsiaTheme="minorHAnsi"/>
          <w:i/>
          <w:shd w:val="clear" w:color="auto" w:fill="FFFFFF"/>
          <w:lang w:eastAsia="en-US"/>
        </w:rPr>
        <w:t>All Our Futures: Creativity, Culture and Education.</w:t>
      </w:r>
      <w:r w:rsidRPr="00E21A4E">
        <w:rPr>
          <w:rFonts w:eastAsiaTheme="minorHAnsi"/>
          <w:shd w:val="clear" w:color="auto" w:fill="FFFFFF"/>
          <w:lang w:eastAsia="en-US"/>
        </w:rPr>
        <w:t xml:space="preserve"> London:DfEE.</w:t>
      </w:r>
    </w:p>
    <w:p w:rsidR="00E21A4E" w:rsidRPr="00E21A4E" w:rsidRDefault="00E21A4E" w:rsidP="0018301E">
      <w:pPr>
        <w:spacing w:before="30" w:after="30" w:line="360" w:lineRule="auto"/>
        <w:rPr>
          <w:rFonts w:eastAsiaTheme="minorHAnsi"/>
          <w:lang w:eastAsia="en-US"/>
        </w:rPr>
      </w:pPr>
      <w:r w:rsidRPr="00E21A4E">
        <w:rPr>
          <w:rFonts w:eastAsiaTheme="minorHAnsi"/>
          <w:lang w:eastAsia="en-US"/>
        </w:rPr>
        <w:t xml:space="preserve">Ofsted (2010) Learning: creative approaches to raising standards. Available at: </w:t>
      </w:r>
      <w:hyperlink r:id="rId25" w:history="1">
        <w:r w:rsidRPr="00E21A4E">
          <w:rPr>
            <w:rFonts w:eastAsiaTheme="minorHAnsi"/>
            <w:color w:val="0000FF" w:themeColor="hyperlink"/>
            <w:u w:val="single"/>
            <w:lang w:eastAsia="en-US"/>
          </w:rPr>
          <w:t>http://www.creativitycultureeducation.org/wp-content/uploads/learning-creative-approaches-that-raise-standards-250.pdf</w:t>
        </w:r>
      </w:hyperlink>
      <w:r w:rsidRPr="00E21A4E">
        <w:rPr>
          <w:rFonts w:eastAsiaTheme="minorHAnsi"/>
          <w:lang w:eastAsia="en-US"/>
        </w:rPr>
        <w:t xml:space="preserve"> [Accessed 5th March 2018].</w:t>
      </w:r>
    </w:p>
    <w:p w:rsidR="00E21A4E" w:rsidRPr="00E21A4E" w:rsidRDefault="00E21A4E" w:rsidP="0018301E">
      <w:pPr>
        <w:spacing w:before="30" w:after="30" w:line="360" w:lineRule="auto"/>
        <w:rPr>
          <w:rFonts w:eastAsiaTheme="minorHAnsi"/>
          <w:lang w:eastAsia="en-US"/>
        </w:rPr>
      </w:pPr>
      <w:r w:rsidRPr="00E21A4E">
        <w:rPr>
          <w:rFonts w:eastAsiaTheme="minorHAnsi"/>
          <w:lang w:eastAsia="en-US"/>
        </w:rPr>
        <w:t xml:space="preserve">Robinson, K (2007) ‘Do schools kill creativity?’. Available at: </w:t>
      </w:r>
      <w:hyperlink r:id="rId26" w:history="1">
        <w:r w:rsidRPr="00E21A4E">
          <w:rPr>
            <w:rFonts w:eastAsiaTheme="minorHAnsi"/>
            <w:color w:val="0000FF" w:themeColor="hyperlink"/>
            <w:u w:val="single"/>
            <w:lang w:eastAsia="en-US"/>
          </w:rPr>
          <w:t>https://www.youtube.com/watch?v=iG9CE55wbtY</w:t>
        </w:r>
      </w:hyperlink>
      <w:r w:rsidRPr="00E21A4E">
        <w:rPr>
          <w:rFonts w:eastAsiaTheme="minorHAnsi"/>
          <w:lang w:eastAsia="en-US"/>
        </w:rPr>
        <w:t xml:space="preserve"> [Accessed 3</w:t>
      </w:r>
      <w:r w:rsidRPr="00E21A4E">
        <w:rPr>
          <w:rFonts w:eastAsiaTheme="minorHAnsi"/>
          <w:vertAlign w:val="superscript"/>
          <w:lang w:eastAsia="en-US"/>
        </w:rPr>
        <w:t>rd</w:t>
      </w:r>
      <w:r w:rsidRPr="00E21A4E">
        <w:rPr>
          <w:rFonts w:eastAsiaTheme="minorHAnsi"/>
          <w:lang w:eastAsia="en-US"/>
        </w:rPr>
        <w:t xml:space="preserve"> March 2018].</w:t>
      </w:r>
    </w:p>
    <w:p w:rsidR="003F6CF5" w:rsidRDefault="00E21A4E" w:rsidP="0018301E">
      <w:pPr>
        <w:keepNext/>
        <w:keepLines/>
        <w:shd w:val="clear" w:color="auto" w:fill="FFFFFF"/>
        <w:spacing w:before="240" w:line="360" w:lineRule="auto"/>
        <w:outlineLvl w:val="0"/>
        <w:rPr>
          <w:bCs/>
          <w:spacing w:val="-5"/>
          <w:kern w:val="36"/>
        </w:rPr>
      </w:pPr>
      <w:r w:rsidRPr="00E21A4E">
        <w:rPr>
          <w:rFonts w:eastAsiaTheme="majorEastAsia"/>
          <w:lang w:eastAsia="en-US"/>
        </w:rPr>
        <w:t>Robinson, K (2015) ‘</w:t>
      </w:r>
      <w:r w:rsidRPr="00E21A4E">
        <w:rPr>
          <w:bCs/>
          <w:spacing w:val="-5"/>
          <w:kern w:val="36"/>
        </w:rPr>
        <w:t>Sir Ken Robinson: Creativity Is In Everything, Especially Teaching</w:t>
      </w:r>
      <w:r w:rsidRPr="00E21A4E">
        <w:rPr>
          <w:rFonts w:eastAsiaTheme="majorEastAsia"/>
          <w:lang w:eastAsia="en-US"/>
        </w:rPr>
        <w:t xml:space="preserve">’. Available at: </w:t>
      </w:r>
      <w:hyperlink r:id="rId27" w:history="1">
        <w:r w:rsidRPr="00E21A4E">
          <w:rPr>
            <w:rFonts w:eastAsiaTheme="majorEastAsia"/>
            <w:color w:val="0000FF" w:themeColor="hyperlink"/>
            <w:u w:val="single"/>
            <w:lang w:eastAsia="en-US"/>
          </w:rPr>
          <w:t>https://ww2.kqed.org/mindshift/2015/04/22/sir-ken-robinson-creativity-is-in-everything-especially-teaching/</w:t>
        </w:r>
      </w:hyperlink>
      <w:r w:rsidRPr="00E21A4E">
        <w:rPr>
          <w:rFonts w:eastAsiaTheme="majorEastAsia"/>
          <w:color w:val="365F91" w:themeColor="accent1" w:themeShade="BF"/>
          <w:lang w:eastAsia="en-US"/>
        </w:rPr>
        <w:t xml:space="preserve"> </w:t>
      </w:r>
      <w:r w:rsidRPr="00E21A4E">
        <w:rPr>
          <w:rFonts w:eastAsiaTheme="majorEastAsia"/>
          <w:lang w:eastAsia="en-US"/>
        </w:rPr>
        <w:t>[Accessed 2rd May 2018].</w:t>
      </w:r>
    </w:p>
    <w:p w:rsidR="00AC5CA4" w:rsidRPr="00E21A4E" w:rsidRDefault="00AC5CA4" w:rsidP="0018301E">
      <w:pPr>
        <w:keepNext/>
        <w:keepLines/>
        <w:shd w:val="clear" w:color="auto" w:fill="FFFFFF"/>
        <w:spacing w:before="240" w:line="360" w:lineRule="auto"/>
        <w:outlineLvl w:val="0"/>
        <w:rPr>
          <w:bCs/>
          <w:spacing w:val="-5"/>
          <w:kern w:val="36"/>
        </w:rPr>
      </w:pPr>
    </w:p>
    <w:p w:rsidR="00E21A4E" w:rsidRPr="00E21A4E" w:rsidRDefault="00E21A4E" w:rsidP="0018301E">
      <w:pPr>
        <w:spacing w:after="200" w:line="360" w:lineRule="auto"/>
        <w:rPr>
          <w:rFonts w:eastAsiaTheme="minorHAnsi"/>
          <w:lang w:eastAsia="en-US"/>
        </w:rPr>
      </w:pPr>
      <w:r w:rsidRPr="00E21A4E">
        <w:rPr>
          <w:rFonts w:eastAsiaTheme="minorHAnsi"/>
          <w:lang w:eastAsia="en-US"/>
        </w:rPr>
        <w:t>RUNCO, M.A. (1990). ‘The divergent thinking of young children: implications of the research’, Gifted Child Today, 13, 4, 37–9</w:t>
      </w:r>
    </w:p>
    <w:p w:rsidR="00E21A4E" w:rsidRPr="00E21A4E" w:rsidRDefault="00E21A4E" w:rsidP="0018301E">
      <w:pPr>
        <w:spacing w:before="30" w:after="30" w:line="360" w:lineRule="auto"/>
        <w:rPr>
          <w:rFonts w:eastAsiaTheme="minorHAnsi"/>
          <w:lang w:eastAsia="en-US"/>
        </w:rPr>
      </w:pPr>
      <w:r w:rsidRPr="00E21A4E">
        <w:rPr>
          <w:rFonts w:eastAsiaTheme="minorHAnsi"/>
          <w:lang w:eastAsia="en-US"/>
        </w:rPr>
        <w:t xml:space="preserve">Schwartz, K (2015) ‘Beyond Working Hard: What Growth Mindset Teachers Us About Our Brains’. Available at: </w:t>
      </w:r>
      <w:r w:rsidRPr="00E21A4E">
        <w:rPr>
          <w:rFonts w:eastAsiaTheme="minorHAnsi"/>
          <w:color w:val="0000FF"/>
          <w:u w:val="single"/>
          <w:lang w:eastAsia="en-US"/>
        </w:rPr>
        <w:t>https://ww2.kqed.org/mindshift/2015/12/29/beyond-working-hard-what-growth-mindset-teaches-us-about-our-brains/</w:t>
      </w:r>
      <w:r w:rsidRPr="00E21A4E">
        <w:rPr>
          <w:rFonts w:eastAsiaTheme="minorHAnsi"/>
          <w:color w:val="0000FF"/>
          <w:lang w:eastAsia="en-US"/>
        </w:rPr>
        <w:t xml:space="preserve"> </w:t>
      </w:r>
      <w:r w:rsidRPr="00E21A4E">
        <w:rPr>
          <w:rFonts w:eastAsiaTheme="minorHAnsi"/>
          <w:lang w:eastAsia="en-US"/>
        </w:rPr>
        <w:t>[Accessed 3</w:t>
      </w:r>
      <w:r w:rsidRPr="00E21A4E">
        <w:rPr>
          <w:rFonts w:eastAsiaTheme="minorHAnsi"/>
          <w:vertAlign w:val="superscript"/>
          <w:lang w:eastAsia="en-US"/>
        </w:rPr>
        <w:t>rd</w:t>
      </w:r>
      <w:r w:rsidRPr="00E21A4E">
        <w:rPr>
          <w:rFonts w:eastAsiaTheme="minorHAnsi"/>
          <w:lang w:eastAsia="en-US"/>
        </w:rPr>
        <w:t xml:space="preserve"> March 2018].</w:t>
      </w:r>
    </w:p>
    <w:p w:rsidR="00AC5CA4" w:rsidRDefault="00AC5CA4" w:rsidP="0018301E">
      <w:pPr>
        <w:spacing w:before="30" w:after="30" w:line="360" w:lineRule="auto"/>
        <w:rPr>
          <w:rFonts w:eastAsiaTheme="minorHAnsi"/>
          <w:lang w:eastAsia="en-US"/>
        </w:rPr>
      </w:pPr>
    </w:p>
    <w:p w:rsidR="00E21A4E" w:rsidRPr="00E21A4E" w:rsidRDefault="00E21A4E" w:rsidP="0018301E">
      <w:pPr>
        <w:spacing w:before="30" w:after="30" w:line="360" w:lineRule="auto"/>
        <w:rPr>
          <w:rFonts w:eastAsiaTheme="minorHAnsi"/>
          <w:lang w:eastAsia="en-US"/>
        </w:rPr>
      </w:pPr>
      <w:r w:rsidRPr="00E21A4E">
        <w:rPr>
          <w:rFonts w:eastAsiaTheme="minorHAnsi"/>
          <w:lang w:eastAsia="en-US"/>
        </w:rPr>
        <w:t xml:space="preserve">Seelig, T (2012) </w:t>
      </w:r>
      <w:r w:rsidRPr="00E21A4E">
        <w:rPr>
          <w:rFonts w:eastAsiaTheme="minorHAnsi"/>
          <w:i/>
          <w:lang w:eastAsia="en-US"/>
        </w:rPr>
        <w:t xml:space="preserve">Innovation Engine. </w:t>
      </w:r>
      <w:r w:rsidRPr="00E21A4E">
        <w:rPr>
          <w:rFonts w:eastAsiaTheme="minorHAnsi"/>
          <w:lang w:eastAsia="en-US"/>
        </w:rPr>
        <w:t>New York: Harper One.</w:t>
      </w:r>
    </w:p>
    <w:p w:rsidR="00433823" w:rsidRDefault="00433823" w:rsidP="0018301E">
      <w:pPr>
        <w:spacing w:before="30" w:after="30" w:line="360" w:lineRule="auto"/>
        <w:rPr>
          <w:rFonts w:eastAsiaTheme="minorHAnsi"/>
          <w:lang w:eastAsia="en-US"/>
        </w:rPr>
      </w:pPr>
    </w:p>
    <w:p w:rsidR="00433823" w:rsidRDefault="00433823" w:rsidP="0018301E">
      <w:pPr>
        <w:spacing w:before="30" w:after="30" w:line="360" w:lineRule="auto"/>
        <w:rPr>
          <w:rFonts w:eastAsiaTheme="minorHAnsi"/>
          <w:lang w:eastAsia="en-US"/>
        </w:rPr>
      </w:pPr>
      <w:r>
        <w:rPr>
          <w:rFonts w:eastAsiaTheme="minorHAnsi"/>
          <w:lang w:eastAsia="en-US"/>
        </w:rPr>
        <w:t>Sullo, B (2011) CHOICE THEORY: TOO MUCH OF A GOOD THING?. Available at:</w:t>
      </w:r>
      <w:r w:rsidRPr="00433823">
        <w:t xml:space="preserve"> </w:t>
      </w:r>
      <w:hyperlink r:id="rId28" w:history="1">
        <w:r w:rsidRPr="00081B5A">
          <w:rPr>
            <w:rStyle w:val="Hyperlink"/>
            <w:rFonts w:eastAsiaTheme="minorHAnsi"/>
            <w:lang w:eastAsia="en-US"/>
          </w:rPr>
          <w:t>http://www.funderstanding.com/educators/choice-theorytoo-much-of-a-good-thing/</w:t>
        </w:r>
      </w:hyperlink>
      <w:r>
        <w:rPr>
          <w:rFonts w:eastAsiaTheme="minorHAnsi"/>
          <w:lang w:eastAsia="en-US"/>
        </w:rPr>
        <w:t xml:space="preserve"> [Accessed 5</w:t>
      </w:r>
      <w:r w:rsidRPr="00433823">
        <w:rPr>
          <w:rFonts w:eastAsiaTheme="minorHAnsi"/>
          <w:vertAlign w:val="superscript"/>
          <w:lang w:eastAsia="en-US"/>
        </w:rPr>
        <w:t>th</w:t>
      </w:r>
      <w:r>
        <w:rPr>
          <w:rFonts w:eastAsiaTheme="minorHAnsi"/>
          <w:lang w:eastAsia="en-US"/>
        </w:rPr>
        <w:t xml:space="preserve"> March 2018].</w:t>
      </w:r>
    </w:p>
    <w:p w:rsidR="00433823" w:rsidRDefault="00433823" w:rsidP="0018301E">
      <w:pPr>
        <w:spacing w:before="30" w:after="30" w:line="360" w:lineRule="auto"/>
        <w:rPr>
          <w:rFonts w:eastAsiaTheme="minorHAnsi"/>
          <w:lang w:eastAsia="en-US"/>
        </w:rPr>
      </w:pPr>
    </w:p>
    <w:p w:rsidR="00E21A4E" w:rsidRDefault="00E21A4E" w:rsidP="0018301E">
      <w:pPr>
        <w:spacing w:before="30" w:after="30" w:line="360" w:lineRule="auto"/>
        <w:rPr>
          <w:rFonts w:eastAsiaTheme="minorHAnsi"/>
          <w:lang w:eastAsia="en-US"/>
        </w:rPr>
      </w:pPr>
      <w:r w:rsidRPr="00E21A4E">
        <w:rPr>
          <w:rFonts w:eastAsiaTheme="minorHAnsi"/>
          <w:lang w:eastAsia="en-US"/>
        </w:rPr>
        <w:t xml:space="preserve">Thornton, L., Brunton, P. (2007) </w:t>
      </w:r>
      <w:r w:rsidRPr="00E21A4E">
        <w:rPr>
          <w:rFonts w:eastAsiaTheme="minorHAnsi"/>
          <w:i/>
          <w:lang w:eastAsia="en-US"/>
        </w:rPr>
        <w:t>Bringing the Reggio Approach to your Early Years Practice</w:t>
      </w:r>
      <w:r w:rsidRPr="00E21A4E">
        <w:rPr>
          <w:rFonts w:eastAsiaTheme="minorHAnsi"/>
          <w:lang w:eastAsia="en-US"/>
        </w:rPr>
        <w:t xml:space="preserve">. London: Routledge. </w:t>
      </w:r>
    </w:p>
    <w:p w:rsidR="00453516" w:rsidRPr="00E21A4E" w:rsidRDefault="00453516" w:rsidP="0018301E">
      <w:pPr>
        <w:spacing w:before="30" w:after="30" w:line="360" w:lineRule="auto"/>
        <w:rPr>
          <w:rFonts w:eastAsiaTheme="minorHAnsi"/>
          <w:lang w:eastAsia="en-US"/>
        </w:rPr>
      </w:pPr>
    </w:p>
    <w:p w:rsidR="00735476" w:rsidRDefault="00E21A4E" w:rsidP="0018301E">
      <w:pPr>
        <w:spacing w:before="30" w:after="30" w:line="360" w:lineRule="auto"/>
        <w:rPr>
          <w:rFonts w:eastAsiaTheme="minorHAnsi"/>
          <w:lang w:eastAsia="en-US"/>
        </w:rPr>
      </w:pPr>
      <w:r w:rsidRPr="00E21A4E">
        <w:rPr>
          <w:rFonts w:eastAsiaTheme="minorHAnsi"/>
          <w:lang w:eastAsia="en-US"/>
        </w:rPr>
        <w:t xml:space="preserve">Tovey, H (2007) </w:t>
      </w:r>
      <w:r w:rsidRPr="00E21A4E">
        <w:rPr>
          <w:rFonts w:eastAsiaTheme="minorHAnsi"/>
          <w:i/>
          <w:lang w:eastAsia="en-US"/>
        </w:rPr>
        <w:t>Playing Outdoors: Spaces and Places, Risk and Challenge</w:t>
      </w:r>
      <w:r w:rsidRPr="00E21A4E">
        <w:rPr>
          <w:rFonts w:eastAsiaTheme="minorHAnsi"/>
          <w:lang w:eastAsia="en-US"/>
        </w:rPr>
        <w:t>. England: Open University Press.</w:t>
      </w:r>
    </w:p>
    <w:p w:rsidR="00735476" w:rsidRPr="00E21A4E" w:rsidRDefault="00735476" w:rsidP="0018301E">
      <w:pPr>
        <w:spacing w:before="30" w:after="30" w:line="360" w:lineRule="auto"/>
        <w:rPr>
          <w:rFonts w:eastAsiaTheme="minorHAnsi"/>
          <w:lang w:eastAsia="en-US"/>
        </w:rPr>
      </w:pPr>
    </w:p>
    <w:p w:rsidR="00E21A4E" w:rsidRPr="00E21A4E" w:rsidRDefault="00E21A4E" w:rsidP="0018301E">
      <w:pPr>
        <w:spacing w:before="30" w:after="30" w:line="360" w:lineRule="auto"/>
        <w:rPr>
          <w:rFonts w:eastAsiaTheme="minorHAnsi"/>
          <w:lang w:eastAsia="en-US"/>
        </w:rPr>
      </w:pPr>
      <w:r w:rsidRPr="00E21A4E">
        <w:rPr>
          <w:rFonts w:eastAsiaTheme="minorHAnsi"/>
          <w:lang w:eastAsia="en-US"/>
        </w:rPr>
        <w:t xml:space="preserve">Welsh Assembly Government (2009) Department for Children, Education, Lifelong Learning and Skills. </w:t>
      </w:r>
      <w:r w:rsidRPr="00E21A4E">
        <w:rPr>
          <w:rFonts w:eastAsiaTheme="minorHAnsi"/>
          <w:i/>
          <w:lang w:eastAsia="en-US"/>
        </w:rPr>
        <w:t>Outdoor Learning Handbook.</w:t>
      </w:r>
      <w:r w:rsidRPr="00E21A4E">
        <w:rPr>
          <w:rFonts w:eastAsiaTheme="minorHAnsi"/>
          <w:lang w:eastAsia="en-US"/>
        </w:rPr>
        <w:t xml:space="preserve"> Available at: </w:t>
      </w:r>
      <w:hyperlink r:id="rId29" w:history="1">
        <w:r w:rsidRPr="00E21A4E">
          <w:rPr>
            <w:rFonts w:eastAsiaTheme="minorHAnsi"/>
            <w:color w:val="0000FF" w:themeColor="hyperlink"/>
            <w:u w:val="single"/>
            <w:lang w:eastAsia="en-US"/>
          </w:rPr>
          <w:t>http://learning.gov.wales/docs/learningwales/publications/140828-foundation-phase-outdoor-learning-handbook-en.pdf</w:t>
        </w:r>
      </w:hyperlink>
      <w:r w:rsidRPr="00E21A4E">
        <w:rPr>
          <w:rFonts w:eastAsiaTheme="minorHAnsi"/>
          <w:lang w:eastAsia="en-US"/>
        </w:rPr>
        <w:t xml:space="preserve"> [Accessed 13th February 2018].</w:t>
      </w:r>
    </w:p>
    <w:p w:rsidR="00E21A4E" w:rsidRPr="00E21A4E" w:rsidRDefault="00E21A4E" w:rsidP="0018301E">
      <w:pPr>
        <w:spacing w:before="30" w:after="30" w:line="360" w:lineRule="auto"/>
        <w:rPr>
          <w:rFonts w:eastAsiaTheme="minorHAnsi"/>
          <w:lang w:eastAsia="en-US"/>
        </w:rPr>
      </w:pPr>
    </w:p>
    <w:p w:rsidR="00E21A4E" w:rsidRPr="00E21A4E" w:rsidRDefault="00E21A4E" w:rsidP="0018301E">
      <w:pPr>
        <w:spacing w:after="200" w:line="360" w:lineRule="auto"/>
        <w:rPr>
          <w:rFonts w:eastAsiaTheme="minorHAnsi"/>
          <w:lang w:eastAsia="en-US"/>
        </w:rPr>
      </w:pPr>
      <w:r w:rsidRPr="00E21A4E">
        <w:rPr>
          <w:rFonts w:eastAsiaTheme="minorHAnsi"/>
          <w:lang w:eastAsia="en-US"/>
        </w:rPr>
        <w:t>Wilson, A. (2015) 3</w:t>
      </w:r>
      <w:r w:rsidRPr="00E21A4E">
        <w:rPr>
          <w:rFonts w:eastAsiaTheme="minorHAnsi"/>
          <w:vertAlign w:val="superscript"/>
          <w:lang w:eastAsia="en-US"/>
        </w:rPr>
        <w:t>rd</w:t>
      </w:r>
      <w:r w:rsidRPr="00E21A4E">
        <w:rPr>
          <w:rFonts w:eastAsiaTheme="minorHAnsi"/>
          <w:lang w:eastAsia="en-US"/>
        </w:rPr>
        <w:t xml:space="preserve"> ed. </w:t>
      </w:r>
      <w:r w:rsidRPr="00E21A4E">
        <w:rPr>
          <w:rFonts w:eastAsiaTheme="minorHAnsi"/>
          <w:i/>
          <w:lang w:eastAsia="en-US"/>
        </w:rPr>
        <w:t>Creativity in Primary Education</w:t>
      </w:r>
      <w:r w:rsidRPr="00E21A4E">
        <w:rPr>
          <w:rFonts w:eastAsiaTheme="minorHAnsi"/>
          <w:lang w:eastAsia="en-US"/>
        </w:rPr>
        <w:t>. London: SAGE.</w:t>
      </w:r>
    </w:p>
    <w:p w:rsidR="00E21A4E" w:rsidRPr="00E21A4E" w:rsidRDefault="00E21A4E" w:rsidP="0018301E">
      <w:pPr>
        <w:spacing w:after="200" w:line="360" w:lineRule="auto"/>
        <w:rPr>
          <w:rFonts w:eastAsiaTheme="minorHAnsi"/>
          <w:lang w:eastAsia="en-US"/>
        </w:rPr>
      </w:pPr>
      <w:r w:rsidRPr="00E21A4E">
        <w:rPr>
          <w:rFonts w:eastAsiaTheme="minorHAnsi"/>
          <w:lang w:eastAsia="en-US"/>
        </w:rPr>
        <w:t>Williams, J (</w:t>
      </w:r>
      <w:r w:rsidR="00A754E7" w:rsidRPr="00A754E7">
        <w:rPr>
          <w:rFonts w:eastAsiaTheme="minorHAnsi"/>
          <w:lang w:eastAsia="en-US"/>
        </w:rPr>
        <w:t>2003</w:t>
      </w:r>
      <w:r w:rsidRPr="00E21A4E">
        <w:rPr>
          <w:rFonts w:eastAsiaTheme="minorHAnsi"/>
          <w:i/>
          <w:lang w:eastAsia="en-US"/>
        </w:rPr>
        <w:t>) Promoting Independent learning in the primary classroom</w:t>
      </w:r>
      <w:r w:rsidRPr="00E21A4E">
        <w:rPr>
          <w:rFonts w:eastAsiaTheme="minorHAnsi"/>
          <w:lang w:eastAsia="en-US"/>
        </w:rPr>
        <w:t>.</w:t>
      </w:r>
      <w:r w:rsidR="00A754E7" w:rsidRPr="00A754E7">
        <w:rPr>
          <w:rFonts w:eastAsiaTheme="minorHAnsi"/>
          <w:lang w:eastAsia="en-US"/>
        </w:rPr>
        <w:t xml:space="preserve"> Buckingham: Open University Press.</w:t>
      </w:r>
    </w:p>
    <w:p w:rsidR="00E21A4E" w:rsidRDefault="00E21A4E"/>
    <w:sectPr w:rsidR="00E21A4E">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A48" w:rsidRDefault="00E10A48" w:rsidP="00E21A4E">
      <w:r>
        <w:separator/>
      </w:r>
    </w:p>
  </w:endnote>
  <w:endnote w:type="continuationSeparator" w:id="0">
    <w:p w:rsidR="00E10A48" w:rsidRDefault="00E10A48" w:rsidP="00E21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BoldMT+1">
    <w:altName w:val="Times New Roman"/>
    <w:panose1 w:val="00000000000000000000"/>
    <w:charset w:val="00"/>
    <w:family w:val="auto"/>
    <w:notTrueType/>
    <w:pitch w:val="default"/>
    <w:sig w:usb0="00000003" w:usb1="00000000" w:usb2="00000000" w:usb3="00000000" w:csb0="00000001" w:csb1="00000000"/>
  </w:font>
  <w:font w:name="TimesNewRomanPSMT+1">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3620633"/>
      <w:docPartObj>
        <w:docPartGallery w:val="Page Numbers (Bottom of Page)"/>
        <w:docPartUnique/>
      </w:docPartObj>
    </w:sdtPr>
    <w:sdtEndPr>
      <w:rPr>
        <w:noProof/>
      </w:rPr>
    </w:sdtEndPr>
    <w:sdtContent>
      <w:p w:rsidR="00E21A4E" w:rsidRDefault="00E21A4E">
        <w:pPr>
          <w:pStyle w:val="Footer"/>
          <w:jc w:val="center"/>
        </w:pPr>
        <w:r>
          <w:fldChar w:fldCharType="begin"/>
        </w:r>
        <w:r>
          <w:instrText xml:space="preserve"> PAGE   \* MERGEFORMAT </w:instrText>
        </w:r>
        <w:r>
          <w:fldChar w:fldCharType="separate"/>
        </w:r>
        <w:r w:rsidR="00E10A48">
          <w:rPr>
            <w:noProof/>
          </w:rPr>
          <w:t>1</w:t>
        </w:r>
        <w:r>
          <w:rPr>
            <w:noProof/>
          </w:rPr>
          <w:fldChar w:fldCharType="end"/>
        </w:r>
      </w:p>
    </w:sdtContent>
  </w:sdt>
  <w:p w:rsidR="00E21A4E" w:rsidRDefault="00E21A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A48" w:rsidRDefault="00E10A48" w:rsidP="00E21A4E">
      <w:r>
        <w:separator/>
      </w:r>
    </w:p>
  </w:footnote>
  <w:footnote w:type="continuationSeparator" w:id="0">
    <w:p w:rsidR="00E10A48" w:rsidRDefault="00E10A48" w:rsidP="00E21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A4E" w:rsidRDefault="00E21A4E">
    <w:pPr>
      <w:pStyle w:val="Header"/>
    </w:pPr>
    <w:r>
      <w:ptab w:relativeTo="margin" w:alignment="center" w:leader="none"/>
    </w:r>
    <w:r>
      <w:t>1500997</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A4E"/>
    <w:rsid w:val="0018301E"/>
    <w:rsid w:val="001B4D13"/>
    <w:rsid w:val="002661B9"/>
    <w:rsid w:val="00274809"/>
    <w:rsid w:val="003516F0"/>
    <w:rsid w:val="003D5E43"/>
    <w:rsid w:val="003F4380"/>
    <w:rsid w:val="003F6CF5"/>
    <w:rsid w:val="00404C24"/>
    <w:rsid w:val="00433823"/>
    <w:rsid w:val="00453516"/>
    <w:rsid w:val="00472697"/>
    <w:rsid w:val="004940E5"/>
    <w:rsid w:val="004B222B"/>
    <w:rsid w:val="004D65C0"/>
    <w:rsid w:val="0055645A"/>
    <w:rsid w:val="00676CE5"/>
    <w:rsid w:val="00701BDB"/>
    <w:rsid w:val="00701E1F"/>
    <w:rsid w:val="00735476"/>
    <w:rsid w:val="008A057C"/>
    <w:rsid w:val="00A17B5A"/>
    <w:rsid w:val="00A754E7"/>
    <w:rsid w:val="00AC5CA4"/>
    <w:rsid w:val="00B0788D"/>
    <w:rsid w:val="00BA039B"/>
    <w:rsid w:val="00BE45FE"/>
    <w:rsid w:val="00E10A48"/>
    <w:rsid w:val="00E21A4E"/>
    <w:rsid w:val="00ED66CD"/>
    <w:rsid w:val="00EE3E02"/>
    <w:rsid w:val="00F041EF"/>
    <w:rsid w:val="00F33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17C46"/>
  <w15:chartTrackingRefBased/>
  <w15:docId w15:val="{CC7E20A9-A5C9-47B9-8C60-D220E4AAA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1A4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E21A4E"/>
    <w:pPr>
      <w:tabs>
        <w:tab w:val="left" w:pos="720"/>
        <w:tab w:val="left" w:pos="1440"/>
      </w:tabs>
    </w:pPr>
    <w:rPr>
      <w:rFonts w:ascii="CG Times (WN)" w:hAnsi="CG Times (WN)"/>
      <w:lang w:eastAsia="en-US"/>
    </w:rPr>
  </w:style>
  <w:style w:type="paragraph" w:customStyle="1" w:styleId="BulletedList">
    <w:name w:val="Bulleted List"/>
    <w:basedOn w:val="Normal"/>
    <w:rsid w:val="00E21A4E"/>
    <w:pPr>
      <w:numPr>
        <w:numId w:val="1"/>
      </w:numPr>
      <w:spacing w:before="120" w:after="240"/>
    </w:pPr>
    <w:rPr>
      <w:rFonts w:ascii="Verdana" w:hAnsi="Verdana"/>
      <w:sz w:val="16"/>
      <w:lang w:val="en-US" w:eastAsia="en-US"/>
    </w:rPr>
  </w:style>
  <w:style w:type="paragraph" w:styleId="Header">
    <w:name w:val="header"/>
    <w:basedOn w:val="Normal"/>
    <w:link w:val="HeaderChar"/>
    <w:uiPriority w:val="99"/>
    <w:unhideWhenUsed/>
    <w:rsid w:val="00E21A4E"/>
    <w:pPr>
      <w:tabs>
        <w:tab w:val="center" w:pos="4513"/>
        <w:tab w:val="right" w:pos="9026"/>
      </w:tabs>
    </w:pPr>
  </w:style>
  <w:style w:type="character" w:customStyle="1" w:styleId="HeaderChar">
    <w:name w:val="Header Char"/>
    <w:basedOn w:val="DefaultParagraphFont"/>
    <w:link w:val="Header"/>
    <w:uiPriority w:val="99"/>
    <w:rsid w:val="00E21A4E"/>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21A4E"/>
    <w:pPr>
      <w:tabs>
        <w:tab w:val="center" w:pos="4513"/>
        <w:tab w:val="right" w:pos="9026"/>
      </w:tabs>
    </w:pPr>
  </w:style>
  <w:style w:type="character" w:customStyle="1" w:styleId="FooterChar">
    <w:name w:val="Footer Char"/>
    <w:basedOn w:val="DefaultParagraphFont"/>
    <w:link w:val="Footer"/>
    <w:uiPriority w:val="99"/>
    <w:rsid w:val="00E21A4E"/>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754E7"/>
    <w:rPr>
      <w:color w:val="0000FF" w:themeColor="hyperlink"/>
      <w:u w:val="single"/>
    </w:rPr>
  </w:style>
  <w:style w:type="character" w:styleId="UnresolvedMention">
    <w:name w:val="Unresolved Mention"/>
    <w:basedOn w:val="DefaultParagraphFont"/>
    <w:uiPriority w:val="99"/>
    <w:semiHidden/>
    <w:unhideWhenUsed/>
    <w:rsid w:val="00A754E7"/>
    <w:rPr>
      <w:color w:val="808080"/>
      <w:shd w:val="clear" w:color="auto" w:fill="E6E6E6"/>
    </w:rPr>
  </w:style>
  <w:style w:type="paragraph" w:styleId="NormalWeb">
    <w:name w:val="Normal (Web)"/>
    <w:basedOn w:val="Normal"/>
    <w:uiPriority w:val="99"/>
    <w:unhideWhenUsed/>
    <w:rsid w:val="00701BDB"/>
  </w:style>
  <w:style w:type="character" w:styleId="Emphasis">
    <w:name w:val="Emphasis"/>
    <w:basedOn w:val="DefaultParagraphFont"/>
    <w:qFormat/>
    <w:rsid w:val="00B078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2uYJZjuhxHs" TargetMode="External"/><Relationship Id="rId13" Type="http://schemas.openxmlformats.org/officeDocument/2006/relationships/hyperlink" Target="http://www.ccsnh.edu/sites/default/files/content/documents/CCSNH%20MLC%20HABITS%20OF%20MIND%20COSTA-KALLICK%20DESCRIPTION%201-8-10.pdf" TargetMode="External"/><Relationship Id="rId18" Type="http://schemas.openxmlformats.org/officeDocument/2006/relationships/hyperlink" Target="http://oro.open.ac.uk/12525/1/12525.pdf" TargetMode="External"/><Relationship Id="rId26" Type="http://schemas.openxmlformats.org/officeDocument/2006/relationships/hyperlink" Target="https://www.youtube.com/watch?v=iG9CE55wbtY" TargetMode="External"/><Relationship Id="rId3" Type="http://schemas.openxmlformats.org/officeDocument/2006/relationships/settings" Target="settings.xml"/><Relationship Id="rId21" Type="http://schemas.openxmlformats.org/officeDocument/2006/relationships/hyperlink" Target="https://www.tandfonline.com/doi/abs/10.1080/0300443961190109"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youtube.com/watch?v=OT0vXFP_RYI" TargetMode="External"/><Relationship Id="rId17" Type="http://schemas.openxmlformats.org/officeDocument/2006/relationships/hyperlink" Target="https://usergeneratededucation.wordpress.com/2012/04/25/schools-are-still-killing-creativity/" TargetMode="External"/><Relationship Id="rId25" Type="http://schemas.openxmlformats.org/officeDocument/2006/relationships/hyperlink" Target="http://www.creativitycultureeducation.org/wp-content/uploads/learning-creative-approaches-that-raise-standards-250.pdf"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www.creativitypost.com/create/tina_seeligs_insights_on_creativity" TargetMode="External"/><Relationship Id="rId20" Type="http://schemas.openxmlformats.org/officeDocument/2006/relationships/hyperlink" Target="https://moodle.uwtsd.ac.uk/pluginfile.php/111396/mod_resource/content/1/creativity%20in%20EY.pdf" TargetMode="External"/><Relationship Id="rId29" Type="http://schemas.openxmlformats.org/officeDocument/2006/relationships/hyperlink" Target="http://learning.gov.wales/docs/learningwales/publications/140828-foundation-phase-outdoor-learning-handbook-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rrodl.org/index.php/irrodl/article/viewFile/1076/2113" TargetMode="External"/><Relationship Id="rId24" Type="http://schemas.openxmlformats.org/officeDocument/2006/relationships/hyperlink" Target="https://www.nfer.ac.uk/publications/55502/55502.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wbplus.wales.gov.uk/schools/6714052/Documents/Donaldson%20Report.pdf" TargetMode="External"/><Relationship Id="rId23" Type="http://schemas.openxmlformats.org/officeDocument/2006/relationships/hyperlink" Target="https://kaysemorris.com/5-reasons-flexible-seating-didnt-work/" TargetMode="External"/><Relationship Id="rId28" Type="http://schemas.openxmlformats.org/officeDocument/2006/relationships/hyperlink" Target="http://www.funderstanding.com/educators/choice-theorytoo-much-of-a-good-thing/" TargetMode="External"/><Relationship Id="rId10" Type="http://schemas.openxmlformats.org/officeDocument/2006/relationships/hyperlink" Target="https://www.salford.ac.uk/cleverclassrooms/1503-Salford-Uni-Report-DIGITAL.pdf" TargetMode="External"/><Relationship Id="rId19" Type="http://schemas.openxmlformats.org/officeDocument/2006/relationships/hyperlink" Target="http://dx.doi.org/10.1037/h0063487"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oiko.files.wordpress.com/2011/03/2011_wiki_anoiko_creativity1.pdf" TargetMode="External"/><Relationship Id="rId14" Type="http://schemas.openxmlformats.org/officeDocument/2006/relationships/hyperlink" Target="http://oro.open.ac.uk/425/2/CT-TFC-Final-Ed_Studies.pdf" TargetMode="External"/><Relationship Id="rId22" Type="http://schemas.openxmlformats.org/officeDocument/2006/relationships/hyperlink" Target="https://ww2.kqed.org/mindshift/2014/03/18/can-creativity-truly-be-fostered-in-classrooms-of-today/" TargetMode="External"/><Relationship Id="rId27" Type="http://schemas.openxmlformats.org/officeDocument/2006/relationships/hyperlink" Target="https://ww2.kqed.org/mindshift/2015/04/22/sir-ken-robinson-creativity-is-in-everything-especially-teaching/" TargetMode="External"/><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NewRomanPS-BoldMT+1">
    <w:altName w:val="Times New Roman"/>
    <w:panose1 w:val="00000000000000000000"/>
    <w:charset w:val="00"/>
    <w:family w:val="auto"/>
    <w:notTrueType/>
    <w:pitch w:val="default"/>
    <w:sig w:usb0="00000003" w:usb1="00000000" w:usb2="00000000" w:usb3="00000000" w:csb0="00000001" w:csb1="00000000"/>
  </w:font>
  <w:font w:name="TimesNewRomanPSMT+1">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7C53"/>
    <w:rsid w:val="00E7719E"/>
    <w:rsid w:val="00F87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9A32E422FD43A9AEBD9AAE69794662">
    <w:name w:val="189A32E422FD43A9AEBD9AAE69794662"/>
    <w:rsid w:val="00F87C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10</Pages>
  <Words>2541</Words>
  <Characters>14487</Characters>
  <Application>Microsoft Office Word</Application>
  <DocSecurity>0</DocSecurity>
  <Lines>120</Lines>
  <Paragraphs>33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Fisher, R (2013) Unlocking Creativity: Teaching Across the Curriculum: A Teacher</vt:lpstr>
      <vt:lpstr>Frenkel, K (2012) ‘Tina Seelig’s Insights on Creativity’. The creativity Post. </vt:lpstr>
      <vt:lpstr>Robinson, K (2015) ‘Sir Ken Robinson: Creativity Is In Everything, Especially Te</vt:lpstr>
      <vt:lpstr/>
    </vt:vector>
  </TitlesOfParts>
  <Company/>
  <LinksUpToDate>false</LinksUpToDate>
  <CharactersWithSpaces>16995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Alanna</dc:creator>
  <cp:keywords/>
  <dc:description/>
  <cp:lastModifiedBy>Alanna</cp:lastModifiedBy>
  <cp:revision>15</cp:revision>
  <dcterms:created xsi:type="dcterms:W3CDTF">2018-03-13T19:25:00Z</dcterms:created>
  <dcterms:modified xsi:type="dcterms:W3CDTF">2018-03-13T22:09:00Z</dcterms:modified>
</cp:coreProperties>
</file>