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5C02166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C71B9">
              <w:rPr>
                <w:b/>
                <w:color w:val="auto"/>
                <w:sz w:val="32"/>
              </w:rPr>
              <w:t>Matthew Edwards</w:t>
            </w:r>
          </w:p>
          <w:p w14:paraId="44290483" w14:textId="77777777" w:rsidR="00FF6BE0" w:rsidRDefault="00FF6BE0" w:rsidP="00340E9A">
            <w:pPr>
              <w:overflowPunct/>
              <w:autoSpaceDE/>
              <w:autoSpaceDN/>
              <w:adjustRightInd/>
              <w:ind w:right="237"/>
              <w:textAlignment w:val="auto"/>
              <w:rPr>
                <w:b/>
                <w:color w:val="auto"/>
                <w:sz w:val="32"/>
              </w:rPr>
            </w:pPr>
          </w:p>
          <w:p w14:paraId="161E8B2D" w14:textId="32935B4B"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C71B9">
              <w:rPr>
                <w:b/>
                <w:color w:val="auto"/>
                <w:sz w:val="32"/>
              </w:rPr>
              <w:t xml:space="preserve"> 1922394</w:t>
            </w: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4715B4"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5084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11527C">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5A44AFB6" w14:textId="77777777" w:rsidR="000A05F7" w:rsidRDefault="000A05F7" w:rsidP="000A05F7">
      <w:pPr>
        <w:ind w:right="237"/>
        <w:rPr>
          <w:b/>
          <w:bCs/>
          <w:sz w:val="24"/>
          <w:szCs w:val="24"/>
        </w:rPr>
      </w:pPr>
    </w:p>
    <w:p w14:paraId="132056F2" w14:textId="77777777" w:rsidR="000A05F7" w:rsidRDefault="000A05F7" w:rsidP="000A05F7">
      <w:pPr>
        <w:ind w:right="237"/>
        <w:rPr>
          <w:b/>
          <w:bCs/>
          <w:sz w:val="24"/>
          <w:szCs w:val="24"/>
        </w:rPr>
      </w:pPr>
    </w:p>
    <w:p w14:paraId="5181CBB1" w14:textId="77777777" w:rsidR="000A05F7" w:rsidRDefault="000A05F7" w:rsidP="000A05F7">
      <w:pPr>
        <w:ind w:right="237"/>
        <w:rPr>
          <w:b/>
          <w:bCs/>
          <w:sz w:val="24"/>
          <w:szCs w:val="24"/>
        </w:rPr>
      </w:pPr>
    </w:p>
    <w:p w14:paraId="1B35EDE9" w14:textId="77777777" w:rsidR="000A05F7" w:rsidRDefault="000A05F7" w:rsidP="000A05F7">
      <w:pPr>
        <w:ind w:right="237"/>
        <w:rPr>
          <w:b/>
          <w:bCs/>
          <w:sz w:val="24"/>
          <w:szCs w:val="24"/>
        </w:rPr>
      </w:pPr>
    </w:p>
    <w:p w14:paraId="106F0BEA" w14:textId="77777777" w:rsidR="000A05F7" w:rsidRDefault="000A05F7" w:rsidP="000A05F7">
      <w:pPr>
        <w:ind w:right="237"/>
        <w:rPr>
          <w:b/>
          <w:bCs/>
          <w:sz w:val="24"/>
          <w:szCs w:val="24"/>
        </w:rPr>
      </w:pPr>
    </w:p>
    <w:p w14:paraId="2C3622D2" w14:textId="77777777" w:rsidR="000A05F7" w:rsidRDefault="000A05F7" w:rsidP="000A05F7">
      <w:pPr>
        <w:ind w:right="237"/>
        <w:rPr>
          <w:b/>
          <w:bCs/>
          <w:sz w:val="24"/>
          <w:szCs w:val="24"/>
        </w:rPr>
      </w:pPr>
    </w:p>
    <w:p w14:paraId="17E71733" w14:textId="77777777" w:rsidR="000A05F7" w:rsidRDefault="000A05F7" w:rsidP="000A05F7">
      <w:pPr>
        <w:ind w:right="237"/>
        <w:rPr>
          <w:b/>
          <w:bCs/>
          <w:sz w:val="24"/>
          <w:szCs w:val="24"/>
        </w:rPr>
      </w:pPr>
    </w:p>
    <w:p w14:paraId="03065B58" w14:textId="77777777" w:rsidR="000A05F7" w:rsidRDefault="000A05F7" w:rsidP="000A05F7">
      <w:pPr>
        <w:ind w:right="237"/>
        <w:rPr>
          <w:b/>
          <w:bCs/>
          <w:sz w:val="24"/>
          <w:szCs w:val="24"/>
        </w:rPr>
      </w:pPr>
    </w:p>
    <w:p w14:paraId="4357FA96" w14:textId="77777777" w:rsidR="000A05F7" w:rsidRDefault="000A05F7" w:rsidP="000A05F7">
      <w:pPr>
        <w:ind w:right="237"/>
        <w:rPr>
          <w:b/>
          <w:bCs/>
          <w:sz w:val="24"/>
          <w:szCs w:val="24"/>
        </w:rPr>
      </w:pPr>
    </w:p>
    <w:p w14:paraId="0E740369" w14:textId="77777777" w:rsidR="000A05F7" w:rsidRDefault="000A05F7" w:rsidP="000A05F7">
      <w:pPr>
        <w:ind w:right="237"/>
        <w:rPr>
          <w:b/>
          <w:bCs/>
          <w:sz w:val="24"/>
          <w:szCs w:val="24"/>
        </w:rPr>
      </w:pPr>
    </w:p>
    <w:p w14:paraId="676BC883" w14:textId="77777777" w:rsidR="000A05F7" w:rsidRDefault="000A05F7" w:rsidP="000A05F7">
      <w:pPr>
        <w:ind w:right="237"/>
        <w:rPr>
          <w:b/>
          <w:bCs/>
          <w:sz w:val="24"/>
          <w:szCs w:val="24"/>
        </w:rPr>
      </w:pPr>
    </w:p>
    <w:p w14:paraId="3C737240" w14:textId="13B37A69" w:rsidR="1717EFC7" w:rsidRDefault="1717EFC7" w:rsidP="000A05F7">
      <w:pPr>
        <w:ind w:left="2160" w:right="237" w:firstLine="720"/>
        <w:rPr>
          <w:color w:val="auto"/>
          <w:sz w:val="22"/>
          <w:szCs w:val="22"/>
        </w:rPr>
      </w:pP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077D68E0" w:rsidR="00AA666E" w:rsidRDefault="00025650" w:rsidP="00340E9A">
      <w:pPr>
        <w:ind w:right="237"/>
        <w:jc w:val="both"/>
        <w:rPr>
          <w:b/>
          <w:sz w:val="24"/>
          <w:szCs w:val="24"/>
        </w:rPr>
      </w:pPr>
      <w:r w:rsidRPr="00025650">
        <w:rPr>
          <w:b/>
          <w:sz w:val="24"/>
          <w:szCs w:val="24"/>
        </w:rPr>
        <w:t>ANSWER:</w:t>
      </w:r>
    </w:p>
    <w:p w14:paraId="712D0E1F" w14:textId="77777777" w:rsidR="003D0FDF" w:rsidRPr="00025650" w:rsidRDefault="003D0FDF" w:rsidP="00340E9A">
      <w:pPr>
        <w:ind w:right="237"/>
        <w:jc w:val="both"/>
        <w:rPr>
          <w:b/>
          <w:sz w:val="24"/>
          <w:szCs w:val="24"/>
        </w:rPr>
      </w:pPr>
    </w:p>
    <w:p w14:paraId="5236FCC3" w14:textId="77777777" w:rsidR="007002C8" w:rsidRDefault="007002C8" w:rsidP="007002C8">
      <w:pPr>
        <w:jc w:val="both"/>
        <w:rPr>
          <w:rFonts w:asciiTheme="minorHAnsi" w:hAnsiTheme="minorHAnsi" w:cstheme="minorHAnsi"/>
          <w:sz w:val="22"/>
          <w:szCs w:val="22"/>
          <w:lang w:val="en-US"/>
        </w:rPr>
      </w:pPr>
      <w:r>
        <w:rPr>
          <w:rFonts w:asciiTheme="minorHAnsi" w:hAnsiTheme="minorHAnsi" w:cstheme="minorHAnsi"/>
          <w:sz w:val="22"/>
          <w:szCs w:val="22"/>
        </w:rPr>
        <w:t xml:space="preserve">Since the start of my tutorship in December I have adapted to my role as a constable within the workplace in order to develop resilience and minimise stress. This has included adjusting to the nature of the work, which varies from shift to shift but with the overarching aim of maintaining order, preventing crimes and protecting the lives and property of the public. This in itself is a huge responsibility and a role that I take very seriously. This responsibility can weigh heavily from time to time but with the training I have received, along with the support of family, friends, fellow tutees and colleagues I now understand that these feelings are natural and understandable at the start of a policing career. The shift pattern has also required some adjustments to the normal routine to keep a healthy balance between work and home life but having worked for many years at management level in hospitality I am very accustomed to working long shifts for a number of days in a row and during unsociable hours. This has meant that this aspect of the role has been a relatively smooth transition. Nevertheless, the shift pattern of a constable role can still take its toll on the body as well as the mind and I ensure that I pay close attention to this and allow myself downtime during rest days when required, whether this be through exercise or spending time with my family. Having this separation time between work and home is important for me to be able to process the incidents I have attended during the previous shifts and it allows me to reflect on whether, in hindsight, I would have done anything differently. I feel this is incredibly important for on the job learning and my career development. It also gives me the ability to bounce back from difficult incidents that I inevitably encounter in this role. The team that I have joined is a small independent team comprising of two tutors and three tutees. We respond to calls alongside the response team on shift. I am fortunate in that I have established a very good rapport with my colleagues in the team and this means that the environment on shift is very supportive and I feel comfortable to ask for advice or share any concerns. This puts my mind at ease following more difficult scenarios and limits the level of stress that I experience as a result. I have also been introduced to other officers at the station and been told who to speak to if I have any further concerns about anything that may impact on me conducting my work effectively. This is again reassuring and makes me confident that my concerns will be taken seriously and without judgement. Further to this, I have been signposted to where to go should I need additional support and guidance within the force in terms of occupational health and outside organisations that are easily accessible. I am aware that the Gwent Police Service has a dedicated Mental Health Support Network, which is a peer support group that can be accessed internally by any officer or staff member. In addition, there is a Mental Health Champion programme that, through trained volunteers, provides peer support and guidance to colleagues who may be living with a mental health condition. Frontline police constables and sergeants, who may encounter potentially traumatic scenes and events (TRIM), are also given the opportunity to complete mental health first aid training, and trauma resilience and </w:t>
      </w:r>
      <w:r>
        <w:rPr>
          <w:rFonts w:asciiTheme="minorHAnsi" w:hAnsiTheme="minorHAnsi" w:cstheme="minorHAnsi"/>
          <w:sz w:val="22"/>
          <w:szCs w:val="22"/>
        </w:rPr>
        <w:lastRenderedPageBreak/>
        <w:t>management training. I am certain that with the knowledge of these work-based support initiatives coupled with my methods of managing work pressures I will become increasingly resilient and continue</w:t>
      </w:r>
      <w:r>
        <w:rPr>
          <w:rFonts w:asciiTheme="minorHAnsi" w:hAnsiTheme="minorHAnsi" w:cstheme="minorHAnsi"/>
          <w:sz w:val="22"/>
          <w:szCs w:val="22"/>
          <w:lang w:val="en-US"/>
        </w:rPr>
        <w:t xml:space="preserve"> to perform effectively and safely within the police service.</w:t>
      </w:r>
    </w:p>
    <w:p w14:paraId="616003F9" w14:textId="172FF4DF" w:rsidR="00FF7784" w:rsidRDefault="00FF7784" w:rsidP="00340E9A">
      <w:pPr>
        <w:ind w:right="237"/>
        <w:jc w:val="both"/>
        <w:rPr>
          <w:sz w:val="24"/>
          <w:szCs w:val="24"/>
        </w:rPr>
      </w:pPr>
    </w:p>
    <w:p w14:paraId="031D505D" w14:textId="48F63C69" w:rsidR="007002C8" w:rsidRPr="002E1E64" w:rsidRDefault="007002C8" w:rsidP="007002C8">
      <w:pPr>
        <w:ind w:right="237"/>
        <w:jc w:val="right"/>
        <w:rPr>
          <w:rFonts w:asciiTheme="minorHAnsi" w:hAnsiTheme="minorHAnsi" w:cstheme="minorHAnsi"/>
          <w:sz w:val="22"/>
          <w:szCs w:val="22"/>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rFonts w:asciiTheme="minorHAnsi" w:hAnsiTheme="minorHAnsi" w:cstheme="minorHAnsi"/>
          <w:sz w:val="22"/>
          <w:szCs w:val="22"/>
        </w:rPr>
        <w:t>[</w:t>
      </w:r>
      <w:r w:rsidRPr="002C6974">
        <w:rPr>
          <w:rFonts w:asciiTheme="minorHAnsi" w:hAnsiTheme="minorHAnsi" w:cstheme="minorHAnsi"/>
          <w:b/>
          <w:bCs/>
          <w:sz w:val="22"/>
          <w:szCs w:val="22"/>
        </w:rPr>
        <w:t>Word Count:</w:t>
      </w:r>
      <w:r>
        <w:rPr>
          <w:rFonts w:asciiTheme="minorHAnsi" w:hAnsiTheme="minorHAnsi" w:cstheme="minorHAnsi"/>
          <w:sz w:val="22"/>
          <w:szCs w:val="22"/>
        </w:rPr>
        <w:t xml:space="preserve"> 623]</w:t>
      </w:r>
    </w:p>
    <w:p w14:paraId="25D1DDFD" w14:textId="16A0B9DC" w:rsidR="007002C8" w:rsidRPr="00270EEB" w:rsidRDefault="007002C8"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6883B6AB" w:rsidR="00450C83" w:rsidRDefault="00450C83" w:rsidP="00340E9A">
      <w:pPr>
        <w:ind w:right="237"/>
        <w:jc w:val="both"/>
        <w:rPr>
          <w:b/>
          <w:sz w:val="24"/>
          <w:szCs w:val="24"/>
        </w:rPr>
      </w:pPr>
      <w:r w:rsidRPr="00450C83">
        <w:rPr>
          <w:b/>
          <w:sz w:val="24"/>
          <w:szCs w:val="24"/>
        </w:rPr>
        <w:t>ANSWER:</w:t>
      </w:r>
    </w:p>
    <w:p w14:paraId="20039E42" w14:textId="77777777" w:rsidR="003D0FDF" w:rsidRPr="00450C83" w:rsidRDefault="003D0FDF" w:rsidP="00340E9A">
      <w:pPr>
        <w:ind w:right="237"/>
        <w:jc w:val="both"/>
        <w:rPr>
          <w:b/>
          <w:sz w:val="24"/>
          <w:szCs w:val="24"/>
        </w:rPr>
      </w:pPr>
    </w:p>
    <w:p w14:paraId="4B5D88AB" w14:textId="77777777" w:rsidR="00F45F3C" w:rsidRPr="003D0FDF" w:rsidRDefault="00F45F3C" w:rsidP="00F45F3C">
      <w:pPr>
        <w:ind w:right="237"/>
        <w:jc w:val="both"/>
        <w:rPr>
          <w:rFonts w:asciiTheme="minorHAnsi" w:hAnsiTheme="minorHAnsi" w:cstheme="minorHAnsi"/>
          <w:color w:val="auto"/>
          <w:sz w:val="22"/>
          <w:szCs w:val="22"/>
        </w:rPr>
      </w:pPr>
      <w:r w:rsidRPr="003D0FDF">
        <w:rPr>
          <w:rFonts w:asciiTheme="minorHAnsi" w:hAnsiTheme="minorHAnsi" w:cstheme="minorHAnsi"/>
          <w:color w:val="auto"/>
          <w:sz w:val="22"/>
          <w:szCs w:val="22"/>
        </w:rPr>
        <w:t xml:space="preserve">Whilst on duty at the station a call came through for us to attend an address with a report of a missing person. The details of the call were passed to us of a male in his 70s who had gone missing from his home address. The male was classed as high risk due to previous attempts to end his life. While other units started an area search for the male with the description given over the radio, we attended the home address to speak to the reporting person (the subject’s wife). While on route to attending this incident, I had looked at the previous occurrences for the address and the associated people for those occurrences. I did this to gain a better understanding of the sort of environment, people and warning markers that we would be encountering at the address to better inform our initial approach and contact on arrival. The subject of this call had on previous occurrences attempted to commit suicide by deliberately walking in front of cars. This gave us a good footing before we attended the address as to the impact factors that may affect our decision making when on the ground. Once we were at the location new information was gathered as we went along so we could then adjust our approach to the situation accordingly. This would form a part of the National Decision Model (NDM) for this incident. On attending the address, we found the subject’s wife in a state of panic due to her husband’s disappearance. We sat down with her and used calming and reassuring verbal (slow speech and low vocal tone) and non-verbal (non-threatening body </w:t>
      </w:r>
      <w:r w:rsidRPr="003D0FDF">
        <w:rPr>
          <w:rFonts w:asciiTheme="minorHAnsi" w:hAnsiTheme="minorHAnsi" w:cstheme="minorHAnsi"/>
          <w:color w:val="auto"/>
          <w:sz w:val="22"/>
          <w:szCs w:val="22"/>
        </w:rPr>
        <w:lastRenderedPageBreak/>
        <w:t>language and intervals of eye-contact) communication to instil confidence in her that we were doing everything we could to find her husband and informed her that multiple other police units were out looking for him. I was very conscious of my body language and other non-verbal signals that I was sending while talking to her, including not using too much or too little eye contact and making sure my body language indicated that I was listening to what she was saying as well as putting her at ease. When we talk about ‘communication’ we often mean ‘what we say’: the words that we use. However, interpersonal communication is much more than the explicit meaning of words, and the information or message that they convey. It also includes implicit messages, whether intentional or not, which are expressed through non-verbal behaviours (Cherry, 2020). It is estimated that around 70-80% of communication is non-verbal, and this includes facial expressions, the tone and pitch of the voice, gestures displayed through body language (kinesics) and the physical distance between the communicators (proxemics). These signals can give clues and additional information and meaning over and above verbal communication (Harrigan, 2005). From this conversation with the subject’s wife, we were able to obtain accurate details of the subject from her including what he was wearing, the time he was last seen, places he would go or has been previously. These were all passed to the units searching for him. During this conversation, I also established that this was not the first time this had happened. I knew about another occasion from the subject’s occurrences on Niche, but she told me of two separate incidents. One where he had taken an overdose of Ibuprofen and had required an ambulance and hospital admission. A second where he had asked his wife to help him end his life. During this conversation she received a call from her brother-in-law, who had also been out searching. He stated that the subject was safe in his car after being found in the middle of George Street bridge over the river looking down into the water. He was on his way back to the home address with the subject. Once the subject was home, I sat down with him and started our conversation with small talk, mentioning that I had met his dog and how friendly he had been towards me, initially avoiding direct personal questions. I then used effective communication in terms of building a rapport (showing empathy and demonstrating that I could see his point of view), asking open questions (inviting the subject to provide information on his thoughts and feelings) and active listening skills to try to establish the cause of his wish to end his life. Active listening involves listening with all senses (</w:t>
      </w:r>
      <w:proofErr w:type="spellStart"/>
      <w:r w:rsidRPr="003D0FDF">
        <w:rPr>
          <w:rFonts w:asciiTheme="minorHAnsi" w:hAnsiTheme="minorHAnsi" w:cstheme="minorHAnsi"/>
          <w:color w:val="auto"/>
          <w:sz w:val="22"/>
          <w:szCs w:val="22"/>
        </w:rPr>
        <w:t>Janse</w:t>
      </w:r>
      <w:proofErr w:type="spellEnd"/>
      <w:r w:rsidRPr="003D0FDF">
        <w:rPr>
          <w:rFonts w:asciiTheme="minorHAnsi" w:hAnsiTheme="minorHAnsi" w:cstheme="minorHAnsi"/>
          <w:color w:val="auto"/>
          <w:sz w:val="22"/>
          <w:szCs w:val="22"/>
        </w:rPr>
        <w:t xml:space="preserve"> and Mulder, 2020) and I ensured that I gave my full attention to the subject. I am aware that an ‘active listener’ needs to be seen to be listening, otherwise the speaker may conclude that what they are talking about is uninteresting to me (</w:t>
      </w:r>
      <w:proofErr w:type="spellStart"/>
      <w:r w:rsidRPr="003D0FDF">
        <w:rPr>
          <w:rFonts w:asciiTheme="minorHAnsi" w:hAnsiTheme="minorHAnsi" w:cstheme="minorHAnsi"/>
          <w:color w:val="auto"/>
          <w:sz w:val="22"/>
          <w:szCs w:val="22"/>
        </w:rPr>
        <w:t>Janse</w:t>
      </w:r>
      <w:proofErr w:type="spellEnd"/>
      <w:r w:rsidRPr="003D0FDF">
        <w:rPr>
          <w:rFonts w:asciiTheme="minorHAnsi" w:hAnsiTheme="minorHAnsi" w:cstheme="minorHAnsi"/>
          <w:color w:val="auto"/>
          <w:sz w:val="22"/>
          <w:szCs w:val="22"/>
        </w:rPr>
        <w:t xml:space="preserve"> and Mulder, 2020). I conveyed interest by using both verbal and non-verbal messages, such as maintaining eye contact, nodding my head and smiling, agreeing by saying ‘Yes’ or simply ‘</w:t>
      </w:r>
      <w:proofErr w:type="spellStart"/>
      <w:r w:rsidRPr="003D0FDF">
        <w:rPr>
          <w:rFonts w:asciiTheme="minorHAnsi" w:hAnsiTheme="minorHAnsi" w:cstheme="minorHAnsi"/>
          <w:color w:val="auto"/>
          <w:sz w:val="22"/>
          <w:szCs w:val="22"/>
        </w:rPr>
        <w:t>Mmm</w:t>
      </w:r>
      <w:proofErr w:type="spellEnd"/>
      <w:r w:rsidRPr="003D0FDF">
        <w:rPr>
          <w:rFonts w:asciiTheme="minorHAnsi" w:hAnsiTheme="minorHAnsi" w:cstheme="minorHAnsi"/>
          <w:color w:val="auto"/>
          <w:sz w:val="22"/>
          <w:szCs w:val="22"/>
        </w:rPr>
        <w:t xml:space="preserve"> hmm’ to encourage him to continue. By providing this ‘feedback’ the subject felt more at ease and therefore was able to communicate more easily, openly and honestly. I was then able to gather the necessary information about the subject’s circumstances. It had all started not that long before due to a scheduled medical procedure not going quite to plan. He could not see any other way out at the current time due to a severe lack of sleep and depression. Given that the subject had a history of attempted self-harm and that his wife, who is his sole carer, was also of ill-health, my colleague phoned the mental health team to enquire as to whether there was space for him to be admitted. After talking with him at length he agreed to voluntarily attend a local older persons’ mental health unit, negating the necessity to section him under the Mental Health Act. I felt it was important that there was continued support for this individual that we had identified as vulnerable and that required our assistance through the sharing of the information with the appropriate agencies and professionals. This was important for his continued well-being and will hopefully prevent any further crisis points in the future.</w:t>
      </w:r>
    </w:p>
    <w:p w14:paraId="5E50DA3E" w14:textId="77777777" w:rsidR="00F45F3C" w:rsidRPr="003D0FDF" w:rsidRDefault="00F45F3C" w:rsidP="00F45F3C">
      <w:pPr>
        <w:ind w:right="237"/>
        <w:jc w:val="both"/>
        <w:rPr>
          <w:rFonts w:asciiTheme="minorHAnsi" w:hAnsiTheme="minorHAnsi" w:cstheme="minorHAnsi"/>
          <w:color w:val="auto"/>
          <w:sz w:val="22"/>
          <w:szCs w:val="22"/>
        </w:rPr>
      </w:pPr>
    </w:p>
    <w:p w14:paraId="5ED1595C" w14:textId="77777777" w:rsidR="00F45F3C" w:rsidRPr="003D0FDF" w:rsidRDefault="00F45F3C" w:rsidP="00F45F3C">
      <w:pPr>
        <w:ind w:right="237"/>
        <w:jc w:val="both"/>
        <w:rPr>
          <w:rFonts w:asciiTheme="minorHAnsi" w:hAnsiTheme="minorHAnsi" w:cstheme="minorHAnsi"/>
          <w:color w:val="auto"/>
          <w:sz w:val="22"/>
          <w:szCs w:val="22"/>
        </w:rPr>
      </w:pPr>
      <w:r w:rsidRPr="003D0FDF">
        <w:rPr>
          <w:rFonts w:asciiTheme="minorHAnsi" w:hAnsiTheme="minorHAnsi" w:cstheme="minorHAnsi"/>
          <w:color w:val="auto"/>
          <w:sz w:val="22"/>
          <w:szCs w:val="22"/>
        </w:rPr>
        <w:t xml:space="preserve">A quarter of police time is spent responding to people suffering with mental health problems (The Guardian, 2016). In some circumstances this will be necessary and unavoidable; the police are often the first point of call for people in distress, crisis and emergency. However, in cases where a person has committed no offence and is principally in need of medical intervention or the support of health </w:t>
      </w:r>
      <w:r w:rsidRPr="003D0FDF">
        <w:rPr>
          <w:rFonts w:asciiTheme="minorHAnsi" w:hAnsiTheme="minorHAnsi" w:cstheme="minorHAnsi"/>
          <w:color w:val="auto"/>
          <w:sz w:val="22"/>
          <w:szCs w:val="22"/>
        </w:rPr>
        <w:lastRenderedPageBreak/>
        <w:t>and social care services, it is not likely to be in their interests to find themselves being dealt with by police officers; nor is it in the interests of the police or public, to have police officers taken away from their core front line duties unnecessarily (HMICFRS, 2018). People with mental health problems or other vulnerabilities may have a range of complex needs, which the police alone are not fully equipped to meet (HMICFRS, 2018). In these circumstances, it is crucial that there is early recognition of a person’s requirements and a clear process for the police to access, in conjunction with partner agencies, the right and timely support to meet these needs (HMICFRS, 2018). Multi-agency working is key to the early and effective identification of risk to vulnerable people, and to preventing those risks from escalating. Ideally these relationships bring about improved information sharing, joint decision making and coordinated action (Smith, 2018). The most common is the Multi-Agency Safeguarding Hub (MASH), which aims to improve the safeguarding response to vulnerable children and adults through high quality and timely safeguarding action (</w:t>
      </w:r>
      <w:proofErr w:type="spellStart"/>
      <w:r w:rsidRPr="003D0FDF">
        <w:rPr>
          <w:rFonts w:asciiTheme="minorHAnsi" w:hAnsiTheme="minorHAnsi" w:cstheme="minorHAnsi"/>
          <w:color w:val="auto"/>
          <w:sz w:val="22"/>
          <w:szCs w:val="22"/>
        </w:rPr>
        <w:t>Tri.x</w:t>
      </w:r>
      <w:proofErr w:type="spellEnd"/>
      <w:r w:rsidRPr="003D0FDF">
        <w:rPr>
          <w:rFonts w:asciiTheme="minorHAnsi" w:hAnsiTheme="minorHAnsi" w:cstheme="minorHAnsi"/>
          <w:color w:val="auto"/>
          <w:sz w:val="22"/>
          <w:szCs w:val="22"/>
        </w:rPr>
        <w:t>., 2016). If a partner agency, like the local authority social services for example, has concerns about the welfare of a vulnerable person, it should ask the most appropriate agency to intervene. This may involve them conducting a ‘safe and well check’ at a person’s place of residence (</w:t>
      </w:r>
      <w:proofErr w:type="spellStart"/>
      <w:r w:rsidRPr="003D0FDF">
        <w:rPr>
          <w:rFonts w:asciiTheme="minorHAnsi" w:hAnsiTheme="minorHAnsi" w:cstheme="minorHAnsi"/>
          <w:color w:val="auto"/>
          <w:sz w:val="22"/>
          <w:szCs w:val="22"/>
        </w:rPr>
        <w:t>Biskupski</w:t>
      </w:r>
      <w:proofErr w:type="spellEnd"/>
      <w:r w:rsidRPr="003D0FDF">
        <w:rPr>
          <w:rFonts w:asciiTheme="minorHAnsi" w:hAnsiTheme="minorHAnsi" w:cstheme="minorHAnsi"/>
          <w:color w:val="auto"/>
          <w:sz w:val="22"/>
          <w:szCs w:val="22"/>
        </w:rPr>
        <w:t>, 2017). During one of these checks, it is appropriate to ask for police support if the check engages the police core duties of 1) preventing crime, 2) keeping the peace and 3) protecting life or property (West Midlands Police, 2020). Some police forces have adopted a policy that when they carry out one of these checks and the person is vulnerable, they expect the agency best qualified to respond to that person’s needs.</w:t>
      </w:r>
    </w:p>
    <w:p w14:paraId="205DFA49" w14:textId="77777777" w:rsidR="00F45F3C" w:rsidRPr="003D0FDF" w:rsidRDefault="00F45F3C" w:rsidP="00F45F3C">
      <w:pPr>
        <w:ind w:right="237"/>
        <w:jc w:val="both"/>
        <w:rPr>
          <w:rFonts w:asciiTheme="minorHAnsi" w:hAnsiTheme="minorHAnsi" w:cstheme="minorHAnsi"/>
          <w:color w:val="auto"/>
          <w:sz w:val="22"/>
          <w:szCs w:val="22"/>
        </w:rPr>
      </w:pPr>
    </w:p>
    <w:p w14:paraId="50579085" w14:textId="77777777" w:rsidR="00F45F3C" w:rsidRPr="003D0FDF" w:rsidRDefault="00F45F3C" w:rsidP="00F45F3C">
      <w:pPr>
        <w:ind w:right="237"/>
        <w:jc w:val="both"/>
        <w:rPr>
          <w:rFonts w:asciiTheme="minorHAnsi" w:hAnsiTheme="minorHAnsi" w:cstheme="minorHAnsi"/>
          <w:color w:val="auto"/>
          <w:sz w:val="22"/>
          <w:szCs w:val="22"/>
        </w:rPr>
      </w:pPr>
      <w:r w:rsidRPr="003D0FDF">
        <w:rPr>
          <w:rFonts w:asciiTheme="minorHAnsi" w:hAnsiTheme="minorHAnsi" w:cstheme="minorHAnsi"/>
          <w:color w:val="auto"/>
          <w:sz w:val="22"/>
          <w:szCs w:val="22"/>
        </w:rPr>
        <w:t xml:space="preserve">Vulnerable people may come into contact with the police in a number of ways, some involving potential criminality and some not. Either way, it is necessary for professionals to consider the most appropriate support and intervention. The College of Policing makes it clear that police officers should be equipped with the necessary skills and training to identify when a person is vulnerable (HM Government, 2012). According to the Vulnerability Assessment Framework, all forces should have a vulnerability definition. This does not mean that the police need to be able to diagnose disabilities or illnesses, but they do need to identify when intervention from partner agencies, such as health professionals, might be necessary (HM Government, 2012). In this instance, it was not necessary to use our power to section the subject under the Mental Health Act, however if we had then this decision would have needed to have been proportionate, lawful and consistent with guidance being produced jointly by the College of Policing and Royal College of Psychiatrists (Welsh Government, 2016). This guidance helps to ensure that the police only use these powers when it is the most appropriate way to ensure the person’s safety and that of others. As with other sensitive powers, such as stop and search, powers under the Mental Health Act should be informed by accessing relevant information and advice from mental health professionals. </w:t>
      </w:r>
    </w:p>
    <w:p w14:paraId="4A501B87" w14:textId="77777777" w:rsidR="00F45F3C" w:rsidRDefault="00F45F3C" w:rsidP="00F45F3C">
      <w:pPr>
        <w:ind w:right="237"/>
        <w:jc w:val="both"/>
        <w:rPr>
          <w:rFonts w:asciiTheme="minorHAnsi" w:hAnsiTheme="minorHAnsi" w:cstheme="minorHAnsi"/>
          <w:sz w:val="22"/>
          <w:szCs w:val="22"/>
        </w:rPr>
      </w:pPr>
    </w:p>
    <w:p w14:paraId="7E3CE261" w14:textId="77777777" w:rsidR="00F45F3C" w:rsidRPr="002E1E64" w:rsidRDefault="00F45F3C" w:rsidP="00F45F3C">
      <w:pPr>
        <w:ind w:right="237"/>
        <w:jc w:val="right"/>
        <w:rPr>
          <w:rFonts w:asciiTheme="minorHAnsi" w:hAnsiTheme="minorHAnsi" w:cstheme="minorHAnsi"/>
          <w:sz w:val="22"/>
          <w:szCs w:val="22"/>
        </w:rPr>
      </w:pPr>
      <w:r>
        <w:rPr>
          <w:rFonts w:asciiTheme="minorHAnsi" w:hAnsiTheme="minorHAnsi" w:cstheme="minorHAnsi"/>
          <w:sz w:val="22"/>
          <w:szCs w:val="22"/>
        </w:rPr>
        <w:t>[</w:t>
      </w:r>
      <w:r w:rsidRPr="002C6974">
        <w:rPr>
          <w:rFonts w:asciiTheme="minorHAnsi" w:hAnsiTheme="minorHAnsi" w:cstheme="minorHAnsi"/>
          <w:b/>
          <w:bCs/>
          <w:sz w:val="22"/>
          <w:szCs w:val="22"/>
        </w:rPr>
        <w:t>Word Count:</w:t>
      </w:r>
      <w:r>
        <w:rPr>
          <w:rFonts w:asciiTheme="minorHAnsi" w:hAnsiTheme="minorHAnsi" w:cstheme="minorHAnsi"/>
          <w:sz w:val="22"/>
          <w:szCs w:val="22"/>
        </w:rPr>
        <w:t xml:space="preserve"> 1617]</w:t>
      </w:r>
    </w:p>
    <w:p w14:paraId="00C5A95D" w14:textId="77777777" w:rsidR="00F45F3C" w:rsidRPr="002E1E64" w:rsidRDefault="00F45F3C" w:rsidP="00F45F3C">
      <w:pPr>
        <w:ind w:right="237"/>
        <w:jc w:val="both"/>
        <w:rPr>
          <w:rFonts w:asciiTheme="minorHAnsi" w:hAnsiTheme="minorHAnsi" w:cstheme="minorHAnsi"/>
          <w:sz w:val="22"/>
          <w:szCs w:val="22"/>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21C3B470" w:rsidR="00711A70" w:rsidRDefault="00711A70" w:rsidP="00340E9A">
      <w:pPr>
        <w:ind w:right="237"/>
        <w:jc w:val="both"/>
        <w:rPr>
          <w:b/>
          <w:sz w:val="24"/>
          <w:szCs w:val="24"/>
        </w:rPr>
      </w:pPr>
      <w:r w:rsidRPr="00450C83">
        <w:rPr>
          <w:b/>
          <w:sz w:val="24"/>
          <w:szCs w:val="24"/>
        </w:rPr>
        <w:t>ANSWER:</w:t>
      </w:r>
    </w:p>
    <w:p w14:paraId="6BEE0387" w14:textId="77777777" w:rsidR="003D0FDF" w:rsidRPr="00450C83" w:rsidRDefault="003D0FDF" w:rsidP="00340E9A">
      <w:pPr>
        <w:ind w:right="237"/>
        <w:jc w:val="both"/>
        <w:rPr>
          <w:b/>
          <w:sz w:val="24"/>
          <w:szCs w:val="24"/>
        </w:rPr>
      </w:pPr>
    </w:p>
    <w:p w14:paraId="2FFDC3B4" w14:textId="77777777" w:rsidR="00F45F3C" w:rsidRPr="006941EB" w:rsidRDefault="00F45F3C" w:rsidP="00F45F3C">
      <w:pPr>
        <w:ind w:right="-46"/>
        <w:jc w:val="both"/>
        <w:rPr>
          <w:rFonts w:asciiTheme="minorHAnsi" w:hAnsiTheme="minorHAnsi" w:cstheme="minorHAnsi"/>
          <w:bCs/>
          <w:color w:val="auto"/>
          <w:sz w:val="22"/>
          <w:szCs w:val="22"/>
        </w:rPr>
      </w:pPr>
      <w:r w:rsidRPr="006941EB">
        <w:rPr>
          <w:rFonts w:asciiTheme="minorHAnsi" w:hAnsiTheme="minorHAnsi" w:cstheme="minorHAnsi"/>
          <w:bCs/>
          <w:color w:val="auto"/>
          <w:sz w:val="22"/>
          <w:szCs w:val="22"/>
        </w:rPr>
        <w:t>On commencing my shift, I was asked to pick up a handover of a suspect from custody and conduct an interview with them after their arrest on the previous shift. On looking through the occurrence and the arresting officer’s statements, I had a good understanding of what had happened and the alleged offences. The arresting officer had received a tip off about a male delivery driver using a false number plate on up to four different cars whilst carrying out deliveries. The plate was a foreign plate that was being used on UK registered vehicles. There had also been an allegation that the subject had used false documents to gain employment with the delivery company. The subject had been arrested for fraud, driving not in accordance with a licence and driving with no insurance. The subject was not known to the police previously and was a foreign national. A Section 18 PACE search had been authorised by the duty Inspector following his arrest and numerous items had been seized from the subject’s home address relating to the offences, including ID documents for the subject and two sets of the foreign plates used on UK vehicles, as well as sale receipts for vehicles matching the vehicles used by the subject. When going through the occurrence I was looking out for cues as to what I should be asking the suspect about and the points to prove the offences that he had been arrested for.</w:t>
      </w:r>
    </w:p>
    <w:p w14:paraId="354991CE" w14:textId="77777777" w:rsidR="00F45F3C" w:rsidRPr="006941EB" w:rsidRDefault="00F45F3C" w:rsidP="00F45F3C">
      <w:pPr>
        <w:ind w:right="237"/>
        <w:jc w:val="both"/>
        <w:rPr>
          <w:rFonts w:asciiTheme="minorHAnsi" w:hAnsiTheme="minorHAnsi" w:cstheme="minorHAnsi"/>
          <w:bCs/>
          <w:color w:val="auto"/>
          <w:sz w:val="22"/>
          <w:szCs w:val="22"/>
        </w:rPr>
      </w:pPr>
    </w:p>
    <w:p w14:paraId="626B5544" w14:textId="77777777" w:rsidR="00F45F3C" w:rsidRPr="006941EB" w:rsidRDefault="00F45F3C" w:rsidP="00F45F3C">
      <w:pPr>
        <w:jc w:val="both"/>
        <w:rPr>
          <w:rFonts w:asciiTheme="minorHAnsi" w:hAnsiTheme="minorHAnsi" w:cstheme="minorHAnsi"/>
          <w:color w:val="auto"/>
          <w:sz w:val="22"/>
          <w:szCs w:val="22"/>
        </w:rPr>
      </w:pPr>
      <w:r w:rsidRPr="006941EB">
        <w:rPr>
          <w:rFonts w:asciiTheme="minorHAnsi" w:hAnsiTheme="minorHAnsi" w:cstheme="minorHAnsi"/>
          <w:color w:val="auto"/>
          <w:sz w:val="22"/>
          <w:szCs w:val="22"/>
        </w:rPr>
        <w:t xml:space="preserve">In 1984, Britain introduced the Police and Criminal Evidence Act of 1984 (PACE) (HM Government, 1984) and the Codes of Practice for police officers (Department of Justice, 1989), which eventually resulted in a set of national guidelines on interviewing both witnesses and suspects, composed of five distinct parts (corresponding to the acronym PEACE) (Forensic Interview Solutions, 2020). The PEACE model is an investigative interviewing method and represents a non-accusatory interview designed to develop sufficient investigative information to determine the suspect’s possible involvement in the </w:t>
      </w:r>
      <w:r w:rsidRPr="006941EB">
        <w:rPr>
          <w:rFonts w:asciiTheme="minorHAnsi" w:hAnsiTheme="minorHAnsi" w:cstheme="minorHAnsi"/>
          <w:color w:val="auto"/>
          <w:sz w:val="22"/>
          <w:szCs w:val="22"/>
        </w:rPr>
        <w:lastRenderedPageBreak/>
        <w:t>criminal behaviour under investigation (Forensic Interview Solutions, 2020).</w:t>
      </w:r>
      <w:r w:rsidRPr="006941EB">
        <w:rPr>
          <w:color w:val="auto"/>
          <w:sz w:val="22"/>
          <w:szCs w:val="22"/>
        </w:rPr>
        <w:t xml:space="preserve"> </w:t>
      </w:r>
      <w:r w:rsidRPr="006941EB">
        <w:rPr>
          <w:rFonts w:asciiTheme="minorHAnsi" w:hAnsiTheme="minorHAnsi" w:cstheme="minorHAnsi"/>
          <w:color w:val="auto"/>
          <w:sz w:val="22"/>
          <w:szCs w:val="22"/>
        </w:rPr>
        <w:t>Capturing information during an investigative interview is crucial and must be done correctly to make the most of the opportunity. I have detailed each stage of the model below and described how I implemented this in the interview described above:</w:t>
      </w:r>
    </w:p>
    <w:p w14:paraId="4AB2EBD7" w14:textId="77777777" w:rsidR="00F45F3C" w:rsidRPr="006941EB" w:rsidRDefault="00F45F3C" w:rsidP="00F45F3C">
      <w:pPr>
        <w:jc w:val="both"/>
        <w:rPr>
          <w:rFonts w:asciiTheme="minorHAnsi" w:hAnsiTheme="minorHAnsi" w:cstheme="minorHAnsi"/>
          <w:color w:val="auto"/>
          <w:sz w:val="22"/>
          <w:szCs w:val="22"/>
        </w:rPr>
      </w:pPr>
    </w:p>
    <w:p w14:paraId="4D0E84A6" w14:textId="77777777" w:rsidR="00F45F3C" w:rsidRPr="006941EB" w:rsidRDefault="00F45F3C" w:rsidP="00F45F3C">
      <w:pPr>
        <w:pStyle w:val="ListParagraph"/>
        <w:numPr>
          <w:ilvl w:val="0"/>
          <w:numId w:val="5"/>
        </w:numPr>
        <w:jc w:val="both"/>
        <w:rPr>
          <w:rFonts w:asciiTheme="minorHAnsi" w:hAnsiTheme="minorHAnsi" w:cstheme="minorHAnsi"/>
          <w:color w:val="auto"/>
          <w:sz w:val="22"/>
          <w:szCs w:val="22"/>
        </w:rPr>
      </w:pPr>
      <w:r w:rsidRPr="006941EB">
        <w:rPr>
          <w:rFonts w:asciiTheme="minorHAnsi" w:hAnsiTheme="minorHAnsi" w:cstheme="minorHAnsi"/>
          <w:color w:val="auto"/>
          <w:sz w:val="22"/>
          <w:szCs w:val="22"/>
        </w:rPr>
        <w:t>The first ‘P’ phase represents planning and preparation. This includes reviewing the case and preparing an interview plan, then setting up the environment for the interview, arranging to record it where appropriate (remembering for the recording that the date, time and parties present need to be defined), and extends to the start of the interview and the formalities of introducing the parties and starting to build rapport (College of Policing, 2013). Building rapport is about trying to create relationships that promote free flowing communications. In accordance with the first ‘P’ phase, when planning and preparing for the interview described above, I made sure that interview topics and objectives were established. I made a written plan to assist during the process, and I identified the important topics and potential questions prior to commencing the interview. In addition, I made an evaluation of the subject with regards to his profile so that contingencies could be made for potential reactions or needs. I was aware that thought needed to go into the practical arrangements for the interview and the most suitable location for it to take place. The physical setting can have an effect on the establishment of the relationship between those involved and, as the interviewer, I needed to consider the impact the location could have on myself and the subject, in particular the affect the formality of interview rooms can have on some interviewees (College of Policing, 2013). There are limited options when choosing an interview location, but the following should be considered; 1) the safety and comfort of the location, 2) the privacy of the location chosen, 3) the ease of access and the distance to the location, 4) the safety of the interviewee when arriving and leaving the location and 5) the timing of the interview, along with other individuals who may be in the interview location (other witnesses, suspects, children and others who could influence or intimidate the interviewee) (College of Policing, 2013). Being methodical about the process helped both me, as the interviewer, and the subject, and planning, preparing, and ensuring that the interview plan was followed, and that answers were linked was all part of being methodical (College of Policing, 2013).</w:t>
      </w:r>
    </w:p>
    <w:p w14:paraId="4103C393" w14:textId="77777777" w:rsidR="00F45F3C" w:rsidRPr="006941EB" w:rsidRDefault="00F45F3C" w:rsidP="00F45F3C">
      <w:pPr>
        <w:pStyle w:val="ListParagraph"/>
        <w:jc w:val="both"/>
        <w:rPr>
          <w:rFonts w:asciiTheme="minorHAnsi" w:hAnsiTheme="minorHAnsi" w:cstheme="minorHAnsi"/>
          <w:color w:val="auto"/>
          <w:sz w:val="22"/>
          <w:szCs w:val="22"/>
        </w:rPr>
      </w:pPr>
    </w:p>
    <w:p w14:paraId="4872AE20" w14:textId="77777777" w:rsidR="00F45F3C" w:rsidRPr="006941EB" w:rsidRDefault="00F45F3C" w:rsidP="00F45F3C">
      <w:pPr>
        <w:pStyle w:val="ListParagraph"/>
        <w:numPr>
          <w:ilvl w:val="0"/>
          <w:numId w:val="5"/>
        </w:numPr>
        <w:jc w:val="both"/>
        <w:rPr>
          <w:rFonts w:asciiTheme="minorHAnsi" w:hAnsiTheme="minorHAnsi" w:cstheme="minorHAnsi"/>
          <w:color w:val="auto"/>
          <w:sz w:val="22"/>
          <w:szCs w:val="22"/>
        </w:rPr>
      </w:pPr>
      <w:r w:rsidRPr="006941EB">
        <w:rPr>
          <w:rFonts w:asciiTheme="minorHAnsi" w:hAnsiTheme="minorHAnsi" w:cstheme="minorHAnsi"/>
          <w:color w:val="auto"/>
          <w:sz w:val="22"/>
          <w:szCs w:val="22"/>
        </w:rPr>
        <w:t>The second ‘E’ phase represents engaging and explaining the aims to set out the reasons/objectives for the interview and the routines/expectations that provide adequate context to the intent and process of the interview (College of Policing, 2013). These routines included explaining the management of simple body language like a nod or shake of a head and is done for recording purposes. These movements were acknowledged and explained by myself for the purpose of clarifying a response. The process was also explained so that myself and the other officer present could make notes during the interview. Depending on the type of interview and the severity of the case, certain legal rights may need to be conveyed, such as in criminal investigations where legal counsel by the interviewee may be sort and the rights for the interviewee to remain silent and what answers you must respond to under law to police investigators (e.g., your name and address, date and place of your birth etc) (College of Policing, 2013). To safeguard the process, the interviewee needs to be made aware of their rights so the interview conversation can be used as evidence in a court of law (College of Policing, 2013). During the process of the interview that I conducted the subject was entitled to a solicitor being present due to the allegations being made against him. Normally this would have been in person but, due to COVID-19, this was provided by the duty solicitor via video link.</w:t>
      </w:r>
    </w:p>
    <w:p w14:paraId="728EE5A7" w14:textId="77777777" w:rsidR="00F45F3C" w:rsidRPr="006941EB" w:rsidRDefault="00F45F3C" w:rsidP="00F45F3C">
      <w:pPr>
        <w:pStyle w:val="ListParagraph"/>
        <w:jc w:val="both"/>
        <w:rPr>
          <w:rFonts w:asciiTheme="minorHAnsi" w:hAnsiTheme="minorHAnsi" w:cstheme="minorHAnsi"/>
          <w:color w:val="auto"/>
          <w:sz w:val="22"/>
          <w:szCs w:val="22"/>
        </w:rPr>
      </w:pPr>
    </w:p>
    <w:p w14:paraId="6F0D2450" w14:textId="77777777" w:rsidR="00F45F3C" w:rsidRPr="006941EB" w:rsidRDefault="00F45F3C" w:rsidP="00F45F3C">
      <w:pPr>
        <w:pStyle w:val="ListParagraph"/>
        <w:numPr>
          <w:ilvl w:val="0"/>
          <w:numId w:val="5"/>
        </w:numPr>
        <w:jc w:val="both"/>
        <w:rPr>
          <w:rFonts w:asciiTheme="minorHAnsi" w:hAnsiTheme="minorHAnsi" w:cstheme="minorHAnsi"/>
          <w:color w:val="auto"/>
          <w:sz w:val="22"/>
          <w:szCs w:val="22"/>
        </w:rPr>
      </w:pPr>
      <w:r w:rsidRPr="006941EB">
        <w:rPr>
          <w:rFonts w:asciiTheme="minorHAnsi" w:hAnsiTheme="minorHAnsi" w:cstheme="minorHAnsi"/>
          <w:color w:val="auto"/>
          <w:sz w:val="22"/>
          <w:szCs w:val="22"/>
        </w:rPr>
        <w:t xml:space="preserve">The third ‘A’ phase represents account, clarify and challenge, where the interviewing really starts to focus on the matter (College of Policing, 2013). I began with an opening statement </w:t>
      </w:r>
      <w:r w:rsidRPr="006941EB">
        <w:rPr>
          <w:rFonts w:asciiTheme="minorHAnsi" w:hAnsiTheme="minorHAnsi" w:cstheme="minorHAnsi"/>
          <w:color w:val="auto"/>
          <w:sz w:val="22"/>
          <w:szCs w:val="22"/>
        </w:rPr>
        <w:lastRenderedPageBreak/>
        <w:t>of the case detail and initiated the topic, developing on the account of events. I began the cycle by selecting a topic for probing, then engaged in probing the topic, sought clarification and then challenged the subject’s responses. I repeated this process for each of the previously planned topics. I attempted to be strategic with the topics I presented in order to build a case by getting the subject to agree on certain facts as the account was expanded and this was assisted by the other officer present.</w:t>
      </w:r>
      <w:r w:rsidRPr="006941EB">
        <w:rPr>
          <w:color w:val="auto"/>
          <w:sz w:val="22"/>
          <w:szCs w:val="22"/>
        </w:rPr>
        <w:t xml:space="preserve"> </w:t>
      </w:r>
      <w:r w:rsidRPr="006941EB">
        <w:rPr>
          <w:rFonts w:asciiTheme="minorHAnsi" w:hAnsiTheme="minorHAnsi" w:cstheme="minorHAnsi"/>
          <w:color w:val="auto"/>
          <w:sz w:val="22"/>
          <w:szCs w:val="22"/>
        </w:rPr>
        <w:t>I looked for inconsistencies in the subject’s story and attempted to build the evidence as a way of validating the findings as probable truth.</w:t>
      </w:r>
    </w:p>
    <w:p w14:paraId="6636F996" w14:textId="77777777" w:rsidR="00F45F3C" w:rsidRPr="006941EB" w:rsidRDefault="00F45F3C" w:rsidP="00F45F3C">
      <w:pPr>
        <w:pStyle w:val="ListParagraph"/>
        <w:rPr>
          <w:rFonts w:asciiTheme="minorHAnsi" w:hAnsiTheme="minorHAnsi" w:cstheme="minorHAnsi"/>
          <w:color w:val="auto"/>
          <w:sz w:val="22"/>
          <w:szCs w:val="22"/>
        </w:rPr>
      </w:pPr>
    </w:p>
    <w:p w14:paraId="6611D851" w14:textId="77777777" w:rsidR="00F45F3C" w:rsidRPr="006941EB" w:rsidRDefault="00F45F3C" w:rsidP="00F45F3C">
      <w:pPr>
        <w:pStyle w:val="ListParagraph"/>
        <w:numPr>
          <w:ilvl w:val="0"/>
          <w:numId w:val="5"/>
        </w:numPr>
        <w:jc w:val="both"/>
        <w:rPr>
          <w:rFonts w:asciiTheme="minorHAnsi" w:hAnsiTheme="minorHAnsi" w:cstheme="minorHAnsi"/>
          <w:color w:val="auto"/>
          <w:sz w:val="22"/>
          <w:szCs w:val="22"/>
        </w:rPr>
      </w:pPr>
      <w:r w:rsidRPr="006941EB">
        <w:rPr>
          <w:rFonts w:asciiTheme="minorHAnsi" w:hAnsiTheme="minorHAnsi" w:cstheme="minorHAnsi"/>
          <w:color w:val="auto"/>
          <w:sz w:val="22"/>
          <w:szCs w:val="22"/>
        </w:rPr>
        <w:t xml:space="preserve">The fourth ‘C’ phase of PEACE represents the closure of the interview (College of Policing, 2013) and at this stage I needed to ensure that I had any statement, document or recording secured. The subject statement was signed to give the statement legal strength and, as the lead investigator, I ascertained that the other officer present had asked all their questions. I then finalised the statement and announced the time and date verbally to confirm the end of the recording. </w:t>
      </w:r>
    </w:p>
    <w:p w14:paraId="55A479AF" w14:textId="77777777" w:rsidR="00F45F3C" w:rsidRPr="006941EB" w:rsidRDefault="00F45F3C" w:rsidP="00F45F3C">
      <w:pPr>
        <w:jc w:val="both"/>
        <w:rPr>
          <w:rFonts w:asciiTheme="minorHAnsi" w:hAnsiTheme="minorHAnsi" w:cstheme="minorHAnsi"/>
          <w:color w:val="auto"/>
          <w:sz w:val="22"/>
          <w:szCs w:val="22"/>
        </w:rPr>
      </w:pPr>
    </w:p>
    <w:p w14:paraId="21DD1BBF" w14:textId="77777777" w:rsidR="00F45F3C" w:rsidRPr="006941EB" w:rsidRDefault="00F45F3C" w:rsidP="00F45F3C">
      <w:pPr>
        <w:pStyle w:val="ListParagraph"/>
        <w:numPr>
          <w:ilvl w:val="0"/>
          <w:numId w:val="5"/>
        </w:numPr>
        <w:jc w:val="both"/>
        <w:rPr>
          <w:rFonts w:asciiTheme="minorHAnsi" w:hAnsiTheme="minorHAnsi" w:cstheme="minorHAnsi"/>
          <w:color w:val="auto"/>
          <w:sz w:val="22"/>
          <w:szCs w:val="22"/>
        </w:rPr>
      </w:pPr>
      <w:r w:rsidRPr="006941EB">
        <w:rPr>
          <w:rFonts w:asciiTheme="minorHAnsi" w:hAnsiTheme="minorHAnsi" w:cstheme="minorHAnsi"/>
          <w:color w:val="auto"/>
          <w:sz w:val="22"/>
          <w:szCs w:val="22"/>
        </w:rPr>
        <w:t>The fifth and final ‘E’ phase of PEACE represents the evaluation</w:t>
      </w:r>
      <w:r w:rsidRPr="006941EB">
        <w:rPr>
          <w:rStyle w:val="Strong"/>
          <w:rFonts w:asciiTheme="minorHAnsi" w:hAnsiTheme="minorHAnsi" w:cstheme="minorHAnsi"/>
          <w:color w:val="auto"/>
          <w:sz w:val="22"/>
          <w:szCs w:val="22"/>
          <w:bdr w:val="none" w:sz="0" w:space="0" w:color="auto" w:frame="1"/>
        </w:rPr>
        <w:t> </w:t>
      </w:r>
      <w:r w:rsidRPr="006941EB">
        <w:rPr>
          <w:rFonts w:asciiTheme="minorHAnsi" w:hAnsiTheme="minorHAnsi" w:cstheme="minorHAnsi"/>
          <w:color w:val="auto"/>
          <w:sz w:val="22"/>
          <w:szCs w:val="22"/>
        </w:rPr>
        <w:t xml:space="preserve">of the interview’s process and outcomes (College of Policing, 2013). At this stage we evaluated the outcomes of the interview, including the information obtained, the parties involved and the interview process as a whole. This is where a decision is made for any further action required and to store and distribute any documents or evidence. In this instance we concluded that more information needed to be acquired, so his stay in custody was extended in order to further investigate some of the outcomes from the interview. This was authorised due to the risk of his disappearance while we completed these investigations. Once these further investigations were complete, a second interview was conducted by the Criminal Investigation Department. The subject was charged with the offences that I originally interviewed for and further charged with using false documents to get into the country and, as a result, was remanded. </w:t>
      </w:r>
    </w:p>
    <w:p w14:paraId="3A7E3AD0" w14:textId="77777777" w:rsidR="00F45F3C" w:rsidRPr="006941EB" w:rsidRDefault="00F45F3C" w:rsidP="00F45F3C">
      <w:pPr>
        <w:ind w:left="360"/>
        <w:jc w:val="both"/>
        <w:rPr>
          <w:rFonts w:asciiTheme="minorHAnsi" w:hAnsiTheme="minorHAnsi" w:cstheme="minorHAnsi"/>
          <w:color w:val="auto"/>
          <w:sz w:val="22"/>
          <w:szCs w:val="22"/>
        </w:rPr>
      </w:pPr>
    </w:p>
    <w:p w14:paraId="17A321E5" w14:textId="77777777" w:rsidR="00F45F3C" w:rsidRPr="006941EB" w:rsidRDefault="00F45F3C" w:rsidP="00F45F3C">
      <w:pPr>
        <w:jc w:val="both"/>
        <w:rPr>
          <w:rFonts w:asciiTheme="minorHAnsi" w:hAnsiTheme="minorHAnsi" w:cstheme="minorHAnsi"/>
          <w:color w:val="auto"/>
          <w:sz w:val="22"/>
          <w:szCs w:val="22"/>
        </w:rPr>
      </w:pPr>
      <w:r w:rsidRPr="006941EB">
        <w:rPr>
          <w:rFonts w:asciiTheme="minorHAnsi" w:hAnsiTheme="minorHAnsi" w:cstheme="minorHAnsi"/>
          <w:color w:val="auto"/>
          <w:sz w:val="22"/>
          <w:szCs w:val="22"/>
        </w:rPr>
        <w:t>After I had conducted the interview, I had the opportunity to reflect on my interview techniques through a discussion with the other officer present. This discussion was very beneficial and highlighted areas for improvement, specifically the planning stage of the process and the posing of more open questions in the early stages of the interview. I was informed that planning will be easier with experience and that, as I conduct more interviews, I will come to know what to expect in different scenarios. With regards to questioning, I must use various types of questions to get the fine grain detail that we need. I should start with open questions to invite a narrative response from the interviewee that may provide useful topics for further questioning (i.e., tell me, explain to me, describe for me (TED questions)) and then use probing open questions to elicit a response and obtain a full account (i.e., what, why, when, where, who and how (5WH questions)) (</w:t>
      </w:r>
      <w:proofErr w:type="spellStart"/>
      <w:r w:rsidRPr="006941EB">
        <w:rPr>
          <w:rFonts w:asciiTheme="minorHAnsi" w:hAnsiTheme="minorHAnsi" w:cstheme="minorHAnsi"/>
          <w:color w:val="auto"/>
          <w:sz w:val="22"/>
          <w:szCs w:val="22"/>
        </w:rPr>
        <w:t>Oxburgh</w:t>
      </w:r>
      <w:proofErr w:type="spellEnd"/>
      <w:r w:rsidRPr="006941EB">
        <w:rPr>
          <w:rFonts w:asciiTheme="minorHAnsi" w:hAnsiTheme="minorHAnsi" w:cstheme="minorHAnsi"/>
          <w:color w:val="auto"/>
          <w:sz w:val="22"/>
          <w:szCs w:val="22"/>
        </w:rPr>
        <w:t xml:space="preserve"> et al., 2010). Using open questions early in the interview encourages the interviewee to open up and to obtain a free recall or narrative account (Connor Desai and Reimers, 2019). For future interviews, I must remember that the PEACE model is simply a framework, the success of an interview comes down to the structuring and execution of the questioning, responding to the interview’s statement to probe in the right areas, and taking into consideration all aspects of an interviewee’s response including their eye movements, facial expressions, the tone of their voice, mental state and body language. I will learn from this experience and use the constructive feedback to improve and build on my future interviewing technique.</w:t>
      </w:r>
    </w:p>
    <w:p w14:paraId="685809FB" w14:textId="77777777" w:rsidR="00F45F3C" w:rsidRDefault="00F45F3C" w:rsidP="00F45F3C">
      <w:pPr>
        <w:rPr>
          <w:rFonts w:asciiTheme="minorHAnsi" w:hAnsiTheme="minorHAnsi" w:cstheme="minorHAnsi"/>
        </w:rPr>
      </w:pPr>
    </w:p>
    <w:p w14:paraId="1483E071" w14:textId="77777777" w:rsidR="00F45F3C" w:rsidRPr="00C454F2" w:rsidRDefault="00F45F3C" w:rsidP="00F45F3C">
      <w:pPr>
        <w:jc w:val="right"/>
        <w:rPr>
          <w:rFonts w:asciiTheme="minorHAnsi" w:hAnsiTheme="minorHAnsi" w:cstheme="minorHAnsi"/>
          <w:sz w:val="22"/>
          <w:szCs w:val="22"/>
        </w:rPr>
      </w:pPr>
      <w:r w:rsidRPr="00C454F2">
        <w:rPr>
          <w:rFonts w:asciiTheme="minorHAnsi" w:hAnsiTheme="minorHAnsi" w:cstheme="minorHAnsi"/>
          <w:b/>
          <w:bCs/>
          <w:sz w:val="22"/>
          <w:szCs w:val="22"/>
        </w:rPr>
        <w:t>[Word Count:</w:t>
      </w:r>
      <w:r>
        <w:rPr>
          <w:rFonts w:asciiTheme="minorHAnsi" w:hAnsiTheme="minorHAnsi" w:cstheme="minorHAnsi"/>
          <w:sz w:val="22"/>
          <w:szCs w:val="22"/>
        </w:rPr>
        <w:t xml:space="preserve"> 1642</w:t>
      </w:r>
      <w:r w:rsidRPr="00C454F2">
        <w:rPr>
          <w:rFonts w:asciiTheme="minorHAnsi" w:hAnsiTheme="minorHAnsi" w:cstheme="minorHAnsi"/>
          <w:b/>
          <w:bCs/>
          <w:sz w:val="22"/>
          <w:szCs w:val="22"/>
        </w:rPr>
        <w:t>]</w:t>
      </w:r>
    </w:p>
    <w:p w14:paraId="22460500" w14:textId="77777777" w:rsidR="00F45F3C" w:rsidRDefault="00F45F3C" w:rsidP="00F45F3C">
      <w:pPr>
        <w:rPr>
          <w:rFonts w:asciiTheme="minorHAnsi" w:hAnsiTheme="minorHAnsi" w:cstheme="minorHAnsi"/>
          <w:b/>
          <w:bCs/>
        </w:rPr>
      </w:pPr>
    </w:p>
    <w:p w14:paraId="733AA272" w14:textId="77777777" w:rsidR="00F45F3C" w:rsidRDefault="00F45F3C" w:rsidP="00F45F3C">
      <w:pPr>
        <w:rPr>
          <w:rFonts w:asciiTheme="minorHAnsi" w:hAnsiTheme="minorHAnsi" w:cstheme="minorHAnsi"/>
          <w:b/>
          <w:bCs/>
        </w:rPr>
      </w:pPr>
    </w:p>
    <w:p w14:paraId="2B76DA43" w14:textId="77777777" w:rsidR="00F45F3C" w:rsidRDefault="00F45F3C" w:rsidP="00F45F3C">
      <w:pPr>
        <w:rPr>
          <w:rFonts w:asciiTheme="minorHAnsi" w:hAnsiTheme="minorHAnsi" w:cstheme="minorHAnsi"/>
          <w:b/>
          <w:bCs/>
          <w:sz w:val="22"/>
          <w:szCs w:val="22"/>
        </w:rPr>
      </w:pPr>
    </w:p>
    <w:p w14:paraId="09A01715" w14:textId="77777777" w:rsidR="00F45F3C" w:rsidRDefault="00F45F3C" w:rsidP="00F45F3C">
      <w:pPr>
        <w:rPr>
          <w:rFonts w:asciiTheme="minorHAnsi" w:hAnsiTheme="minorHAnsi" w:cstheme="minorHAnsi"/>
          <w:b/>
          <w:bCs/>
          <w:sz w:val="22"/>
          <w:szCs w:val="22"/>
        </w:rPr>
      </w:pPr>
    </w:p>
    <w:p w14:paraId="5DA232D4" w14:textId="77777777" w:rsidR="00F45F3C" w:rsidRDefault="00F45F3C" w:rsidP="00F45F3C">
      <w:pPr>
        <w:rPr>
          <w:rFonts w:asciiTheme="minorHAnsi" w:hAnsiTheme="minorHAnsi" w:cstheme="minorHAnsi"/>
          <w:b/>
          <w:bCs/>
          <w:sz w:val="22"/>
          <w:szCs w:val="22"/>
        </w:rPr>
      </w:pPr>
    </w:p>
    <w:p w14:paraId="3761C074" w14:textId="77777777" w:rsidR="000A05F7" w:rsidRDefault="000A05F7" w:rsidP="000A05F7">
      <w:pPr>
        <w:ind w:right="237"/>
        <w:rPr>
          <w:color w:val="FF0000"/>
        </w:rPr>
      </w:pPr>
    </w:p>
    <w:p w14:paraId="6386D18A" w14:textId="44060E5C" w:rsidR="1717EFC7" w:rsidRPr="000A05F7" w:rsidRDefault="1717EFC7" w:rsidP="000A05F7">
      <w:pPr>
        <w:ind w:left="2160" w:right="237" w:firstLine="720"/>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0A44F54C" w:rsidR="003C458C" w:rsidRDefault="003C458C" w:rsidP="00340E9A">
      <w:pPr>
        <w:ind w:right="237"/>
        <w:jc w:val="both"/>
        <w:rPr>
          <w:b/>
          <w:sz w:val="24"/>
          <w:szCs w:val="24"/>
        </w:rPr>
      </w:pPr>
      <w:r w:rsidRPr="00450C83">
        <w:rPr>
          <w:b/>
          <w:sz w:val="24"/>
          <w:szCs w:val="24"/>
        </w:rPr>
        <w:t>ANSWER:</w:t>
      </w:r>
    </w:p>
    <w:p w14:paraId="128312FE" w14:textId="77777777" w:rsidR="006941EB" w:rsidRPr="00450C83" w:rsidRDefault="006941EB" w:rsidP="00340E9A">
      <w:pPr>
        <w:ind w:right="237"/>
        <w:jc w:val="both"/>
        <w:rPr>
          <w:b/>
          <w:sz w:val="24"/>
          <w:szCs w:val="24"/>
        </w:rPr>
      </w:pPr>
    </w:p>
    <w:p w14:paraId="41EC69EC" w14:textId="77777777" w:rsidR="00EE55E6" w:rsidRPr="00BD4F2E" w:rsidRDefault="00EE55E6" w:rsidP="00EE55E6">
      <w:pPr>
        <w:jc w:val="both"/>
        <w:rPr>
          <w:rFonts w:asciiTheme="minorHAnsi" w:hAnsiTheme="minorHAnsi" w:cstheme="minorHAnsi"/>
          <w:color w:val="auto"/>
          <w:sz w:val="22"/>
          <w:szCs w:val="22"/>
        </w:rPr>
      </w:pPr>
      <w:r w:rsidRPr="00BD4F2E">
        <w:rPr>
          <w:rFonts w:asciiTheme="minorHAnsi" w:hAnsiTheme="minorHAnsi" w:cstheme="minorHAnsi"/>
          <w:color w:val="auto"/>
          <w:sz w:val="22"/>
          <w:szCs w:val="22"/>
        </w:rPr>
        <w:t xml:space="preserve">We were on mobile patrol during a nightshift when we received a call to attend an address where reports of a large party happening in the street had been given. The reporting person had said that this had been going on all day and was making them feel intimidated and unable to leave their property. They also stated that they had small children at their address and were now struggling to get them to bed due to the noise and volume of people just outside the children’s bedrooms. The caller was in distress as she did not feel safe in her own home. The caller stated that there had been previous disagreements between herself and the perpetrators, so she did not feel safe confronting them. Having looked at previous reports for the street I could see that there had been numerous </w:t>
      </w:r>
      <w:r w:rsidRPr="00BD4F2E">
        <w:rPr>
          <w:rFonts w:asciiTheme="minorHAnsi" w:hAnsiTheme="minorHAnsi" w:cstheme="minorHAnsi"/>
          <w:color w:val="auto"/>
          <w:sz w:val="22"/>
          <w:szCs w:val="22"/>
        </w:rPr>
        <w:lastRenderedPageBreak/>
        <w:t>similar occurrences, with one property being identified as the main culprit. There had been issues with large gatherings, as in this reported incident, as well as verbal abuse when walking down the street and being threatened for allegedly reporting a previous incident where officers had attended. On attending the street, we found a large gathering of people drinking and playing very loud music from large speakers outside one of the properties. We estimated that there were about twenty-five people present, all shouting to be heard over the music. From the number of empty bottles and cans scattered around it was evident that this had been going on for some time. There were also several large dogs outside the property who were being aggressive to anybody who passed near the gates. On our arrival, the majority of the group dispersed, leaving six people outside the property. As we approached, we received a torrent of abuse from three of the remaining group. We later learned that two of these were the residents and the third had a history of being aggressive towards police, with multiple arrests for public order offences and breaches of the peace. We did not want to assume that those concerned were being anti-social deliberately, so to remain impartial to those present we explained that what they were currently doing was harassment and causing distress to the residents in the street. The three who had been quiet stated that they had not thought of it like that and did not realise they had been causing such an issue for other people. Once their details had been taken, they made their way to a home address on the other side of the estate. The three who had initially been abusive towards officers continued with their tirade, to the point that all three were arrested for offences against the public order act. They were removed from the scene and transported to custody.</w:t>
      </w:r>
    </w:p>
    <w:p w14:paraId="25A85588" w14:textId="77777777" w:rsidR="00EE55E6" w:rsidRPr="00BD4F2E" w:rsidRDefault="00EE55E6" w:rsidP="00EE55E6">
      <w:pPr>
        <w:jc w:val="both"/>
        <w:rPr>
          <w:rFonts w:asciiTheme="minorHAnsi" w:hAnsiTheme="minorHAnsi" w:cstheme="minorHAnsi"/>
          <w:color w:val="auto"/>
          <w:sz w:val="22"/>
          <w:szCs w:val="22"/>
        </w:rPr>
      </w:pPr>
    </w:p>
    <w:p w14:paraId="45E6113B" w14:textId="77777777" w:rsidR="00EE55E6" w:rsidRPr="00BD4F2E" w:rsidRDefault="00EE55E6" w:rsidP="00EE55E6">
      <w:pPr>
        <w:jc w:val="both"/>
        <w:rPr>
          <w:rFonts w:asciiTheme="minorHAnsi" w:hAnsiTheme="minorHAnsi" w:cstheme="minorHAnsi"/>
          <w:color w:val="auto"/>
          <w:sz w:val="22"/>
          <w:szCs w:val="22"/>
        </w:rPr>
      </w:pPr>
      <w:r w:rsidRPr="00BD4F2E">
        <w:rPr>
          <w:rFonts w:asciiTheme="minorHAnsi" w:hAnsiTheme="minorHAnsi" w:cstheme="minorHAnsi"/>
          <w:color w:val="auto"/>
          <w:sz w:val="22"/>
          <w:szCs w:val="22"/>
        </w:rPr>
        <w:t>There are various things that can be done in order to reduce the harassment and distress that the residents of this street had been feeling, including ASBOs, parenting orders, community resolutions, acceptable behaviour agreements, a civil injunction, support and counselling. Anti-social behaviour means a wide range of unacceptable activity and includes things like vandalism, graffiti and flyposting, nuisance neighbours and intimidating groups taking over public spaces (Metropolitan Police, 2020). Anti-social behaviour can ruin lives and create an environment where more serious crime can take hold. The local authority, police and social landlords all have strong and effective powers to deal with anti-social behaviour problems. Every neighbourhood is different and so are the problems faced by the people who live there. Neighbourhood Policing Teams work in local areas directly with residents to find out what those crime and anti-social behaviour problems are and help get them resolved (Innes and Weston, 2010). The legal tests that govern the use of the anti-social behaviour powers are focused on the impact that the behaviour is having, or is likely to have, on victims and communities. When considering the response to a complaint of anti-social behaviour, such as the described incident, we, as the police, had to consider the effect that the behaviour in question was having on the lives of those subject to it. We also had to consider the debilitating impact that persistent or repeated anti-social behaviour can have on its victims, and the cumulative impact if that behaviour persists over a period of time. The definition of anti-social behaviour in this context is behaviour causing harassment, alarm or distress to a member or members of the public (Harradine et al., 2004). When deciding whether the threshold is met, we must consider the cumulative effect of the incidents and consider the harm or potential harm caused to the victim, rather than rigidly deciding whether each incident reached the level of harassment, alarm or distress (HM Government, 2014a). Harm is defined in section 20 of the legislation as “serious ill-treatment or abuse, whether physical or not”, which means that it could include emotional or psychological harm, such as harassment or racial abuse (HM Government, 2014a). Similarly, although housing-related anti-social behaviour has a lower test of nuisance or annoyance for an injunction under Part 1 of the 2014 Act, in such instances because of the victim’s inability to separate themselves from the anti-social behaviour, the harm experienced may well result in harassment, alarm or distress for the purposes of the ASB Case Review/Community Trigger (HM Government, 2020).</w:t>
      </w:r>
    </w:p>
    <w:p w14:paraId="262FE192" w14:textId="77777777" w:rsidR="00EE55E6" w:rsidRPr="00BD4F2E" w:rsidRDefault="00EE55E6" w:rsidP="00EE55E6">
      <w:pPr>
        <w:jc w:val="both"/>
        <w:rPr>
          <w:rFonts w:asciiTheme="minorHAnsi" w:hAnsiTheme="minorHAnsi" w:cstheme="minorHAnsi"/>
          <w:color w:val="auto"/>
          <w:sz w:val="22"/>
          <w:szCs w:val="22"/>
        </w:rPr>
      </w:pPr>
    </w:p>
    <w:p w14:paraId="15ED6F6A" w14:textId="77777777" w:rsidR="00EE55E6" w:rsidRPr="00BD4F2E" w:rsidRDefault="00EE55E6" w:rsidP="00EE55E6">
      <w:pPr>
        <w:jc w:val="both"/>
        <w:rPr>
          <w:rFonts w:asciiTheme="minorHAnsi" w:hAnsiTheme="minorHAnsi" w:cstheme="minorHAnsi"/>
          <w:color w:val="auto"/>
          <w:sz w:val="22"/>
          <w:szCs w:val="22"/>
        </w:rPr>
      </w:pPr>
      <w:r w:rsidRPr="00BD4F2E">
        <w:rPr>
          <w:rFonts w:asciiTheme="minorHAnsi" w:hAnsiTheme="minorHAnsi" w:cstheme="minorHAnsi"/>
          <w:color w:val="auto"/>
          <w:sz w:val="22"/>
          <w:szCs w:val="22"/>
        </w:rPr>
        <w:t xml:space="preserve">One way of resolving less serious offences or instances of anti-social behaviour such as the described incident, are community resolutions. They are used when the perpetrator has been identified and </w:t>
      </w:r>
      <w:r w:rsidRPr="00BD4F2E">
        <w:rPr>
          <w:rFonts w:asciiTheme="minorHAnsi" w:hAnsiTheme="minorHAnsi" w:cstheme="minorHAnsi"/>
          <w:color w:val="auto"/>
          <w:sz w:val="22"/>
          <w:szCs w:val="22"/>
        </w:rPr>
        <w:lastRenderedPageBreak/>
        <w:t xml:space="preserve">admits to the behaviour or offence in question and the police believe that there is sufficient evidence to obtain a civil injunction or other disposal but consider that a community resolution would be a more suitable and proportionate response (Restorative Justice Council, 2014). Community resolutions can be used on the authority of a police officer of appropriate rank. When a community resolution is used, the officer must make a reasonable effort to obtain the victims views on whether the perpetrator should carry out any of the actions in the Community Remedy document. If the officer considers that the action chosen by the victim is appropriate, the perpetrator should be asked to carry out that action. The officer will have ultimate responsibility for ensuring that the action offered is appropriate and proportionate to the nature of the anti-social behaviour or the offence committed (Home Office, 2013). When there is more than one victim, the officer should try to take the views of all victims into consideration. The officer should ensure that the victim understands the purpose of these resolutions as this will help to ensure they have realistic expectations of what is achievable. For example, the resolution may not be legally enforceable if the perpetrator fails to complete the agreed action (Nottinghamshire Police, 2014). However, the victim’s involvement is entirely voluntary, and they must not be made to feel that they should take part in this method if they are not comfortable, they think it may put them at risk, or they do not expect it will be of benefit to them (Nottinghamshire Police, 2014). When using the Community Remedy, the officer should take into account the most appropriate way to involve the victim. If the victim is under 18 or vulnerable, they may need a family member or carer to assist their understanding of the purpose of community resolutions and choose an action from the Community Remedy document (Nottinghamshire Police, 2014). If the victim is not contactable, or it cannot be determined who the victim is, for example, if the offence is graffiti in a public place, the officer may choose an appropriate action for the perpetrator to undertake. Conditional cautions are another option open to officers and are available for all offences except domestic violence and hate crimes, which are generally excluded from the conditional caution scheme (The Crown Prosecution Service, 2019). The powers for dealing with anti-social behaviour (HM Government, 2014a) are intentionally flexible to allow professionals to use them to protect the public from different forms of anti-social behaviour. These powers also strengthen victim and community protection and give fast and effective responses to deal with anti-social behaviour. Applying these powers must be compliant with the Human Rights Act 1998 (HM Government, 1998), the Equality Act 2010 (HM Government, 2010) along with all other relevant legislation and particular attention must be shown to the needs and circumstances of the most vulnerable to guarantee that they are not improperly impacted on. </w:t>
      </w:r>
    </w:p>
    <w:p w14:paraId="50D7F306" w14:textId="77777777" w:rsidR="00EE55E6" w:rsidRPr="00BD4F2E" w:rsidRDefault="00EE55E6" w:rsidP="00EE55E6">
      <w:pPr>
        <w:rPr>
          <w:color w:val="auto"/>
        </w:rPr>
      </w:pPr>
    </w:p>
    <w:p w14:paraId="07930BE5" w14:textId="77777777" w:rsidR="00EE55E6" w:rsidRPr="00BD4F2E" w:rsidRDefault="00EE55E6" w:rsidP="00EE55E6">
      <w:pPr>
        <w:jc w:val="both"/>
        <w:rPr>
          <w:rFonts w:asciiTheme="minorHAnsi" w:hAnsiTheme="minorHAnsi" w:cstheme="minorHAnsi"/>
          <w:color w:val="auto"/>
          <w:sz w:val="22"/>
          <w:szCs w:val="22"/>
        </w:rPr>
      </w:pPr>
      <w:r w:rsidRPr="00BD4F2E">
        <w:rPr>
          <w:rFonts w:asciiTheme="minorHAnsi" w:hAnsiTheme="minorHAnsi" w:cstheme="minorHAnsi"/>
          <w:color w:val="auto"/>
          <w:sz w:val="22"/>
          <w:szCs w:val="22"/>
        </w:rPr>
        <w:t xml:space="preserve">When we received the described complaint of anti-social behaviour, we considered and assessed the risk of harm to the victims, their potential vulnerability and welfare, and this was the starting point of the case-management approach of dealing with the complaint. We identified the effect that the reported anti-social behaviour was having on the victims, particularly as this was a repeating incident and therefore having a cumulative effect on their well-being. A continuous and organised risk assessment will help to identify cases that are causing, or could result in, serious harm to the victim, either as a one-off incident or as part of a targeted and persistent campaign of anti-social behaviour against the victim (Manchester City Council, 2017). Early informal intervention may be all that is necessary to stop anti-social incidents and can establish clear standards of behaviour, reinforcing the message that anti-social behaviour is not tolerated (Farrington and </w:t>
      </w:r>
      <w:proofErr w:type="spellStart"/>
      <w:r w:rsidRPr="00BD4F2E">
        <w:rPr>
          <w:rFonts w:asciiTheme="minorHAnsi" w:hAnsiTheme="minorHAnsi" w:cstheme="minorHAnsi"/>
          <w:color w:val="auto"/>
          <w:sz w:val="22"/>
          <w:szCs w:val="22"/>
        </w:rPr>
        <w:t>Coid</w:t>
      </w:r>
      <w:proofErr w:type="spellEnd"/>
      <w:r w:rsidRPr="00BD4F2E">
        <w:rPr>
          <w:rFonts w:asciiTheme="minorHAnsi" w:hAnsiTheme="minorHAnsi" w:cstheme="minorHAnsi"/>
          <w:color w:val="auto"/>
          <w:sz w:val="22"/>
          <w:szCs w:val="22"/>
        </w:rPr>
        <w:t xml:space="preserve">, 2003). Informal interventions include a verbal or written warning, a community resolution, mediation, acceptable behaviour agreements, parenting contracts, support and counselling (East Staffordshire Borough Council, 2014). Often, awareness of the impact on victims and the threat of more formal enforcement may be enough to change an individual’s behaviour. However, if a victim is at risk of harm, informal intervention may not be sufficient. </w:t>
      </w:r>
    </w:p>
    <w:p w14:paraId="2F3BF415" w14:textId="77777777" w:rsidR="00EE55E6" w:rsidRPr="00BD4F2E" w:rsidRDefault="00EE55E6" w:rsidP="00EE55E6">
      <w:pPr>
        <w:rPr>
          <w:rFonts w:asciiTheme="minorHAnsi" w:hAnsiTheme="minorHAnsi" w:cstheme="minorHAnsi"/>
          <w:color w:val="auto"/>
          <w:sz w:val="22"/>
          <w:szCs w:val="22"/>
        </w:rPr>
      </w:pPr>
    </w:p>
    <w:p w14:paraId="2A0FA3B2" w14:textId="77777777" w:rsidR="00EE55E6" w:rsidRPr="00BD4F2E" w:rsidRDefault="00EE55E6" w:rsidP="00EE55E6">
      <w:pPr>
        <w:jc w:val="both"/>
        <w:rPr>
          <w:rFonts w:asciiTheme="minorHAnsi" w:hAnsiTheme="minorHAnsi" w:cstheme="minorHAnsi"/>
          <w:color w:val="auto"/>
          <w:sz w:val="22"/>
          <w:szCs w:val="22"/>
        </w:rPr>
      </w:pPr>
      <w:r w:rsidRPr="00BD4F2E">
        <w:rPr>
          <w:rFonts w:asciiTheme="minorHAnsi" w:hAnsiTheme="minorHAnsi" w:cstheme="minorHAnsi"/>
          <w:color w:val="auto"/>
          <w:sz w:val="22"/>
          <w:szCs w:val="22"/>
        </w:rPr>
        <w:t xml:space="preserve">A civil injunction under Part 1 of the 2014 Act is a civil power to deal with anti-social individuals (HM Government, 2014b). The injunction offers fast and effective protection for victims and communities and sets a clear standard of behaviour for perpetrators, stopping a person’s behaviour from escalating. </w:t>
      </w:r>
      <w:r w:rsidRPr="00BD4F2E">
        <w:rPr>
          <w:rFonts w:asciiTheme="minorHAnsi" w:hAnsiTheme="minorHAnsi" w:cstheme="minorHAnsi"/>
          <w:color w:val="auto"/>
          <w:sz w:val="22"/>
          <w:szCs w:val="22"/>
        </w:rPr>
        <w:lastRenderedPageBreak/>
        <w:t>A subject (over the age of 18) may be excluded from any premises or an area specified within the terms of the injunction by the court. This can include their home, where the court thinks that the anti-social behaviour includes the use, or threatened use, of violence against other persons, or there is a significant risk of harm (HM Government, 2014b). The court can attach a power of arrest to any prohibition or requirement in the injunction, but they can only do so if the anti-social behaviour in which the subject has engaged consists of or includes the use of violence against other persons, or there is a significant risk of harm to other persons from the subject or the injunction (HM Government, 2014b). If the anti-social behaviour incident described was to occur again and escalated with regards to threatening others in the community or persistently being drunk and aggressive in public, then the Criminal Behaviour Order (CBO) is available on conviction for any criminal offence in any criminal court. The order is intended for tackling the most serious and persistent offenders where their behaviour has brought them before a criminal court (The Crown Prosecution Service, 2020). The potential impact on the victim(s) will be at the heart of the consideration of the terms of the CBO (The Crown Prosecution Service, 2020). Putting a stop to anti-social behaviour is beneficial to the victim and considering how the terms of the CBO will impact on the victim is vital. As an officer, I must take the time to explain these terms to the victim(s) so that they are aware of the court case outcome. If an offender fails to comply, without reasonable excuse, with either requirements or prohibitions in the CBO then this is a criminal offence and should be notified to the police. The court has the power to impose serious penalties on conviction (The Crown Prosecution Service, 2020).</w:t>
      </w:r>
    </w:p>
    <w:p w14:paraId="3507A3E1" w14:textId="77777777" w:rsidR="00EE55E6" w:rsidRPr="00BD4F2E" w:rsidRDefault="00EE55E6" w:rsidP="00EE55E6">
      <w:pPr>
        <w:rPr>
          <w:color w:val="auto"/>
        </w:rPr>
      </w:pPr>
    </w:p>
    <w:p w14:paraId="0126BBC5" w14:textId="77777777" w:rsidR="00EE55E6" w:rsidRPr="00BD4F2E" w:rsidRDefault="00EE55E6" w:rsidP="00EE55E6">
      <w:pPr>
        <w:jc w:val="both"/>
        <w:rPr>
          <w:rFonts w:asciiTheme="minorHAnsi" w:hAnsiTheme="minorHAnsi" w:cstheme="minorHAnsi"/>
          <w:color w:val="auto"/>
          <w:sz w:val="22"/>
          <w:szCs w:val="22"/>
        </w:rPr>
      </w:pPr>
      <w:r w:rsidRPr="00BD4F2E">
        <w:rPr>
          <w:rFonts w:asciiTheme="minorHAnsi" w:hAnsiTheme="minorHAnsi" w:cstheme="minorHAnsi"/>
          <w:color w:val="auto"/>
          <w:sz w:val="22"/>
          <w:szCs w:val="22"/>
        </w:rPr>
        <w:t>A flexible preventative power which the police can use in a range of situations to disperse anti-social individuals and provide immediate short-term respite to the local community is the ‘Dispersal Power’ (Crawford and Lister, 2007). This power allows an officer to deal quickly with someone’s behaviour and nip the problem in the bud before it escalates. Restricting an individual’s freedom of movement is a serious matter, and the power should not be invoked lightly or disrespect individuals’ rights of lawful freedom. Therefore, the legislation requires the authorising officer to be satisfied on reasonable grounds that use of the power is necessary to remove or reduce the likelihood of people being harassed, alarmed, or distressed or the occurrence of crime or disorder (HM Government, 2014c). Any uniformed police officer can use this dispersal power, but it must be authorised by an Inspector (or above) in writing, specifying the grounds on which it is given. The authorising officer should ensure that the evidence is sufficient to justify using the power, and must consider wider impacts, such as on community relations (Crawford and Lister, 2007). If a member of the public makes a complaint and a dispersal power is used in response, then the officer should update them about what has been done in response to their complaint (Mid Sussex District Council, 2007). Providing these enforcement action updates will provide reassurance to the community and result in fewer follow up calls.</w:t>
      </w:r>
    </w:p>
    <w:p w14:paraId="45FE1D8D" w14:textId="77777777" w:rsidR="00EE55E6" w:rsidRPr="00BD4F2E" w:rsidRDefault="00EE55E6" w:rsidP="00EE55E6">
      <w:pPr>
        <w:jc w:val="both"/>
        <w:rPr>
          <w:rFonts w:asciiTheme="minorHAnsi" w:hAnsiTheme="minorHAnsi" w:cstheme="minorHAnsi"/>
          <w:color w:val="auto"/>
          <w:sz w:val="22"/>
          <w:szCs w:val="22"/>
        </w:rPr>
      </w:pPr>
    </w:p>
    <w:p w14:paraId="40C091C6" w14:textId="77777777" w:rsidR="00EE55E6" w:rsidRPr="00BD4F2E" w:rsidRDefault="00EE55E6" w:rsidP="00EE55E6">
      <w:pPr>
        <w:jc w:val="both"/>
        <w:rPr>
          <w:rFonts w:asciiTheme="minorHAnsi" w:hAnsiTheme="minorHAnsi" w:cstheme="minorHAnsi"/>
          <w:color w:val="auto"/>
          <w:sz w:val="22"/>
          <w:szCs w:val="22"/>
        </w:rPr>
      </w:pPr>
      <w:r w:rsidRPr="00BD4F2E">
        <w:rPr>
          <w:rFonts w:asciiTheme="minorHAnsi" w:hAnsiTheme="minorHAnsi" w:cstheme="minorHAnsi"/>
          <w:color w:val="auto"/>
          <w:sz w:val="22"/>
          <w:szCs w:val="22"/>
        </w:rPr>
        <w:t>When there are ongoing problems or nuisances that are having a detrimental effect on the community’s quality of life, such as in the incident described above, a Community Protection Notice can be used to target those responsible (Chartered Institute of Environmental Health, 2014). It is customary for local councils to take the lead in dealing with the sort of issues that can be addressed through Community Protection Notices, but the police are also able to issue them. The agency considering the use of a Community Protection Notice must first speak to members of the community to acquire an understanding of the impact that the anti-social behaviour is having on the quality of life of those in the local area (HM Government, 2014d). This will make the victims feel that the problem is being taken seriously and will also help to ensure the decision to issue the notice is based on evidence of the impact that the perpetrator’s behaviour is having (HM Government, 2014d). In addition, it will help to ensure that officers are not using the notice to stop activities which are not causing anti-social behaviour.</w:t>
      </w:r>
    </w:p>
    <w:p w14:paraId="36A53F48" w14:textId="77777777" w:rsidR="00EE55E6" w:rsidRPr="00BD4F2E" w:rsidRDefault="00EE55E6" w:rsidP="00EE55E6">
      <w:pPr>
        <w:rPr>
          <w:color w:val="auto"/>
        </w:rPr>
      </w:pPr>
    </w:p>
    <w:p w14:paraId="7C798BA3" w14:textId="77777777" w:rsidR="00EE55E6" w:rsidRPr="00BD4F2E" w:rsidRDefault="00EE55E6" w:rsidP="00EE55E6">
      <w:pPr>
        <w:jc w:val="both"/>
        <w:rPr>
          <w:rFonts w:asciiTheme="minorHAnsi" w:hAnsiTheme="minorHAnsi" w:cstheme="minorHAnsi"/>
          <w:color w:val="auto"/>
          <w:sz w:val="22"/>
          <w:szCs w:val="22"/>
        </w:rPr>
      </w:pPr>
      <w:r w:rsidRPr="00BD4F2E">
        <w:rPr>
          <w:rFonts w:asciiTheme="minorHAnsi" w:hAnsiTheme="minorHAnsi" w:cstheme="minorHAnsi"/>
          <w:color w:val="auto"/>
          <w:sz w:val="22"/>
          <w:szCs w:val="22"/>
        </w:rPr>
        <w:t xml:space="preserve">I have learnt in the short time that I have been an active officer that all incidents are different, and they can often be very complex. Having attended many night-time incidents, particularly where large quantities of alcohol and/or drugs have been consumed, I have gained the perception that people </w:t>
      </w:r>
      <w:r w:rsidRPr="00BD4F2E">
        <w:rPr>
          <w:rFonts w:asciiTheme="minorHAnsi" w:hAnsiTheme="minorHAnsi" w:cstheme="minorHAnsi"/>
          <w:color w:val="auto"/>
          <w:sz w:val="22"/>
          <w:szCs w:val="22"/>
        </w:rPr>
        <w:lastRenderedPageBreak/>
        <w:t>behave very differently under the influence, surrounded by their peers (herd mentality) and when out of their comfort zones. An individual that I may meet during the day, not influenced by these factors, will potentially behave very differently under these circumstances.</w:t>
      </w:r>
      <w:r w:rsidRPr="00BD4F2E">
        <w:rPr>
          <w:color w:val="auto"/>
        </w:rPr>
        <w:t xml:space="preserve"> </w:t>
      </w:r>
      <w:r w:rsidRPr="00BD4F2E">
        <w:rPr>
          <w:rFonts w:asciiTheme="minorHAnsi" w:hAnsiTheme="minorHAnsi" w:cstheme="minorHAnsi"/>
          <w:color w:val="auto"/>
          <w:sz w:val="22"/>
          <w:szCs w:val="22"/>
        </w:rPr>
        <w:t>The vast majority of people can enjoy themselves safely and sensibly, however, a group of people just having a good time can quite rapidly escalate towards alcohol-fuelled violence, crime and anti-social behaviour, which can result in negative perceptions. When anti-social behaviour is involved, early intervention is key as if left the situation for victims with regards to their well-being, harassment or distress is only going to worsen. With all the tools at our disposal we can make a real difference to their lives, from something as simple as educating those causing the anti-social behaviour to more serious orders or injunctions against those responsible.</w:t>
      </w:r>
    </w:p>
    <w:p w14:paraId="5DEEEE4A" w14:textId="77777777" w:rsidR="00EE55E6" w:rsidRDefault="00EE55E6" w:rsidP="00EE55E6">
      <w:pPr>
        <w:jc w:val="both"/>
        <w:rPr>
          <w:rFonts w:asciiTheme="minorHAnsi" w:hAnsiTheme="minorHAnsi" w:cstheme="minorHAnsi"/>
          <w:sz w:val="22"/>
          <w:szCs w:val="22"/>
        </w:rPr>
      </w:pPr>
    </w:p>
    <w:p w14:paraId="32387350" w14:textId="77777777" w:rsidR="00EE55E6" w:rsidRDefault="00EE55E6" w:rsidP="00EE55E6">
      <w:pPr>
        <w:jc w:val="right"/>
        <w:rPr>
          <w:rFonts w:asciiTheme="minorHAnsi" w:hAnsiTheme="minorHAnsi" w:cstheme="minorHAnsi"/>
          <w:sz w:val="22"/>
          <w:szCs w:val="22"/>
        </w:rPr>
      </w:pPr>
      <w:r>
        <w:rPr>
          <w:rFonts w:asciiTheme="minorHAnsi" w:hAnsiTheme="minorHAnsi" w:cstheme="minorHAnsi"/>
          <w:sz w:val="22"/>
          <w:szCs w:val="22"/>
        </w:rPr>
        <w:t>[</w:t>
      </w:r>
      <w:r w:rsidRPr="004C643D">
        <w:rPr>
          <w:rFonts w:asciiTheme="minorHAnsi" w:hAnsiTheme="minorHAnsi" w:cstheme="minorHAnsi"/>
          <w:b/>
          <w:bCs/>
          <w:sz w:val="22"/>
          <w:szCs w:val="22"/>
        </w:rPr>
        <w:t>Word Count:</w:t>
      </w:r>
      <w:r>
        <w:rPr>
          <w:rFonts w:asciiTheme="minorHAnsi" w:hAnsiTheme="minorHAnsi" w:cstheme="minorHAnsi"/>
          <w:sz w:val="22"/>
          <w:szCs w:val="22"/>
        </w:rPr>
        <w:t xml:space="preserve"> 2603]</w:t>
      </w:r>
    </w:p>
    <w:p w14:paraId="3AAC8327" w14:textId="77777777" w:rsidR="00EE55E6" w:rsidRDefault="00EE55E6" w:rsidP="00EE55E6">
      <w:pPr>
        <w:jc w:val="both"/>
        <w:rPr>
          <w:rFonts w:asciiTheme="minorHAnsi" w:hAnsiTheme="minorHAnsi" w:cstheme="minorHAnsi"/>
          <w:sz w:val="22"/>
          <w:szCs w:val="22"/>
        </w:rPr>
      </w:pP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5328D2E5" w14:textId="33D20B51" w:rsidR="005C34F8" w:rsidRDefault="005C34F8" w:rsidP="5848403C">
      <w:pPr>
        <w:keepNext/>
        <w:spacing w:before="240" w:after="60"/>
        <w:ind w:right="237"/>
        <w:jc w:val="both"/>
        <w:rPr>
          <w:b/>
          <w:bCs/>
          <w:sz w:val="24"/>
          <w:szCs w:val="24"/>
        </w:rPr>
      </w:pPr>
      <w:r>
        <w:rPr>
          <w:noProof/>
        </w:rPr>
        <w:lastRenderedPageBreak/>
        <w:drawing>
          <wp:inline distT="0" distB="0" distL="0" distR="0" wp14:anchorId="1C0903FC" wp14:editId="56604538">
            <wp:extent cx="5731510" cy="3094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094355"/>
                    </a:xfrm>
                    <a:prstGeom prst="rect">
                      <a:avLst/>
                    </a:prstGeom>
                    <a:noFill/>
                    <a:ln>
                      <a:noFill/>
                    </a:ln>
                  </pic:spPr>
                </pic:pic>
              </a:graphicData>
            </a:graphic>
          </wp:inline>
        </w:drawing>
      </w:r>
    </w:p>
    <w:p w14:paraId="196431AA" w14:textId="77777777" w:rsidR="005C34F8" w:rsidRDefault="005C34F8" w:rsidP="5848403C">
      <w:pPr>
        <w:keepNext/>
        <w:spacing w:before="240" w:after="60"/>
        <w:ind w:right="237"/>
        <w:jc w:val="both"/>
        <w:rPr>
          <w:b/>
          <w:bCs/>
          <w:sz w:val="24"/>
          <w:szCs w:val="24"/>
        </w:rPr>
      </w:pPr>
    </w:p>
    <w:p w14:paraId="7A583ACB" w14:textId="77777777" w:rsidR="005C34F8" w:rsidRDefault="005C34F8" w:rsidP="5848403C">
      <w:pPr>
        <w:keepNext/>
        <w:spacing w:before="240" w:after="60"/>
        <w:ind w:right="237"/>
        <w:jc w:val="both"/>
        <w:rPr>
          <w:b/>
          <w:bCs/>
          <w:sz w:val="24"/>
          <w:szCs w:val="24"/>
        </w:rPr>
      </w:pPr>
    </w:p>
    <w:p w14:paraId="618F4071" w14:textId="77777777" w:rsidR="005C34F8" w:rsidRDefault="005C34F8" w:rsidP="5848403C">
      <w:pPr>
        <w:keepNext/>
        <w:spacing w:before="240" w:after="60"/>
        <w:ind w:right="237"/>
        <w:jc w:val="both"/>
        <w:rPr>
          <w:b/>
          <w:bCs/>
          <w:sz w:val="24"/>
          <w:szCs w:val="24"/>
        </w:rPr>
      </w:pPr>
    </w:p>
    <w:p w14:paraId="7C16883F" w14:textId="77777777" w:rsidR="005C34F8" w:rsidRDefault="005C34F8" w:rsidP="5848403C">
      <w:pPr>
        <w:keepNext/>
        <w:spacing w:before="240" w:after="60"/>
        <w:ind w:right="237"/>
        <w:jc w:val="both"/>
        <w:rPr>
          <w:b/>
          <w:bCs/>
          <w:sz w:val="24"/>
          <w:szCs w:val="24"/>
        </w:rPr>
      </w:pPr>
    </w:p>
    <w:p w14:paraId="4FAE722C" w14:textId="77777777" w:rsidR="005C34F8" w:rsidRDefault="005C34F8" w:rsidP="5848403C">
      <w:pPr>
        <w:keepNext/>
        <w:spacing w:before="240" w:after="60"/>
        <w:ind w:right="237"/>
        <w:jc w:val="both"/>
        <w:rPr>
          <w:b/>
          <w:bCs/>
          <w:sz w:val="24"/>
          <w:szCs w:val="24"/>
        </w:rPr>
      </w:pPr>
    </w:p>
    <w:p w14:paraId="3DD60BCC" w14:textId="77777777" w:rsidR="005C34F8" w:rsidRDefault="005C34F8" w:rsidP="5848403C">
      <w:pPr>
        <w:keepNext/>
        <w:spacing w:before="240" w:after="60"/>
        <w:ind w:right="237"/>
        <w:jc w:val="both"/>
        <w:rPr>
          <w:b/>
          <w:bCs/>
          <w:sz w:val="24"/>
          <w:szCs w:val="24"/>
        </w:rPr>
      </w:pPr>
    </w:p>
    <w:p w14:paraId="32B38D36" w14:textId="77777777" w:rsidR="005C34F8" w:rsidRDefault="005C34F8" w:rsidP="5848403C">
      <w:pPr>
        <w:keepNext/>
        <w:spacing w:before="240" w:after="60"/>
        <w:ind w:right="237"/>
        <w:jc w:val="both"/>
        <w:rPr>
          <w:b/>
          <w:bCs/>
          <w:sz w:val="24"/>
          <w:szCs w:val="24"/>
        </w:rPr>
      </w:pPr>
    </w:p>
    <w:p w14:paraId="1CA4326C" w14:textId="77777777" w:rsidR="005C34F8" w:rsidRDefault="005C34F8" w:rsidP="5848403C">
      <w:pPr>
        <w:keepNext/>
        <w:spacing w:before="240" w:after="60"/>
        <w:ind w:right="237"/>
        <w:jc w:val="both"/>
        <w:rPr>
          <w:b/>
          <w:bCs/>
          <w:sz w:val="24"/>
          <w:szCs w:val="24"/>
        </w:rPr>
      </w:pPr>
    </w:p>
    <w:p w14:paraId="44B39502" w14:textId="77777777" w:rsidR="005C34F8" w:rsidRDefault="005C34F8" w:rsidP="5848403C">
      <w:pPr>
        <w:keepNext/>
        <w:spacing w:before="240" w:after="60"/>
        <w:ind w:right="237"/>
        <w:jc w:val="both"/>
        <w:rPr>
          <w:b/>
          <w:bCs/>
          <w:sz w:val="24"/>
          <w:szCs w:val="24"/>
        </w:rPr>
      </w:pPr>
    </w:p>
    <w:p w14:paraId="15FB3B6B" w14:textId="77777777" w:rsidR="005C34F8" w:rsidRDefault="005C34F8" w:rsidP="5848403C">
      <w:pPr>
        <w:keepNext/>
        <w:spacing w:before="240" w:after="60"/>
        <w:ind w:right="237"/>
        <w:jc w:val="both"/>
        <w:rPr>
          <w:b/>
          <w:bCs/>
          <w:sz w:val="24"/>
          <w:szCs w:val="24"/>
        </w:rPr>
      </w:pPr>
    </w:p>
    <w:p w14:paraId="7906953A" w14:textId="77777777" w:rsidR="005C34F8" w:rsidRDefault="005C34F8" w:rsidP="5848403C">
      <w:pPr>
        <w:keepNext/>
        <w:spacing w:before="240" w:after="60"/>
        <w:ind w:right="237"/>
        <w:jc w:val="both"/>
        <w:rPr>
          <w:b/>
          <w:bCs/>
          <w:sz w:val="24"/>
          <w:szCs w:val="24"/>
        </w:rPr>
      </w:pPr>
    </w:p>
    <w:p w14:paraId="364B261C" w14:textId="77777777" w:rsidR="005C34F8" w:rsidRDefault="005C34F8" w:rsidP="5848403C">
      <w:pPr>
        <w:keepNext/>
        <w:spacing w:before="240" w:after="60"/>
        <w:ind w:right="237"/>
        <w:jc w:val="both"/>
        <w:rPr>
          <w:b/>
          <w:bCs/>
          <w:sz w:val="24"/>
          <w:szCs w:val="24"/>
        </w:rPr>
      </w:pPr>
    </w:p>
    <w:p w14:paraId="6D941C94" w14:textId="77777777" w:rsidR="005C34F8" w:rsidRDefault="005C34F8" w:rsidP="5848403C">
      <w:pPr>
        <w:keepNext/>
        <w:spacing w:before="240" w:after="60"/>
        <w:ind w:right="237"/>
        <w:jc w:val="both"/>
        <w:rPr>
          <w:b/>
          <w:bCs/>
          <w:sz w:val="24"/>
          <w:szCs w:val="24"/>
        </w:rPr>
      </w:pPr>
    </w:p>
    <w:p w14:paraId="749A9C7A" w14:textId="77777777" w:rsidR="005C34F8" w:rsidRDefault="005C34F8" w:rsidP="5848403C">
      <w:pPr>
        <w:keepNext/>
        <w:spacing w:before="240" w:after="60"/>
        <w:ind w:right="237"/>
        <w:jc w:val="both"/>
        <w:rPr>
          <w:b/>
          <w:bCs/>
          <w:sz w:val="24"/>
          <w:szCs w:val="24"/>
        </w:rPr>
      </w:pPr>
    </w:p>
    <w:p w14:paraId="2FCFF516" w14:textId="77777777" w:rsidR="005C34F8" w:rsidRDefault="005C34F8" w:rsidP="5848403C">
      <w:pPr>
        <w:keepNext/>
        <w:spacing w:before="240" w:after="60"/>
        <w:ind w:right="237"/>
        <w:jc w:val="both"/>
        <w:rPr>
          <w:b/>
          <w:bCs/>
          <w:sz w:val="24"/>
          <w:szCs w:val="24"/>
        </w:rPr>
      </w:pPr>
    </w:p>
    <w:p w14:paraId="2B4DA333" w14:textId="6A71EE4D"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3C347DD3" w14:textId="6A8E4CFB" w:rsidR="008B6A23" w:rsidRPr="008E390A" w:rsidRDefault="5848403C" w:rsidP="008E390A">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44CBED68" w14:textId="77777777" w:rsidR="008B6A23" w:rsidRDefault="008B6A23" w:rsidP="008B6A23">
      <w:pPr>
        <w:jc w:val="both"/>
        <w:rPr>
          <w:rFonts w:asciiTheme="minorHAnsi" w:hAnsiTheme="minorHAnsi" w:cstheme="minorHAnsi"/>
          <w:b/>
          <w:bCs/>
        </w:rPr>
      </w:pPr>
    </w:p>
    <w:p w14:paraId="191710F7" w14:textId="77777777" w:rsidR="00975217" w:rsidRDefault="00975217" w:rsidP="00975217">
      <w:pPr>
        <w:ind w:right="237"/>
        <w:jc w:val="both"/>
        <w:rPr>
          <w:rFonts w:asciiTheme="minorHAnsi" w:hAnsiTheme="minorHAnsi" w:cstheme="minorHAnsi"/>
          <w:sz w:val="22"/>
          <w:szCs w:val="22"/>
        </w:rPr>
      </w:pPr>
      <w:proofErr w:type="spellStart"/>
      <w:r w:rsidRPr="004A0146">
        <w:rPr>
          <w:rFonts w:asciiTheme="minorHAnsi" w:hAnsiTheme="minorHAnsi" w:cstheme="minorHAnsi"/>
          <w:sz w:val="22"/>
          <w:szCs w:val="22"/>
        </w:rPr>
        <w:t>Biskupski</w:t>
      </w:r>
      <w:proofErr w:type="spellEnd"/>
      <w:r w:rsidRPr="004A0146">
        <w:rPr>
          <w:rFonts w:asciiTheme="minorHAnsi" w:hAnsiTheme="minorHAnsi" w:cstheme="minorHAnsi"/>
          <w:sz w:val="22"/>
          <w:szCs w:val="22"/>
        </w:rPr>
        <w:t xml:space="preserve">, E. </w:t>
      </w:r>
      <w:r>
        <w:rPr>
          <w:rFonts w:asciiTheme="minorHAnsi" w:hAnsiTheme="minorHAnsi" w:cstheme="minorHAnsi"/>
          <w:sz w:val="22"/>
          <w:szCs w:val="22"/>
        </w:rPr>
        <w:t>(</w:t>
      </w:r>
      <w:r w:rsidRPr="004A0146">
        <w:rPr>
          <w:rFonts w:asciiTheme="minorHAnsi" w:hAnsiTheme="minorHAnsi" w:cstheme="minorHAnsi"/>
          <w:sz w:val="22"/>
          <w:szCs w:val="22"/>
        </w:rPr>
        <w:t>2017</w:t>
      </w:r>
      <w:r>
        <w:rPr>
          <w:rFonts w:asciiTheme="minorHAnsi" w:hAnsiTheme="minorHAnsi" w:cstheme="minorHAnsi"/>
          <w:sz w:val="22"/>
          <w:szCs w:val="22"/>
        </w:rPr>
        <w:t>)</w:t>
      </w:r>
      <w:r w:rsidRPr="004A0146">
        <w:rPr>
          <w:rFonts w:asciiTheme="minorHAnsi" w:hAnsiTheme="minorHAnsi" w:cstheme="minorHAnsi"/>
          <w:sz w:val="22"/>
          <w:szCs w:val="22"/>
        </w:rPr>
        <w:t xml:space="preserve"> </w:t>
      </w:r>
      <w:r w:rsidRPr="004A0146">
        <w:rPr>
          <w:rFonts w:asciiTheme="minorHAnsi" w:hAnsiTheme="minorHAnsi" w:cstheme="minorHAnsi"/>
          <w:i/>
          <w:iCs/>
          <w:sz w:val="22"/>
          <w:szCs w:val="22"/>
        </w:rPr>
        <w:t>Practice Note: Police Welfare Checks.</w:t>
      </w:r>
      <w:r w:rsidRPr="004A0146">
        <w:rPr>
          <w:rFonts w:asciiTheme="minorHAnsi" w:hAnsiTheme="minorHAnsi" w:cstheme="minorHAnsi"/>
          <w:sz w:val="22"/>
          <w:szCs w:val="22"/>
        </w:rPr>
        <w:t xml:space="preserve"> [</w:t>
      </w:r>
      <w:r>
        <w:rPr>
          <w:rFonts w:asciiTheme="minorHAnsi" w:hAnsiTheme="minorHAnsi" w:cstheme="minorHAnsi"/>
          <w:sz w:val="22"/>
          <w:szCs w:val="22"/>
        </w:rPr>
        <w:t>PDF</w:t>
      </w:r>
      <w:r w:rsidRPr="004A0146">
        <w:rPr>
          <w:rFonts w:asciiTheme="minorHAnsi" w:hAnsiTheme="minorHAnsi" w:cstheme="minorHAnsi"/>
          <w:sz w:val="22"/>
          <w:szCs w:val="22"/>
        </w:rPr>
        <w:t>] LSCB. Available at: &lt;https://www.rbkc.gov.uk/lscb/sites/default/files/atoms/files/Practice%20Note%20Requesting%20a%20Police%20Welfare%20Check.pdf&gt; [Accessed 27 February 2021].</w:t>
      </w:r>
    </w:p>
    <w:p w14:paraId="6BE7077C" w14:textId="77777777" w:rsidR="00975217" w:rsidRDefault="00975217" w:rsidP="00975217">
      <w:pPr>
        <w:jc w:val="both"/>
        <w:rPr>
          <w:rFonts w:asciiTheme="minorHAnsi" w:hAnsiTheme="minorHAnsi" w:cstheme="minorHAnsi"/>
          <w:sz w:val="22"/>
          <w:szCs w:val="22"/>
        </w:rPr>
      </w:pPr>
    </w:p>
    <w:p w14:paraId="44BE0F67" w14:textId="0B729D4E" w:rsidR="00975217" w:rsidRDefault="00975217" w:rsidP="00975217">
      <w:pPr>
        <w:jc w:val="both"/>
        <w:rPr>
          <w:rFonts w:asciiTheme="minorHAnsi" w:hAnsiTheme="minorHAnsi" w:cstheme="minorHAnsi"/>
          <w:sz w:val="22"/>
          <w:szCs w:val="22"/>
        </w:rPr>
      </w:pPr>
      <w:r>
        <w:rPr>
          <w:rFonts w:asciiTheme="minorHAnsi" w:hAnsiTheme="minorHAnsi" w:cstheme="minorHAnsi"/>
          <w:sz w:val="22"/>
          <w:szCs w:val="22"/>
        </w:rPr>
        <w:t>Chartered Institute of Environmental Health (</w:t>
      </w:r>
      <w:r w:rsidRPr="005515CC">
        <w:rPr>
          <w:rFonts w:asciiTheme="minorHAnsi" w:hAnsiTheme="minorHAnsi" w:cstheme="minorHAnsi"/>
          <w:sz w:val="22"/>
          <w:szCs w:val="22"/>
        </w:rPr>
        <w:t>2014</w:t>
      </w:r>
      <w:r>
        <w:rPr>
          <w:rFonts w:asciiTheme="minorHAnsi" w:hAnsiTheme="minorHAnsi" w:cstheme="minorHAnsi"/>
          <w:sz w:val="22"/>
          <w:szCs w:val="22"/>
        </w:rPr>
        <w:t>)</w:t>
      </w:r>
      <w:r w:rsidRPr="005515CC">
        <w:rPr>
          <w:rFonts w:asciiTheme="minorHAnsi" w:hAnsiTheme="minorHAnsi" w:cstheme="minorHAnsi"/>
          <w:sz w:val="22"/>
          <w:szCs w:val="22"/>
        </w:rPr>
        <w:t xml:space="preserve"> </w:t>
      </w:r>
      <w:r w:rsidRPr="005515CC">
        <w:rPr>
          <w:rFonts w:asciiTheme="minorHAnsi" w:hAnsiTheme="minorHAnsi" w:cstheme="minorHAnsi"/>
          <w:i/>
          <w:iCs/>
          <w:sz w:val="22"/>
          <w:szCs w:val="22"/>
        </w:rPr>
        <w:t>Professional Practice Note - Guidance on the use of Community Protection Notices.</w:t>
      </w:r>
      <w:r w:rsidRPr="005515CC">
        <w:rPr>
          <w:rFonts w:asciiTheme="minorHAnsi" w:hAnsiTheme="minorHAnsi" w:cstheme="minorHAnsi"/>
          <w:sz w:val="22"/>
          <w:szCs w:val="22"/>
        </w:rPr>
        <w:t xml:space="preserve"> [</w:t>
      </w:r>
      <w:r>
        <w:rPr>
          <w:rFonts w:asciiTheme="minorHAnsi" w:hAnsiTheme="minorHAnsi" w:cstheme="minorHAnsi"/>
          <w:sz w:val="22"/>
          <w:szCs w:val="22"/>
        </w:rPr>
        <w:t>PDF</w:t>
      </w:r>
      <w:r w:rsidRPr="005515CC">
        <w:rPr>
          <w:rFonts w:asciiTheme="minorHAnsi" w:hAnsiTheme="minorHAnsi" w:cstheme="minorHAnsi"/>
          <w:sz w:val="22"/>
          <w:szCs w:val="22"/>
        </w:rPr>
        <w:t>] Chartered Institute of Environmental Health. Available at: &lt;https://www.cieh.org/media/1238/guidance-on-the-use-of-community-protection-notices.pdf&gt; [Accessed 3 March 2021].</w:t>
      </w:r>
    </w:p>
    <w:p w14:paraId="47095D60" w14:textId="4D5013E0" w:rsidR="00975217" w:rsidRDefault="00975217" w:rsidP="00975217">
      <w:pPr>
        <w:jc w:val="both"/>
        <w:rPr>
          <w:rFonts w:asciiTheme="minorHAnsi" w:hAnsiTheme="minorHAnsi" w:cstheme="minorHAnsi"/>
          <w:sz w:val="22"/>
          <w:szCs w:val="22"/>
        </w:rPr>
      </w:pPr>
    </w:p>
    <w:p w14:paraId="5E6651E4" w14:textId="77777777" w:rsidR="00975217" w:rsidRDefault="00975217" w:rsidP="00975217">
      <w:pPr>
        <w:ind w:right="237"/>
        <w:jc w:val="both"/>
        <w:rPr>
          <w:rFonts w:asciiTheme="minorHAnsi" w:hAnsiTheme="minorHAnsi" w:cstheme="minorHAnsi"/>
          <w:sz w:val="22"/>
          <w:szCs w:val="22"/>
        </w:rPr>
      </w:pPr>
      <w:r w:rsidRPr="002E1E64">
        <w:rPr>
          <w:rFonts w:asciiTheme="minorHAnsi" w:hAnsiTheme="minorHAnsi" w:cstheme="minorHAnsi"/>
          <w:sz w:val="22"/>
          <w:szCs w:val="22"/>
        </w:rPr>
        <w:t>Cherry, K.</w:t>
      </w:r>
      <w:r>
        <w:rPr>
          <w:rFonts w:asciiTheme="minorHAnsi" w:hAnsiTheme="minorHAnsi" w:cstheme="minorHAnsi"/>
          <w:sz w:val="22"/>
          <w:szCs w:val="22"/>
        </w:rPr>
        <w:t xml:space="preserve"> (</w:t>
      </w:r>
      <w:r w:rsidRPr="002E1E64">
        <w:rPr>
          <w:rFonts w:asciiTheme="minorHAnsi" w:hAnsiTheme="minorHAnsi" w:cstheme="minorHAnsi"/>
          <w:sz w:val="22"/>
          <w:szCs w:val="22"/>
        </w:rPr>
        <w:t>2020</w:t>
      </w:r>
      <w:r>
        <w:rPr>
          <w:rFonts w:asciiTheme="minorHAnsi" w:hAnsiTheme="minorHAnsi" w:cstheme="minorHAnsi"/>
          <w:sz w:val="22"/>
          <w:szCs w:val="22"/>
        </w:rPr>
        <w:t>)</w:t>
      </w:r>
      <w:r w:rsidRPr="002E1E64">
        <w:rPr>
          <w:rFonts w:asciiTheme="minorHAnsi" w:hAnsiTheme="minorHAnsi" w:cstheme="minorHAnsi"/>
          <w:sz w:val="22"/>
          <w:szCs w:val="22"/>
        </w:rPr>
        <w:t xml:space="preserve"> </w:t>
      </w:r>
      <w:r w:rsidRPr="002E1E64">
        <w:rPr>
          <w:rFonts w:asciiTheme="minorHAnsi" w:hAnsiTheme="minorHAnsi" w:cstheme="minorHAnsi"/>
          <w:i/>
          <w:iCs/>
          <w:sz w:val="22"/>
          <w:szCs w:val="22"/>
        </w:rPr>
        <w:t>Types of Nonverbal Communication.</w:t>
      </w:r>
      <w:r w:rsidRPr="002E1E64">
        <w:rPr>
          <w:rFonts w:asciiTheme="minorHAnsi" w:hAnsiTheme="minorHAnsi" w:cstheme="minorHAnsi"/>
          <w:sz w:val="22"/>
          <w:szCs w:val="22"/>
        </w:rPr>
        <w:t xml:space="preserve"> [online] Very Well Mind. Available at: &lt;https://www.verywellmind.com/types-of-nonverbal-communication-2795397&gt; [Accessed 2 March 2021].</w:t>
      </w:r>
    </w:p>
    <w:p w14:paraId="177A2A86" w14:textId="77777777" w:rsidR="00975217" w:rsidRDefault="00975217" w:rsidP="008B6A23">
      <w:pPr>
        <w:jc w:val="both"/>
        <w:rPr>
          <w:rFonts w:asciiTheme="minorHAnsi" w:hAnsiTheme="minorHAnsi" w:cstheme="minorHAnsi"/>
          <w:sz w:val="22"/>
          <w:szCs w:val="22"/>
        </w:rPr>
      </w:pPr>
    </w:p>
    <w:p w14:paraId="5E5F7BE2" w14:textId="5C85E39F" w:rsidR="008B6A23" w:rsidRDefault="008B6A23" w:rsidP="008B6A23">
      <w:pPr>
        <w:jc w:val="both"/>
        <w:rPr>
          <w:rFonts w:asciiTheme="minorHAnsi" w:hAnsiTheme="minorHAnsi" w:cstheme="minorHAnsi"/>
          <w:sz w:val="22"/>
          <w:szCs w:val="22"/>
        </w:rPr>
      </w:pPr>
      <w:r>
        <w:rPr>
          <w:rFonts w:asciiTheme="minorHAnsi" w:hAnsiTheme="minorHAnsi" w:cstheme="minorHAnsi"/>
          <w:sz w:val="22"/>
          <w:szCs w:val="22"/>
        </w:rPr>
        <w:t>College of Policing (</w:t>
      </w:r>
      <w:r w:rsidRPr="0044016F">
        <w:rPr>
          <w:rFonts w:asciiTheme="minorHAnsi" w:hAnsiTheme="minorHAnsi" w:cstheme="minorHAnsi"/>
          <w:sz w:val="22"/>
          <w:szCs w:val="22"/>
        </w:rPr>
        <w:t>2013</w:t>
      </w:r>
      <w:r>
        <w:rPr>
          <w:rFonts w:asciiTheme="minorHAnsi" w:hAnsiTheme="minorHAnsi" w:cstheme="minorHAnsi"/>
          <w:sz w:val="22"/>
          <w:szCs w:val="22"/>
        </w:rPr>
        <w:t>)</w:t>
      </w:r>
      <w:r w:rsidRPr="0044016F">
        <w:rPr>
          <w:rFonts w:asciiTheme="minorHAnsi" w:hAnsiTheme="minorHAnsi" w:cstheme="minorHAnsi"/>
          <w:sz w:val="22"/>
          <w:szCs w:val="22"/>
        </w:rPr>
        <w:t xml:space="preserve"> </w:t>
      </w:r>
      <w:r w:rsidRPr="0044016F">
        <w:rPr>
          <w:rFonts w:asciiTheme="minorHAnsi" w:hAnsiTheme="minorHAnsi" w:cstheme="minorHAnsi"/>
          <w:i/>
          <w:iCs/>
          <w:sz w:val="22"/>
          <w:szCs w:val="22"/>
        </w:rPr>
        <w:t>Investigative interviewing.</w:t>
      </w:r>
      <w:r w:rsidRPr="0044016F">
        <w:rPr>
          <w:rFonts w:asciiTheme="minorHAnsi" w:hAnsiTheme="minorHAnsi" w:cstheme="minorHAnsi"/>
          <w:sz w:val="22"/>
          <w:szCs w:val="22"/>
        </w:rPr>
        <w:t xml:space="preserve"> [online] Available at: &lt;https://www.app.college.police.uk/app-content/investigations/investigative-interviewing/&gt; [Accessed 3 March 2021].</w:t>
      </w:r>
    </w:p>
    <w:p w14:paraId="1020636C" w14:textId="77777777" w:rsidR="008B6A23" w:rsidRDefault="008B6A23" w:rsidP="008B6A23">
      <w:pPr>
        <w:jc w:val="both"/>
        <w:rPr>
          <w:rFonts w:asciiTheme="minorHAnsi" w:hAnsiTheme="minorHAnsi" w:cstheme="minorHAnsi"/>
          <w:sz w:val="22"/>
          <w:szCs w:val="22"/>
        </w:rPr>
      </w:pPr>
    </w:p>
    <w:p w14:paraId="4592E34D" w14:textId="459364BA" w:rsidR="008B6A23" w:rsidRDefault="008B6A23" w:rsidP="008B6A23">
      <w:pPr>
        <w:jc w:val="both"/>
        <w:rPr>
          <w:rFonts w:asciiTheme="minorHAnsi" w:hAnsiTheme="minorHAnsi" w:cstheme="minorHAnsi"/>
          <w:sz w:val="22"/>
          <w:szCs w:val="22"/>
        </w:rPr>
      </w:pPr>
      <w:r w:rsidRPr="00BD6803">
        <w:rPr>
          <w:rFonts w:asciiTheme="minorHAnsi" w:hAnsiTheme="minorHAnsi" w:cstheme="minorHAnsi"/>
          <w:sz w:val="22"/>
          <w:szCs w:val="22"/>
        </w:rPr>
        <w:t>Connor Desai, S.</w:t>
      </w:r>
      <w:r>
        <w:rPr>
          <w:rFonts w:asciiTheme="minorHAnsi" w:hAnsiTheme="minorHAnsi" w:cstheme="minorHAnsi"/>
          <w:sz w:val="22"/>
          <w:szCs w:val="22"/>
        </w:rPr>
        <w:t xml:space="preserve"> and</w:t>
      </w:r>
      <w:r w:rsidRPr="00BD6803">
        <w:rPr>
          <w:rFonts w:asciiTheme="minorHAnsi" w:hAnsiTheme="minorHAnsi" w:cstheme="minorHAnsi"/>
          <w:sz w:val="22"/>
          <w:szCs w:val="22"/>
        </w:rPr>
        <w:t xml:space="preserve"> Reimers, S.</w:t>
      </w:r>
      <w:r>
        <w:rPr>
          <w:rFonts w:asciiTheme="minorHAnsi" w:hAnsiTheme="minorHAnsi" w:cstheme="minorHAnsi"/>
          <w:sz w:val="22"/>
          <w:szCs w:val="22"/>
        </w:rPr>
        <w:t xml:space="preserve"> (2019)</w:t>
      </w:r>
      <w:r w:rsidRPr="00BD6803">
        <w:rPr>
          <w:rFonts w:asciiTheme="minorHAnsi" w:hAnsiTheme="minorHAnsi" w:cstheme="minorHAnsi"/>
          <w:sz w:val="22"/>
          <w:szCs w:val="22"/>
        </w:rPr>
        <w:t xml:space="preserve"> Comparing the use of open and closed questions for Web-based measures of the continued-influence effect. </w:t>
      </w:r>
      <w:proofErr w:type="spellStart"/>
      <w:r w:rsidRPr="00C454F2">
        <w:rPr>
          <w:rFonts w:asciiTheme="minorHAnsi" w:hAnsiTheme="minorHAnsi" w:cstheme="minorHAnsi"/>
          <w:i/>
          <w:iCs/>
          <w:sz w:val="22"/>
          <w:szCs w:val="22"/>
        </w:rPr>
        <w:t>Behavior</w:t>
      </w:r>
      <w:proofErr w:type="spellEnd"/>
      <w:r w:rsidRPr="00C454F2">
        <w:rPr>
          <w:rFonts w:asciiTheme="minorHAnsi" w:hAnsiTheme="minorHAnsi" w:cstheme="minorHAnsi"/>
          <w:i/>
          <w:iCs/>
          <w:sz w:val="22"/>
          <w:szCs w:val="22"/>
        </w:rPr>
        <w:t xml:space="preserve"> Research Methods</w:t>
      </w:r>
      <w:r>
        <w:rPr>
          <w:rFonts w:asciiTheme="minorHAnsi" w:hAnsiTheme="minorHAnsi" w:cstheme="minorHAnsi"/>
          <w:sz w:val="22"/>
          <w:szCs w:val="22"/>
        </w:rPr>
        <w:t>,</w:t>
      </w:r>
      <w:r w:rsidRPr="00BD6803">
        <w:rPr>
          <w:rFonts w:asciiTheme="minorHAnsi" w:hAnsiTheme="minorHAnsi" w:cstheme="minorHAnsi"/>
          <w:sz w:val="22"/>
          <w:szCs w:val="22"/>
        </w:rPr>
        <w:t xml:space="preserve"> 51</w:t>
      </w:r>
      <w:r>
        <w:rPr>
          <w:rFonts w:asciiTheme="minorHAnsi" w:hAnsiTheme="minorHAnsi" w:cstheme="minorHAnsi"/>
          <w:sz w:val="22"/>
          <w:szCs w:val="22"/>
        </w:rPr>
        <w:t>(3)</w:t>
      </w:r>
      <w:r w:rsidRPr="00BD6803">
        <w:rPr>
          <w:rFonts w:asciiTheme="minorHAnsi" w:hAnsiTheme="minorHAnsi" w:cstheme="minorHAnsi"/>
          <w:sz w:val="22"/>
          <w:szCs w:val="22"/>
        </w:rPr>
        <w:t xml:space="preserve">, </w:t>
      </w:r>
      <w:r>
        <w:rPr>
          <w:rFonts w:asciiTheme="minorHAnsi" w:hAnsiTheme="minorHAnsi" w:cstheme="minorHAnsi"/>
          <w:sz w:val="22"/>
          <w:szCs w:val="22"/>
        </w:rPr>
        <w:t xml:space="preserve">pp. </w:t>
      </w:r>
      <w:r w:rsidRPr="00BD6803">
        <w:rPr>
          <w:rFonts w:asciiTheme="minorHAnsi" w:hAnsiTheme="minorHAnsi" w:cstheme="minorHAnsi"/>
          <w:sz w:val="22"/>
          <w:szCs w:val="22"/>
        </w:rPr>
        <w:t>1426–1440.</w:t>
      </w:r>
    </w:p>
    <w:p w14:paraId="428BFE46" w14:textId="0FA6A0F2" w:rsidR="00C56641" w:rsidRDefault="00C56641" w:rsidP="008B6A23">
      <w:pPr>
        <w:jc w:val="both"/>
        <w:rPr>
          <w:rFonts w:asciiTheme="minorHAnsi" w:hAnsiTheme="minorHAnsi" w:cstheme="minorHAnsi"/>
          <w:sz w:val="22"/>
          <w:szCs w:val="22"/>
        </w:rPr>
      </w:pPr>
    </w:p>
    <w:p w14:paraId="788AB02F" w14:textId="6A0AFD30" w:rsidR="00C56641" w:rsidRDefault="00C56641" w:rsidP="00C56641">
      <w:pPr>
        <w:jc w:val="both"/>
        <w:rPr>
          <w:rFonts w:asciiTheme="minorHAnsi" w:hAnsiTheme="minorHAnsi" w:cstheme="minorHAnsi"/>
          <w:sz w:val="22"/>
          <w:szCs w:val="22"/>
        </w:rPr>
      </w:pPr>
      <w:r w:rsidRPr="005B5EE1">
        <w:rPr>
          <w:rFonts w:asciiTheme="minorHAnsi" w:hAnsiTheme="minorHAnsi" w:cstheme="minorHAnsi"/>
          <w:sz w:val="22"/>
          <w:szCs w:val="22"/>
        </w:rPr>
        <w:t>Crawford, A. and Lister, S.</w:t>
      </w:r>
      <w:r>
        <w:rPr>
          <w:rFonts w:asciiTheme="minorHAnsi" w:hAnsiTheme="minorHAnsi" w:cstheme="minorHAnsi"/>
          <w:sz w:val="22"/>
          <w:szCs w:val="22"/>
        </w:rPr>
        <w:t xml:space="preserve"> (</w:t>
      </w:r>
      <w:r w:rsidRPr="005B5EE1">
        <w:rPr>
          <w:rFonts w:asciiTheme="minorHAnsi" w:hAnsiTheme="minorHAnsi" w:cstheme="minorHAnsi"/>
          <w:sz w:val="22"/>
          <w:szCs w:val="22"/>
        </w:rPr>
        <w:t>2007</w:t>
      </w:r>
      <w:r>
        <w:rPr>
          <w:rFonts w:asciiTheme="minorHAnsi" w:hAnsiTheme="minorHAnsi" w:cstheme="minorHAnsi"/>
          <w:sz w:val="22"/>
          <w:szCs w:val="22"/>
        </w:rPr>
        <w:t>)</w:t>
      </w:r>
      <w:r w:rsidRPr="005B5EE1">
        <w:rPr>
          <w:rFonts w:asciiTheme="minorHAnsi" w:hAnsiTheme="minorHAnsi" w:cstheme="minorHAnsi"/>
          <w:sz w:val="22"/>
          <w:szCs w:val="22"/>
        </w:rPr>
        <w:t xml:space="preserve"> </w:t>
      </w:r>
      <w:r w:rsidRPr="005B5EE1">
        <w:rPr>
          <w:rFonts w:asciiTheme="minorHAnsi" w:hAnsiTheme="minorHAnsi" w:cstheme="minorHAnsi"/>
          <w:i/>
          <w:iCs/>
          <w:sz w:val="22"/>
          <w:szCs w:val="22"/>
        </w:rPr>
        <w:t>The use and impact of dispersal orders.</w:t>
      </w:r>
      <w:r w:rsidRPr="005B5EE1">
        <w:rPr>
          <w:rFonts w:asciiTheme="minorHAnsi" w:hAnsiTheme="minorHAnsi" w:cstheme="minorHAnsi"/>
          <w:sz w:val="22"/>
          <w:szCs w:val="22"/>
        </w:rPr>
        <w:t xml:space="preserve"> [online] J</w:t>
      </w:r>
      <w:r>
        <w:rPr>
          <w:rFonts w:asciiTheme="minorHAnsi" w:hAnsiTheme="minorHAnsi" w:cstheme="minorHAnsi"/>
          <w:sz w:val="22"/>
          <w:szCs w:val="22"/>
        </w:rPr>
        <w:t>oseph Rowntree Foundation</w:t>
      </w:r>
      <w:r w:rsidRPr="005B5EE1">
        <w:rPr>
          <w:rFonts w:asciiTheme="minorHAnsi" w:hAnsiTheme="minorHAnsi" w:cstheme="minorHAnsi"/>
          <w:sz w:val="22"/>
          <w:szCs w:val="22"/>
        </w:rPr>
        <w:t>. Available at: &lt;https://www.jrf.org.uk/report/use-and-impact-dispersal-orders&gt; [Accessed 2 March 2021].</w:t>
      </w:r>
    </w:p>
    <w:p w14:paraId="42A0062F" w14:textId="101A1A8F" w:rsidR="00C56641" w:rsidRDefault="00C56641" w:rsidP="00C56641">
      <w:pPr>
        <w:jc w:val="both"/>
        <w:rPr>
          <w:rFonts w:asciiTheme="minorHAnsi" w:hAnsiTheme="minorHAnsi" w:cstheme="minorHAnsi"/>
          <w:sz w:val="22"/>
          <w:szCs w:val="22"/>
        </w:rPr>
      </w:pPr>
    </w:p>
    <w:p w14:paraId="54799F7D" w14:textId="64BC5EDA" w:rsidR="00C56641" w:rsidRDefault="00C56641" w:rsidP="00C56641">
      <w:pPr>
        <w:jc w:val="both"/>
        <w:rPr>
          <w:rFonts w:asciiTheme="minorHAnsi" w:hAnsiTheme="minorHAnsi" w:cstheme="minorHAnsi"/>
          <w:sz w:val="22"/>
          <w:szCs w:val="22"/>
        </w:rPr>
      </w:pPr>
      <w:r w:rsidRPr="00182663">
        <w:rPr>
          <w:rFonts w:asciiTheme="minorHAnsi" w:hAnsiTheme="minorHAnsi" w:cstheme="minorHAnsi"/>
          <w:sz w:val="22"/>
          <w:szCs w:val="22"/>
        </w:rPr>
        <w:t>Department of Justice</w:t>
      </w:r>
      <w:r>
        <w:rPr>
          <w:rFonts w:asciiTheme="minorHAnsi" w:hAnsiTheme="minorHAnsi" w:cstheme="minorHAnsi"/>
          <w:sz w:val="22"/>
          <w:szCs w:val="22"/>
        </w:rPr>
        <w:t xml:space="preserve"> (</w:t>
      </w:r>
      <w:r w:rsidRPr="00182663">
        <w:rPr>
          <w:rFonts w:asciiTheme="minorHAnsi" w:hAnsiTheme="minorHAnsi" w:cstheme="minorHAnsi"/>
          <w:sz w:val="22"/>
          <w:szCs w:val="22"/>
        </w:rPr>
        <w:t>1989</w:t>
      </w:r>
      <w:r>
        <w:rPr>
          <w:rFonts w:asciiTheme="minorHAnsi" w:hAnsiTheme="minorHAnsi" w:cstheme="minorHAnsi"/>
          <w:sz w:val="22"/>
          <w:szCs w:val="22"/>
        </w:rPr>
        <w:t>)</w:t>
      </w:r>
      <w:r w:rsidRPr="00182663">
        <w:rPr>
          <w:rFonts w:asciiTheme="minorHAnsi" w:hAnsiTheme="minorHAnsi" w:cstheme="minorHAnsi"/>
          <w:sz w:val="22"/>
          <w:szCs w:val="22"/>
        </w:rPr>
        <w:t xml:space="preserve"> </w:t>
      </w:r>
      <w:r w:rsidRPr="00975217">
        <w:rPr>
          <w:rFonts w:asciiTheme="minorHAnsi" w:hAnsiTheme="minorHAnsi" w:cstheme="minorHAnsi"/>
          <w:i/>
          <w:iCs/>
          <w:sz w:val="22"/>
          <w:szCs w:val="22"/>
        </w:rPr>
        <w:t>PACE Codes of Practice.</w:t>
      </w:r>
      <w:r w:rsidRPr="00182663">
        <w:rPr>
          <w:rFonts w:asciiTheme="minorHAnsi" w:hAnsiTheme="minorHAnsi" w:cstheme="minorHAnsi"/>
          <w:sz w:val="22"/>
          <w:szCs w:val="22"/>
        </w:rPr>
        <w:t xml:space="preserve"> [online] Available at: &lt;https://www.justice-ni.gov.uk/articles/pace-codes-practice&gt; [Accessed 28 February 2021].</w:t>
      </w:r>
    </w:p>
    <w:p w14:paraId="06790B68" w14:textId="12EE9828" w:rsidR="00C56641" w:rsidRDefault="00C56641" w:rsidP="008B6A23">
      <w:pPr>
        <w:jc w:val="both"/>
        <w:rPr>
          <w:rFonts w:asciiTheme="minorHAnsi" w:hAnsiTheme="minorHAnsi" w:cstheme="minorHAnsi"/>
          <w:sz w:val="22"/>
          <w:szCs w:val="22"/>
        </w:rPr>
      </w:pPr>
    </w:p>
    <w:p w14:paraId="226F64CC" w14:textId="77777777" w:rsidR="00C56641" w:rsidRDefault="00C56641" w:rsidP="00C56641">
      <w:pPr>
        <w:jc w:val="both"/>
        <w:rPr>
          <w:rFonts w:asciiTheme="minorHAnsi" w:hAnsiTheme="minorHAnsi" w:cstheme="minorHAnsi"/>
          <w:sz w:val="22"/>
          <w:szCs w:val="22"/>
        </w:rPr>
      </w:pPr>
      <w:r>
        <w:rPr>
          <w:rFonts w:asciiTheme="minorHAnsi" w:hAnsiTheme="minorHAnsi" w:cstheme="minorHAnsi"/>
          <w:sz w:val="22"/>
          <w:szCs w:val="22"/>
        </w:rPr>
        <w:t>East Staffordshire Borough Council (</w:t>
      </w:r>
      <w:r w:rsidRPr="003974AE">
        <w:rPr>
          <w:rFonts w:asciiTheme="minorHAnsi" w:hAnsiTheme="minorHAnsi" w:cstheme="minorHAnsi"/>
          <w:sz w:val="22"/>
          <w:szCs w:val="22"/>
        </w:rPr>
        <w:t>2014</w:t>
      </w:r>
      <w:r>
        <w:rPr>
          <w:rFonts w:asciiTheme="minorHAnsi" w:hAnsiTheme="minorHAnsi" w:cstheme="minorHAnsi"/>
          <w:sz w:val="22"/>
          <w:szCs w:val="22"/>
        </w:rPr>
        <w:t>)</w:t>
      </w:r>
      <w:r w:rsidRPr="003974AE">
        <w:rPr>
          <w:rFonts w:asciiTheme="minorHAnsi" w:hAnsiTheme="minorHAnsi" w:cstheme="minorHAnsi"/>
          <w:sz w:val="22"/>
          <w:szCs w:val="22"/>
        </w:rPr>
        <w:t xml:space="preserve"> </w:t>
      </w:r>
      <w:r w:rsidRPr="003974AE">
        <w:rPr>
          <w:rFonts w:asciiTheme="minorHAnsi" w:hAnsiTheme="minorHAnsi" w:cstheme="minorHAnsi"/>
          <w:i/>
          <w:iCs/>
          <w:sz w:val="22"/>
          <w:szCs w:val="22"/>
        </w:rPr>
        <w:t>ASB Tools and Powers.</w:t>
      </w:r>
      <w:r w:rsidRPr="003974AE">
        <w:rPr>
          <w:rFonts w:asciiTheme="minorHAnsi" w:hAnsiTheme="minorHAnsi" w:cstheme="minorHAnsi"/>
          <w:sz w:val="22"/>
          <w:szCs w:val="22"/>
        </w:rPr>
        <w:t xml:space="preserve"> [online] Available at: &lt;https://www.eaststaffsbc.gov.uk/anti-social-behaviour/tools-and-powers&gt; [Accessed 27 February 2021].</w:t>
      </w:r>
    </w:p>
    <w:p w14:paraId="267AB22A" w14:textId="77777777" w:rsidR="00C56641" w:rsidRDefault="00C56641" w:rsidP="00C56641">
      <w:pPr>
        <w:jc w:val="both"/>
        <w:rPr>
          <w:rFonts w:asciiTheme="minorHAnsi" w:hAnsiTheme="minorHAnsi" w:cstheme="minorHAnsi"/>
          <w:sz w:val="22"/>
          <w:szCs w:val="22"/>
        </w:rPr>
      </w:pPr>
    </w:p>
    <w:p w14:paraId="664FE775" w14:textId="5E9C8DC9" w:rsidR="00C56641" w:rsidRDefault="00C56641" w:rsidP="008B6A23">
      <w:pPr>
        <w:jc w:val="both"/>
        <w:rPr>
          <w:rFonts w:asciiTheme="minorHAnsi" w:hAnsiTheme="minorHAnsi" w:cstheme="minorHAnsi"/>
          <w:sz w:val="22"/>
          <w:szCs w:val="22"/>
        </w:rPr>
      </w:pPr>
      <w:r w:rsidRPr="006C3FD1">
        <w:rPr>
          <w:rFonts w:asciiTheme="minorHAnsi" w:hAnsiTheme="minorHAnsi" w:cstheme="minorHAnsi"/>
          <w:sz w:val="22"/>
          <w:szCs w:val="22"/>
        </w:rPr>
        <w:t xml:space="preserve">Farrington, D. </w:t>
      </w:r>
      <w:r>
        <w:rPr>
          <w:rFonts w:asciiTheme="minorHAnsi" w:hAnsiTheme="minorHAnsi" w:cstheme="minorHAnsi"/>
          <w:sz w:val="22"/>
          <w:szCs w:val="22"/>
        </w:rPr>
        <w:t xml:space="preserve">and </w:t>
      </w:r>
      <w:proofErr w:type="spellStart"/>
      <w:r w:rsidRPr="006C3FD1">
        <w:rPr>
          <w:rFonts w:asciiTheme="minorHAnsi" w:hAnsiTheme="minorHAnsi" w:cstheme="minorHAnsi"/>
          <w:sz w:val="22"/>
          <w:szCs w:val="22"/>
        </w:rPr>
        <w:t>Coid</w:t>
      </w:r>
      <w:proofErr w:type="spellEnd"/>
      <w:r w:rsidRPr="006C3FD1">
        <w:rPr>
          <w:rFonts w:asciiTheme="minorHAnsi" w:hAnsiTheme="minorHAnsi" w:cstheme="minorHAnsi"/>
          <w:sz w:val="22"/>
          <w:szCs w:val="22"/>
        </w:rPr>
        <w:t>, J</w:t>
      </w:r>
      <w:r>
        <w:rPr>
          <w:rFonts w:asciiTheme="minorHAnsi" w:hAnsiTheme="minorHAnsi" w:cstheme="minorHAnsi"/>
          <w:sz w:val="22"/>
          <w:szCs w:val="22"/>
        </w:rPr>
        <w:t>. (</w:t>
      </w:r>
      <w:r w:rsidRPr="006C3FD1">
        <w:rPr>
          <w:rFonts w:asciiTheme="minorHAnsi" w:hAnsiTheme="minorHAnsi" w:cstheme="minorHAnsi"/>
          <w:sz w:val="22"/>
          <w:szCs w:val="22"/>
        </w:rPr>
        <w:t>200</w:t>
      </w:r>
      <w:r>
        <w:rPr>
          <w:rFonts w:asciiTheme="minorHAnsi" w:hAnsiTheme="minorHAnsi" w:cstheme="minorHAnsi"/>
          <w:sz w:val="22"/>
          <w:szCs w:val="22"/>
        </w:rPr>
        <w:t>3)</w:t>
      </w:r>
      <w:r w:rsidRPr="006C3FD1">
        <w:rPr>
          <w:rFonts w:asciiTheme="minorHAnsi" w:hAnsiTheme="minorHAnsi" w:cstheme="minorHAnsi"/>
          <w:sz w:val="22"/>
          <w:szCs w:val="22"/>
        </w:rPr>
        <w:t xml:space="preserve"> </w:t>
      </w:r>
      <w:r w:rsidRPr="006C3FD1">
        <w:rPr>
          <w:rFonts w:asciiTheme="minorHAnsi" w:hAnsiTheme="minorHAnsi" w:cstheme="minorHAnsi"/>
          <w:i/>
          <w:iCs/>
          <w:sz w:val="22"/>
          <w:szCs w:val="22"/>
        </w:rPr>
        <w:t>Early prevention of adult antisocial behaviour</w:t>
      </w:r>
      <w:r w:rsidRPr="006C3FD1">
        <w:rPr>
          <w:rFonts w:asciiTheme="minorHAnsi" w:hAnsiTheme="minorHAnsi" w:cstheme="minorHAnsi"/>
          <w:sz w:val="22"/>
          <w:szCs w:val="22"/>
        </w:rPr>
        <w:t>. Cambridge: Cambridge University Press.</w:t>
      </w:r>
    </w:p>
    <w:p w14:paraId="0B4BC61D" w14:textId="77777777" w:rsidR="008B6A23" w:rsidRDefault="008B6A23" w:rsidP="008B6A23">
      <w:pPr>
        <w:jc w:val="both"/>
        <w:rPr>
          <w:rFonts w:asciiTheme="minorHAnsi" w:hAnsiTheme="minorHAnsi" w:cstheme="minorHAnsi"/>
          <w:sz w:val="22"/>
          <w:szCs w:val="22"/>
        </w:rPr>
      </w:pPr>
    </w:p>
    <w:p w14:paraId="7856C8E2" w14:textId="1579AC88" w:rsidR="00975217" w:rsidRDefault="008B6A23" w:rsidP="008B6A23">
      <w:pPr>
        <w:jc w:val="both"/>
        <w:rPr>
          <w:rFonts w:asciiTheme="minorHAnsi" w:hAnsiTheme="minorHAnsi" w:cstheme="minorHAnsi"/>
          <w:sz w:val="22"/>
          <w:szCs w:val="22"/>
        </w:rPr>
      </w:pPr>
      <w:r>
        <w:rPr>
          <w:rFonts w:asciiTheme="minorHAnsi" w:hAnsiTheme="minorHAnsi" w:cstheme="minorHAnsi"/>
          <w:sz w:val="22"/>
          <w:szCs w:val="22"/>
        </w:rPr>
        <w:t>Forensic Interview Solutions (</w:t>
      </w:r>
      <w:r w:rsidRPr="0044016F">
        <w:rPr>
          <w:rFonts w:asciiTheme="minorHAnsi" w:hAnsiTheme="minorHAnsi" w:cstheme="minorHAnsi"/>
          <w:sz w:val="22"/>
          <w:szCs w:val="22"/>
        </w:rPr>
        <w:t>2020</w:t>
      </w:r>
      <w:r>
        <w:rPr>
          <w:rFonts w:asciiTheme="minorHAnsi" w:hAnsiTheme="minorHAnsi" w:cstheme="minorHAnsi"/>
          <w:sz w:val="22"/>
          <w:szCs w:val="22"/>
        </w:rPr>
        <w:t>)</w:t>
      </w:r>
      <w:r w:rsidRPr="0044016F">
        <w:rPr>
          <w:rFonts w:asciiTheme="minorHAnsi" w:hAnsiTheme="minorHAnsi" w:cstheme="minorHAnsi"/>
          <w:sz w:val="22"/>
          <w:szCs w:val="22"/>
        </w:rPr>
        <w:t xml:space="preserve"> </w:t>
      </w:r>
      <w:r w:rsidRPr="0044016F">
        <w:rPr>
          <w:rFonts w:asciiTheme="minorHAnsi" w:hAnsiTheme="minorHAnsi" w:cstheme="minorHAnsi"/>
          <w:i/>
          <w:iCs/>
          <w:sz w:val="22"/>
          <w:szCs w:val="22"/>
        </w:rPr>
        <w:t>The Science of Interviewing - P.E.A.C.E. A different approach to investigative interviewing.</w:t>
      </w:r>
      <w:r w:rsidRPr="0044016F">
        <w:rPr>
          <w:rFonts w:asciiTheme="minorHAnsi" w:hAnsiTheme="minorHAnsi" w:cstheme="minorHAnsi"/>
          <w:sz w:val="22"/>
          <w:szCs w:val="22"/>
        </w:rPr>
        <w:t xml:space="preserve"> [</w:t>
      </w:r>
      <w:r>
        <w:rPr>
          <w:rFonts w:asciiTheme="minorHAnsi" w:hAnsiTheme="minorHAnsi" w:cstheme="minorHAnsi"/>
          <w:sz w:val="22"/>
          <w:szCs w:val="22"/>
        </w:rPr>
        <w:t>PDF</w:t>
      </w:r>
      <w:r w:rsidRPr="0044016F">
        <w:rPr>
          <w:rFonts w:asciiTheme="minorHAnsi" w:hAnsiTheme="minorHAnsi" w:cstheme="minorHAnsi"/>
          <w:sz w:val="22"/>
          <w:szCs w:val="22"/>
        </w:rPr>
        <w:t>] Forensic Interview Solutions. Available at: &lt;https://www.fis-international.com/assets/Uploads/resources/PEACE-A-Different-Approach.pdf&gt; [Accessed 3 March 2021].</w:t>
      </w:r>
    </w:p>
    <w:p w14:paraId="77DC9DEB" w14:textId="65A32945" w:rsidR="00975217" w:rsidRDefault="00975217" w:rsidP="008B6A23">
      <w:pPr>
        <w:jc w:val="both"/>
        <w:rPr>
          <w:rFonts w:asciiTheme="minorHAnsi" w:hAnsiTheme="minorHAnsi" w:cstheme="minorHAnsi"/>
          <w:sz w:val="22"/>
          <w:szCs w:val="22"/>
        </w:rPr>
      </w:pPr>
    </w:p>
    <w:p w14:paraId="3ED1234C" w14:textId="77777777" w:rsidR="00975217" w:rsidRDefault="00975217" w:rsidP="00975217">
      <w:pPr>
        <w:jc w:val="both"/>
        <w:rPr>
          <w:rFonts w:asciiTheme="minorHAnsi" w:hAnsiTheme="minorHAnsi" w:cstheme="minorHAnsi"/>
          <w:sz w:val="22"/>
          <w:szCs w:val="22"/>
        </w:rPr>
      </w:pPr>
      <w:r w:rsidRPr="00134C07">
        <w:rPr>
          <w:rFonts w:asciiTheme="minorHAnsi" w:hAnsiTheme="minorHAnsi" w:cstheme="minorHAnsi"/>
          <w:sz w:val="22"/>
          <w:szCs w:val="22"/>
        </w:rPr>
        <w:t xml:space="preserve">Harradine, S., </w:t>
      </w:r>
      <w:proofErr w:type="spellStart"/>
      <w:r w:rsidRPr="00134C07">
        <w:rPr>
          <w:rFonts w:asciiTheme="minorHAnsi" w:hAnsiTheme="minorHAnsi" w:cstheme="minorHAnsi"/>
          <w:sz w:val="22"/>
          <w:szCs w:val="22"/>
        </w:rPr>
        <w:t>Kodz</w:t>
      </w:r>
      <w:proofErr w:type="spellEnd"/>
      <w:r w:rsidRPr="00134C07">
        <w:rPr>
          <w:rFonts w:asciiTheme="minorHAnsi" w:hAnsiTheme="minorHAnsi" w:cstheme="minorHAnsi"/>
          <w:sz w:val="22"/>
          <w:szCs w:val="22"/>
        </w:rPr>
        <w:t xml:space="preserve">, J., </w:t>
      </w:r>
      <w:proofErr w:type="spellStart"/>
      <w:r w:rsidRPr="00134C07">
        <w:rPr>
          <w:rFonts w:asciiTheme="minorHAnsi" w:hAnsiTheme="minorHAnsi" w:cstheme="minorHAnsi"/>
          <w:sz w:val="22"/>
          <w:szCs w:val="22"/>
        </w:rPr>
        <w:t>Lemett</w:t>
      </w:r>
      <w:proofErr w:type="spellEnd"/>
      <w:r w:rsidRPr="00134C07">
        <w:rPr>
          <w:rFonts w:asciiTheme="minorHAnsi" w:hAnsiTheme="minorHAnsi" w:cstheme="minorHAnsi"/>
          <w:sz w:val="22"/>
          <w:szCs w:val="22"/>
        </w:rPr>
        <w:t>, F. and Jones, B.</w:t>
      </w:r>
      <w:r>
        <w:rPr>
          <w:rFonts w:asciiTheme="minorHAnsi" w:hAnsiTheme="minorHAnsi" w:cstheme="minorHAnsi"/>
          <w:sz w:val="22"/>
          <w:szCs w:val="22"/>
        </w:rPr>
        <w:t xml:space="preserve"> (</w:t>
      </w:r>
      <w:r w:rsidRPr="00134C07">
        <w:rPr>
          <w:rFonts w:asciiTheme="minorHAnsi" w:hAnsiTheme="minorHAnsi" w:cstheme="minorHAnsi"/>
          <w:sz w:val="22"/>
          <w:szCs w:val="22"/>
        </w:rPr>
        <w:t>2004</w:t>
      </w:r>
      <w:r>
        <w:rPr>
          <w:rFonts w:asciiTheme="minorHAnsi" w:hAnsiTheme="minorHAnsi" w:cstheme="minorHAnsi"/>
          <w:sz w:val="22"/>
          <w:szCs w:val="22"/>
        </w:rPr>
        <w:t>)</w:t>
      </w:r>
      <w:r w:rsidRPr="00134C07">
        <w:rPr>
          <w:rFonts w:asciiTheme="minorHAnsi" w:hAnsiTheme="minorHAnsi" w:cstheme="minorHAnsi"/>
          <w:sz w:val="22"/>
          <w:szCs w:val="22"/>
        </w:rPr>
        <w:t xml:space="preserve"> </w:t>
      </w:r>
      <w:r w:rsidRPr="00134C07">
        <w:rPr>
          <w:rFonts w:asciiTheme="minorHAnsi" w:hAnsiTheme="minorHAnsi" w:cstheme="minorHAnsi"/>
          <w:i/>
          <w:iCs/>
          <w:sz w:val="22"/>
          <w:szCs w:val="22"/>
        </w:rPr>
        <w:t>Defining and measuring anti-social behaviour.</w:t>
      </w:r>
      <w:r w:rsidRPr="00134C07">
        <w:rPr>
          <w:rFonts w:asciiTheme="minorHAnsi" w:hAnsiTheme="minorHAnsi" w:cstheme="minorHAnsi"/>
          <w:sz w:val="22"/>
          <w:szCs w:val="22"/>
        </w:rPr>
        <w:t xml:space="preserve"> [</w:t>
      </w:r>
      <w:r>
        <w:rPr>
          <w:rFonts w:asciiTheme="minorHAnsi" w:hAnsiTheme="minorHAnsi" w:cstheme="minorHAnsi"/>
          <w:sz w:val="22"/>
          <w:szCs w:val="22"/>
        </w:rPr>
        <w:t>PDF</w:t>
      </w:r>
      <w:r w:rsidRPr="00134C07">
        <w:rPr>
          <w:rFonts w:asciiTheme="minorHAnsi" w:hAnsiTheme="minorHAnsi" w:cstheme="minorHAnsi"/>
          <w:sz w:val="22"/>
          <w:szCs w:val="22"/>
        </w:rPr>
        <w:t>] Home Office. Available at: &lt;https://assets.publishing.service.gov.uk/government/uploads/system/uploads/attachment_data/file/116655/dpr26.pdf&gt; [Accessed 2 March 2021].</w:t>
      </w:r>
    </w:p>
    <w:p w14:paraId="3F73214B" w14:textId="77777777" w:rsidR="00975217" w:rsidRDefault="00975217" w:rsidP="008B6A23">
      <w:pPr>
        <w:jc w:val="both"/>
        <w:rPr>
          <w:rFonts w:asciiTheme="minorHAnsi" w:hAnsiTheme="minorHAnsi" w:cstheme="minorHAnsi"/>
          <w:sz w:val="22"/>
          <w:szCs w:val="22"/>
        </w:rPr>
      </w:pPr>
    </w:p>
    <w:p w14:paraId="168B3733" w14:textId="5B5FC486" w:rsidR="00975217" w:rsidRDefault="00975217" w:rsidP="00975217">
      <w:pPr>
        <w:ind w:right="237"/>
        <w:jc w:val="both"/>
        <w:rPr>
          <w:rFonts w:asciiTheme="minorHAnsi" w:hAnsiTheme="minorHAnsi" w:cstheme="minorHAnsi"/>
          <w:sz w:val="22"/>
          <w:szCs w:val="22"/>
        </w:rPr>
      </w:pPr>
      <w:r w:rsidRPr="002E1E64">
        <w:rPr>
          <w:rFonts w:asciiTheme="minorHAnsi" w:hAnsiTheme="minorHAnsi" w:cstheme="minorHAnsi"/>
          <w:sz w:val="22"/>
          <w:szCs w:val="22"/>
        </w:rPr>
        <w:t xml:space="preserve">Harrigan, J. A. (2005) </w:t>
      </w:r>
      <w:r w:rsidRPr="00CD1AB6">
        <w:rPr>
          <w:rFonts w:asciiTheme="minorHAnsi" w:hAnsiTheme="minorHAnsi" w:cstheme="minorHAnsi"/>
          <w:sz w:val="22"/>
          <w:szCs w:val="22"/>
        </w:rPr>
        <w:t>Proxemics, kinesics, and gaze</w:t>
      </w:r>
      <w:r w:rsidRPr="002E1E64">
        <w:rPr>
          <w:rFonts w:asciiTheme="minorHAnsi" w:hAnsiTheme="minorHAnsi" w:cstheme="minorHAnsi"/>
          <w:sz w:val="22"/>
          <w:szCs w:val="22"/>
        </w:rPr>
        <w:t>. In J. A. Harrigan, R. Rosenthal</w:t>
      </w:r>
      <w:r>
        <w:rPr>
          <w:rFonts w:asciiTheme="minorHAnsi" w:hAnsiTheme="minorHAnsi" w:cstheme="minorHAnsi"/>
          <w:sz w:val="22"/>
          <w:szCs w:val="22"/>
        </w:rPr>
        <w:t xml:space="preserve"> and</w:t>
      </w:r>
      <w:r w:rsidRPr="002E1E64">
        <w:rPr>
          <w:rFonts w:asciiTheme="minorHAnsi" w:hAnsiTheme="minorHAnsi" w:cstheme="minorHAnsi"/>
          <w:sz w:val="22"/>
          <w:szCs w:val="22"/>
        </w:rPr>
        <w:t xml:space="preserve"> K. R. Scherer</w:t>
      </w:r>
      <w:r>
        <w:rPr>
          <w:rFonts w:asciiTheme="minorHAnsi" w:hAnsiTheme="minorHAnsi" w:cstheme="minorHAnsi"/>
          <w:sz w:val="22"/>
          <w:szCs w:val="22"/>
        </w:rPr>
        <w:t>, ed</w:t>
      </w:r>
      <w:r w:rsidRPr="002E1E64">
        <w:rPr>
          <w:rFonts w:asciiTheme="minorHAnsi" w:hAnsiTheme="minorHAnsi" w:cstheme="minorHAnsi"/>
          <w:sz w:val="22"/>
          <w:szCs w:val="22"/>
        </w:rPr>
        <w:t xml:space="preserve">s., </w:t>
      </w:r>
      <w:r w:rsidRPr="00CD1AB6">
        <w:rPr>
          <w:rFonts w:asciiTheme="minorHAnsi" w:hAnsiTheme="minorHAnsi" w:cstheme="minorHAnsi"/>
          <w:i/>
          <w:iCs/>
          <w:sz w:val="22"/>
          <w:szCs w:val="22"/>
        </w:rPr>
        <w:t xml:space="preserve">Series in Affective Science. The new handbook of methods in nonverbal </w:t>
      </w:r>
      <w:proofErr w:type="spellStart"/>
      <w:r w:rsidRPr="00CD1AB6">
        <w:rPr>
          <w:rFonts w:asciiTheme="minorHAnsi" w:hAnsiTheme="minorHAnsi" w:cstheme="minorHAnsi"/>
          <w:i/>
          <w:iCs/>
          <w:sz w:val="22"/>
          <w:szCs w:val="22"/>
        </w:rPr>
        <w:t>behavior</w:t>
      </w:r>
      <w:proofErr w:type="spellEnd"/>
      <w:r w:rsidRPr="00CD1AB6">
        <w:rPr>
          <w:rFonts w:asciiTheme="minorHAnsi" w:hAnsiTheme="minorHAnsi" w:cstheme="minorHAnsi"/>
          <w:i/>
          <w:iCs/>
          <w:sz w:val="22"/>
          <w:szCs w:val="22"/>
        </w:rPr>
        <w:t xml:space="preserve"> research</w:t>
      </w:r>
      <w:r w:rsidRPr="002E1E64">
        <w:rPr>
          <w:rFonts w:asciiTheme="minorHAnsi" w:hAnsiTheme="minorHAnsi" w:cstheme="minorHAnsi"/>
          <w:sz w:val="22"/>
          <w:szCs w:val="22"/>
        </w:rPr>
        <w:t>. Oxford University Press</w:t>
      </w:r>
      <w:r>
        <w:rPr>
          <w:rFonts w:asciiTheme="minorHAnsi" w:hAnsiTheme="minorHAnsi" w:cstheme="minorHAnsi"/>
          <w:sz w:val="22"/>
          <w:szCs w:val="22"/>
        </w:rPr>
        <w:t>, p</w:t>
      </w:r>
      <w:r w:rsidRPr="002E1E64">
        <w:rPr>
          <w:rFonts w:asciiTheme="minorHAnsi" w:hAnsiTheme="minorHAnsi" w:cstheme="minorHAnsi"/>
          <w:sz w:val="22"/>
          <w:szCs w:val="22"/>
        </w:rPr>
        <w:t>p. 137–198</w:t>
      </w:r>
      <w:r>
        <w:rPr>
          <w:rFonts w:asciiTheme="minorHAnsi" w:hAnsiTheme="minorHAnsi" w:cstheme="minorHAnsi"/>
          <w:sz w:val="22"/>
          <w:szCs w:val="22"/>
        </w:rPr>
        <w:t>.</w:t>
      </w:r>
    </w:p>
    <w:p w14:paraId="040330B9" w14:textId="0970D186" w:rsidR="00472529" w:rsidRDefault="00472529" w:rsidP="00975217">
      <w:pPr>
        <w:ind w:right="237"/>
        <w:jc w:val="both"/>
        <w:rPr>
          <w:rFonts w:asciiTheme="minorHAnsi" w:hAnsiTheme="minorHAnsi" w:cstheme="minorHAnsi"/>
          <w:sz w:val="22"/>
          <w:szCs w:val="22"/>
        </w:rPr>
      </w:pPr>
    </w:p>
    <w:p w14:paraId="77B57AF9" w14:textId="6A3B3647" w:rsidR="008B6A23" w:rsidRDefault="008B6A23" w:rsidP="008B6A23">
      <w:pPr>
        <w:jc w:val="both"/>
        <w:rPr>
          <w:rFonts w:asciiTheme="minorHAnsi" w:hAnsiTheme="minorHAnsi" w:cstheme="minorHAnsi"/>
          <w:sz w:val="22"/>
          <w:szCs w:val="22"/>
        </w:rPr>
      </w:pPr>
      <w:r>
        <w:rPr>
          <w:rFonts w:asciiTheme="minorHAnsi" w:hAnsiTheme="minorHAnsi" w:cstheme="minorHAnsi"/>
          <w:sz w:val="22"/>
          <w:szCs w:val="22"/>
        </w:rPr>
        <w:t>HM Government (</w:t>
      </w:r>
      <w:r w:rsidRPr="008F7226">
        <w:rPr>
          <w:rFonts w:asciiTheme="minorHAnsi" w:hAnsiTheme="minorHAnsi" w:cstheme="minorHAnsi"/>
          <w:sz w:val="22"/>
          <w:szCs w:val="22"/>
        </w:rPr>
        <w:t>1984</w:t>
      </w:r>
      <w:r>
        <w:rPr>
          <w:rFonts w:asciiTheme="minorHAnsi" w:hAnsiTheme="minorHAnsi" w:cstheme="minorHAnsi"/>
          <w:sz w:val="22"/>
          <w:szCs w:val="22"/>
        </w:rPr>
        <w:t>)</w:t>
      </w:r>
      <w:r w:rsidRPr="008F7226">
        <w:rPr>
          <w:rFonts w:asciiTheme="minorHAnsi" w:hAnsiTheme="minorHAnsi" w:cstheme="minorHAnsi"/>
          <w:sz w:val="22"/>
          <w:szCs w:val="22"/>
        </w:rPr>
        <w:t xml:space="preserve"> Police and Criminal Evidence Act 1984. [online] Available at: &lt;https://www.legislation.gov.uk/ukpga/1984/60/contents&gt; [Accessed 2 March 2021].</w:t>
      </w:r>
    </w:p>
    <w:p w14:paraId="7C9E2718" w14:textId="5A4EB3BC" w:rsidR="00975217" w:rsidRDefault="00975217" w:rsidP="008B6A23">
      <w:pPr>
        <w:jc w:val="both"/>
        <w:rPr>
          <w:rFonts w:asciiTheme="minorHAnsi" w:hAnsiTheme="minorHAnsi" w:cstheme="minorHAnsi"/>
          <w:sz w:val="22"/>
          <w:szCs w:val="22"/>
        </w:rPr>
      </w:pPr>
    </w:p>
    <w:p w14:paraId="21FF24A9" w14:textId="77777777" w:rsidR="00975217" w:rsidRDefault="00975217" w:rsidP="00975217">
      <w:pPr>
        <w:jc w:val="both"/>
        <w:rPr>
          <w:rFonts w:asciiTheme="minorHAnsi" w:hAnsiTheme="minorHAnsi" w:cstheme="minorHAnsi"/>
          <w:sz w:val="22"/>
          <w:szCs w:val="22"/>
        </w:rPr>
      </w:pPr>
      <w:r w:rsidRPr="00CB4D3A">
        <w:rPr>
          <w:rFonts w:asciiTheme="minorHAnsi" w:hAnsiTheme="minorHAnsi" w:cstheme="minorHAnsi"/>
          <w:sz w:val="22"/>
          <w:szCs w:val="22"/>
        </w:rPr>
        <w:t xml:space="preserve">HM Government (1998) Human Rights Act 1998. [online] Available at: &lt;https://www.legislation.gov.uk/ukpga/1998/42/contents&gt; [Accessed </w:t>
      </w:r>
      <w:r>
        <w:rPr>
          <w:rFonts w:asciiTheme="minorHAnsi" w:hAnsiTheme="minorHAnsi" w:cstheme="minorHAnsi"/>
          <w:sz w:val="22"/>
          <w:szCs w:val="22"/>
        </w:rPr>
        <w:t>2</w:t>
      </w:r>
      <w:r w:rsidRPr="00CB4D3A">
        <w:rPr>
          <w:rFonts w:asciiTheme="minorHAnsi" w:hAnsiTheme="minorHAnsi" w:cstheme="minorHAnsi"/>
          <w:sz w:val="22"/>
          <w:szCs w:val="22"/>
        </w:rPr>
        <w:t xml:space="preserve"> </w:t>
      </w:r>
      <w:r>
        <w:rPr>
          <w:rFonts w:asciiTheme="minorHAnsi" w:hAnsiTheme="minorHAnsi" w:cstheme="minorHAnsi"/>
          <w:sz w:val="22"/>
          <w:szCs w:val="22"/>
        </w:rPr>
        <w:t>March</w:t>
      </w:r>
      <w:r w:rsidRPr="00CB4D3A">
        <w:rPr>
          <w:rFonts w:asciiTheme="minorHAnsi" w:hAnsiTheme="minorHAnsi" w:cstheme="minorHAnsi"/>
          <w:sz w:val="22"/>
          <w:szCs w:val="22"/>
        </w:rPr>
        <w:t xml:space="preserve"> 2021].</w:t>
      </w:r>
    </w:p>
    <w:p w14:paraId="542E2D4D" w14:textId="77777777" w:rsidR="00975217" w:rsidRDefault="00975217" w:rsidP="00975217">
      <w:pPr>
        <w:jc w:val="both"/>
        <w:rPr>
          <w:rFonts w:asciiTheme="minorHAnsi" w:hAnsiTheme="minorHAnsi" w:cstheme="minorHAnsi"/>
          <w:sz w:val="22"/>
          <w:szCs w:val="22"/>
        </w:rPr>
      </w:pPr>
    </w:p>
    <w:p w14:paraId="0A8CCEDF" w14:textId="77777777" w:rsidR="00975217" w:rsidRDefault="00975217" w:rsidP="00975217">
      <w:pPr>
        <w:jc w:val="both"/>
        <w:rPr>
          <w:rFonts w:asciiTheme="minorHAnsi" w:hAnsiTheme="minorHAnsi" w:cstheme="minorHAnsi"/>
          <w:sz w:val="22"/>
          <w:szCs w:val="22"/>
        </w:rPr>
      </w:pPr>
      <w:r>
        <w:rPr>
          <w:rFonts w:asciiTheme="minorHAnsi" w:hAnsiTheme="minorHAnsi" w:cstheme="minorHAnsi"/>
          <w:sz w:val="22"/>
          <w:szCs w:val="22"/>
        </w:rPr>
        <w:t>HM Government (</w:t>
      </w:r>
      <w:r w:rsidRPr="00CB4D3A">
        <w:rPr>
          <w:rFonts w:asciiTheme="minorHAnsi" w:hAnsiTheme="minorHAnsi" w:cstheme="minorHAnsi"/>
          <w:sz w:val="22"/>
          <w:szCs w:val="22"/>
        </w:rPr>
        <w:t>2010</w:t>
      </w:r>
      <w:r>
        <w:rPr>
          <w:rFonts w:asciiTheme="minorHAnsi" w:hAnsiTheme="minorHAnsi" w:cstheme="minorHAnsi"/>
          <w:sz w:val="22"/>
          <w:szCs w:val="22"/>
        </w:rPr>
        <w:t>)</w:t>
      </w:r>
      <w:r w:rsidRPr="00CB4D3A">
        <w:rPr>
          <w:rFonts w:asciiTheme="minorHAnsi" w:hAnsiTheme="minorHAnsi" w:cstheme="minorHAnsi"/>
          <w:sz w:val="22"/>
          <w:szCs w:val="22"/>
        </w:rPr>
        <w:t xml:space="preserve"> </w:t>
      </w:r>
      <w:r w:rsidRPr="00CB4D3A">
        <w:rPr>
          <w:rFonts w:asciiTheme="minorHAnsi" w:hAnsiTheme="minorHAnsi" w:cstheme="minorHAnsi"/>
          <w:i/>
          <w:iCs/>
          <w:sz w:val="22"/>
          <w:szCs w:val="22"/>
        </w:rPr>
        <w:t>Equality Act 2010.</w:t>
      </w:r>
      <w:r w:rsidRPr="00CB4D3A">
        <w:rPr>
          <w:rFonts w:asciiTheme="minorHAnsi" w:hAnsiTheme="minorHAnsi" w:cstheme="minorHAnsi"/>
          <w:sz w:val="22"/>
          <w:szCs w:val="22"/>
        </w:rPr>
        <w:t xml:space="preserve"> [online] Available at: &lt;https://www.legislation.gov.uk/ukpga/2010/15/contents&gt; [Accessed 3 March 2021].</w:t>
      </w:r>
    </w:p>
    <w:p w14:paraId="56E90A11" w14:textId="77777777" w:rsidR="00975217" w:rsidRDefault="00975217" w:rsidP="00975217">
      <w:pPr>
        <w:jc w:val="both"/>
        <w:rPr>
          <w:rFonts w:asciiTheme="minorHAnsi" w:hAnsiTheme="minorHAnsi" w:cstheme="minorHAnsi"/>
          <w:sz w:val="22"/>
          <w:szCs w:val="22"/>
        </w:rPr>
      </w:pPr>
    </w:p>
    <w:p w14:paraId="45340BD6" w14:textId="77777777" w:rsidR="00975217" w:rsidRDefault="00975217" w:rsidP="00975217">
      <w:pPr>
        <w:ind w:right="237"/>
        <w:jc w:val="both"/>
        <w:rPr>
          <w:rFonts w:asciiTheme="minorHAnsi" w:hAnsiTheme="minorHAnsi" w:cstheme="minorHAnsi"/>
          <w:sz w:val="22"/>
          <w:szCs w:val="22"/>
        </w:rPr>
      </w:pPr>
      <w:r>
        <w:rPr>
          <w:rFonts w:asciiTheme="minorHAnsi" w:hAnsiTheme="minorHAnsi" w:cstheme="minorHAnsi"/>
          <w:sz w:val="22"/>
          <w:szCs w:val="22"/>
        </w:rPr>
        <w:t>HM Government (</w:t>
      </w:r>
      <w:r w:rsidRPr="00F11C4D">
        <w:rPr>
          <w:rFonts w:asciiTheme="minorHAnsi" w:hAnsiTheme="minorHAnsi" w:cstheme="minorHAnsi"/>
          <w:sz w:val="22"/>
          <w:szCs w:val="22"/>
        </w:rPr>
        <w:t>2012</w:t>
      </w:r>
      <w:r>
        <w:rPr>
          <w:rFonts w:asciiTheme="minorHAnsi" w:hAnsiTheme="minorHAnsi" w:cstheme="minorHAnsi"/>
          <w:sz w:val="22"/>
          <w:szCs w:val="22"/>
        </w:rPr>
        <w:t>)</w:t>
      </w:r>
      <w:r w:rsidRPr="00F11C4D">
        <w:rPr>
          <w:rFonts w:asciiTheme="minorHAnsi" w:hAnsiTheme="minorHAnsi" w:cstheme="minorHAnsi"/>
          <w:sz w:val="22"/>
          <w:szCs w:val="22"/>
        </w:rPr>
        <w:t xml:space="preserve"> </w:t>
      </w:r>
      <w:r w:rsidRPr="00F11C4D">
        <w:rPr>
          <w:rFonts w:asciiTheme="minorHAnsi" w:hAnsiTheme="minorHAnsi" w:cstheme="minorHAnsi"/>
          <w:i/>
          <w:iCs/>
          <w:sz w:val="22"/>
          <w:szCs w:val="22"/>
        </w:rPr>
        <w:t>Channel: Vulnerability assessment framework.</w:t>
      </w:r>
      <w:r w:rsidRPr="00F11C4D">
        <w:rPr>
          <w:rFonts w:asciiTheme="minorHAnsi" w:hAnsiTheme="minorHAnsi" w:cstheme="minorHAnsi"/>
          <w:sz w:val="22"/>
          <w:szCs w:val="22"/>
        </w:rPr>
        <w:t xml:space="preserve"> [</w:t>
      </w:r>
      <w:r>
        <w:rPr>
          <w:rFonts w:asciiTheme="minorHAnsi" w:hAnsiTheme="minorHAnsi" w:cstheme="minorHAnsi"/>
          <w:sz w:val="22"/>
          <w:szCs w:val="22"/>
        </w:rPr>
        <w:t>PDF</w:t>
      </w:r>
      <w:r w:rsidRPr="00F11C4D">
        <w:rPr>
          <w:rFonts w:asciiTheme="minorHAnsi" w:hAnsiTheme="minorHAnsi" w:cstheme="minorHAnsi"/>
          <w:sz w:val="22"/>
          <w:szCs w:val="22"/>
        </w:rPr>
        <w:t>] HM Government. Available at: &lt;https://assets.publishing.service.gov.uk/government/uploads/system/uploads/attachment_data/file/118187/vul-assessment.pdf&gt; [Accessed 1 March 2021].</w:t>
      </w:r>
    </w:p>
    <w:p w14:paraId="78B6EC87" w14:textId="77777777" w:rsidR="00975217" w:rsidRDefault="00975217" w:rsidP="00975217">
      <w:pPr>
        <w:jc w:val="both"/>
        <w:rPr>
          <w:rFonts w:asciiTheme="minorHAnsi" w:hAnsiTheme="minorHAnsi" w:cstheme="minorHAnsi"/>
          <w:sz w:val="22"/>
          <w:szCs w:val="22"/>
        </w:rPr>
      </w:pPr>
    </w:p>
    <w:p w14:paraId="1C9CE471" w14:textId="77777777" w:rsidR="00975217" w:rsidRDefault="00975217" w:rsidP="00975217">
      <w:pPr>
        <w:jc w:val="both"/>
        <w:rPr>
          <w:rFonts w:asciiTheme="minorHAnsi" w:hAnsiTheme="minorHAnsi" w:cstheme="minorHAnsi"/>
          <w:sz w:val="22"/>
          <w:szCs w:val="22"/>
        </w:rPr>
      </w:pPr>
      <w:r>
        <w:rPr>
          <w:rFonts w:asciiTheme="minorHAnsi" w:hAnsiTheme="minorHAnsi" w:cstheme="minorHAnsi"/>
          <w:sz w:val="22"/>
          <w:szCs w:val="22"/>
        </w:rPr>
        <w:t>HM Government (</w:t>
      </w:r>
      <w:r w:rsidRPr="00134C07">
        <w:rPr>
          <w:rFonts w:asciiTheme="minorHAnsi" w:hAnsiTheme="minorHAnsi" w:cstheme="minorHAnsi"/>
          <w:sz w:val="22"/>
          <w:szCs w:val="22"/>
        </w:rPr>
        <w:t>2014</w:t>
      </w:r>
      <w:r>
        <w:rPr>
          <w:rFonts w:asciiTheme="minorHAnsi" w:hAnsiTheme="minorHAnsi" w:cstheme="minorHAnsi"/>
          <w:sz w:val="22"/>
          <w:szCs w:val="22"/>
        </w:rPr>
        <w:t>a)</w:t>
      </w:r>
      <w:r w:rsidRPr="00134C07">
        <w:rPr>
          <w:rFonts w:asciiTheme="minorHAnsi" w:hAnsiTheme="minorHAnsi" w:cstheme="minorHAnsi"/>
          <w:sz w:val="22"/>
          <w:szCs w:val="22"/>
        </w:rPr>
        <w:t xml:space="preserve"> </w:t>
      </w:r>
      <w:r w:rsidRPr="00134C07">
        <w:rPr>
          <w:rFonts w:asciiTheme="minorHAnsi" w:hAnsiTheme="minorHAnsi" w:cstheme="minorHAnsi"/>
          <w:i/>
          <w:iCs/>
          <w:sz w:val="22"/>
          <w:szCs w:val="22"/>
        </w:rPr>
        <w:t>Anti-social Behaviour, Crime and Policing Act 2014</w:t>
      </w:r>
      <w:r>
        <w:rPr>
          <w:rFonts w:asciiTheme="minorHAnsi" w:hAnsiTheme="minorHAnsi" w:cstheme="minorHAnsi"/>
          <w:i/>
          <w:iCs/>
          <w:sz w:val="22"/>
          <w:szCs w:val="22"/>
        </w:rPr>
        <w:t xml:space="preserve"> (Whole Act)</w:t>
      </w:r>
      <w:r w:rsidRPr="00134C07">
        <w:rPr>
          <w:rFonts w:asciiTheme="minorHAnsi" w:hAnsiTheme="minorHAnsi" w:cstheme="minorHAnsi"/>
          <w:sz w:val="22"/>
          <w:szCs w:val="22"/>
        </w:rPr>
        <w:t>. [online] Available at: &lt;https://www.legislation.gov.uk/ukpga/2014/12/enacted&gt; [Accessed 1 March 2021].</w:t>
      </w:r>
    </w:p>
    <w:p w14:paraId="49F47E05" w14:textId="77777777" w:rsidR="00975217" w:rsidRDefault="00975217" w:rsidP="00975217">
      <w:pPr>
        <w:jc w:val="both"/>
        <w:rPr>
          <w:rFonts w:asciiTheme="minorHAnsi" w:hAnsiTheme="minorHAnsi" w:cstheme="minorHAnsi"/>
          <w:sz w:val="22"/>
          <w:szCs w:val="22"/>
        </w:rPr>
      </w:pPr>
    </w:p>
    <w:p w14:paraId="43935DC8" w14:textId="77777777" w:rsidR="00975217" w:rsidRDefault="00975217" w:rsidP="00975217">
      <w:pPr>
        <w:jc w:val="both"/>
        <w:rPr>
          <w:rFonts w:asciiTheme="minorHAnsi" w:hAnsiTheme="minorHAnsi" w:cstheme="minorHAnsi"/>
          <w:sz w:val="22"/>
          <w:szCs w:val="22"/>
        </w:rPr>
      </w:pPr>
      <w:r>
        <w:rPr>
          <w:rFonts w:asciiTheme="minorHAnsi" w:hAnsiTheme="minorHAnsi" w:cstheme="minorHAnsi"/>
          <w:sz w:val="22"/>
          <w:szCs w:val="22"/>
        </w:rPr>
        <w:t>HM Government (</w:t>
      </w:r>
      <w:r w:rsidRPr="000F62A4">
        <w:rPr>
          <w:rFonts w:asciiTheme="minorHAnsi" w:hAnsiTheme="minorHAnsi" w:cstheme="minorHAnsi"/>
          <w:sz w:val="22"/>
          <w:szCs w:val="22"/>
        </w:rPr>
        <w:t>2014</w:t>
      </w:r>
      <w:r>
        <w:rPr>
          <w:rFonts w:asciiTheme="minorHAnsi" w:hAnsiTheme="minorHAnsi" w:cstheme="minorHAnsi"/>
          <w:sz w:val="22"/>
          <w:szCs w:val="22"/>
        </w:rPr>
        <w:t>b)</w:t>
      </w:r>
      <w:r w:rsidRPr="000F62A4">
        <w:rPr>
          <w:rFonts w:asciiTheme="minorHAnsi" w:hAnsiTheme="minorHAnsi" w:cstheme="minorHAnsi"/>
          <w:sz w:val="22"/>
          <w:szCs w:val="22"/>
        </w:rPr>
        <w:t xml:space="preserve"> </w:t>
      </w:r>
      <w:r w:rsidRPr="000F62A4">
        <w:rPr>
          <w:rFonts w:asciiTheme="minorHAnsi" w:hAnsiTheme="minorHAnsi" w:cstheme="minorHAnsi"/>
          <w:i/>
          <w:iCs/>
          <w:sz w:val="22"/>
          <w:szCs w:val="22"/>
        </w:rPr>
        <w:t>Anti-social Behaviour, Crime and Policing Act 2014 (Part 1, Injunctions, Section 1).</w:t>
      </w:r>
      <w:r w:rsidRPr="000F62A4">
        <w:rPr>
          <w:rFonts w:asciiTheme="minorHAnsi" w:hAnsiTheme="minorHAnsi" w:cstheme="minorHAnsi"/>
          <w:sz w:val="22"/>
          <w:szCs w:val="22"/>
        </w:rPr>
        <w:t xml:space="preserve"> [online] Available at: &lt;https://www.legislation.gov.uk/ukpga/2014/12/section/1&gt; [Accessed 1 March 2021].</w:t>
      </w:r>
    </w:p>
    <w:p w14:paraId="0781A4F1" w14:textId="77777777" w:rsidR="00975217" w:rsidRDefault="00975217" w:rsidP="00975217">
      <w:pPr>
        <w:jc w:val="both"/>
        <w:rPr>
          <w:rFonts w:asciiTheme="minorHAnsi" w:hAnsiTheme="minorHAnsi" w:cstheme="minorHAnsi"/>
          <w:sz w:val="22"/>
          <w:szCs w:val="22"/>
        </w:rPr>
      </w:pPr>
    </w:p>
    <w:p w14:paraId="13A15884" w14:textId="7A6CF6A0" w:rsidR="00975217" w:rsidRDefault="00975217" w:rsidP="00975217">
      <w:pPr>
        <w:jc w:val="both"/>
        <w:rPr>
          <w:rFonts w:asciiTheme="minorHAnsi" w:hAnsiTheme="minorHAnsi" w:cstheme="minorHAnsi"/>
          <w:sz w:val="22"/>
          <w:szCs w:val="22"/>
        </w:rPr>
      </w:pPr>
      <w:r>
        <w:rPr>
          <w:rFonts w:asciiTheme="minorHAnsi" w:hAnsiTheme="minorHAnsi" w:cstheme="minorHAnsi"/>
          <w:sz w:val="22"/>
          <w:szCs w:val="22"/>
        </w:rPr>
        <w:t>HM Government (</w:t>
      </w:r>
      <w:r w:rsidRPr="00B94212">
        <w:rPr>
          <w:rFonts w:asciiTheme="minorHAnsi" w:hAnsiTheme="minorHAnsi" w:cstheme="minorHAnsi"/>
          <w:sz w:val="22"/>
          <w:szCs w:val="22"/>
        </w:rPr>
        <w:t>2014</w:t>
      </w:r>
      <w:r>
        <w:rPr>
          <w:rFonts w:asciiTheme="minorHAnsi" w:hAnsiTheme="minorHAnsi" w:cstheme="minorHAnsi"/>
          <w:sz w:val="22"/>
          <w:szCs w:val="22"/>
        </w:rPr>
        <w:t>c)</w:t>
      </w:r>
      <w:r w:rsidRPr="00B94212">
        <w:rPr>
          <w:rFonts w:asciiTheme="minorHAnsi" w:hAnsiTheme="minorHAnsi" w:cstheme="minorHAnsi"/>
          <w:sz w:val="22"/>
          <w:szCs w:val="22"/>
        </w:rPr>
        <w:t xml:space="preserve"> </w:t>
      </w:r>
      <w:r w:rsidRPr="00B94212">
        <w:rPr>
          <w:rFonts w:asciiTheme="minorHAnsi" w:hAnsiTheme="minorHAnsi" w:cstheme="minorHAnsi"/>
          <w:i/>
          <w:iCs/>
          <w:sz w:val="22"/>
          <w:szCs w:val="22"/>
        </w:rPr>
        <w:t>Anti-social Behaviour, Crime and Policing Act 2014 (Part 3, Dispersal Powers).</w:t>
      </w:r>
      <w:r w:rsidRPr="00B94212">
        <w:rPr>
          <w:rFonts w:asciiTheme="minorHAnsi" w:hAnsiTheme="minorHAnsi" w:cstheme="minorHAnsi"/>
          <w:sz w:val="22"/>
          <w:szCs w:val="22"/>
        </w:rPr>
        <w:t xml:space="preserve"> [online] Available at: &lt;https://www.legislation.gov.uk/ukpga/2014/12/part/3/enacted?view=plain&gt; [Accessed 26 February 2021].</w:t>
      </w:r>
    </w:p>
    <w:p w14:paraId="413E5AE0" w14:textId="77777777" w:rsidR="00975217" w:rsidRDefault="00975217" w:rsidP="00975217">
      <w:pPr>
        <w:jc w:val="both"/>
        <w:rPr>
          <w:rFonts w:asciiTheme="minorHAnsi" w:hAnsiTheme="minorHAnsi" w:cstheme="minorHAnsi"/>
          <w:sz w:val="22"/>
          <w:szCs w:val="22"/>
        </w:rPr>
      </w:pPr>
    </w:p>
    <w:p w14:paraId="2FCD84D0" w14:textId="0E3F251D" w:rsidR="00975217" w:rsidRDefault="00975217" w:rsidP="00975217">
      <w:pPr>
        <w:jc w:val="both"/>
        <w:rPr>
          <w:rFonts w:asciiTheme="minorHAnsi" w:hAnsiTheme="minorHAnsi" w:cstheme="minorHAnsi"/>
          <w:sz w:val="22"/>
          <w:szCs w:val="22"/>
        </w:rPr>
      </w:pPr>
      <w:r>
        <w:rPr>
          <w:rFonts w:asciiTheme="minorHAnsi" w:hAnsiTheme="minorHAnsi" w:cstheme="minorHAnsi"/>
          <w:sz w:val="22"/>
          <w:szCs w:val="22"/>
        </w:rPr>
        <w:t>HM Government (</w:t>
      </w:r>
      <w:r w:rsidRPr="00706571">
        <w:rPr>
          <w:rFonts w:asciiTheme="minorHAnsi" w:hAnsiTheme="minorHAnsi" w:cstheme="minorHAnsi"/>
          <w:sz w:val="22"/>
          <w:szCs w:val="22"/>
        </w:rPr>
        <w:t>2014</w:t>
      </w:r>
      <w:r>
        <w:rPr>
          <w:rFonts w:asciiTheme="minorHAnsi" w:hAnsiTheme="minorHAnsi" w:cstheme="minorHAnsi"/>
          <w:sz w:val="22"/>
          <w:szCs w:val="22"/>
        </w:rPr>
        <w:t>d)</w:t>
      </w:r>
      <w:r w:rsidRPr="00706571">
        <w:rPr>
          <w:rFonts w:asciiTheme="minorHAnsi" w:hAnsiTheme="minorHAnsi" w:cstheme="minorHAnsi"/>
          <w:sz w:val="22"/>
          <w:szCs w:val="22"/>
        </w:rPr>
        <w:t xml:space="preserve"> </w:t>
      </w:r>
      <w:r w:rsidRPr="00706571">
        <w:rPr>
          <w:rFonts w:asciiTheme="minorHAnsi" w:hAnsiTheme="minorHAnsi" w:cstheme="minorHAnsi"/>
          <w:i/>
          <w:iCs/>
          <w:sz w:val="22"/>
          <w:szCs w:val="22"/>
        </w:rPr>
        <w:t>Anti-social Behaviour, Crime and Policing Act 2014 (Part 4, Chapter 1, Community Protection Notices).</w:t>
      </w:r>
      <w:r w:rsidRPr="00706571">
        <w:rPr>
          <w:rFonts w:asciiTheme="minorHAnsi" w:hAnsiTheme="minorHAnsi" w:cstheme="minorHAnsi"/>
          <w:sz w:val="22"/>
          <w:szCs w:val="22"/>
        </w:rPr>
        <w:t xml:space="preserve"> [online] Available at: &lt;https://www.legislation.gov.uk/ukpga/2014/12/part/4/chapter/1/crossheading/community-protection-notices/enacted&gt; [Accessed 2 March 2021].</w:t>
      </w:r>
    </w:p>
    <w:p w14:paraId="277F706D" w14:textId="77777777" w:rsidR="00975217" w:rsidRDefault="00975217" w:rsidP="00975217">
      <w:pPr>
        <w:jc w:val="both"/>
        <w:rPr>
          <w:rFonts w:asciiTheme="minorHAnsi" w:hAnsiTheme="minorHAnsi" w:cstheme="minorHAnsi"/>
          <w:sz w:val="22"/>
          <w:szCs w:val="22"/>
        </w:rPr>
      </w:pPr>
    </w:p>
    <w:p w14:paraId="72ED2206" w14:textId="4FE4C4E1" w:rsidR="00975217" w:rsidRDefault="00975217" w:rsidP="00975217">
      <w:pPr>
        <w:jc w:val="both"/>
        <w:rPr>
          <w:rFonts w:asciiTheme="minorHAnsi" w:hAnsiTheme="minorHAnsi" w:cstheme="minorHAnsi"/>
          <w:sz w:val="22"/>
          <w:szCs w:val="22"/>
        </w:rPr>
      </w:pPr>
      <w:r>
        <w:rPr>
          <w:rFonts w:asciiTheme="minorHAnsi" w:hAnsiTheme="minorHAnsi" w:cstheme="minorHAnsi"/>
          <w:sz w:val="22"/>
          <w:szCs w:val="22"/>
        </w:rPr>
        <w:t>HM Government (</w:t>
      </w:r>
      <w:r w:rsidRPr="00134C07">
        <w:rPr>
          <w:rFonts w:asciiTheme="minorHAnsi" w:hAnsiTheme="minorHAnsi" w:cstheme="minorHAnsi"/>
          <w:sz w:val="22"/>
          <w:szCs w:val="22"/>
        </w:rPr>
        <w:t>2020</w:t>
      </w:r>
      <w:r>
        <w:rPr>
          <w:rFonts w:asciiTheme="minorHAnsi" w:hAnsiTheme="minorHAnsi" w:cstheme="minorHAnsi"/>
          <w:sz w:val="22"/>
          <w:szCs w:val="22"/>
        </w:rPr>
        <w:t>)</w:t>
      </w:r>
      <w:r w:rsidRPr="00134C07">
        <w:rPr>
          <w:rFonts w:asciiTheme="minorHAnsi" w:hAnsiTheme="minorHAnsi" w:cstheme="minorHAnsi"/>
          <w:sz w:val="22"/>
          <w:szCs w:val="22"/>
        </w:rPr>
        <w:t xml:space="preserve"> </w:t>
      </w:r>
      <w:r w:rsidRPr="00134C07">
        <w:rPr>
          <w:rFonts w:asciiTheme="minorHAnsi" w:hAnsiTheme="minorHAnsi" w:cstheme="minorHAnsi"/>
          <w:i/>
          <w:iCs/>
          <w:sz w:val="22"/>
          <w:szCs w:val="22"/>
        </w:rPr>
        <w:t>Anti-social behaviour (ASB) case review (also known as the Community Trigger)</w:t>
      </w:r>
      <w:r w:rsidRPr="00134C07">
        <w:rPr>
          <w:rFonts w:asciiTheme="minorHAnsi" w:hAnsiTheme="minorHAnsi" w:cstheme="minorHAnsi"/>
          <w:sz w:val="22"/>
          <w:szCs w:val="22"/>
        </w:rPr>
        <w:t>. [online] Available at: &lt;https://www.gov.uk/guidance/anti-social-behaviour-asb-case-review-also-known-as-the-community-trigger&gt; [Accessed 2 March 2021].</w:t>
      </w:r>
    </w:p>
    <w:p w14:paraId="1661B938" w14:textId="3E0B45C7" w:rsidR="00472529" w:rsidRDefault="00472529" w:rsidP="00975217">
      <w:pPr>
        <w:jc w:val="both"/>
        <w:rPr>
          <w:rFonts w:asciiTheme="minorHAnsi" w:hAnsiTheme="minorHAnsi" w:cstheme="minorHAnsi"/>
          <w:sz w:val="22"/>
          <w:szCs w:val="22"/>
        </w:rPr>
      </w:pPr>
    </w:p>
    <w:p w14:paraId="513E0609" w14:textId="77777777" w:rsidR="00472529" w:rsidRDefault="00472529" w:rsidP="00472529">
      <w:pPr>
        <w:ind w:right="237"/>
        <w:jc w:val="both"/>
        <w:rPr>
          <w:rFonts w:asciiTheme="minorHAnsi" w:hAnsiTheme="minorHAnsi" w:cstheme="minorHAnsi"/>
          <w:sz w:val="22"/>
          <w:szCs w:val="22"/>
        </w:rPr>
      </w:pPr>
      <w:r>
        <w:rPr>
          <w:rFonts w:asciiTheme="minorHAnsi" w:hAnsiTheme="minorHAnsi" w:cstheme="minorHAnsi"/>
          <w:sz w:val="22"/>
          <w:szCs w:val="22"/>
        </w:rPr>
        <w:t>HMICFRS (</w:t>
      </w:r>
      <w:r w:rsidRPr="0072077D">
        <w:rPr>
          <w:rFonts w:asciiTheme="minorHAnsi" w:hAnsiTheme="minorHAnsi" w:cstheme="minorHAnsi"/>
          <w:sz w:val="22"/>
          <w:szCs w:val="22"/>
        </w:rPr>
        <w:t>2018</w:t>
      </w:r>
      <w:r>
        <w:rPr>
          <w:rFonts w:asciiTheme="minorHAnsi" w:hAnsiTheme="minorHAnsi" w:cstheme="minorHAnsi"/>
          <w:sz w:val="22"/>
          <w:szCs w:val="22"/>
        </w:rPr>
        <w:t>)</w:t>
      </w:r>
      <w:r w:rsidRPr="0072077D">
        <w:rPr>
          <w:rFonts w:asciiTheme="minorHAnsi" w:hAnsiTheme="minorHAnsi" w:cstheme="minorHAnsi"/>
          <w:sz w:val="22"/>
          <w:szCs w:val="22"/>
        </w:rPr>
        <w:t xml:space="preserve"> </w:t>
      </w:r>
      <w:r w:rsidRPr="0072077D">
        <w:rPr>
          <w:rFonts w:asciiTheme="minorHAnsi" w:hAnsiTheme="minorHAnsi" w:cstheme="minorHAnsi"/>
          <w:i/>
          <w:iCs/>
          <w:sz w:val="22"/>
          <w:szCs w:val="22"/>
        </w:rPr>
        <w:t>Policing and Mental Health - Picking Up the Pieces.</w:t>
      </w:r>
      <w:r w:rsidRPr="0072077D">
        <w:rPr>
          <w:rFonts w:asciiTheme="minorHAnsi" w:hAnsiTheme="minorHAnsi" w:cstheme="minorHAnsi"/>
          <w:sz w:val="22"/>
          <w:szCs w:val="22"/>
        </w:rPr>
        <w:t xml:space="preserve"> [</w:t>
      </w:r>
      <w:r>
        <w:rPr>
          <w:rFonts w:asciiTheme="minorHAnsi" w:hAnsiTheme="minorHAnsi" w:cstheme="minorHAnsi"/>
          <w:sz w:val="22"/>
          <w:szCs w:val="22"/>
        </w:rPr>
        <w:t>PDF</w:t>
      </w:r>
      <w:r w:rsidRPr="0072077D">
        <w:rPr>
          <w:rFonts w:asciiTheme="minorHAnsi" w:hAnsiTheme="minorHAnsi" w:cstheme="minorHAnsi"/>
          <w:sz w:val="22"/>
          <w:szCs w:val="22"/>
        </w:rPr>
        <w:t>] HMICFRS. Available at: &lt;https://www.justiceinspectorates.gov.uk/hmicfrs/wp-content/uploads/policing-and-mental-health-picking-up-the-pieces.pdf&gt; [Accessed 3 March 2021].</w:t>
      </w:r>
    </w:p>
    <w:p w14:paraId="25F8F36C" w14:textId="5A9F4DF9" w:rsidR="00472529" w:rsidRDefault="00472529" w:rsidP="00975217">
      <w:pPr>
        <w:jc w:val="both"/>
        <w:rPr>
          <w:rFonts w:asciiTheme="minorHAnsi" w:hAnsiTheme="minorHAnsi" w:cstheme="minorHAnsi"/>
          <w:sz w:val="22"/>
          <w:szCs w:val="22"/>
        </w:rPr>
      </w:pPr>
    </w:p>
    <w:p w14:paraId="2881DDDB" w14:textId="77777777" w:rsidR="00472529" w:rsidRDefault="00472529" w:rsidP="00472529">
      <w:pPr>
        <w:jc w:val="both"/>
        <w:rPr>
          <w:rFonts w:asciiTheme="minorHAnsi" w:hAnsiTheme="minorHAnsi" w:cstheme="minorHAnsi"/>
          <w:sz w:val="22"/>
          <w:szCs w:val="22"/>
        </w:rPr>
      </w:pPr>
      <w:r>
        <w:rPr>
          <w:rFonts w:asciiTheme="minorHAnsi" w:hAnsiTheme="minorHAnsi" w:cstheme="minorHAnsi"/>
          <w:sz w:val="22"/>
          <w:szCs w:val="22"/>
        </w:rPr>
        <w:t>Home Office (</w:t>
      </w:r>
      <w:r w:rsidRPr="001B18C2">
        <w:rPr>
          <w:rFonts w:asciiTheme="minorHAnsi" w:hAnsiTheme="minorHAnsi" w:cstheme="minorHAnsi"/>
          <w:sz w:val="22"/>
          <w:szCs w:val="22"/>
        </w:rPr>
        <w:t>2013</w:t>
      </w:r>
      <w:r>
        <w:rPr>
          <w:rFonts w:asciiTheme="minorHAnsi" w:hAnsiTheme="minorHAnsi" w:cstheme="minorHAnsi"/>
          <w:sz w:val="22"/>
          <w:szCs w:val="22"/>
        </w:rPr>
        <w:t>)</w:t>
      </w:r>
      <w:r w:rsidRPr="001B18C2">
        <w:rPr>
          <w:rFonts w:asciiTheme="minorHAnsi" w:hAnsiTheme="minorHAnsi" w:cstheme="minorHAnsi"/>
          <w:sz w:val="22"/>
          <w:szCs w:val="22"/>
        </w:rPr>
        <w:t xml:space="preserve"> </w:t>
      </w:r>
      <w:r w:rsidRPr="001B18C2">
        <w:rPr>
          <w:rFonts w:asciiTheme="minorHAnsi" w:hAnsiTheme="minorHAnsi" w:cstheme="minorHAnsi"/>
          <w:i/>
          <w:iCs/>
          <w:sz w:val="22"/>
          <w:szCs w:val="22"/>
        </w:rPr>
        <w:t>Community Remedy Consultation Response.</w:t>
      </w:r>
      <w:r w:rsidRPr="001B18C2">
        <w:rPr>
          <w:rFonts w:asciiTheme="minorHAnsi" w:hAnsiTheme="minorHAnsi" w:cstheme="minorHAnsi"/>
          <w:sz w:val="22"/>
          <w:szCs w:val="22"/>
        </w:rPr>
        <w:t xml:space="preserve"> [</w:t>
      </w:r>
      <w:r>
        <w:rPr>
          <w:rFonts w:asciiTheme="minorHAnsi" w:hAnsiTheme="minorHAnsi" w:cstheme="minorHAnsi"/>
          <w:sz w:val="22"/>
          <w:szCs w:val="22"/>
        </w:rPr>
        <w:t>PDF</w:t>
      </w:r>
      <w:r w:rsidRPr="001B18C2">
        <w:rPr>
          <w:rFonts w:asciiTheme="minorHAnsi" w:hAnsiTheme="minorHAnsi" w:cstheme="minorHAnsi"/>
          <w:sz w:val="22"/>
          <w:szCs w:val="22"/>
        </w:rPr>
        <w:t>] Home Office. Available at: &lt;https://assets.publishing.service.gov.uk/government/uploads/system/uploads/attachment_data/file/204584/community-remedy-v3.pdf&gt; [Accessed 1 March 2021].</w:t>
      </w:r>
    </w:p>
    <w:p w14:paraId="2C7F3E32" w14:textId="77777777" w:rsidR="00472529" w:rsidRDefault="00472529" w:rsidP="00975217">
      <w:pPr>
        <w:jc w:val="both"/>
        <w:rPr>
          <w:rFonts w:asciiTheme="minorHAnsi" w:hAnsiTheme="minorHAnsi" w:cstheme="minorHAnsi"/>
          <w:sz w:val="22"/>
          <w:szCs w:val="22"/>
        </w:rPr>
      </w:pPr>
    </w:p>
    <w:p w14:paraId="7597DE31" w14:textId="77777777" w:rsidR="008E390A" w:rsidRDefault="008E390A" w:rsidP="008E390A">
      <w:pPr>
        <w:jc w:val="both"/>
        <w:rPr>
          <w:rFonts w:asciiTheme="minorHAnsi" w:hAnsiTheme="minorHAnsi" w:cstheme="minorHAnsi"/>
          <w:sz w:val="22"/>
          <w:szCs w:val="22"/>
        </w:rPr>
      </w:pPr>
      <w:r w:rsidRPr="00A32D6A">
        <w:rPr>
          <w:rFonts w:asciiTheme="minorHAnsi" w:hAnsiTheme="minorHAnsi" w:cstheme="minorHAnsi"/>
          <w:sz w:val="22"/>
          <w:szCs w:val="22"/>
        </w:rPr>
        <w:t xml:space="preserve">Innes, M. and Weston, N. </w:t>
      </w:r>
      <w:r>
        <w:rPr>
          <w:rFonts w:asciiTheme="minorHAnsi" w:hAnsiTheme="minorHAnsi" w:cstheme="minorHAnsi"/>
          <w:sz w:val="22"/>
          <w:szCs w:val="22"/>
        </w:rPr>
        <w:t>(</w:t>
      </w:r>
      <w:r w:rsidRPr="00A32D6A">
        <w:rPr>
          <w:rFonts w:asciiTheme="minorHAnsi" w:hAnsiTheme="minorHAnsi" w:cstheme="minorHAnsi"/>
          <w:sz w:val="22"/>
          <w:szCs w:val="22"/>
        </w:rPr>
        <w:t>2010</w:t>
      </w:r>
      <w:r>
        <w:rPr>
          <w:rFonts w:asciiTheme="minorHAnsi" w:hAnsiTheme="minorHAnsi" w:cstheme="minorHAnsi"/>
          <w:sz w:val="22"/>
          <w:szCs w:val="22"/>
        </w:rPr>
        <w:t>)</w:t>
      </w:r>
      <w:r w:rsidRPr="00A32D6A">
        <w:rPr>
          <w:rFonts w:asciiTheme="minorHAnsi" w:hAnsiTheme="minorHAnsi" w:cstheme="minorHAnsi"/>
          <w:sz w:val="22"/>
          <w:szCs w:val="22"/>
        </w:rPr>
        <w:t xml:space="preserve"> </w:t>
      </w:r>
      <w:r w:rsidRPr="00A32D6A">
        <w:rPr>
          <w:rFonts w:asciiTheme="minorHAnsi" w:hAnsiTheme="minorHAnsi" w:cstheme="minorHAnsi"/>
          <w:i/>
          <w:iCs/>
          <w:sz w:val="22"/>
          <w:szCs w:val="22"/>
        </w:rPr>
        <w:t>Re-thinking the policing of anti-social behaviour</w:t>
      </w:r>
      <w:r w:rsidRPr="00A32D6A">
        <w:rPr>
          <w:rFonts w:asciiTheme="minorHAnsi" w:hAnsiTheme="minorHAnsi" w:cstheme="minorHAnsi"/>
          <w:sz w:val="22"/>
          <w:szCs w:val="22"/>
        </w:rPr>
        <w:t>. [</w:t>
      </w:r>
      <w:r>
        <w:rPr>
          <w:rFonts w:asciiTheme="minorHAnsi" w:hAnsiTheme="minorHAnsi" w:cstheme="minorHAnsi"/>
          <w:sz w:val="22"/>
          <w:szCs w:val="22"/>
        </w:rPr>
        <w:t>PDF</w:t>
      </w:r>
      <w:r w:rsidRPr="00A32D6A">
        <w:rPr>
          <w:rFonts w:asciiTheme="minorHAnsi" w:hAnsiTheme="minorHAnsi" w:cstheme="minorHAnsi"/>
          <w:sz w:val="22"/>
          <w:szCs w:val="22"/>
        </w:rPr>
        <w:t>] HM Inspectorate of Constabulary. Available at: &lt;https://www.justiceinspectorates.gov.uk/hmicfrs/media/re-thinking-the-policing-of-anti-social-behaviour-20100923.pdf&gt; [Accessed 2 March 2021].</w:t>
      </w:r>
    </w:p>
    <w:p w14:paraId="14A03B69" w14:textId="77777777" w:rsidR="008E390A" w:rsidRDefault="008E390A" w:rsidP="008B6A23">
      <w:pPr>
        <w:ind w:right="237"/>
        <w:jc w:val="both"/>
        <w:rPr>
          <w:rFonts w:asciiTheme="minorHAnsi" w:hAnsiTheme="minorHAnsi" w:cstheme="minorHAnsi"/>
          <w:sz w:val="22"/>
          <w:szCs w:val="22"/>
        </w:rPr>
      </w:pPr>
    </w:p>
    <w:p w14:paraId="6F9DCB5A" w14:textId="702C3603" w:rsidR="008B6A23" w:rsidRDefault="008B6A23" w:rsidP="008B6A23">
      <w:pPr>
        <w:ind w:right="237"/>
        <w:jc w:val="both"/>
        <w:rPr>
          <w:rFonts w:asciiTheme="minorHAnsi" w:hAnsiTheme="minorHAnsi" w:cstheme="minorHAnsi"/>
          <w:sz w:val="22"/>
          <w:szCs w:val="22"/>
        </w:rPr>
      </w:pPr>
      <w:proofErr w:type="spellStart"/>
      <w:r w:rsidRPr="00CD1AB6">
        <w:rPr>
          <w:rFonts w:asciiTheme="minorHAnsi" w:hAnsiTheme="minorHAnsi" w:cstheme="minorHAnsi"/>
          <w:sz w:val="22"/>
          <w:szCs w:val="22"/>
        </w:rPr>
        <w:t>Janse</w:t>
      </w:r>
      <w:proofErr w:type="spellEnd"/>
      <w:r w:rsidRPr="00CD1AB6">
        <w:rPr>
          <w:rFonts w:asciiTheme="minorHAnsi" w:hAnsiTheme="minorHAnsi" w:cstheme="minorHAnsi"/>
          <w:sz w:val="22"/>
          <w:szCs w:val="22"/>
        </w:rPr>
        <w:t xml:space="preserve">, B. and Mulder, P. </w:t>
      </w:r>
      <w:r>
        <w:rPr>
          <w:rFonts w:asciiTheme="minorHAnsi" w:hAnsiTheme="minorHAnsi" w:cstheme="minorHAnsi"/>
          <w:sz w:val="22"/>
          <w:szCs w:val="22"/>
        </w:rPr>
        <w:t>(</w:t>
      </w:r>
      <w:r w:rsidRPr="00CD1AB6">
        <w:rPr>
          <w:rFonts w:asciiTheme="minorHAnsi" w:hAnsiTheme="minorHAnsi" w:cstheme="minorHAnsi"/>
          <w:sz w:val="22"/>
          <w:szCs w:val="22"/>
        </w:rPr>
        <w:t>2020</w:t>
      </w:r>
      <w:r>
        <w:rPr>
          <w:rFonts w:asciiTheme="minorHAnsi" w:hAnsiTheme="minorHAnsi" w:cstheme="minorHAnsi"/>
          <w:sz w:val="22"/>
          <w:szCs w:val="22"/>
        </w:rPr>
        <w:t>)</w:t>
      </w:r>
      <w:r w:rsidRPr="00CD1AB6">
        <w:rPr>
          <w:rFonts w:asciiTheme="minorHAnsi" w:hAnsiTheme="minorHAnsi" w:cstheme="minorHAnsi"/>
          <w:sz w:val="22"/>
          <w:szCs w:val="22"/>
        </w:rPr>
        <w:t xml:space="preserve"> </w:t>
      </w:r>
      <w:r w:rsidRPr="00CD1AB6">
        <w:rPr>
          <w:rFonts w:asciiTheme="minorHAnsi" w:hAnsiTheme="minorHAnsi" w:cstheme="minorHAnsi"/>
          <w:i/>
          <w:iCs/>
          <w:sz w:val="22"/>
          <w:szCs w:val="22"/>
        </w:rPr>
        <w:t>Active Listening</w:t>
      </w:r>
      <w:r w:rsidRPr="00CD1AB6">
        <w:rPr>
          <w:rFonts w:asciiTheme="minorHAnsi" w:hAnsiTheme="minorHAnsi" w:cstheme="minorHAnsi"/>
          <w:sz w:val="22"/>
          <w:szCs w:val="22"/>
        </w:rPr>
        <w:t xml:space="preserve">. [online] </w:t>
      </w:r>
      <w:proofErr w:type="spellStart"/>
      <w:r w:rsidRPr="00CD1AB6">
        <w:rPr>
          <w:rFonts w:asciiTheme="minorHAnsi" w:hAnsiTheme="minorHAnsi" w:cstheme="minorHAnsi"/>
          <w:sz w:val="22"/>
          <w:szCs w:val="22"/>
        </w:rPr>
        <w:t>ToolsHero</w:t>
      </w:r>
      <w:proofErr w:type="spellEnd"/>
      <w:r w:rsidRPr="00CD1AB6">
        <w:rPr>
          <w:rFonts w:asciiTheme="minorHAnsi" w:hAnsiTheme="minorHAnsi" w:cstheme="minorHAnsi"/>
          <w:sz w:val="22"/>
          <w:szCs w:val="22"/>
        </w:rPr>
        <w:t>. Available at: &lt;https://www.toolshero.com/communication-skills/active-listening/&gt; [Accessed 27 February 2021].</w:t>
      </w:r>
    </w:p>
    <w:p w14:paraId="6B210274" w14:textId="6C681599" w:rsidR="008E390A" w:rsidRDefault="008E390A" w:rsidP="008B6A23">
      <w:pPr>
        <w:ind w:right="237"/>
        <w:jc w:val="both"/>
        <w:rPr>
          <w:rFonts w:asciiTheme="minorHAnsi" w:hAnsiTheme="minorHAnsi" w:cstheme="minorHAnsi"/>
          <w:sz w:val="22"/>
          <w:szCs w:val="22"/>
        </w:rPr>
      </w:pPr>
    </w:p>
    <w:p w14:paraId="398118C9" w14:textId="77777777" w:rsidR="008E390A" w:rsidRDefault="008E390A" w:rsidP="008E390A">
      <w:pPr>
        <w:jc w:val="both"/>
        <w:rPr>
          <w:rFonts w:asciiTheme="minorHAnsi" w:hAnsiTheme="minorHAnsi" w:cstheme="minorHAnsi"/>
          <w:sz w:val="22"/>
          <w:szCs w:val="22"/>
        </w:rPr>
      </w:pPr>
      <w:r>
        <w:rPr>
          <w:rFonts w:asciiTheme="minorHAnsi" w:hAnsiTheme="minorHAnsi" w:cstheme="minorHAnsi"/>
          <w:sz w:val="22"/>
          <w:szCs w:val="22"/>
        </w:rPr>
        <w:t>Manchester City Council (2</w:t>
      </w:r>
      <w:r w:rsidRPr="00494205">
        <w:rPr>
          <w:rFonts w:asciiTheme="minorHAnsi" w:hAnsiTheme="minorHAnsi" w:cstheme="minorHAnsi"/>
          <w:sz w:val="22"/>
          <w:szCs w:val="22"/>
        </w:rPr>
        <w:t>017</w:t>
      </w:r>
      <w:r>
        <w:rPr>
          <w:rFonts w:asciiTheme="minorHAnsi" w:hAnsiTheme="minorHAnsi" w:cstheme="minorHAnsi"/>
          <w:sz w:val="22"/>
          <w:szCs w:val="22"/>
        </w:rPr>
        <w:t>)</w:t>
      </w:r>
      <w:r w:rsidRPr="00494205">
        <w:rPr>
          <w:rFonts w:asciiTheme="minorHAnsi" w:hAnsiTheme="minorHAnsi" w:cstheme="minorHAnsi"/>
          <w:sz w:val="22"/>
          <w:szCs w:val="22"/>
        </w:rPr>
        <w:t xml:space="preserve"> </w:t>
      </w:r>
      <w:r w:rsidRPr="00494205">
        <w:rPr>
          <w:rFonts w:asciiTheme="minorHAnsi" w:hAnsiTheme="minorHAnsi" w:cstheme="minorHAnsi"/>
          <w:i/>
          <w:iCs/>
          <w:sz w:val="22"/>
          <w:szCs w:val="22"/>
        </w:rPr>
        <w:t>Anti-social behaviour policy and procedures.</w:t>
      </w:r>
      <w:r w:rsidRPr="00494205">
        <w:rPr>
          <w:rFonts w:asciiTheme="minorHAnsi" w:hAnsiTheme="minorHAnsi" w:cstheme="minorHAnsi"/>
          <w:sz w:val="22"/>
          <w:szCs w:val="22"/>
        </w:rPr>
        <w:t xml:space="preserve"> [</w:t>
      </w:r>
      <w:r>
        <w:rPr>
          <w:rFonts w:asciiTheme="minorHAnsi" w:hAnsiTheme="minorHAnsi" w:cstheme="minorHAnsi"/>
          <w:sz w:val="22"/>
          <w:szCs w:val="22"/>
        </w:rPr>
        <w:t>PDF</w:t>
      </w:r>
      <w:r w:rsidRPr="00494205">
        <w:rPr>
          <w:rFonts w:asciiTheme="minorHAnsi" w:hAnsiTheme="minorHAnsi" w:cstheme="minorHAnsi"/>
          <w:sz w:val="22"/>
          <w:szCs w:val="22"/>
        </w:rPr>
        <w:t>] Manchester City Council. Available at: &lt;https://secure.manchester.gov.uk/downloads/download/6743/antisocial_behaviour_policy_and_procedures&gt; [Accessed 2 March 2021].</w:t>
      </w:r>
    </w:p>
    <w:p w14:paraId="28A0B6DB" w14:textId="77777777" w:rsidR="008E390A" w:rsidRDefault="008E390A" w:rsidP="008E390A">
      <w:pPr>
        <w:jc w:val="both"/>
        <w:rPr>
          <w:rFonts w:asciiTheme="minorHAnsi" w:hAnsiTheme="minorHAnsi" w:cstheme="minorHAnsi"/>
          <w:sz w:val="22"/>
          <w:szCs w:val="22"/>
        </w:rPr>
      </w:pPr>
    </w:p>
    <w:p w14:paraId="3893AF40" w14:textId="77777777" w:rsidR="008E390A" w:rsidRDefault="008E390A" w:rsidP="008E390A">
      <w:pPr>
        <w:jc w:val="both"/>
        <w:rPr>
          <w:rFonts w:asciiTheme="minorHAnsi" w:hAnsiTheme="minorHAnsi" w:cstheme="minorHAnsi"/>
          <w:sz w:val="22"/>
          <w:szCs w:val="22"/>
        </w:rPr>
      </w:pPr>
      <w:r>
        <w:rPr>
          <w:rFonts w:asciiTheme="minorHAnsi" w:hAnsiTheme="minorHAnsi" w:cstheme="minorHAnsi"/>
          <w:sz w:val="22"/>
          <w:szCs w:val="22"/>
        </w:rPr>
        <w:t>Metropolitan Police (</w:t>
      </w:r>
      <w:r w:rsidRPr="001B18C2">
        <w:rPr>
          <w:rFonts w:asciiTheme="minorHAnsi" w:hAnsiTheme="minorHAnsi" w:cstheme="minorHAnsi"/>
          <w:sz w:val="22"/>
          <w:szCs w:val="22"/>
        </w:rPr>
        <w:t>2020</w:t>
      </w:r>
      <w:r>
        <w:rPr>
          <w:rFonts w:asciiTheme="minorHAnsi" w:hAnsiTheme="minorHAnsi" w:cstheme="minorHAnsi"/>
          <w:sz w:val="22"/>
          <w:szCs w:val="22"/>
        </w:rPr>
        <w:t xml:space="preserve">) </w:t>
      </w:r>
      <w:r w:rsidRPr="001B18C2">
        <w:rPr>
          <w:rFonts w:asciiTheme="minorHAnsi" w:hAnsiTheme="minorHAnsi" w:cstheme="minorHAnsi"/>
          <w:i/>
          <w:iCs/>
          <w:sz w:val="22"/>
          <w:szCs w:val="22"/>
        </w:rPr>
        <w:t>What is antisocial behaviour?</w:t>
      </w:r>
      <w:r w:rsidRPr="001B18C2">
        <w:rPr>
          <w:rFonts w:asciiTheme="minorHAnsi" w:hAnsiTheme="minorHAnsi" w:cstheme="minorHAnsi"/>
          <w:sz w:val="22"/>
          <w:szCs w:val="22"/>
        </w:rPr>
        <w:t xml:space="preserve"> [online] Available at: &lt;https://www.met.police.uk/advice/advice-and-information/asb/asb/antisocial-behaviour/what-is-antisocial-behaviour/&gt; [Accessed 27 February 2021].</w:t>
      </w:r>
    </w:p>
    <w:p w14:paraId="14B6ECDD" w14:textId="77777777" w:rsidR="008E390A" w:rsidRDefault="008E390A" w:rsidP="008E390A">
      <w:pPr>
        <w:jc w:val="both"/>
        <w:rPr>
          <w:rFonts w:asciiTheme="minorHAnsi" w:hAnsiTheme="minorHAnsi" w:cstheme="minorHAnsi"/>
          <w:sz w:val="22"/>
          <w:szCs w:val="22"/>
        </w:rPr>
      </w:pPr>
    </w:p>
    <w:p w14:paraId="48A9A01E" w14:textId="77777777" w:rsidR="008E390A" w:rsidRDefault="008E390A" w:rsidP="008E390A">
      <w:pPr>
        <w:jc w:val="both"/>
        <w:rPr>
          <w:rFonts w:asciiTheme="minorHAnsi" w:hAnsiTheme="minorHAnsi" w:cstheme="minorHAnsi"/>
          <w:sz w:val="22"/>
          <w:szCs w:val="22"/>
        </w:rPr>
      </w:pPr>
      <w:r>
        <w:rPr>
          <w:rFonts w:asciiTheme="minorHAnsi" w:hAnsiTheme="minorHAnsi" w:cstheme="minorHAnsi"/>
          <w:sz w:val="22"/>
          <w:szCs w:val="22"/>
        </w:rPr>
        <w:t>Mid Sussex District Council (</w:t>
      </w:r>
      <w:r w:rsidRPr="00E81A05">
        <w:rPr>
          <w:rFonts w:asciiTheme="minorHAnsi" w:hAnsiTheme="minorHAnsi" w:cstheme="minorHAnsi"/>
          <w:sz w:val="22"/>
          <w:szCs w:val="22"/>
        </w:rPr>
        <w:t>2007</w:t>
      </w:r>
      <w:r>
        <w:rPr>
          <w:rFonts w:asciiTheme="minorHAnsi" w:hAnsiTheme="minorHAnsi" w:cstheme="minorHAnsi"/>
          <w:sz w:val="22"/>
          <w:szCs w:val="22"/>
        </w:rPr>
        <w:t>)</w:t>
      </w:r>
      <w:r w:rsidRPr="00E81A05">
        <w:rPr>
          <w:rFonts w:asciiTheme="minorHAnsi" w:hAnsiTheme="minorHAnsi" w:cstheme="minorHAnsi"/>
          <w:sz w:val="22"/>
          <w:szCs w:val="22"/>
        </w:rPr>
        <w:t xml:space="preserve"> </w:t>
      </w:r>
      <w:r w:rsidRPr="00E81A05">
        <w:rPr>
          <w:rFonts w:asciiTheme="minorHAnsi" w:hAnsiTheme="minorHAnsi" w:cstheme="minorHAnsi"/>
          <w:i/>
          <w:iCs/>
          <w:sz w:val="22"/>
          <w:szCs w:val="22"/>
        </w:rPr>
        <w:t>Housing and anti-social behaviour - A guide for residents</w:t>
      </w:r>
      <w:r w:rsidRPr="00E81A05">
        <w:rPr>
          <w:rFonts w:asciiTheme="minorHAnsi" w:hAnsiTheme="minorHAnsi" w:cstheme="minorHAnsi"/>
          <w:sz w:val="22"/>
          <w:szCs w:val="22"/>
        </w:rPr>
        <w:t>. [</w:t>
      </w:r>
      <w:r>
        <w:rPr>
          <w:rFonts w:asciiTheme="minorHAnsi" w:hAnsiTheme="minorHAnsi" w:cstheme="minorHAnsi"/>
          <w:sz w:val="22"/>
          <w:szCs w:val="22"/>
        </w:rPr>
        <w:t>PDF</w:t>
      </w:r>
      <w:r w:rsidRPr="00E81A05">
        <w:rPr>
          <w:rFonts w:asciiTheme="minorHAnsi" w:hAnsiTheme="minorHAnsi" w:cstheme="minorHAnsi"/>
          <w:sz w:val="22"/>
          <w:szCs w:val="22"/>
        </w:rPr>
        <w:t>] Mid Sussex District Council. Available at: &lt;https://www.midsussex.gov.uk/media/1239/housing-and-anti-social-behaviour-a-guide-for-residents.pdf&gt; [Accessed 24 February 2021].</w:t>
      </w:r>
    </w:p>
    <w:p w14:paraId="2E7083D4" w14:textId="77777777" w:rsidR="008E390A" w:rsidRDefault="008E390A" w:rsidP="008E390A">
      <w:pPr>
        <w:jc w:val="both"/>
        <w:rPr>
          <w:rFonts w:asciiTheme="minorHAnsi" w:hAnsiTheme="minorHAnsi" w:cstheme="minorHAnsi"/>
          <w:sz w:val="22"/>
          <w:szCs w:val="22"/>
        </w:rPr>
      </w:pPr>
    </w:p>
    <w:p w14:paraId="2D7E2931" w14:textId="17A76F76" w:rsidR="008E390A" w:rsidRDefault="008E390A" w:rsidP="008E390A">
      <w:pPr>
        <w:jc w:val="both"/>
        <w:rPr>
          <w:rFonts w:asciiTheme="minorHAnsi" w:hAnsiTheme="minorHAnsi" w:cstheme="minorHAnsi"/>
          <w:sz w:val="22"/>
          <w:szCs w:val="22"/>
        </w:rPr>
      </w:pPr>
      <w:r>
        <w:rPr>
          <w:rFonts w:asciiTheme="minorHAnsi" w:hAnsiTheme="minorHAnsi" w:cstheme="minorHAnsi"/>
          <w:sz w:val="22"/>
          <w:szCs w:val="22"/>
        </w:rPr>
        <w:t>Nottinghamshire Police (</w:t>
      </w:r>
      <w:r w:rsidRPr="001A75A8">
        <w:rPr>
          <w:rFonts w:asciiTheme="minorHAnsi" w:hAnsiTheme="minorHAnsi" w:cstheme="minorHAnsi"/>
          <w:sz w:val="22"/>
          <w:szCs w:val="22"/>
        </w:rPr>
        <w:t>2014</w:t>
      </w:r>
      <w:r>
        <w:rPr>
          <w:rFonts w:asciiTheme="minorHAnsi" w:hAnsiTheme="minorHAnsi" w:cstheme="minorHAnsi"/>
          <w:sz w:val="22"/>
          <w:szCs w:val="22"/>
        </w:rPr>
        <w:t>)</w:t>
      </w:r>
      <w:r w:rsidRPr="001A75A8">
        <w:rPr>
          <w:rFonts w:asciiTheme="minorHAnsi" w:hAnsiTheme="minorHAnsi" w:cstheme="minorHAnsi"/>
          <w:sz w:val="22"/>
          <w:szCs w:val="22"/>
        </w:rPr>
        <w:t xml:space="preserve"> </w:t>
      </w:r>
      <w:r w:rsidRPr="001A75A8">
        <w:rPr>
          <w:rFonts w:asciiTheme="minorHAnsi" w:hAnsiTheme="minorHAnsi" w:cstheme="minorHAnsi"/>
          <w:i/>
          <w:iCs/>
          <w:sz w:val="22"/>
          <w:szCs w:val="22"/>
        </w:rPr>
        <w:t>APPENDIX A - Community Remedy.</w:t>
      </w:r>
      <w:r w:rsidRPr="001A75A8">
        <w:rPr>
          <w:rFonts w:asciiTheme="minorHAnsi" w:hAnsiTheme="minorHAnsi" w:cstheme="minorHAnsi"/>
          <w:sz w:val="22"/>
          <w:szCs w:val="22"/>
        </w:rPr>
        <w:t xml:space="preserve"> [</w:t>
      </w:r>
      <w:r>
        <w:rPr>
          <w:rFonts w:asciiTheme="minorHAnsi" w:hAnsiTheme="minorHAnsi" w:cstheme="minorHAnsi"/>
          <w:sz w:val="22"/>
          <w:szCs w:val="22"/>
        </w:rPr>
        <w:t>PDF</w:t>
      </w:r>
      <w:r w:rsidRPr="001A75A8">
        <w:rPr>
          <w:rFonts w:asciiTheme="minorHAnsi" w:hAnsiTheme="minorHAnsi" w:cstheme="minorHAnsi"/>
          <w:sz w:val="22"/>
          <w:szCs w:val="22"/>
        </w:rPr>
        <w:t>] Nottinghamshire Police. Available at: &lt;https://www.nottinghamshire.pcc.police.uk/Document-Library/Public-Information/Meetings/Strategic-Resources-and-Performance/November-2014/Item%2010-%20Antisocial%20Behaviour%20-%20Community%20Remedy%20Appendix%20A.pdf&gt; [Accessed 2 March 2021].</w:t>
      </w:r>
    </w:p>
    <w:p w14:paraId="0D6BBA37" w14:textId="78D39A3B" w:rsidR="00472529" w:rsidRDefault="00472529" w:rsidP="008E390A">
      <w:pPr>
        <w:jc w:val="both"/>
        <w:rPr>
          <w:rFonts w:asciiTheme="minorHAnsi" w:hAnsiTheme="minorHAnsi" w:cstheme="minorHAnsi"/>
          <w:sz w:val="22"/>
          <w:szCs w:val="22"/>
        </w:rPr>
      </w:pPr>
    </w:p>
    <w:p w14:paraId="2CDCE3A6" w14:textId="77777777" w:rsidR="00472529" w:rsidRPr="008B6A23" w:rsidRDefault="00472529" w:rsidP="00472529">
      <w:pPr>
        <w:jc w:val="both"/>
        <w:rPr>
          <w:rFonts w:asciiTheme="minorHAnsi" w:hAnsiTheme="minorHAnsi" w:cstheme="minorHAnsi"/>
          <w:sz w:val="22"/>
          <w:szCs w:val="22"/>
        </w:rPr>
      </w:pPr>
      <w:proofErr w:type="spellStart"/>
      <w:r w:rsidRPr="00BD6803">
        <w:rPr>
          <w:rFonts w:asciiTheme="minorHAnsi" w:hAnsiTheme="minorHAnsi" w:cstheme="minorHAnsi"/>
          <w:sz w:val="22"/>
          <w:szCs w:val="22"/>
        </w:rPr>
        <w:t>Oxburgh</w:t>
      </w:r>
      <w:proofErr w:type="spellEnd"/>
      <w:r w:rsidRPr="00BD6803">
        <w:rPr>
          <w:rFonts w:asciiTheme="minorHAnsi" w:hAnsiTheme="minorHAnsi" w:cstheme="minorHAnsi"/>
          <w:sz w:val="22"/>
          <w:szCs w:val="22"/>
        </w:rPr>
        <w:t>, G</w:t>
      </w:r>
      <w:r>
        <w:rPr>
          <w:rFonts w:asciiTheme="minorHAnsi" w:hAnsiTheme="minorHAnsi" w:cstheme="minorHAnsi"/>
          <w:sz w:val="22"/>
          <w:szCs w:val="22"/>
        </w:rPr>
        <w:t xml:space="preserve">. </w:t>
      </w:r>
      <w:r w:rsidRPr="00BD6803">
        <w:rPr>
          <w:rFonts w:asciiTheme="minorHAnsi" w:hAnsiTheme="minorHAnsi" w:cstheme="minorHAnsi"/>
          <w:sz w:val="22"/>
          <w:szCs w:val="22"/>
        </w:rPr>
        <w:t>E</w:t>
      </w:r>
      <w:r>
        <w:rPr>
          <w:rFonts w:asciiTheme="minorHAnsi" w:hAnsiTheme="minorHAnsi" w:cstheme="minorHAnsi"/>
          <w:sz w:val="22"/>
          <w:szCs w:val="22"/>
        </w:rPr>
        <w:t>.</w:t>
      </w:r>
      <w:r w:rsidRPr="00BD6803">
        <w:rPr>
          <w:rFonts w:asciiTheme="minorHAnsi" w:hAnsiTheme="minorHAnsi" w:cstheme="minorHAnsi"/>
          <w:sz w:val="22"/>
          <w:szCs w:val="22"/>
        </w:rPr>
        <w:t xml:space="preserve">, </w:t>
      </w:r>
      <w:proofErr w:type="spellStart"/>
      <w:r w:rsidRPr="00BD6803">
        <w:rPr>
          <w:rFonts w:asciiTheme="minorHAnsi" w:hAnsiTheme="minorHAnsi" w:cstheme="minorHAnsi"/>
          <w:sz w:val="22"/>
          <w:szCs w:val="22"/>
        </w:rPr>
        <w:t>Myklebust</w:t>
      </w:r>
      <w:proofErr w:type="spellEnd"/>
      <w:r w:rsidRPr="00BD6803">
        <w:rPr>
          <w:rFonts w:asciiTheme="minorHAnsi" w:hAnsiTheme="minorHAnsi" w:cstheme="minorHAnsi"/>
          <w:sz w:val="22"/>
          <w:szCs w:val="22"/>
        </w:rPr>
        <w:t>, T</w:t>
      </w:r>
      <w:r>
        <w:rPr>
          <w:rFonts w:asciiTheme="minorHAnsi" w:hAnsiTheme="minorHAnsi" w:cstheme="minorHAnsi"/>
          <w:sz w:val="22"/>
          <w:szCs w:val="22"/>
        </w:rPr>
        <w:t>. and</w:t>
      </w:r>
      <w:r w:rsidRPr="00BD6803">
        <w:rPr>
          <w:rFonts w:asciiTheme="minorHAnsi" w:hAnsiTheme="minorHAnsi" w:cstheme="minorHAnsi"/>
          <w:sz w:val="22"/>
          <w:szCs w:val="22"/>
        </w:rPr>
        <w:t xml:space="preserve"> Grant, T</w:t>
      </w:r>
      <w:r>
        <w:rPr>
          <w:rFonts w:asciiTheme="minorHAnsi" w:hAnsiTheme="minorHAnsi" w:cstheme="minorHAnsi"/>
          <w:sz w:val="22"/>
          <w:szCs w:val="22"/>
        </w:rPr>
        <w:t>. (</w:t>
      </w:r>
      <w:r w:rsidRPr="00BD6803">
        <w:rPr>
          <w:rFonts w:asciiTheme="minorHAnsi" w:hAnsiTheme="minorHAnsi" w:cstheme="minorHAnsi"/>
          <w:sz w:val="22"/>
          <w:szCs w:val="22"/>
        </w:rPr>
        <w:t>2010</w:t>
      </w:r>
      <w:r>
        <w:rPr>
          <w:rFonts w:asciiTheme="minorHAnsi" w:hAnsiTheme="minorHAnsi" w:cstheme="minorHAnsi"/>
          <w:sz w:val="22"/>
          <w:szCs w:val="22"/>
        </w:rPr>
        <w:t>)</w:t>
      </w:r>
      <w:r w:rsidRPr="00BD6803">
        <w:rPr>
          <w:rFonts w:asciiTheme="minorHAnsi" w:hAnsiTheme="minorHAnsi" w:cstheme="minorHAnsi"/>
          <w:sz w:val="22"/>
          <w:szCs w:val="22"/>
        </w:rPr>
        <w:t xml:space="preserve"> The question of question types in police interviews: A review of the literature from a psychological and linguistic perspective</w:t>
      </w:r>
      <w:r>
        <w:rPr>
          <w:rFonts w:asciiTheme="minorHAnsi" w:hAnsiTheme="minorHAnsi" w:cstheme="minorHAnsi"/>
          <w:sz w:val="22"/>
          <w:szCs w:val="22"/>
        </w:rPr>
        <w:t>.</w:t>
      </w:r>
      <w:r w:rsidRPr="00BD6803">
        <w:rPr>
          <w:rFonts w:asciiTheme="minorHAnsi" w:hAnsiTheme="minorHAnsi" w:cstheme="minorHAnsi"/>
          <w:sz w:val="22"/>
          <w:szCs w:val="22"/>
        </w:rPr>
        <w:t xml:space="preserve"> </w:t>
      </w:r>
      <w:r w:rsidRPr="00BD6803">
        <w:rPr>
          <w:rFonts w:asciiTheme="minorHAnsi" w:hAnsiTheme="minorHAnsi" w:cstheme="minorHAnsi"/>
          <w:i/>
          <w:iCs/>
          <w:sz w:val="22"/>
          <w:szCs w:val="22"/>
        </w:rPr>
        <w:t>International Journal of Speech, Language and the Law</w:t>
      </w:r>
      <w:r>
        <w:rPr>
          <w:rFonts w:asciiTheme="minorHAnsi" w:hAnsiTheme="minorHAnsi" w:cstheme="minorHAnsi"/>
          <w:sz w:val="22"/>
          <w:szCs w:val="22"/>
        </w:rPr>
        <w:t>, 17(1),</w:t>
      </w:r>
      <w:r w:rsidRPr="00BD6803">
        <w:rPr>
          <w:rFonts w:asciiTheme="minorHAnsi" w:hAnsiTheme="minorHAnsi" w:cstheme="minorHAnsi"/>
          <w:sz w:val="22"/>
          <w:szCs w:val="22"/>
        </w:rPr>
        <w:t xml:space="preserve"> pp. 46-66. </w:t>
      </w:r>
    </w:p>
    <w:p w14:paraId="5BFF1A16" w14:textId="77777777" w:rsidR="008E390A" w:rsidRDefault="008E390A" w:rsidP="008E390A">
      <w:pPr>
        <w:jc w:val="both"/>
        <w:rPr>
          <w:rFonts w:asciiTheme="minorHAnsi" w:hAnsiTheme="minorHAnsi" w:cstheme="minorHAnsi"/>
          <w:sz w:val="22"/>
          <w:szCs w:val="22"/>
        </w:rPr>
      </w:pPr>
    </w:p>
    <w:p w14:paraId="64989D4D" w14:textId="77777777" w:rsidR="008E390A" w:rsidRDefault="008E390A" w:rsidP="008E390A">
      <w:pPr>
        <w:jc w:val="both"/>
        <w:rPr>
          <w:rFonts w:asciiTheme="minorHAnsi" w:hAnsiTheme="minorHAnsi" w:cstheme="minorHAnsi"/>
          <w:sz w:val="22"/>
          <w:szCs w:val="22"/>
        </w:rPr>
      </w:pPr>
      <w:r>
        <w:rPr>
          <w:rFonts w:asciiTheme="minorHAnsi" w:hAnsiTheme="minorHAnsi" w:cstheme="minorHAnsi"/>
          <w:sz w:val="22"/>
          <w:szCs w:val="22"/>
        </w:rPr>
        <w:t>Restorative Justice Council (</w:t>
      </w:r>
      <w:r w:rsidRPr="001A75A8">
        <w:rPr>
          <w:rFonts w:asciiTheme="minorHAnsi" w:hAnsiTheme="minorHAnsi" w:cstheme="minorHAnsi"/>
          <w:sz w:val="22"/>
          <w:szCs w:val="22"/>
        </w:rPr>
        <w:t>2014</w:t>
      </w:r>
      <w:r>
        <w:rPr>
          <w:rFonts w:asciiTheme="minorHAnsi" w:hAnsiTheme="minorHAnsi" w:cstheme="minorHAnsi"/>
          <w:sz w:val="22"/>
          <w:szCs w:val="22"/>
        </w:rPr>
        <w:t>)</w:t>
      </w:r>
      <w:r w:rsidRPr="001A75A8">
        <w:rPr>
          <w:rFonts w:asciiTheme="minorHAnsi" w:hAnsiTheme="minorHAnsi" w:cstheme="minorHAnsi"/>
          <w:sz w:val="22"/>
          <w:szCs w:val="22"/>
        </w:rPr>
        <w:t xml:space="preserve"> </w:t>
      </w:r>
      <w:r w:rsidRPr="001A75A8">
        <w:rPr>
          <w:rFonts w:asciiTheme="minorHAnsi" w:hAnsiTheme="minorHAnsi" w:cstheme="minorHAnsi"/>
          <w:i/>
          <w:iCs/>
          <w:sz w:val="22"/>
          <w:szCs w:val="22"/>
        </w:rPr>
        <w:t>Community resolution and restorative justice.</w:t>
      </w:r>
      <w:r w:rsidRPr="001A75A8">
        <w:rPr>
          <w:rFonts w:asciiTheme="minorHAnsi" w:hAnsiTheme="minorHAnsi" w:cstheme="minorHAnsi"/>
          <w:sz w:val="22"/>
          <w:szCs w:val="22"/>
        </w:rPr>
        <w:t xml:space="preserve"> [online] Available at: &lt;https://restorativejustice.org.uk/news/community-resolution-and-restorative-justice#:~:text=Community%20resolutions%20are%20an%20out,for%20the%20harm%2C%20into%20communication&gt; [Accessed 27 February 2021].</w:t>
      </w:r>
    </w:p>
    <w:p w14:paraId="7011795A" w14:textId="69696BC0" w:rsidR="008E390A" w:rsidRDefault="008E390A" w:rsidP="008B6A23">
      <w:pPr>
        <w:ind w:right="237"/>
        <w:jc w:val="both"/>
        <w:rPr>
          <w:rFonts w:asciiTheme="minorHAnsi" w:hAnsiTheme="minorHAnsi" w:cstheme="minorHAnsi"/>
          <w:sz w:val="22"/>
          <w:szCs w:val="22"/>
        </w:rPr>
      </w:pPr>
    </w:p>
    <w:p w14:paraId="742B6FA6" w14:textId="77777777" w:rsidR="008B6A23" w:rsidRDefault="008B6A23" w:rsidP="008B6A23">
      <w:pPr>
        <w:ind w:right="237"/>
        <w:jc w:val="both"/>
        <w:rPr>
          <w:rFonts w:asciiTheme="minorHAnsi" w:hAnsiTheme="minorHAnsi" w:cstheme="minorHAnsi"/>
          <w:sz w:val="22"/>
          <w:szCs w:val="22"/>
        </w:rPr>
      </w:pPr>
      <w:r w:rsidRPr="0072077D">
        <w:rPr>
          <w:rFonts w:asciiTheme="minorHAnsi" w:hAnsiTheme="minorHAnsi" w:cstheme="minorHAnsi"/>
          <w:sz w:val="22"/>
          <w:szCs w:val="22"/>
        </w:rPr>
        <w:t>Smith, L.</w:t>
      </w:r>
      <w:r>
        <w:rPr>
          <w:rFonts w:asciiTheme="minorHAnsi" w:hAnsiTheme="minorHAnsi" w:cstheme="minorHAnsi"/>
          <w:sz w:val="22"/>
          <w:szCs w:val="22"/>
        </w:rPr>
        <w:t xml:space="preserve"> (</w:t>
      </w:r>
      <w:r w:rsidRPr="0072077D">
        <w:rPr>
          <w:rFonts w:asciiTheme="minorHAnsi" w:hAnsiTheme="minorHAnsi" w:cstheme="minorHAnsi"/>
          <w:sz w:val="22"/>
          <w:szCs w:val="22"/>
        </w:rPr>
        <w:t>2018</w:t>
      </w:r>
      <w:r>
        <w:rPr>
          <w:rFonts w:asciiTheme="minorHAnsi" w:hAnsiTheme="minorHAnsi" w:cstheme="minorHAnsi"/>
          <w:sz w:val="22"/>
          <w:szCs w:val="22"/>
        </w:rPr>
        <w:t>)</w:t>
      </w:r>
      <w:r w:rsidRPr="0072077D">
        <w:rPr>
          <w:rFonts w:asciiTheme="minorHAnsi" w:hAnsiTheme="minorHAnsi" w:cstheme="minorHAnsi"/>
          <w:sz w:val="22"/>
          <w:szCs w:val="22"/>
        </w:rPr>
        <w:t xml:space="preserve"> </w:t>
      </w:r>
      <w:r w:rsidRPr="0072077D">
        <w:rPr>
          <w:rFonts w:asciiTheme="minorHAnsi" w:hAnsiTheme="minorHAnsi" w:cstheme="minorHAnsi"/>
          <w:i/>
          <w:iCs/>
          <w:sz w:val="22"/>
          <w:szCs w:val="22"/>
        </w:rPr>
        <w:t>Collaborative practice to support adults with complex needs.</w:t>
      </w:r>
      <w:r w:rsidRPr="0072077D">
        <w:rPr>
          <w:rFonts w:asciiTheme="minorHAnsi" w:hAnsiTheme="minorHAnsi" w:cstheme="minorHAnsi"/>
          <w:sz w:val="22"/>
          <w:szCs w:val="22"/>
        </w:rPr>
        <w:t xml:space="preserve"> [online] </w:t>
      </w:r>
      <w:proofErr w:type="spellStart"/>
      <w:r w:rsidRPr="0072077D">
        <w:rPr>
          <w:rFonts w:asciiTheme="minorHAnsi" w:hAnsiTheme="minorHAnsi" w:cstheme="minorHAnsi"/>
          <w:sz w:val="22"/>
          <w:szCs w:val="22"/>
        </w:rPr>
        <w:t>Iriss</w:t>
      </w:r>
      <w:proofErr w:type="spellEnd"/>
      <w:r w:rsidRPr="0072077D">
        <w:rPr>
          <w:rFonts w:asciiTheme="minorHAnsi" w:hAnsiTheme="minorHAnsi" w:cstheme="minorHAnsi"/>
          <w:sz w:val="22"/>
          <w:szCs w:val="22"/>
        </w:rPr>
        <w:t>. Available at: &lt;https://www.iriss.org.uk/resources/esss-outlines/collaborative-practice&gt; [Accessed 24 February 2021].</w:t>
      </w:r>
    </w:p>
    <w:p w14:paraId="41673920" w14:textId="66FC6087" w:rsidR="008B6A23" w:rsidRDefault="008B6A23" w:rsidP="008B6A23">
      <w:pPr>
        <w:ind w:right="237"/>
        <w:jc w:val="both"/>
        <w:rPr>
          <w:rFonts w:asciiTheme="minorHAnsi" w:hAnsiTheme="minorHAnsi" w:cstheme="minorHAnsi"/>
          <w:sz w:val="22"/>
          <w:szCs w:val="22"/>
        </w:rPr>
      </w:pPr>
    </w:p>
    <w:p w14:paraId="30AAB753" w14:textId="77777777" w:rsidR="008E390A" w:rsidRDefault="008E390A" w:rsidP="008E390A">
      <w:pPr>
        <w:jc w:val="both"/>
        <w:rPr>
          <w:rFonts w:asciiTheme="minorHAnsi" w:hAnsiTheme="minorHAnsi" w:cstheme="minorHAnsi"/>
          <w:sz w:val="22"/>
          <w:szCs w:val="22"/>
        </w:rPr>
      </w:pPr>
      <w:r>
        <w:rPr>
          <w:rFonts w:asciiTheme="minorHAnsi" w:hAnsiTheme="minorHAnsi" w:cstheme="minorHAnsi"/>
          <w:sz w:val="22"/>
          <w:szCs w:val="22"/>
        </w:rPr>
        <w:t>The Crown Prosecution Service (</w:t>
      </w:r>
      <w:r w:rsidRPr="00CB4D3A">
        <w:rPr>
          <w:rFonts w:asciiTheme="minorHAnsi" w:hAnsiTheme="minorHAnsi" w:cstheme="minorHAnsi"/>
          <w:sz w:val="22"/>
          <w:szCs w:val="22"/>
        </w:rPr>
        <w:t>2019</w:t>
      </w:r>
      <w:r>
        <w:rPr>
          <w:rFonts w:asciiTheme="minorHAnsi" w:hAnsiTheme="minorHAnsi" w:cstheme="minorHAnsi"/>
          <w:sz w:val="22"/>
          <w:szCs w:val="22"/>
        </w:rPr>
        <w:t>)</w:t>
      </w:r>
      <w:r w:rsidRPr="00CB4D3A">
        <w:rPr>
          <w:rFonts w:asciiTheme="minorHAnsi" w:hAnsiTheme="minorHAnsi" w:cstheme="minorHAnsi"/>
          <w:sz w:val="22"/>
          <w:szCs w:val="22"/>
        </w:rPr>
        <w:t xml:space="preserve"> </w:t>
      </w:r>
      <w:r w:rsidRPr="00CB4D3A">
        <w:rPr>
          <w:rFonts w:asciiTheme="minorHAnsi" w:hAnsiTheme="minorHAnsi" w:cstheme="minorHAnsi"/>
          <w:i/>
          <w:iCs/>
          <w:sz w:val="22"/>
          <w:szCs w:val="22"/>
        </w:rPr>
        <w:t>Conditional Cautioning: Adults – DPP Guidance</w:t>
      </w:r>
      <w:r w:rsidRPr="00CB4D3A">
        <w:rPr>
          <w:rFonts w:asciiTheme="minorHAnsi" w:hAnsiTheme="minorHAnsi" w:cstheme="minorHAnsi"/>
          <w:sz w:val="22"/>
          <w:szCs w:val="22"/>
        </w:rPr>
        <w:t>. [online] Available at: &lt;https://www.cps.gov.uk/legal-guidance/conditional-cautioning-adults-dpp-guidance&gt; [Accessed 27 February 2021].</w:t>
      </w:r>
    </w:p>
    <w:p w14:paraId="2047AC6B" w14:textId="77777777" w:rsidR="008E390A" w:rsidRDefault="008E390A" w:rsidP="008E390A">
      <w:pPr>
        <w:jc w:val="both"/>
        <w:rPr>
          <w:rFonts w:asciiTheme="minorHAnsi" w:hAnsiTheme="minorHAnsi" w:cstheme="minorHAnsi"/>
          <w:sz w:val="22"/>
          <w:szCs w:val="22"/>
        </w:rPr>
      </w:pPr>
    </w:p>
    <w:p w14:paraId="78AE405C" w14:textId="3B93482D" w:rsidR="008E390A" w:rsidRDefault="008E390A" w:rsidP="008E390A">
      <w:pPr>
        <w:jc w:val="both"/>
        <w:rPr>
          <w:rFonts w:asciiTheme="minorHAnsi" w:hAnsiTheme="minorHAnsi" w:cstheme="minorHAnsi"/>
          <w:sz w:val="22"/>
          <w:szCs w:val="22"/>
        </w:rPr>
      </w:pPr>
      <w:r>
        <w:rPr>
          <w:rFonts w:asciiTheme="minorHAnsi" w:hAnsiTheme="minorHAnsi" w:cstheme="minorHAnsi"/>
          <w:sz w:val="22"/>
          <w:szCs w:val="22"/>
        </w:rPr>
        <w:t>The Crown Prosecution Service</w:t>
      </w:r>
      <w:r w:rsidRPr="00EC4EBE">
        <w:rPr>
          <w:rFonts w:asciiTheme="minorHAnsi" w:hAnsiTheme="minorHAnsi" w:cstheme="minorHAnsi"/>
          <w:sz w:val="22"/>
          <w:szCs w:val="22"/>
        </w:rPr>
        <w:t xml:space="preserve"> </w:t>
      </w:r>
      <w:r>
        <w:rPr>
          <w:rFonts w:asciiTheme="minorHAnsi" w:hAnsiTheme="minorHAnsi" w:cstheme="minorHAnsi"/>
          <w:sz w:val="22"/>
          <w:szCs w:val="22"/>
        </w:rPr>
        <w:t>(</w:t>
      </w:r>
      <w:r w:rsidRPr="00EC4EBE">
        <w:rPr>
          <w:rFonts w:asciiTheme="minorHAnsi" w:hAnsiTheme="minorHAnsi" w:cstheme="minorHAnsi"/>
          <w:sz w:val="22"/>
          <w:szCs w:val="22"/>
        </w:rPr>
        <w:t>2020</w:t>
      </w:r>
      <w:r>
        <w:rPr>
          <w:rFonts w:asciiTheme="minorHAnsi" w:hAnsiTheme="minorHAnsi" w:cstheme="minorHAnsi"/>
          <w:sz w:val="22"/>
          <w:szCs w:val="22"/>
        </w:rPr>
        <w:t>)</w:t>
      </w:r>
      <w:r w:rsidRPr="00EC4EBE">
        <w:rPr>
          <w:rFonts w:asciiTheme="minorHAnsi" w:hAnsiTheme="minorHAnsi" w:cstheme="minorHAnsi"/>
          <w:sz w:val="22"/>
          <w:szCs w:val="22"/>
        </w:rPr>
        <w:t xml:space="preserve"> </w:t>
      </w:r>
      <w:r w:rsidRPr="00EC4EBE">
        <w:rPr>
          <w:rFonts w:asciiTheme="minorHAnsi" w:hAnsiTheme="minorHAnsi" w:cstheme="minorHAnsi"/>
          <w:i/>
          <w:iCs/>
          <w:sz w:val="22"/>
          <w:szCs w:val="22"/>
        </w:rPr>
        <w:t>Criminal Behaviour Orders</w:t>
      </w:r>
      <w:r w:rsidRPr="00EC4EBE">
        <w:rPr>
          <w:rFonts w:asciiTheme="minorHAnsi" w:hAnsiTheme="minorHAnsi" w:cstheme="minorHAnsi"/>
          <w:sz w:val="22"/>
          <w:szCs w:val="22"/>
        </w:rPr>
        <w:t>. [online] Available at: &lt;https://www.cps.gov.uk/legal-guidance/criminal-behaviour-orders#:~:text=or%20youth%20court.-,A%20CBO%3A,entering%20a%20defined%20area)%3B&gt; [Accessed 1 March 2021].</w:t>
      </w:r>
    </w:p>
    <w:p w14:paraId="1C44A849" w14:textId="10F8CC5E" w:rsidR="00472529" w:rsidRDefault="00472529" w:rsidP="008E390A">
      <w:pPr>
        <w:jc w:val="both"/>
        <w:rPr>
          <w:rFonts w:asciiTheme="minorHAnsi" w:hAnsiTheme="minorHAnsi" w:cstheme="minorHAnsi"/>
          <w:sz w:val="22"/>
          <w:szCs w:val="22"/>
        </w:rPr>
      </w:pPr>
    </w:p>
    <w:p w14:paraId="529ED69C" w14:textId="77777777" w:rsidR="005C34F8" w:rsidRDefault="00472529" w:rsidP="008B6A23">
      <w:pPr>
        <w:ind w:right="237"/>
        <w:jc w:val="both"/>
        <w:rPr>
          <w:rFonts w:asciiTheme="minorHAnsi" w:hAnsiTheme="minorHAnsi" w:cstheme="minorHAnsi"/>
          <w:sz w:val="22"/>
          <w:szCs w:val="22"/>
        </w:rPr>
      </w:pPr>
      <w:r w:rsidRPr="00CD1AB6">
        <w:rPr>
          <w:rFonts w:asciiTheme="minorHAnsi" w:hAnsiTheme="minorHAnsi" w:cstheme="minorHAnsi"/>
          <w:sz w:val="22"/>
          <w:szCs w:val="22"/>
        </w:rPr>
        <w:t>The Guardian</w:t>
      </w:r>
      <w:r>
        <w:rPr>
          <w:rFonts w:asciiTheme="minorHAnsi" w:hAnsiTheme="minorHAnsi" w:cstheme="minorHAnsi"/>
          <w:sz w:val="22"/>
          <w:szCs w:val="22"/>
        </w:rPr>
        <w:t xml:space="preserve"> (</w:t>
      </w:r>
      <w:r w:rsidRPr="00CD1AB6">
        <w:rPr>
          <w:rFonts w:asciiTheme="minorHAnsi" w:hAnsiTheme="minorHAnsi" w:cstheme="minorHAnsi"/>
          <w:sz w:val="22"/>
          <w:szCs w:val="22"/>
        </w:rPr>
        <w:t>2016</w:t>
      </w:r>
      <w:r>
        <w:rPr>
          <w:rFonts w:asciiTheme="minorHAnsi" w:hAnsiTheme="minorHAnsi" w:cstheme="minorHAnsi"/>
          <w:sz w:val="22"/>
          <w:szCs w:val="22"/>
        </w:rPr>
        <w:t>)</w:t>
      </w:r>
      <w:r w:rsidRPr="00CD1AB6">
        <w:rPr>
          <w:rFonts w:asciiTheme="minorHAnsi" w:hAnsiTheme="minorHAnsi" w:cstheme="minorHAnsi"/>
          <w:sz w:val="22"/>
          <w:szCs w:val="22"/>
        </w:rPr>
        <w:t xml:space="preserve"> </w:t>
      </w:r>
      <w:r w:rsidRPr="00CD1AB6">
        <w:rPr>
          <w:rFonts w:asciiTheme="minorHAnsi" w:hAnsiTheme="minorHAnsi" w:cstheme="minorHAnsi"/>
          <w:i/>
          <w:iCs/>
          <w:sz w:val="22"/>
          <w:szCs w:val="22"/>
        </w:rPr>
        <w:t>Mental health crisis takes huge and increasing share of police time</w:t>
      </w:r>
      <w:r w:rsidRPr="00CD1AB6">
        <w:rPr>
          <w:rFonts w:asciiTheme="minorHAnsi" w:hAnsiTheme="minorHAnsi" w:cstheme="minorHAnsi"/>
          <w:sz w:val="22"/>
          <w:szCs w:val="22"/>
        </w:rPr>
        <w:t>. [online] Available at: &lt;https://www.theguardian.com/uk-news/2016/jan/27/mental-health-crisis-huge-increasing-share-police-time-40&gt; [Accessed 2 March 2021].</w:t>
      </w:r>
    </w:p>
    <w:p w14:paraId="25B05EB8" w14:textId="77777777" w:rsidR="005C34F8" w:rsidRDefault="005C34F8" w:rsidP="008B6A23">
      <w:pPr>
        <w:ind w:right="237"/>
        <w:jc w:val="both"/>
        <w:rPr>
          <w:rFonts w:asciiTheme="minorHAnsi" w:hAnsiTheme="minorHAnsi" w:cstheme="minorHAnsi"/>
          <w:sz w:val="22"/>
          <w:szCs w:val="22"/>
        </w:rPr>
      </w:pPr>
    </w:p>
    <w:p w14:paraId="1D7D2021" w14:textId="329BFFC8" w:rsidR="008B6A23" w:rsidRDefault="00472529" w:rsidP="008B6A23">
      <w:pPr>
        <w:ind w:right="237"/>
        <w:jc w:val="both"/>
        <w:rPr>
          <w:rFonts w:asciiTheme="minorHAnsi" w:hAnsiTheme="minorHAnsi" w:cstheme="minorHAnsi"/>
          <w:sz w:val="22"/>
          <w:szCs w:val="22"/>
        </w:rPr>
      </w:pPr>
      <w:proofErr w:type="spellStart"/>
      <w:r>
        <w:rPr>
          <w:rFonts w:asciiTheme="minorHAnsi" w:hAnsiTheme="minorHAnsi" w:cstheme="minorHAnsi"/>
          <w:sz w:val="22"/>
          <w:szCs w:val="22"/>
        </w:rPr>
        <w:lastRenderedPageBreak/>
        <w:t>T</w:t>
      </w:r>
      <w:r w:rsidR="008B6A23">
        <w:rPr>
          <w:rFonts w:asciiTheme="minorHAnsi" w:hAnsiTheme="minorHAnsi" w:cstheme="minorHAnsi"/>
          <w:sz w:val="22"/>
          <w:szCs w:val="22"/>
        </w:rPr>
        <w:t>ri.x</w:t>
      </w:r>
      <w:proofErr w:type="spellEnd"/>
      <w:r w:rsidR="008B6A23">
        <w:rPr>
          <w:rFonts w:asciiTheme="minorHAnsi" w:hAnsiTheme="minorHAnsi" w:cstheme="minorHAnsi"/>
          <w:sz w:val="22"/>
          <w:szCs w:val="22"/>
        </w:rPr>
        <w:t>. (</w:t>
      </w:r>
      <w:r w:rsidR="008B6A23" w:rsidRPr="004A0146">
        <w:rPr>
          <w:rFonts w:asciiTheme="minorHAnsi" w:hAnsiTheme="minorHAnsi" w:cstheme="minorHAnsi"/>
          <w:sz w:val="22"/>
          <w:szCs w:val="22"/>
        </w:rPr>
        <w:t>2016</w:t>
      </w:r>
      <w:r w:rsidR="008B6A23">
        <w:rPr>
          <w:rFonts w:asciiTheme="minorHAnsi" w:hAnsiTheme="minorHAnsi" w:cstheme="minorHAnsi"/>
          <w:sz w:val="22"/>
          <w:szCs w:val="22"/>
        </w:rPr>
        <w:t>)</w:t>
      </w:r>
      <w:r w:rsidR="008B6A23" w:rsidRPr="004A0146">
        <w:rPr>
          <w:rFonts w:asciiTheme="minorHAnsi" w:hAnsiTheme="minorHAnsi" w:cstheme="minorHAnsi"/>
          <w:sz w:val="22"/>
          <w:szCs w:val="22"/>
        </w:rPr>
        <w:t xml:space="preserve"> </w:t>
      </w:r>
      <w:r w:rsidR="008B6A23" w:rsidRPr="004A0146">
        <w:rPr>
          <w:rFonts w:asciiTheme="minorHAnsi" w:hAnsiTheme="minorHAnsi" w:cstheme="minorHAnsi"/>
          <w:i/>
          <w:iCs/>
          <w:sz w:val="22"/>
          <w:szCs w:val="22"/>
        </w:rPr>
        <w:t>Multi-agency Safeguarding Hub (MASH) Practice Standards for Partners.</w:t>
      </w:r>
      <w:r w:rsidR="008B6A23" w:rsidRPr="004A0146">
        <w:rPr>
          <w:rFonts w:asciiTheme="minorHAnsi" w:hAnsiTheme="minorHAnsi" w:cstheme="minorHAnsi"/>
          <w:sz w:val="22"/>
          <w:szCs w:val="22"/>
        </w:rPr>
        <w:t xml:space="preserve"> [</w:t>
      </w:r>
      <w:r w:rsidR="008B6A23">
        <w:rPr>
          <w:rFonts w:asciiTheme="minorHAnsi" w:hAnsiTheme="minorHAnsi" w:cstheme="minorHAnsi"/>
          <w:sz w:val="22"/>
          <w:szCs w:val="22"/>
        </w:rPr>
        <w:t>PDF</w:t>
      </w:r>
      <w:r w:rsidR="008B6A23" w:rsidRPr="004A0146">
        <w:rPr>
          <w:rFonts w:asciiTheme="minorHAnsi" w:hAnsiTheme="minorHAnsi" w:cstheme="minorHAnsi"/>
          <w:sz w:val="22"/>
          <w:szCs w:val="22"/>
        </w:rPr>
        <w:t xml:space="preserve">] </w:t>
      </w:r>
      <w:proofErr w:type="spellStart"/>
      <w:r w:rsidR="008B6A23" w:rsidRPr="004A0146">
        <w:rPr>
          <w:rFonts w:asciiTheme="minorHAnsi" w:hAnsiTheme="minorHAnsi" w:cstheme="minorHAnsi"/>
          <w:sz w:val="22"/>
          <w:szCs w:val="22"/>
        </w:rPr>
        <w:t>Tri.x</w:t>
      </w:r>
      <w:proofErr w:type="spellEnd"/>
      <w:r w:rsidR="008B6A23" w:rsidRPr="004A0146">
        <w:rPr>
          <w:rFonts w:asciiTheme="minorHAnsi" w:hAnsiTheme="minorHAnsi" w:cstheme="minorHAnsi"/>
          <w:sz w:val="22"/>
          <w:szCs w:val="22"/>
        </w:rPr>
        <w:t>. Available at: &lt;https://proceduresonline.com/trixcms1/media/2888/mash-practice-standards-final-july-2016.pdf&gt; [Accessed 1 March 2021].</w:t>
      </w:r>
    </w:p>
    <w:p w14:paraId="644662E9" w14:textId="77777777" w:rsidR="008B6A23" w:rsidRDefault="008B6A23" w:rsidP="008B6A23">
      <w:pPr>
        <w:ind w:right="237"/>
        <w:jc w:val="both"/>
        <w:rPr>
          <w:rFonts w:asciiTheme="minorHAnsi" w:hAnsiTheme="minorHAnsi" w:cstheme="minorHAnsi"/>
          <w:sz w:val="22"/>
          <w:szCs w:val="22"/>
        </w:rPr>
      </w:pPr>
    </w:p>
    <w:p w14:paraId="7B4D6513" w14:textId="77777777" w:rsidR="008B6A23" w:rsidRDefault="008B6A23" w:rsidP="008B6A23">
      <w:pPr>
        <w:ind w:right="237"/>
        <w:jc w:val="both"/>
        <w:rPr>
          <w:rFonts w:asciiTheme="minorHAnsi" w:hAnsiTheme="minorHAnsi" w:cstheme="minorHAnsi"/>
          <w:sz w:val="22"/>
          <w:szCs w:val="22"/>
        </w:rPr>
      </w:pPr>
      <w:r>
        <w:rPr>
          <w:rFonts w:asciiTheme="minorHAnsi" w:hAnsiTheme="minorHAnsi" w:cstheme="minorHAnsi"/>
          <w:sz w:val="22"/>
          <w:szCs w:val="22"/>
        </w:rPr>
        <w:t>Welsh Government (</w:t>
      </w:r>
      <w:r w:rsidRPr="00F11C4D">
        <w:rPr>
          <w:rFonts w:asciiTheme="minorHAnsi" w:hAnsiTheme="minorHAnsi" w:cstheme="minorHAnsi"/>
          <w:sz w:val="22"/>
          <w:szCs w:val="22"/>
        </w:rPr>
        <w:t>2016</w:t>
      </w:r>
      <w:r>
        <w:rPr>
          <w:rFonts w:asciiTheme="minorHAnsi" w:hAnsiTheme="minorHAnsi" w:cstheme="minorHAnsi"/>
          <w:sz w:val="22"/>
          <w:szCs w:val="22"/>
        </w:rPr>
        <w:t>)</w:t>
      </w:r>
      <w:r w:rsidRPr="00F11C4D">
        <w:rPr>
          <w:rFonts w:asciiTheme="minorHAnsi" w:hAnsiTheme="minorHAnsi" w:cstheme="minorHAnsi"/>
          <w:sz w:val="22"/>
          <w:szCs w:val="22"/>
        </w:rPr>
        <w:t xml:space="preserve"> </w:t>
      </w:r>
      <w:r w:rsidRPr="00F11C4D">
        <w:rPr>
          <w:rFonts w:asciiTheme="minorHAnsi" w:hAnsiTheme="minorHAnsi" w:cstheme="minorHAnsi"/>
          <w:i/>
          <w:iCs/>
          <w:sz w:val="22"/>
          <w:szCs w:val="22"/>
        </w:rPr>
        <w:t>Mental Health Act 1983 - Code of Practice For Wales Review.</w:t>
      </w:r>
      <w:r w:rsidRPr="00F11C4D">
        <w:rPr>
          <w:rFonts w:asciiTheme="minorHAnsi" w:hAnsiTheme="minorHAnsi" w:cstheme="minorHAnsi"/>
          <w:sz w:val="22"/>
          <w:szCs w:val="22"/>
        </w:rPr>
        <w:t xml:space="preserve"> [</w:t>
      </w:r>
      <w:r>
        <w:rPr>
          <w:rFonts w:asciiTheme="minorHAnsi" w:hAnsiTheme="minorHAnsi" w:cstheme="minorHAnsi"/>
          <w:sz w:val="22"/>
          <w:szCs w:val="22"/>
        </w:rPr>
        <w:t>PDF</w:t>
      </w:r>
      <w:r w:rsidRPr="00F11C4D">
        <w:rPr>
          <w:rFonts w:asciiTheme="minorHAnsi" w:hAnsiTheme="minorHAnsi" w:cstheme="minorHAnsi"/>
          <w:sz w:val="22"/>
          <w:szCs w:val="22"/>
        </w:rPr>
        <w:t>] Welsh Government. Available at: &lt;https://gov.wales/sites/default/files/publications/2019-03/mental-health-act-1983-code-of-practice-mental-health-act-1983-for-wales-review-revised-2016.pdf&gt; [Accessed 1 March 2021].</w:t>
      </w:r>
    </w:p>
    <w:p w14:paraId="632B8156" w14:textId="77777777" w:rsidR="008B6A23" w:rsidRDefault="008B6A23" w:rsidP="008B6A23">
      <w:pPr>
        <w:ind w:right="237"/>
        <w:jc w:val="both"/>
        <w:rPr>
          <w:rFonts w:asciiTheme="minorHAnsi" w:hAnsiTheme="minorHAnsi" w:cstheme="minorHAnsi"/>
          <w:sz w:val="22"/>
          <w:szCs w:val="22"/>
        </w:rPr>
      </w:pPr>
    </w:p>
    <w:p w14:paraId="170DAEC4" w14:textId="77777777" w:rsidR="008B6A23" w:rsidRPr="002E1E64" w:rsidRDefault="008B6A23" w:rsidP="008B6A23">
      <w:pPr>
        <w:ind w:right="237"/>
        <w:jc w:val="both"/>
        <w:rPr>
          <w:rFonts w:asciiTheme="minorHAnsi" w:hAnsiTheme="minorHAnsi" w:cstheme="minorHAnsi"/>
          <w:sz w:val="22"/>
          <w:szCs w:val="22"/>
        </w:rPr>
      </w:pPr>
      <w:r>
        <w:rPr>
          <w:rFonts w:asciiTheme="minorHAnsi" w:hAnsiTheme="minorHAnsi" w:cstheme="minorHAnsi"/>
          <w:sz w:val="22"/>
          <w:szCs w:val="22"/>
        </w:rPr>
        <w:t>West Midlands Police (</w:t>
      </w:r>
      <w:r w:rsidRPr="004A0146">
        <w:rPr>
          <w:rFonts w:asciiTheme="minorHAnsi" w:hAnsiTheme="minorHAnsi" w:cstheme="minorHAnsi"/>
          <w:sz w:val="22"/>
          <w:szCs w:val="22"/>
        </w:rPr>
        <w:t>2020</w:t>
      </w:r>
      <w:r>
        <w:rPr>
          <w:rFonts w:asciiTheme="minorHAnsi" w:hAnsiTheme="minorHAnsi" w:cstheme="minorHAnsi"/>
          <w:sz w:val="22"/>
          <w:szCs w:val="22"/>
        </w:rPr>
        <w:t>)</w:t>
      </w:r>
      <w:r w:rsidRPr="004A0146">
        <w:rPr>
          <w:rFonts w:asciiTheme="minorHAnsi" w:hAnsiTheme="minorHAnsi" w:cstheme="minorHAnsi"/>
          <w:sz w:val="22"/>
          <w:szCs w:val="22"/>
        </w:rPr>
        <w:t xml:space="preserve"> </w:t>
      </w:r>
      <w:r w:rsidRPr="004A0146">
        <w:rPr>
          <w:rFonts w:asciiTheme="minorHAnsi" w:hAnsiTheme="minorHAnsi" w:cstheme="minorHAnsi"/>
          <w:i/>
          <w:iCs/>
          <w:sz w:val="22"/>
          <w:szCs w:val="22"/>
        </w:rPr>
        <w:t>Crisis Incidents in Private Premises &amp; Mental Health Welfare Checks.</w:t>
      </w:r>
      <w:r w:rsidRPr="004A0146">
        <w:rPr>
          <w:rFonts w:asciiTheme="minorHAnsi" w:hAnsiTheme="minorHAnsi" w:cstheme="minorHAnsi"/>
          <w:sz w:val="22"/>
          <w:szCs w:val="22"/>
        </w:rPr>
        <w:t xml:space="preserve"> [</w:t>
      </w:r>
      <w:r>
        <w:rPr>
          <w:rFonts w:asciiTheme="minorHAnsi" w:hAnsiTheme="minorHAnsi" w:cstheme="minorHAnsi"/>
          <w:sz w:val="22"/>
          <w:szCs w:val="22"/>
        </w:rPr>
        <w:t>PDF</w:t>
      </w:r>
      <w:r w:rsidRPr="004A0146">
        <w:rPr>
          <w:rFonts w:asciiTheme="minorHAnsi" w:hAnsiTheme="minorHAnsi" w:cstheme="minorHAnsi"/>
          <w:sz w:val="22"/>
          <w:szCs w:val="22"/>
        </w:rPr>
        <w:t>] West Midland</w:t>
      </w:r>
      <w:r>
        <w:rPr>
          <w:rFonts w:asciiTheme="minorHAnsi" w:hAnsiTheme="minorHAnsi" w:cstheme="minorHAnsi"/>
          <w:sz w:val="22"/>
          <w:szCs w:val="22"/>
        </w:rPr>
        <w:t>s</w:t>
      </w:r>
      <w:r w:rsidRPr="004A0146">
        <w:rPr>
          <w:rFonts w:asciiTheme="minorHAnsi" w:hAnsiTheme="minorHAnsi" w:cstheme="minorHAnsi"/>
          <w:sz w:val="22"/>
          <w:szCs w:val="22"/>
        </w:rPr>
        <w:t xml:space="preserve"> Police. Available at: &lt;https://foi.west-midlands.police.uk/wp-content/uploads/2020/03/1-Crisis-Welfare-Checks-1.pdf&gt; [Accessed 3 March 2021].</w:t>
      </w:r>
    </w:p>
    <w:p w14:paraId="362FE8BF" w14:textId="70857551" w:rsidR="008B6A23" w:rsidRDefault="008B6A23" w:rsidP="008B6A23">
      <w:pPr>
        <w:jc w:val="both"/>
        <w:rPr>
          <w:rFonts w:asciiTheme="minorHAnsi" w:hAnsiTheme="minorHAnsi" w:cstheme="minorHAnsi"/>
        </w:rPr>
      </w:pPr>
    </w:p>
    <w:p w14:paraId="4D3BA154" w14:textId="77777777" w:rsidR="00EE55E6" w:rsidRDefault="00EE55E6" w:rsidP="00EE55E6">
      <w:pPr>
        <w:jc w:val="both"/>
        <w:rPr>
          <w:rFonts w:asciiTheme="minorHAnsi" w:hAnsiTheme="minorHAnsi" w:cstheme="minorHAnsi"/>
          <w:sz w:val="22"/>
          <w:szCs w:val="22"/>
        </w:rPr>
      </w:pPr>
    </w:p>
    <w:p w14:paraId="4AF2927F" w14:textId="77777777" w:rsidR="00EE55E6" w:rsidRPr="00C454F2" w:rsidRDefault="00EE55E6" w:rsidP="008B6A23">
      <w:pPr>
        <w:jc w:val="both"/>
        <w:rPr>
          <w:rFonts w:asciiTheme="minorHAnsi" w:hAnsiTheme="minorHAnsi" w:cstheme="minorHAnsi"/>
        </w:rPr>
      </w:pPr>
    </w:p>
    <w:p w14:paraId="17E4B65B" w14:textId="77777777" w:rsidR="008B6A23" w:rsidRPr="00270EEB" w:rsidRDefault="008B6A23" w:rsidP="5848403C">
      <w:pPr>
        <w:keepNext/>
        <w:spacing w:before="240" w:after="60"/>
        <w:ind w:right="237"/>
        <w:jc w:val="both"/>
        <w:rPr>
          <w:b/>
          <w:bCs/>
          <w:sz w:val="24"/>
          <w:szCs w:val="24"/>
        </w:rPr>
      </w:pP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213B90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w:t>
      </w:r>
      <w:proofErr w:type="spellStart"/>
      <w:r w:rsidR="000A05F7">
        <w:rPr>
          <w:rFonts w:eastAsia="Arial"/>
          <w:color w:val="000000" w:themeColor="text1"/>
          <w:sz w:val="24"/>
          <w:szCs w:val="24"/>
        </w:rPr>
        <w:t>M.Edwards</w:t>
      </w:r>
      <w:proofErr w:type="spellEnd"/>
      <w:r w:rsidRPr="5848403C">
        <w:rPr>
          <w:rFonts w:eastAsia="Arial"/>
          <w:color w:val="000000" w:themeColor="text1"/>
          <w:sz w:val="24"/>
          <w:szCs w:val="24"/>
        </w:rPr>
        <w:t xml:space="preserve">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2CB02C4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0A05F7">
        <w:rPr>
          <w:rFonts w:eastAsia="Arial"/>
          <w:color w:val="000000" w:themeColor="text1"/>
          <w:sz w:val="24"/>
          <w:szCs w:val="24"/>
        </w:rPr>
        <w:t>06/03/2021</w:t>
      </w:r>
      <w:r w:rsidRPr="5848403C">
        <w:rPr>
          <w:rFonts w:eastAsia="Arial"/>
          <w:color w:val="000000" w:themeColor="text1"/>
          <w:sz w:val="24"/>
          <w:szCs w:val="24"/>
        </w:rPr>
        <w:t xml:space="preserve"> _ _ _ _ _ _ _ _</w:t>
      </w:r>
    </w:p>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807BBB" w14:textId="77777777" w:rsidR="00FB693F" w:rsidRDefault="00FB693F">
      <w:r>
        <w:separator/>
      </w:r>
    </w:p>
  </w:endnote>
  <w:endnote w:type="continuationSeparator" w:id="0">
    <w:p w14:paraId="268B2217" w14:textId="77777777" w:rsidR="00FB693F" w:rsidRDefault="00FB69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711F9B" w14:textId="77777777" w:rsidR="00FB693F" w:rsidRDefault="00FB693F">
      <w:r>
        <w:separator/>
      </w:r>
    </w:p>
  </w:footnote>
  <w:footnote w:type="continuationSeparator" w:id="0">
    <w:p w14:paraId="0C6C8C60" w14:textId="77777777" w:rsidR="00FB693F" w:rsidRDefault="00FB69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594889"/>
    <w:multiLevelType w:val="hybridMultilevel"/>
    <w:tmpl w:val="F5FED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5F7"/>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105D"/>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1434"/>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0FDF"/>
    <w:rsid w:val="003D4710"/>
    <w:rsid w:val="003E16D7"/>
    <w:rsid w:val="003E197E"/>
    <w:rsid w:val="004046F0"/>
    <w:rsid w:val="0040668F"/>
    <w:rsid w:val="00412677"/>
    <w:rsid w:val="00417925"/>
    <w:rsid w:val="00422E8D"/>
    <w:rsid w:val="004348AE"/>
    <w:rsid w:val="004376C0"/>
    <w:rsid w:val="0044115F"/>
    <w:rsid w:val="0044223A"/>
    <w:rsid w:val="00446792"/>
    <w:rsid w:val="00446F80"/>
    <w:rsid w:val="00450C83"/>
    <w:rsid w:val="00451851"/>
    <w:rsid w:val="00453343"/>
    <w:rsid w:val="004608B9"/>
    <w:rsid w:val="00460ADB"/>
    <w:rsid w:val="00465947"/>
    <w:rsid w:val="00470BB1"/>
    <w:rsid w:val="004715B4"/>
    <w:rsid w:val="004718F7"/>
    <w:rsid w:val="00472529"/>
    <w:rsid w:val="00473153"/>
    <w:rsid w:val="004743AF"/>
    <w:rsid w:val="00482C17"/>
    <w:rsid w:val="004911B4"/>
    <w:rsid w:val="0049196A"/>
    <w:rsid w:val="004923DA"/>
    <w:rsid w:val="00493434"/>
    <w:rsid w:val="00493E12"/>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34F8"/>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47CAB"/>
    <w:rsid w:val="0065276E"/>
    <w:rsid w:val="00654329"/>
    <w:rsid w:val="00654CEC"/>
    <w:rsid w:val="00655507"/>
    <w:rsid w:val="006712A7"/>
    <w:rsid w:val="006733CC"/>
    <w:rsid w:val="00674FC2"/>
    <w:rsid w:val="00677E42"/>
    <w:rsid w:val="00682334"/>
    <w:rsid w:val="00684453"/>
    <w:rsid w:val="00684B16"/>
    <w:rsid w:val="006941EB"/>
    <w:rsid w:val="00696F65"/>
    <w:rsid w:val="006A7A6D"/>
    <w:rsid w:val="006B5E67"/>
    <w:rsid w:val="006C2EB5"/>
    <w:rsid w:val="006D18A3"/>
    <w:rsid w:val="006D5970"/>
    <w:rsid w:val="006E481E"/>
    <w:rsid w:val="006E795F"/>
    <w:rsid w:val="006F408E"/>
    <w:rsid w:val="00700249"/>
    <w:rsid w:val="007002C8"/>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B6A23"/>
    <w:rsid w:val="008C14C7"/>
    <w:rsid w:val="008C2FFB"/>
    <w:rsid w:val="008C6EEA"/>
    <w:rsid w:val="008D5813"/>
    <w:rsid w:val="008D634E"/>
    <w:rsid w:val="008D778A"/>
    <w:rsid w:val="008E01E5"/>
    <w:rsid w:val="008E390A"/>
    <w:rsid w:val="008F22BD"/>
    <w:rsid w:val="009079BD"/>
    <w:rsid w:val="00912BD9"/>
    <w:rsid w:val="00920E5B"/>
    <w:rsid w:val="00926436"/>
    <w:rsid w:val="0093018C"/>
    <w:rsid w:val="00932CCA"/>
    <w:rsid w:val="009544C0"/>
    <w:rsid w:val="00954FA4"/>
    <w:rsid w:val="00956AE9"/>
    <w:rsid w:val="00964CC6"/>
    <w:rsid w:val="00975217"/>
    <w:rsid w:val="00991FDA"/>
    <w:rsid w:val="009927A1"/>
    <w:rsid w:val="0099774D"/>
    <w:rsid w:val="009A5F3B"/>
    <w:rsid w:val="009B0B61"/>
    <w:rsid w:val="009B28C0"/>
    <w:rsid w:val="009B7136"/>
    <w:rsid w:val="009B7806"/>
    <w:rsid w:val="009C3AC2"/>
    <w:rsid w:val="009C71B9"/>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3757"/>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D4F2E"/>
    <w:rsid w:val="00BE0F7B"/>
    <w:rsid w:val="00BE10C2"/>
    <w:rsid w:val="00BF75A9"/>
    <w:rsid w:val="00C01D14"/>
    <w:rsid w:val="00C025B4"/>
    <w:rsid w:val="00C10CCC"/>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641"/>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E3472"/>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284F"/>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5D7"/>
    <w:rsid w:val="00EB2173"/>
    <w:rsid w:val="00EB62E6"/>
    <w:rsid w:val="00ED1B30"/>
    <w:rsid w:val="00ED250E"/>
    <w:rsid w:val="00ED528D"/>
    <w:rsid w:val="00EE1AC1"/>
    <w:rsid w:val="00EE39D6"/>
    <w:rsid w:val="00EE413C"/>
    <w:rsid w:val="00EE52AD"/>
    <w:rsid w:val="00EE55E6"/>
    <w:rsid w:val="00F00945"/>
    <w:rsid w:val="00F01F92"/>
    <w:rsid w:val="00F10A08"/>
    <w:rsid w:val="00F13770"/>
    <w:rsid w:val="00F139CF"/>
    <w:rsid w:val="00F22AC5"/>
    <w:rsid w:val="00F254D1"/>
    <w:rsid w:val="00F32B82"/>
    <w:rsid w:val="00F4043E"/>
    <w:rsid w:val="00F40CB5"/>
    <w:rsid w:val="00F41BBC"/>
    <w:rsid w:val="00F43B9D"/>
    <w:rsid w:val="00F444F0"/>
    <w:rsid w:val="00F45F3C"/>
    <w:rsid w:val="00F50847"/>
    <w:rsid w:val="00F53F27"/>
    <w:rsid w:val="00F546D1"/>
    <w:rsid w:val="00F6513F"/>
    <w:rsid w:val="00F66272"/>
    <w:rsid w:val="00F66399"/>
    <w:rsid w:val="00F709C0"/>
    <w:rsid w:val="00F927A1"/>
    <w:rsid w:val="00F92E4D"/>
    <w:rsid w:val="00FA3764"/>
    <w:rsid w:val="00FA56ED"/>
    <w:rsid w:val="00FB5FA6"/>
    <w:rsid w:val="00FB693F"/>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F45F3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173282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D2B9E7F-D216-49C0-8546-DA50A151AB9E}">
  <ds:schemaRefs>
    <ds:schemaRef ds:uri="http://schemas.openxmlformats.org/officeDocument/2006/bibliography"/>
  </ds:schemaRefs>
</ds:datastoreItem>
</file>

<file path=customXml/itemProps4.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8945</Words>
  <Characters>51738</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Edwards, Matthew S</cp:lastModifiedBy>
  <cp:revision>2</cp:revision>
  <cp:lastPrinted>2019-09-26T14:40:00Z</cp:lastPrinted>
  <dcterms:created xsi:type="dcterms:W3CDTF">2021-03-07T16:00:00Z</dcterms:created>
  <dcterms:modified xsi:type="dcterms:W3CDTF">2021-03-07T16:00:00Z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2021-02-14T15:44:23Z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01cfd511-ab01-405b-966c-473a48d239c3</vt:lpwstr>
  </property>
  <property fmtid="{D5CDD505-2E9C-101B-9397-08002B2CF9AE}" pid="9" name="MSIP_Label_f2acd28b-79a3-4a0f-b0ff-4b75658b1549_ContentBits">
    <vt:lpwstr>0</vt:lpwstr>
  </property>
</Properties>
</file>