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35CA1" w14:textId="3EAA8CBA" w:rsidR="001672EE" w:rsidRDefault="00AA6C91" w:rsidP="001672EE">
      <w:pPr>
        <w:rPr>
          <w:u w:val="single"/>
        </w:rPr>
      </w:pPr>
      <w:r>
        <w:rPr>
          <w:u w:val="single"/>
        </w:rPr>
        <w:t>A landscape characterization of</w:t>
      </w:r>
      <w:r w:rsidR="001672EE" w:rsidRPr="00985B1C">
        <w:rPr>
          <w:u w:val="single"/>
        </w:rPr>
        <w:t xml:space="preserve"> Llanlly</w:t>
      </w:r>
      <w:r w:rsidR="001672EE">
        <w:rPr>
          <w:u w:val="single"/>
        </w:rPr>
        <w:t>r</w:t>
      </w:r>
      <w:r>
        <w:rPr>
          <w:u w:val="single"/>
        </w:rPr>
        <w:t>, Talsarn.</w:t>
      </w:r>
    </w:p>
    <w:p w14:paraId="4265486E" w14:textId="77777777" w:rsidR="001672EE" w:rsidRDefault="001672EE" w:rsidP="001672EE">
      <w:pPr>
        <w:rPr>
          <w:u w:val="single"/>
        </w:rPr>
      </w:pPr>
    </w:p>
    <w:p w14:paraId="68AB6A31" w14:textId="3189DF71" w:rsidR="00985B1C" w:rsidRDefault="001672EE" w:rsidP="001672EE">
      <w:r>
        <w:t>Llanllyr is a farm near the village of Talsarn in Ceredigion.</w:t>
      </w:r>
      <w:r w:rsidR="001952D4">
        <w:t xml:space="preserve"> The farm itself is on the south side of the river Aeron, while Talsarn lies on the north bank as can be seen in Figure I.</w:t>
      </w:r>
      <w:r>
        <w:t xml:space="preserve"> At one time it was home to Llanllyr Source, a water bottling company.</w:t>
      </w:r>
      <w:r>
        <w:rPr>
          <w:rStyle w:val="FootnoteReference"/>
        </w:rPr>
        <w:footnoteReference w:id="1"/>
      </w:r>
      <w:r>
        <w:t xml:space="preserve"> Llanllyr Source bottled mineral water at the site from the private limited company’s creation in 1998 until its liquidation in 2023.</w:t>
      </w:r>
      <w:r>
        <w:rPr>
          <w:rStyle w:val="FootnoteReference"/>
        </w:rPr>
        <w:footnoteReference w:id="2"/>
      </w:r>
      <w:r>
        <w:t xml:space="preserve"> Prior to this, the current house has been on the site since 1830 when it replaced an earlier, Tudor house 150m to the north west.</w:t>
      </w:r>
      <w:r>
        <w:rPr>
          <w:rStyle w:val="FootnoteReference"/>
        </w:rPr>
        <w:footnoteReference w:id="3"/>
      </w:r>
      <w:r>
        <w:t xml:space="preserve"> Even before this the site was inhabited: in the Medieval period one of two medieval nunneries in Wales was built in the valley;</w:t>
      </w:r>
      <w:r>
        <w:rPr>
          <w:rStyle w:val="FootnoteReference"/>
        </w:rPr>
        <w:footnoteReference w:id="4"/>
      </w:r>
      <w:r>
        <w:t xml:space="preserve"> </w:t>
      </w:r>
      <w:r w:rsidR="00A3794A">
        <w:t>there are also signs of habitation from the Neolithic and Mesolithic periods.</w:t>
      </w:r>
      <w:r w:rsidR="00A3794A">
        <w:rPr>
          <w:rStyle w:val="FootnoteReference"/>
        </w:rPr>
        <w:footnoteReference w:id="5"/>
      </w:r>
    </w:p>
    <w:p w14:paraId="5C3DB1CA" w14:textId="2AC505D9" w:rsidR="00075A0B" w:rsidRDefault="001952D4" w:rsidP="001672EE">
      <w:r>
        <w:t>The Mesolithic</w:t>
      </w:r>
      <w:r w:rsidR="00731F50">
        <w:t xml:space="preserve">, literally Middle Stone, is a period of prehistory </w:t>
      </w:r>
      <w:r w:rsidR="00C54300">
        <w:t xml:space="preserve">lasting from </w:t>
      </w:r>
      <w:r w:rsidR="00DA09EB">
        <w:t>after ice sheets in Britain began to s</w:t>
      </w:r>
      <w:r w:rsidR="0069685E">
        <w:t>hr</w:t>
      </w:r>
      <w:r w:rsidR="00DA09EB">
        <w:t>ink until the Neolithic</w:t>
      </w:r>
      <w:r w:rsidR="0069685E">
        <w:t>.</w:t>
      </w:r>
      <w:r w:rsidR="0069685E">
        <w:rPr>
          <w:rStyle w:val="FootnoteReference"/>
        </w:rPr>
        <w:footnoteReference w:id="6"/>
      </w:r>
      <w:r w:rsidR="00EB63A3">
        <w:t xml:space="preserve"> </w:t>
      </w:r>
      <w:r w:rsidR="00084B57">
        <w:t xml:space="preserve">It was characterized after small microliths were found that did not correlate to known </w:t>
      </w:r>
      <w:r w:rsidR="00877114">
        <w:t>Palaeolithic</w:t>
      </w:r>
      <w:r w:rsidR="00084B57">
        <w:t xml:space="preserve"> or Neolithic finds.</w:t>
      </w:r>
      <w:r w:rsidR="00084B57">
        <w:rPr>
          <w:rStyle w:val="FootnoteReference"/>
        </w:rPr>
        <w:footnoteReference w:id="7"/>
      </w:r>
      <w:r w:rsidR="00877114">
        <w:t xml:space="preserve"> The Mesolithic also marks the period of time where </w:t>
      </w:r>
      <w:r w:rsidR="001550D7">
        <w:t xml:space="preserve">people transitioned from being nomadic hunter-gatherers to settled </w:t>
      </w:r>
      <w:r w:rsidR="001108E6">
        <w:t>farmers.</w:t>
      </w:r>
      <w:r w:rsidR="001108E6">
        <w:rPr>
          <w:rStyle w:val="FootnoteReference"/>
        </w:rPr>
        <w:footnoteReference w:id="8"/>
      </w:r>
      <w:r w:rsidR="001108E6">
        <w:t xml:space="preserve"> </w:t>
      </w:r>
      <w:r w:rsidR="008321B9">
        <w:t xml:space="preserve">The famous valleys of Wales were largely formed by </w:t>
      </w:r>
      <w:r w:rsidR="00BE2973">
        <w:t xml:space="preserve">glacial movement and so </w:t>
      </w:r>
      <w:r w:rsidR="00B844AD">
        <w:t xml:space="preserve">had been eroded by the Mesolithic, resulting in distinct </w:t>
      </w:r>
      <w:r w:rsidR="00FA67F4">
        <w:t>areas of lowland and upland</w:t>
      </w:r>
      <w:r w:rsidR="00B844AD">
        <w:t>.</w:t>
      </w:r>
      <w:r w:rsidR="00B844AD">
        <w:rPr>
          <w:rStyle w:val="FootnoteReference"/>
        </w:rPr>
        <w:footnoteReference w:id="9"/>
      </w:r>
      <w:r w:rsidR="00B844AD">
        <w:t xml:space="preserve"> </w:t>
      </w:r>
      <w:r w:rsidR="00CA5BAF">
        <w:t>As the last period before clearance for farming the Mesolithic was the last time that truly wild woodland existed. Notable difference has been found though in the types of trees growing on the lowlands as opposed to the uplands. The former</w:t>
      </w:r>
      <w:r w:rsidR="008C42B4">
        <w:t xml:space="preserve"> showed</w:t>
      </w:r>
      <w:r w:rsidR="00621203">
        <w:t xml:space="preserve"> mostly</w:t>
      </w:r>
      <w:r w:rsidR="00CA5BAF">
        <w:t xml:space="preserve"> </w:t>
      </w:r>
      <w:r w:rsidR="004052A5">
        <w:t>oak, elm and pine</w:t>
      </w:r>
      <w:r w:rsidR="00621203">
        <w:t xml:space="preserve"> whereas the latter </w:t>
      </w:r>
      <w:r w:rsidR="0087709E">
        <w:t>had a higher concentration of pine and birch</w:t>
      </w:r>
      <w:r w:rsidR="0067403E">
        <w:t>.</w:t>
      </w:r>
      <w:r w:rsidR="0067403E">
        <w:rPr>
          <w:rStyle w:val="FootnoteReference"/>
        </w:rPr>
        <w:footnoteReference w:id="10"/>
      </w:r>
      <w:r w:rsidR="008B5F28">
        <w:t xml:space="preserve"> Both areas of woodland would have been heavily populated by animals</w:t>
      </w:r>
      <w:r w:rsidR="007E35C2">
        <w:t xml:space="preserve">. In particular, both </w:t>
      </w:r>
      <w:r w:rsidR="007E35C2" w:rsidRPr="007E35C2">
        <w:t xml:space="preserve">roe </w:t>
      </w:r>
      <w:r w:rsidR="007E35C2">
        <w:lastRenderedPageBreak/>
        <w:t xml:space="preserve">and </w:t>
      </w:r>
      <w:r w:rsidR="007E35C2" w:rsidRPr="007E35C2">
        <w:t>red deer, wild cattle</w:t>
      </w:r>
      <w:r w:rsidR="007E35C2">
        <w:t xml:space="preserve"> and</w:t>
      </w:r>
      <w:r w:rsidR="007E35C2" w:rsidRPr="007E35C2">
        <w:t xml:space="preserve"> wild pigs</w:t>
      </w:r>
      <w:r w:rsidR="00EA722E">
        <w:t>.</w:t>
      </w:r>
      <w:r w:rsidR="00EA722E">
        <w:rPr>
          <w:rStyle w:val="FootnoteReference"/>
        </w:rPr>
        <w:footnoteReference w:id="11"/>
      </w:r>
      <w:r w:rsidR="00EA722E">
        <w:t xml:space="preserve"> In bodies of water in Wales the most common fish have been found to be </w:t>
      </w:r>
      <w:r w:rsidR="007E35C2" w:rsidRPr="007E35C2">
        <w:t>perch and pike</w:t>
      </w:r>
      <w:r w:rsidR="00EA722E">
        <w:t>.</w:t>
      </w:r>
      <w:r w:rsidR="00EA722E">
        <w:rPr>
          <w:rStyle w:val="FootnoteReference"/>
        </w:rPr>
        <w:footnoteReference w:id="12"/>
      </w:r>
    </w:p>
    <w:p w14:paraId="3E049AA7" w14:textId="00102CB2" w:rsidR="00985B1C" w:rsidRDefault="00897B1B" w:rsidP="001672EE">
      <w:r>
        <w:t>Focusing in on Llanllyr during the Mesolithic, the entire site would have been underwater</w:t>
      </w:r>
      <w:r w:rsidR="00E544AA">
        <w:t>. Specifically, freshwater as there was a lake covering the area.</w:t>
      </w:r>
      <w:r w:rsidR="00E544AA">
        <w:rPr>
          <w:rStyle w:val="FootnoteReference"/>
        </w:rPr>
        <w:footnoteReference w:id="13"/>
      </w:r>
      <w:r w:rsidR="00F67E55">
        <w:t xml:space="preserve"> </w:t>
      </w:r>
      <w:r w:rsidR="00B215BC">
        <w:t>This lake’s existence is also tied in with the earlier glaciers. It was a glacier which eroded the area and then as the ice melted, the water remained creating a lake.</w:t>
      </w:r>
      <w:r w:rsidR="00B215BC">
        <w:rPr>
          <w:rStyle w:val="FootnoteReference"/>
        </w:rPr>
        <w:footnoteReference w:id="14"/>
      </w:r>
      <w:r w:rsidR="001E2612">
        <w:t xml:space="preserve"> The rough edge of this lake has been identified as roughly the same area as a later Neolithic marsh</w:t>
      </w:r>
      <w:r w:rsidR="00E27D3C">
        <w:t>.</w:t>
      </w:r>
      <w:r w:rsidR="00E27D3C">
        <w:rPr>
          <w:rStyle w:val="FootnoteReference"/>
        </w:rPr>
        <w:footnoteReference w:id="15"/>
      </w:r>
      <w:r w:rsidR="00E27D3C">
        <w:t xml:space="preserve"> The edge of the marsh is detailed on Figure II alongside excavations at the Llanllyr site. These excavations have been undertaken by the </w:t>
      </w:r>
      <w:r w:rsidR="00075A0B">
        <w:t>Portalis</w:t>
      </w:r>
      <w:r w:rsidR="00E27D3C">
        <w:t xml:space="preserve"> Project and the University of Wales, Trinity Saint David. The Portalis project</w:t>
      </w:r>
      <w:r w:rsidR="00D64949">
        <w:t xml:space="preserve"> is investigating </w:t>
      </w:r>
      <w:r w:rsidR="008D7FA1">
        <w:t>the earliest human interaction with the landscape as well as exploring potential transport links between Ireland and Wales.</w:t>
      </w:r>
      <w:r w:rsidR="008D7FA1">
        <w:rPr>
          <w:rStyle w:val="FootnoteReference"/>
        </w:rPr>
        <w:footnoteReference w:id="16"/>
      </w:r>
      <w:r w:rsidR="008A2DA0">
        <w:t xml:space="preserve"> </w:t>
      </w:r>
      <w:r w:rsidR="00DC545B">
        <w:t>The University of Wales originally became involved in the Llanllyr site as a place that they could teach</w:t>
      </w:r>
      <w:r w:rsidR="007B3CFF">
        <w:t xml:space="preserve"> undergraduate archaeologists </w:t>
      </w:r>
      <w:r w:rsidR="00F22A49">
        <w:t>how to properly excavate.</w:t>
      </w:r>
      <w:r w:rsidR="00F22A49">
        <w:rPr>
          <w:rStyle w:val="FootnoteReference"/>
        </w:rPr>
        <w:footnoteReference w:id="17"/>
      </w:r>
      <w:r w:rsidR="00F22A49">
        <w:t xml:space="preserve"> </w:t>
      </w:r>
      <w:r w:rsidR="001F6191">
        <w:t xml:space="preserve">The archaeologists were then encouraged to excavate two mound on the site, indicated in figure II. It was proposed that they were </w:t>
      </w:r>
      <w:r w:rsidR="00670D83">
        <w:t>burnt mounds</w:t>
      </w:r>
      <w:r w:rsidR="000F6481">
        <w:t xml:space="preserve"> -</w:t>
      </w:r>
      <w:r w:rsidR="005466C0">
        <w:t xml:space="preserve"> piles of burned stones left after they have been used to heat water and covered with turf.</w:t>
      </w:r>
      <w:r w:rsidR="005466C0">
        <w:rPr>
          <w:rStyle w:val="FootnoteReference"/>
        </w:rPr>
        <w:footnoteReference w:id="18"/>
      </w:r>
      <w:r w:rsidR="000F6481">
        <w:t xml:space="preserve"> Almost as soon as earth was broken </w:t>
      </w:r>
      <w:r w:rsidR="00712CFA">
        <w:t>this theory was disproven as no stones were uncovered. The mounds were instead composed of layers of clay</w:t>
      </w:r>
      <w:r w:rsidR="002765CA">
        <w:t>. Digging in Trench 8 in 2022 did discover a layer of gravel</w:t>
      </w:r>
      <w:r w:rsidR="00A32105">
        <w:t xml:space="preserve"> but again no burned stones.</w:t>
      </w:r>
      <w:r w:rsidR="00A32105">
        <w:rPr>
          <w:rStyle w:val="FootnoteReference"/>
        </w:rPr>
        <w:footnoteReference w:id="19"/>
      </w:r>
      <w:r w:rsidR="00A32105">
        <w:t xml:space="preserve"> </w:t>
      </w:r>
    </w:p>
    <w:p w14:paraId="1FF737F7" w14:textId="154A246E" w:rsidR="00A32105" w:rsidRDefault="00A32105" w:rsidP="001672EE">
      <w:r>
        <w:t xml:space="preserve">The interesting stone that was found were (to date) over </w:t>
      </w:r>
      <w:r w:rsidR="00137955">
        <w:t xml:space="preserve">one hundred and forty pieces of flint. </w:t>
      </w:r>
      <w:r w:rsidR="0078548D">
        <w:t>Flint does not occur naturally in Llanllyr’s soil and so this must have been brought up from the coast</w:t>
      </w:r>
      <w:r w:rsidR="00D059D5">
        <w:t xml:space="preserve">. In light of this, all the flint found was deposited by humans and is most likely </w:t>
      </w:r>
      <w:r w:rsidR="00C7266C">
        <w:t>flakes left from knapping flint cores to shape.</w:t>
      </w:r>
    </w:p>
    <w:p w14:paraId="00A4FC57" w14:textId="77777777" w:rsidR="009C774F" w:rsidRDefault="009C774F" w:rsidP="001672EE"/>
    <w:p w14:paraId="7DD41676" w14:textId="77777777" w:rsidR="00D8690A" w:rsidRDefault="00D8690A" w:rsidP="00D8690A">
      <w:pPr>
        <w:rPr>
          <w:rFonts w:ascii="Arial" w:eastAsia="Arial" w:hAnsi="Arial" w:cs="Arial"/>
        </w:rPr>
      </w:pPr>
      <w:r>
        <w:rPr>
          <w:rFonts w:ascii="Arial" w:eastAsia="Arial" w:hAnsi="Arial" w:cs="Arial"/>
          <w:noProof/>
          <w:lang w:val="en-US"/>
        </w:rPr>
        <w:lastRenderedPageBreak/>
        <w:drawing>
          <wp:inline distT="114300" distB="114300" distL="114300" distR="114300" wp14:anchorId="4A1B1E14" wp14:editId="789A781A">
            <wp:extent cx="2591672" cy="4310063"/>
            <wp:effectExtent l="0" t="0" r="0" b="0"/>
            <wp:docPr id="7" name="image5.jpg" descr="A map with a city and road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 name="image5.jpg" descr="A map with a city and roads&#10;&#10;Description automatically generated with medium confidence"/>
                    <pic:cNvPicPr preferRelativeResize="0"/>
                  </pic:nvPicPr>
                  <pic:blipFill>
                    <a:blip r:embed="rId7"/>
                    <a:srcRect/>
                    <a:stretch>
                      <a:fillRect/>
                    </a:stretch>
                  </pic:blipFill>
                  <pic:spPr>
                    <a:xfrm>
                      <a:off x="0" y="0"/>
                      <a:ext cx="2591672" cy="4310063"/>
                    </a:xfrm>
                    <a:prstGeom prst="rect">
                      <a:avLst/>
                    </a:prstGeom>
                    <a:ln/>
                  </pic:spPr>
                </pic:pic>
              </a:graphicData>
            </a:graphic>
          </wp:inline>
        </w:drawing>
      </w:r>
      <w:r>
        <w:rPr>
          <w:rFonts w:ascii="Arial" w:eastAsia="Arial" w:hAnsi="Arial" w:cs="Arial"/>
        </w:rPr>
        <w:t>Figure I</w:t>
      </w:r>
    </w:p>
    <w:p w14:paraId="7449A791" w14:textId="77777777" w:rsidR="00FB454F" w:rsidRDefault="00FB454F" w:rsidP="00D8690A">
      <w:pPr>
        <w:rPr>
          <w:rFonts w:ascii="Arial" w:eastAsia="Arial" w:hAnsi="Arial" w:cs="Arial"/>
        </w:rPr>
      </w:pPr>
    </w:p>
    <w:p w14:paraId="6689EED8" w14:textId="1F970E79" w:rsidR="00FB454F" w:rsidRDefault="00FB454F" w:rsidP="00D8690A">
      <w:pPr>
        <w:rPr>
          <w:rFonts w:ascii="Arial" w:eastAsia="Arial" w:hAnsi="Arial" w:cs="Arial"/>
        </w:rPr>
      </w:pPr>
      <w:r>
        <w:rPr>
          <w:noProof/>
        </w:rPr>
        <w:drawing>
          <wp:inline distT="0" distB="0" distL="0" distR="0" wp14:anchorId="1CBA9D23" wp14:editId="3E2B09CD">
            <wp:extent cx="3557489" cy="2674620"/>
            <wp:effectExtent l="0" t="0" r="5080" b="0"/>
            <wp:docPr id="1007488485" name="Picture 1" descr="A map of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88485" name="Picture 1" descr="A map of a field&#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574731" cy="2687583"/>
                    </a:xfrm>
                    <a:prstGeom prst="rect">
                      <a:avLst/>
                    </a:prstGeom>
                  </pic:spPr>
                </pic:pic>
              </a:graphicData>
            </a:graphic>
          </wp:inline>
        </w:drawing>
      </w:r>
      <w:r>
        <w:rPr>
          <w:rFonts w:ascii="Arial" w:eastAsia="Arial" w:hAnsi="Arial" w:cs="Arial"/>
        </w:rPr>
        <w:t xml:space="preserve"> Figure II</w:t>
      </w:r>
    </w:p>
    <w:p w14:paraId="337AA7E4" w14:textId="0112F165" w:rsidR="00751B73" w:rsidRPr="00D8690A" w:rsidRDefault="00D8690A" w:rsidP="001672EE">
      <w:pPr>
        <w:rPr>
          <w:rFonts w:ascii="Arial" w:eastAsia="Arial" w:hAnsi="Arial" w:cs="Arial"/>
        </w:rPr>
      </w:pPr>
      <w:r w:rsidRPr="00D8690A">
        <w:rPr>
          <w:rFonts w:ascii="Times New Roman" w:eastAsia="Times New Roman" w:hAnsi="Times New Roman" w:cs="Times New Roman"/>
          <w:noProof/>
          <w:sz w:val="28"/>
          <w:szCs w:val="28"/>
          <w:lang w:val="en-US"/>
        </w:rPr>
        <w:lastRenderedPageBreak/>
        <w:drawing>
          <wp:inline distT="0" distB="0" distL="0" distR="0" wp14:anchorId="63843D6E" wp14:editId="6335A071">
            <wp:extent cx="4419600" cy="2663092"/>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19600" cy="2663092"/>
                    </a:xfrm>
                    <a:prstGeom prst="rect">
                      <a:avLst/>
                    </a:prstGeom>
                    <a:ln/>
                  </pic:spPr>
                </pic:pic>
              </a:graphicData>
            </a:graphic>
          </wp:inline>
        </w:drawing>
      </w:r>
      <w:r>
        <w:rPr>
          <w:rFonts w:ascii="Arial" w:eastAsia="Arial" w:hAnsi="Arial" w:cs="Arial"/>
        </w:rPr>
        <w:t>Figure II</w:t>
      </w:r>
      <w:r w:rsidR="00FB454F">
        <w:rPr>
          <w:rFonts w:ascii="Arial" w:eastAsia="Arial" w:hAnsi="Arial" w:cs="Arial"/>
        </w:rPr>
        <w:t>I</w:t>
      </w:r>
    </w:p>
    <w:p w14:paraId="05B61874" w14:textId="77777777" w:rsidR="00751B73" w:rsidRDefault="00751B73" w:rsidP="001672EE"/>
    <w:p w14:paraId="14A95226" w14:textId="77777777" w:rsidR="00751B73" w:rsidRPr="00751B73" w:rsidRDefault="00751B73" w:rsidP="00751B73">
      <w:pPr>
        <w:rPr>
          <w:b/>
          <w:u w:val="single"/>
        </w:rPr>
      </w:pPr>
      <w:r w:rsidRPr="00751B73">
        <w:rPr>
          <w:b/>
          <w:u w:val="single"/>
        </w:rPr>
        <w:t>List of Illustrations</w:t>
      </w:r>
    </w:p>
    <w:p w14:paraId="3EC1435D" w14:textId="77777777" w:rsidR="00751B73" w:rsidRDefault="00751B73" w:rsidP="00751B73">
      <w:pPr>
        <w:numPr>
          <w:ilvl w:val="0"/>
          <w:numId w:val="1"/>
        </w:numPr>
      </w:pPr>
      <w:r w:rsidRPr="00751B73">
        <w:t xml:space="preserve">Isaac Law, </w:t>
      </w:r>
      <w:r w:rsidRPr="00751B73">
        <w:rPr>
          <w:i/>
        </w:rPr>
        <w:t>Llanllyr</w:t>
      </w:r>
      <w:r w:rsidRPr="00751B73">
        <w:t xml:space="preserve"> from Ordinance Survey, Lampeter/Llanbedr Pont Steffan, Tregaron &amp; Llan-non, OS Explorer Map 199, 1:25,000 scale (Southampton: Ordinance Survey Ltd., 2015)</w:t>
      </w:r>
    </w:p>
    <w:p w14:paraId="38E8787C" w14:textId="7CDE2AB8" w:rsidR="00FB454F" w:rsidRPr="00B7528C" w:rsidRDefault="00B7528C" w:rsidP="00B7528C">
      <w:pPr>
        <w:pStyle w:val="ListParagraph"/>
        <w:numPr>
          <w:ilvl w:val="0"/>
          <w:numId w:val="1"/>
        </w:numPr>
        <w:spacing w:after="200" w:line="276" w:lineRule="auto"/>
        <w:rPr>
          <w:rFonts w:cs="Arial"/>
          <w:b/>
          <w:sz w:val="32"/>
          <w:szCs w:val="22"/>
          <w:u w:val="single"/>
          <w:lang w:val="en-US"/>
        </w:rPr>
      </w:pPr>
      <w:r>
        <w:rPr>
          <w:rFonts w:cs="Arial"/>
          <w:bCs/>
          <w:szCs w:val="18"/>
          <w:lang w:val="en-US"/>
        </w:rPr>
        <w:t>Martin Bates</w:t>
      </w:r>
      <w:r>
        <w:rPr>
          <w:rFonts w:cs="Arial"/>
          <w:bCs/>
          <w:szCs w:val="18"/>
          <w:lang w:val="en-US"/>
        </w:rPr>
        <w:t xml:space="preserve">, </w:t>
      </w:r>
      <w:r w:rsidRPr="00B7528C">
        <w:rPr>
          <w:rFonts w:cs="Arial"/>
          <w:bCs/>
          <w:i/>
          <w:iCs/>
          <w:szCs w:val="18"/>
          <w:lang w:val="en-US"/>
        </w:rPr>
        <w:t>Site Map of Llanllyr</w:t>
      </w:r>
      <w:r w:rsidRPr="00B7528C">
        <w:rPr>
          <w:rFonts w:cs="Arial"/>
          <w:bCs/>
          <w:szCs w:val="18"/>
          <w:lang w:val="en-US"/>
        </w:rPr>
        <w:t>.</w:t>
      </w:r>
    </w:p>
    <w:p w14:paraId="17420C2C" w14:textId="77777777" w:rsidR="00751B73" w:rsidRPr="00751B73" w:rsidRDefault="00751B73" w:rsidP="00751B73">
      <w:pPr>
        <w:numPr>
          <w:ilvl w:val="0"/>
          <w:numId w:val="1"/>
        </w:numPr>
      </w:pPr>
      <w:r w:rsidRPr="00751B73">
        <w:t xml:space="preserve">Martin Bates, </w:t>
      </w:r>
      <w:r w:rsidRPr="00751B73">
        <w:rPr>
          <w:i/>
        </w:rPr>
        <w:t>Radar Image of Llanllyr with Trench locations marked</w:t>
      </w:r>
    </w:p>
    <w:p w14:paraId="12860D04" w14:textId="49CC896F" w:rsidR="00985B1C" w:rsidRDefault="00985B1C" w:rsidP="001672EE"/>
    <w:p w14:paraId="5DCDC6D8" w14:textId="77777777" w:rsidR="009C774F" w:rsidRPr="00EA3F5E" w:rsidRDefault="009C774F" w:rsidP="009C774F">
      <w:pPr>
        <w:pStyle w:val="ListParagraph"/>
        <w:jc w:val="center"/>
        <w:rPr>
          <w:rFonts w:cs="Arial"/>
          <w:b/>
          <w:sz w:val="32"/>
          <w:u w:val="single"/>
          <w:lang w:val="en-US"/>
        </w:rPr>
      </w:pPr>
      <w:r w:rsidRPr="00EA3F5E">
        <w:rPr>
          <w:rFonts w:cs="Arial"/>
          <w:b/>
          <w:sz w:val="32"/>
          <w:u w:val="single"/>
          <w:lang w:val="en-US"/>
        </w:rPr>
        <w:t>Bibliography</w:t>
      </w:r>
    </w:p>
    <w:p w14:paraId="3A52378B" w14:textId="77777777" w:rsidR="009C774F" w:rsidRDefault="009C774F" w:rsidP="009C774F">
      <w:pPr>
        <w:rPr>
          <w:rFonts w:cs="Arial"/>
          <w:lang w:val="en-US"/>
        </w:rPr>
      </w:pPr>
      <w:bookmarkStart w:id="1" w:name="_Hlk167052080"/>
      <w:r>
        <w:rPr>
          <w:rFonts w:cs="Arial"/>
          <w:lang w:val="en-US"/>
        </w:rPr>
        <w:t xml:space="preserve">Adkins, R., L. Adkins and V. Leitch, </w:t>
      </w:r>
      <w:r>
        <w:rPr>
          <w:rFonts w:cs="Arial"/>
          <w:i/>
          <w:iCs/>
          <w:lang w:val="en-US"/>
        </w:rPr>
        <w:t>The Handbook of British Archaeology</w:t>
      </w:r>
      <w:r>
        <w:rPr>
          <w:rFonts w:cs="Arial"/>
          <w:lang w:val="en-US"/>
        </w:rPr>
        <w:t>, revised edn., (London: Constable, 2008).</w:t>
      </w:r>
    </w:p>
    <w:bookmarkEnd w:id="1"/>
    <w:p w14:paraId="79D116C0" w14:textId="77777777" w:rsidR="009C774F" w:rsidRPr="00EB7FAD" w:rsidRDefault="009C774F" w:rsidP="009C774F">
      <w:pPr>
        <w:rPr>
          <w:rFonts w:cs="Arial"/>
          <w:lang w:val="en-US"/>
        </w:rPr>
      </w:pPr>
      <w:r>
        <w:rPr>
          <w:rFonts w:cs="Arial"/>
          <w:lang w:val="en-US"/>
        </w:rPr>
        <w:t xml:space="preserve">Cobb, H., K. Greene and T. Moore, </w:t>
      </w:r>
      <w:r>
        <w:rPr>
          <w:rFonts w:cs="Arial"/>
          <w:i/>
          <w:iCs/>
          <w:lang w:val="en-US"/>
        </w:rPr>
        <w:t>Archaeology: an introduction,</w:t>
      </w:r>
      <w:r>
        <w:rPr>
          <w:rFonts w:cs="Arial"/>
          <w:lang w:val="en-US"/>
        </w:rPr>
        <w:t xml:space="preserve"> 6</w:t>
      </w:r>
      <w:r w:rsidRPr="00EB7FAD">
        <w:rPr>
          <w:rFonts w:cs="Arial"/>
          <w:vertAlign w:val="superscript"/>
          <w:lang w:val="en-US"/>
        </w:rPr>
        <w:t>th</w:t>
      </w:r>
      <w:r>
        <w:rPr>
          <w:rFonts w:cs="Arial"/>
          <w:lang w:val="en-US"/>
        </w:rPr>
        <w:t xml:space="preserve"> edn., (London: Routledge, 2023).</w:t>
      </w:r>
    </w:p>
    <w:p w14:paraId="6562C1DA" w14:textId="77777777" w:rsidR="009C774F" w:rsidRDefault="009C774F" w:rsidP="009C774F">
      <w:pPr>
        <w:rPr>
          <w:rFonts w:cs="Arial"/>
          <w:lang w:val="en-US"/>
        </w:rPr>
      </w:pPr>
      <w:r>
        <w:rPr>
          <w:rFonts w:cs="Arial"/>
          <w:lang w:val="en-US"/>
        </w:rPr>
        <w:t xml:space="preserve">Hunter, J. and I. Ralston, eds., </w:t>
      </w:r>
      <w:r>
        <w:rPr>
          <w:rFonts w:cs="Arial"/>
          <w:i/>
          <w:iCs/>
          <w:lang w:val="en-US"/>
        </w:rPr>
        <w:t>The Archaeology of Britain: an introduction from the upper palaeolithic to the industrial revolution</w:t>
      </w:r>
      <w:r>
        <w:rPr>
          <w:rFonts w:cs="Arial"/>
          <w:lang w:val="en-US"/>
        </w:rPr>
        <w:t>, (London: Routledge, 2003).</w:t>
      </w:r>
    </w:p>
    <w:p w14:paraId="1203CD64" w14:textId="48053C1B" w:rsidR="00A9060C" w:rsidRPr="00B02447" w:rsidRDefault="00A9060C" w:rsidP="009C774F">
      <w:pPr>
        <w:rPr>
          <w:rFonts w:cs="Arial"/>
          <w:lang w:val="en-US"/>
        </w:rPr>
      </w:pPr>
      <w:bookmarkStart w:id="2" w:name="_Hlk167053968"/>
      <w:r w:rsidRPr="00A9060C">
        <w:rPr>
          <w:rFonts w:cs="Arial"/>
        </w:rPr>
        <w:t>Mitchell</w:t>
      </w:r>
      <w:r>
        <w:rPr>
          <w:rFonts w:cs="Arial"/>
        </w:rPr>
        <w:t>, G. F.</w:t>
      </w:r>
      <w:r w:rsidRPr="00A9060C">
        <w:rPr>
          <w:rFonts w:cs="Arial"/>
        </w:rPr>
        <w:t xml:space="preserve">, West, R.G., </w:t>
      </w:r>
      <w:r w:rsidRPr="00A9060C">
        <w:rPr>
          <w:rFonts w:cs="Arial"/>
          <w:i/>
          <w:iCs/>
        </w:rPr>
        <w:t>The changing environmental Conditions in Great Britain and Ireland during the Devensian cold stage.</w:t>
      </w:r>
      <w:r w:rsidRPr="00A9060C">
        <w:rPr>
          <w:rFonts w:cs="Arial"/>
        </w:rPr>
        <w:t> </w:t>
      </w:r>
      <w:r>
        <w:rPr>
          <w:rFonts w:cs="Arial"/>
        </w:rPr>
        <w:t>(</w:t>
      </w:r>
      <w:r w:rsidRPr="00A9060C">
        <w:rPr>
          <w:rFonts w:cs="Arial"/>
        </w:rPr>
        <w:t>Royal Irish Academy and Society, R.</w:t>
      </w:r>
      <w:r>
        <w:rPr>
          <w:rFonts w:cs="Arial"/>
        </w:rPr>
        <w:t xml:space="preserve"> </w:t>
      </w:r>
      <w:r w:rsidRPr="00A9060C">
        <w:rPr>
          <w:rFonts w:cs="Arial"/>
        </w:rPr>
        <w:t>1977).</w:t>
      </w:r>
    </w:p>
    <w:bookmarkEnd w:id="2"/>
    <w:p w14:paraId="7D7DCA7B" w14:textId="77777777" w:rsidR="00985B1C" w:rsidRDefault="00985B1C" w:rsidP="001672EE"/>
    <w:p w14:paraId="13D2F9AC" w14:textId="07E183FB" w:rsidR="00985B1C" w:rsidRDefault="009C774F" w:rsidP="009C774F">
      <w:pPr>
        <w:jc w:val="center"/>
        <w:rPr>
          <w:b/>
          <w:bCs/>
          <w:sz w:val="32"/>
          <w:szCs w:val="32"/>
          <w:u w:val="single"/>
        </w:rPr>
      </w:pPr>
      <w:r>
        <w:rPr>
          <w:b/>
          <w:bCs/>
          <w:sz w:val="32"/>
          <w:szCs w:val="32"/>
          <w:u w:val="single"/>
        </w:rPr>
        <w:t>Webliography</w:t>
      </w:r>
    </w:p>
    <w:p w14:paraId="39A346B8" w14:textId="47DCC182" w:rsidR="00F067AC" w:rsidRDefault="00F067AC" w:rsidP="00EB63A3">
      <w:r w:rsidRPr="00E44BB5">
        <w:lastRenderedPageBreak/>
        <w:t xml:space="preserve">Clwyd Powys Archaeological Trust (2023). Searching for the Mesolithic in Ceredigion. [online] www.youtube.com. Available at: https://www.youtube.com/watch?v=mtX2cJkqOVQ&amp;t=1200s [Accessed </w:t>
      </w:r>
      <w:r>
        <w:t>19/5/2024]</w:t>
      </w:r>
    </w:p>
    <w:p w14:paraId="125DED6D" w14:textId="755ADB7D" w:rsidR="00EB63A3" w:rsidRDefault="00EB63A3" w:rsidP="00EB63A3">
      <w:r w:rsidRPr="00EB63A3">
        <w:t>coflein.gov.uk. (n.d.). English – Coflein. [online] Available at: https://coflein.gov.uk/en/site/419402/?term=talsarn [accessed 19/5/24].</w:t>
      </w:r>
    </w:p>
    <w:p w14:paraId="5FC846A4" w14:textId="2B0C4FCB" w:rsidR="00EB63A3" w:rsidRPr="00EB63A3" w:rsidRDefault="00EB63A3" w:rsidP="00EB63A3">
      <w:r w:rsidRPr="00EB63A3">
        <w:t xml:space="preserve">Company Information Service, ‘Llanllyr Water Company Limited’, Gov.UK, [Online]. Available: </w:t>
      </w:r>
      <w:hyperlink r:id="rId10" w:history="1">
        <w:r w:rsidRPr="00EB63A3">
          <w:rPr>
            <w:rStyle w:val="Hyperlink"/>
          </w:rPr>
          <w:t>https://find-and-update.company-information.service.gov.uk/company/03648492</w:t>
        </w:r>
      </w:hyperlink>
      <w:r w:rsidRPr="00EB63A3">
        <w:t>; [accessed 19/5/2024].</w:t>
      </w:r>
    </w:p>
    <w:p w14:paraId="1C72BB87" w14:textId="545E48CC" w:rsidR="00EB63A3" w:rsidRPr="00EB63A3" w:rsidRDefault="00EB63A3" w:rsidP="00EB63A3">
      <w:r w:rsidRPr="00EB63A3">
        <w:t>Janet Burton, ‘The Cistercians in Wales’, from: https://www.monasticwales.org/showarticle.php?func=showarticle&amp;articleID=2; [accessed 19/5/2024].</w:t>
      </w:r>
    </w:p>
    <w:p w14:paraId="5FC0884E" w14:textId="136255BB" w:rsidR="00985B1C" w:rsidRPr="001672EE" w:rsidRDefault="00F95169" w:rsidP="009C774F">
      <w:bookmarkStart w:id="3" w:name="_Hlk167052950"/>
      <w:r w:rsidRPr="00F95169">
        <w:t>Zhilin, M. and Savchenko, S. (2020). Fishing in the Mesolithic of the Trans-Urals. Quaternary International, [online] 541, pp.4–22. doi:https://doi.org/10.1016/j.quaint.2019.05.006. </w:t>
      </w:r>
      <w:bookmarkEnd w:id="3"/>
    </w:p>
    <w:sectPr w:rsidR="00985B1C" w:rsidRPr="001672EE" w:rsidSect="001672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507042" w14:textId="77777777" w:rsidR="00797D33" w:rsidRDefault="00797D33" w:rsidP="00797D33">
      <w:pPr>
        <w:spacing w:after="0" w:line="240" w:lineRule="auto"/>
      </w:pPr>
      <w:r>
        <w:separator/>
      </w:r>
    </w:p>
  </w:endnote>
  <w:endnote w:type="continuationSeparator" w:id="0">
    <w:p w14:paraId="01ABECAB" w14:textId="77777777" w:rsidR="00797D33" w:rsidRDefault="00797D33" w:rsidP="00797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6C782" w14:textId="77777777" w:rsidR="00797D33" w:rsidRDefault="00797D33" w:rsidP="00797D33">
      <w:pPr>
        <w:spacing w:after="0" w:line="240" w:lineRule="auto"/>
      </w:pPr>
      <w:r>
        <w:separator/>
      </w:r>
    </w:p>
  </w:footnote>
  <w:footnote w:type="continuationSeparator" w:id="0">
    <w:p w14:paraId="1FD57345" w14:textId="77777777" w:rsidR="00797D33" w:rsidRDefault="00797D33" w:rsidP="00797D33">
      <w:pPr>
        <w:spacing w:after="0" w:line="240" w:lineRule="auto"/>
      </w:pPr>
      <w:r>
        <w:continuationSeparator/>
      </w:r>
    </w:p>
  </w:footnote>
  <w:footnote w:id="1">
    <w:p w14:paraId="70EADE73" w14:textId="77777777" w:rsidR="001672EE" w:rsidRDefault="001672EE" w:rsidP="001672EE">
      <w:pPr>
        <w:pStyle w:val="FootnoteText"/>
      </w:pPr>
      <w:r>
        <w:rPr>
          <w:rStyle w:val="FootnoteReference"/>
        </w:rPr>
        <w:footnoteRef/>
      </w:r>
      <w:r>
        <w:t xml:space="preserve"> </w:t>
      </w:r>
      <w:bookmarkStart w:id="0" w:name="_Hlk167052145"/>
      <w:r>
        <w:t xml:space="preserve">Company Information Service, ‘Llanllyr Water Company Limited’, Gov.UK, [Online]. Available: </w:t>
      </w:r>
      <w:hyperlink r:id="rId1" w:history="1">
        <w:r w:rsidRPr="005B258F">
          <w:rPr>
            <w:rStyle w:val="Hyperlink"/>
          </w:rPr>
          <w:t>https://find-and-update.company-information.service.gov.uk/company/03648492</w:t>
        </w:r>
      </w:hyperlink>
      <w:r>
        <w:t>; [accessed 19/5/2024].</w:t>
      </w:r>
    </w:p>
  </w:footnote>
  <w:footnote w:id="2">
    <w:p w14:paraId="7D64DA55" w14:textId="77777777" w:rsidR="001672EE" w:rsidRDefault="001672EE" w:rsidP="001672EE">
      <w:pPr>
        <w:pStyle w:val="FootnoteText"/>
      </w:pPr>
      <w:r>
        <w:rPr>
          <w:rStyle w:val="FootnoteReference"/>
        </w:rPr>
        <w:footnoteRef/>
      </w:r>
      <w:r>
        <w:t xml:space="preserve"> Company Information Service, ‘Llanllyr Water Company Limited’</w:t>
      </w:r>
    </w:p>
  </w:footnote>
  <w:footnote w:id="3">
    <w:p w14:paraId="2118F920" w14:textId="77777777" w:rsidR="001672EE" w:rsidRDefault="001672EE" w:rsidP="001672EE">
      <w:pPr>
        <w:pStyle w:val="FootnoteText"/>
      </w:pPr>
      <w:r>
        <w:rPr>
          <w:rStyle w:val="FootnoteReference"/>
        </w:rPr>
        <w:footnoteRef/>
      </w:r>
      <w:r>
        <w:t xml:space="preserve"> </w:t>
      </w:r>
      <w:r w:rsidRPr="00F35925">
        <w:t>coflein.gov.uk. (n.d.). English – Coflein. [online] Available at: https://coflein.gov.uk/en/site/419402/?term=talsarn [</w:t>
      </w:r>
      <w:r>
        <w:t>accessed 19/5/24].</w:t>
      </w:r>
    </w:p>
  </w:footnote>
  <w:footnote w:id="4">
    <w:p w14:paraId="5619F90C" w14:textId="77777777" w:rsidR="001672EE" w:rsidRDefault="001672EE" w:rsidP="001672EE">
      <w:pPr>
        <w:pStyle w:val="FootnoteText"/>
      </w:pPr>
      <w:r>
        <w:rPr>
          <w:rStyle w:val="FootnoteReference"/>
        </w:rPr>
        <w:footnoteRef/>
      </w:r>
      <w:r>
        <w:t xml:space="preserve"> Janet Burton, ‘The Cistercians in Wales’, from: https://www.monasticwales.org/showarticle.php?func=showarticle&amp;articleID=2; [accessed 19/5/2024].</w:t>
      </w:r>
    </w:p>
  </w:footnote>
  <w:footnote w:id="5">
    <w:p w14:paraId="52A5FE65" w14:textId="3AE30231" w:rsidR="00A3794A" w:rsidRDefault="00A3794A">
      <w:pPr>
        <w:pStyle w:val="FootnoteText"/>
      </w:pPr>
      <w:r>
        <w:rPr>
          <w:rStyle w:val="FootnoteReference"/>
        </w:rPr>
        <w:footnoteRef/>
      </w:r>
      <w:r>
        <w:t xml:space="preserve"> </w:t>
      </w:r>
      <w:r w:rsidR="00A15B90">
        <w:t>Pers Comm. Martin Bates.</w:t>
      </w:r>
    </w:p>
  </w:footnote>
  <w:footnote w:id="6">
    <w:p w14:paraId="3A6BCC73" w14:textId="6A98BDE0" w:rsidR="0069685E" w:rsidRPr="00EB63A3" w:rsidRDefault="0069685E">
      <w:pPr>
        <w:pStyle w:val="FootnoteText"/>
        <w:rPr>
          <w:lang w:val="en-US"/>
        </w:rPr>
      </w:pPr>
      <w:r>
        <w:rPr>
          <w:rStyle w:val="FootnoteReference"/>
        </w:rPr>
        <w:footnoteRef/>
      </w:r>
      <w:r>
        <w:t xml:space="preserve"> </w:t>
      </w:r>
      <w:r w:rsidR="009C774F" w:rsidRPr="009C774F">
        <w:rPr>
          <w:lang w:val="en-US"/>
        </w:rPr>
        <w:t xml:space="preserve">Adkins, R., L. Adkins and V. Leitch, </w:t>
      </w:r>
      <w:r w:rsidR="009C774F" w:rsidRPr="009C774F">
        <w:rPr>
          <w:i/>
          <w:iCs/>
          <w:lang w:val="en-US"/>
        </w:rPr>
        <w:t>The Handbook of British Archaeology</w:t>
      </w:r>
      <w:r w:rsidR="009C774F" w:rsidRPr="009C774F">
        <w:rPr>
          <w:lang w:val="en-US"/>
        </w:rPr>
        <w:t>, revised edn., (London: Constable, 2008)</w:t>
      </w:r>
      <w:r w:rsidR="00084B57">
        <w:rPr>
          <w:lang w:val="en-US"/>
        </w:rPr>
        <w:t>, p. 25.</w:t>
      </w:r>
    </w:p>
  </w:footnote>
  <w:footnote w:id="7">
    <w:p w14:paraId="4C5897DA" w14:textId="43661576" w:rsidR="00084B57" w:rsidRDefault="00084B57">
      <w:pPr>
        <w:pStyle w:val="FootnoteText"/>
      </w:pPr>
      <w:r>
        <w:rPr>
          <w:rStyle w:val="FootnoteReference"/>
        </w:rPr>
        <w:footnoteRef/>
      </w:r>
      <w:r w:rsidRPr="009C774F">
        <w:rPr>
          <w:lang w:val="en-US"/>
        </w:rPr>
        <w:t xml:space="preserve">Adkins, Adkins and Leitch, </w:t>
      </w:r>
      <w:r w:rsidRPr="009C774F">
        <w:rPr>
          <w:i/>
          <w:iCs/>
          <w:lang w:val="en-US"/>
        </w:rPr>
        <w:t>The Handbook of British Archaeology</w:t>
      </w:r>
      <w:r w:rsidRPr="009C774F">
        <w:rPr>
          <w:lang w:val="en-US"/>
        </w:rPr>
        <w:t>,</w:t>
      </w:r>
      <w:r>
        <w:t xml:space="preserve"> p. 25.</w:t>
      </w:r>
    </w:p>
  </w:footnote>
  <w:footnote w:id="8">
    <w:p w14:paraId="30FF99ED" w14:textId="613763EB" w:rsidR="001108E6" w:rsidRPr="001108E6" w:rsidRDefault="001108E6">
      <w:pPr>
        <w:pStyle w:val="FootnoteText"/>
      </w:pPr>
      <w:r>
        <w:rPr>
          <w:rStyle w:val="FootnoteReference"/>
        </w:rPr>
        <w:footnoteRef/>
      </w:r>
      <w:r>
        <w:t xml:space="preserve"> </w:t>
      </w:r>
      <w:r w:rsidRPr="009C774F">
        <w:rPr>
          <w:lang w:val="en-US"/>
        </w:rPr>
        <w:t xml:space="preserve">Adkins, Adkins and Leitch, </w:t>
      </w:r>
      <w:r w:rsidRPr="009C774F">
        <w:rPr>
          <w:i/>
          <w:iCs/>
          <w:lang w:val="en-US"/>
        </w:rPr>
        <w:t>The Handbook of British Archaeology</w:t>
      </w:r>
      <w:r w:rsidRPr="009C774F">
        <w:rPr>
          <w:lang w:val="en-US"/>
        </w:rPr>
        <w:t>,</w:t>
      </w:r>
      <w:r>
        <w:t xml:space="preserve"> p. 25.</w:t>
      </w:r>
    </w:p>
  </w:footnote>
  <w:footnote w:id="9">
    <w:p w14:paraId="4694D619" w14:textId="045B9443" w:rsidR="00B844AD" w:rsidRDefault="00B844AD">
      <w:pPr>
        <w:pStyle w:val="FootnoteText"/>
      </w:pPr>
      <w:r>
        <w:rPr>
          <w:rStyle w:val="FootnoteReference"/>
        </w:rPr>
        <w:footnoteRef/>
      </w:r>
      <w:r>
        <w:t xml:space="preserve"> </w:t>
      </w:r>
      <w:r w:rsidRPr="00B844AD">
        <w:t>Zhilin, M. and Savchenko, S. (2020). Fishing in the Mesolithic of the Trans-Urals. Quaternary International, [online] 541, pp.4–22. doi:https://doi.org/10.1016/j.quaint.2019.05.006. </w:t>
      </w:r>
    </w:p>
  </w:footnote>
  <w:footnote w:id="10">
    <w:p w14:paraId="0AD4623C" w14:textId="19BFED02" w:rsidR="0067403E" w:rsidRDefault="0067403E">
      <w:pPr>
        <w:pStyle w:val="FootnoteText"/>
      </w:pPr>
      <w:r>
        <w:rPr>
          <w:rStyle w:val="FootnoteReference"/>
        </w:rPr>
        <w:footnoteRef/>
      </w:r>
      <w:r>
        <w:t xml:space="preserve"> </w:t>
      </w:r>
      <w:r w:rsidRPr="00B844AD">
        <w:t>Zhilin,</w:t>
      </w:r>
      <w:r>
        <w:t xml:space="preserve"> </w:t>
      </w:r>
      <w:r w:rsidRPr="00B844AD">
        <w:t>and Savchenko, (2020). Fishing in the Mesolithic of the Trans-Urals. Quaternary International</w:t>
      </w:r>
      <w:r>
        <w:t>.</w:t>
      </w:r>
    </w:p>
  </w:footnote>
  <w:footnote w:id="11">
    <w:p w14:paraId="15484B22" w14:textId="24BB9C9F" w:rsidR="00EA722E" w:rsidRDefault="00EA722E">
      <w:pPr>
        <w:pStyle w:val="FootnoteText"/>
      </w:pPr>
      <w:r>
        <w:rPr>
          <w:rStyle w:val="FootnoteReference"/>
        </w:rPr>
        <w:footnoteRef/>
      </w:r>
      <w:r>
        <w:t xml:space="preserve"> </w:t>
      </w:r>
      <w:r w:rsidRPr="00B844AD">
        <w:t>Zhilin,</w:t>
      </w:r>
      <w:r>
        <w:t xml:space="preserve"> </w:t>
      </w:r>
      <w:r w:rsidRPr="00B844AD">
        <w:t>and Savchenko, (2020). Fishing in the Mesolithic of the Trans-Urals. Quaternary International</w:t>
      </w:r>
      <w:r>
        <w:t>.</w:t>
      </w:r>
    </w:p>
  </w:footnote>
  <w:footnote w:id="12">
    <w:p w14:paraId="637E16CB" w14:textId="7D9E8783" w:rsidR="00EA722E" w:rsidRDefault="00EA722E">
      <w:pPr>
        <w:pStyle w:val="FootnoteText"/>
      </w:pPr>
      <w:r>
        <w:rPr>
          <w:rStyle w:val="FootnoteReference"/>
        </w:rPr>
        <w:footnoteRef/>
      </w:r>
      <w:r>
        <w:t xml:space="preserve"> </w:t>
      </w:r>
      <w:r w:rsidRPr="00B844AD">
        <w:t>Zhilin,</w:t>
      </w:r>
      <w:r>
        <w:t xml:space="preserve"> </w:t>
      </w:r>
      <w:r w:rsidRPr="00B844AD">
        <w:t>and Savchenko, (2020). Fishing in the Mesolithic of the Trans-Urals. Quaternary International</w:t>
      </w:r>
      <w:r>
        <w:t>.</w:t>
      </w:r>
    </w:p>
  </w:footnote>
  <w:footnote w:id="13">
    <w:p w14:paraId="32C85C7A" w14:textId="534727DC" w:rsidR="00E544AA" w:rsidRPr="00B215BC" w:rsidRDefault="00E544AA">
      <w:pPr>
        <w:pStyle w:val="FootnoteText"/>
        <w:rPr>
          <w:lang w:val="en-US"/>
        </w:rPr>
      </w:pPr>
      <w:r>
        <w:rPr>
          <w:rStyle w:val="FootnoteReference"/>
        </w:rPr>
        <w:footnoteRef/>
      </w:r>
      <w:r>
        <w:t xml:space="preserve"> </w:t>
      </w:r>
      <w:r w:rsidRPr="00E544AA">
        <w:t xml:space="preserve">Mitchell, G. F., West, R.G., </w:t>
      </w:r>
      <w:r w:rsidRPr="00E544AA">
        <w:rPr>
          <w:i/>
          <w:iCs/>
        </w:rPr>
        <w:t>The changing environmental Conditions in Great Britain and Ireland during the Devensian cold stage.</w:t>
      </w:r>
      <w:r w:rsidRPr="00E544AA">
        <w:t> (Royal Irish Academy and Society, R. 1977).</w:t>
      </w:r>
    </w:p>
  </w:footnote>
  <w:footnote w:id="14">
    <w:p w14:paraId="1E03EB99" w14:textId="2FC0ED07" w:rsidR="00B215BC" w:rsidRDefault="00B215BC">
      <w:pPr>
        <w:pStyle w:val="FootnoteText"/>
      </w:pPr>
      <w:r>
        <w:rPr>
          <w:rStyle w:val="FootnoteReference"/>
        </w:rPr>
        <w:footnoteRef/>
      </w:r>
      <w:r>
        <w:t xml:space="preserve"> </w:t>
      </w:r>
      <w:r w:rsidRPr="00E544AA">
        <w:t xml:space="preserve">Mitchell, West, </w:t>
      </w:r>
      <w:r w:rsidRPr="00E544AA">
        <w:rPr>
          <w:i/>
          <w:iCs/>
        </w:rPr>
        <w:t>The changing environmental Conditions in Great Britain and Ireland during the Devensian cold stage.</w:t>
      </w:r>
    </w:p>
  </w:footnote>
  <w:footnote w:id="15">
    <w:p w14:paraId="1AF1C8CC" w14:textId="727EAD76" w:rsidR="00E27D3C" w:rsidRDefault="00E27D3C">
      <w:pPr>
        <w:pStyle w:val="FootnoteText"/>
      </w:pPr>
      <w:r>
        <w:rPr>
          <w:rStyle w:val="FootnoteReference"/>
        </w:rPr>
        <w:footnoteRef/>
      </w:r>
      <w:r>
        <w:t xml:space="preserve"> Pers. Comm. Martin Bates</w:t>
      </w:r>
    </w:p>
  </w:footnote>
  <w:footnote w:id="16">
    <w:p w14:paraId="31F918AF" w14:textId="555911DA" w:rsidR="008D7FA1" w:rsidRDefault="008D7FA1">
      <w:pPr>
        <w:pStyle w:val="FootnoteText"/>
      </w:pPr>
      <w:r>
        <w:rPr>
          <w:rStyle w:val="FootnoteReference"/>
        </w:rPr>
        <w:footnoteRef/>
      </w:r>
      <w:r>
        <w:t xml:space="preserve"> </w:t>
      </w:r>
      <w:r w:rsidR="00E44BB5" w:rsidRPr="00E44BB5">
        <w:t xml:space="preserve">Clwyd Powys Archaeological Trust (2023). Searching for the Mesolithic in Ceredigion. [online] www.youtube.com. Available at: https://www.youtube.com/watch?v=mtX2cJkqOVQ&amp;t=1200s [Accessed </w:t>
      </w:r>
      <w:r w:rsidR="00F067AC">
        <w:t>19/5/2024]</w:t>
      </w:r>
      <w:r w:rsidR="00E44BB5" w:rsidRPr="00E44BB5">
        <w:t>. </w:t>
      </w:r>
    </w:p>
  </w:footnote>
  <w:footnote w:id="17">
    <w:p w14:paraId="3CCD81DA" w14:textId="02877BD3" w:rsidR="00F22A49" w:rsidRDefault="00F22A49">
      <w:pPr>
        <w:pStyle w:val="FootnoteText"/>
      </w:pPr>
      <w:r>
        <w:rPr>
          <w:rStyle w:val="FootnoteReference"/>
        </w:rPr>
        <w:footnoteRef/>
      </w:r>
      <w:r>
        <w:t xml:space="preserve"> Pers comm. Ros Coard and Martin Bates.</w:t>
      </w:r>
    </w:p>
  </w:footnote>
  <w:footnote w:id="18">
    <w:p w14:paraId="408724E0" w14:textId="77777777" w:rsidR="005466C0" w:rsidRPr="000F7B16" w:rsidRDefault="005466C0" w:rsidP="005466C0">
      <w:pPr>
        <w:pStyle w:val="FootnoteText"/>
        <w:rPr>
          <w:lang w:val="en-US"/>
        </w:rPr>
      </w:pPr>
      <w:r>
        <w:rPr>
          <w:rStyle w:val="FootnoteReference"/>
        </w:rPr>
        <w:footnoteRef/>
      </w:r>
      <w:r>
        <w:t xml:space="preserve"> </w:t>
      </w:r>
      <w:r w:rsidRPr="000F7B16">
        <w:rPr>
          <w:lang w:val="en-US"/>
        </w:rPr>
        <w:t xml:space="preserve">J. </w:t>
      </w:r>
      <w:r>
        <w:rPr>
          <w:lang w:val="en-US"/>
        </w:rPr>
        <w:t xml:space="preserve">Hunter </w:t>
      </w:r>
      <w:r w:rsidRPr="000F7B16">
        <w:rPr>
          <w:lang w:val="en-US"/>
        </w:rPr>
        <w:t xml:space="preserve">and I. Ralston, eds., </w:t>
      </w:r>
      <w:r w:rsidRPr="000F7B16">
        <w:rPr>
          <w:i/>
          <w:iCs/>
          <w:lang w:val="en-US"/>
        </w:rPr>
        <w:t>The Archaeology of Britain: an introduction from the upper palaeolithic to the industrial revolution</w:t>
      </w:r>
      <w:r w:rsidRPr="000F7B16">
        <w:rPr>
          <w:lang w:val="en-US"/>
        </w:rPr>
        <w:t>, (London: Routledge, 2003)</w:t>
      </w:r>
      <w:r>
        <w:rPr>
          <w:lang w:val="en-US"/>
        </w:rPr>
        <w:t>, pp. 102-103.</w:t>
      </w:r>
    </w:p>
  </w:footnote>
  <w:footnote w:id="19">
    <w:p w14:paraId="70A1A11C" w14:textId="692ED20D" w:rsidR="00A32105" w:rsidRDefault="00A32105">
      <w:pPr>
        <w:pStyle w:val="FootnoteText"/>
      </w:pPr>
      <w:r>
        <w:rPr>
          <w:rStyle w:val="FootnoteReference"/>
        </w:rPr>
        <w:footnoteRef/>
      </w:r>
      <w:r>
        <w:t xml:space="preserve"> Personal observation from excavation.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DA078E"/>
    <w:multiLevelType w:val="hybridMultilevel"/>
    <w:tmpl w:val="7ABE5798"/>
    <w:lvl w:ilvl="0" w:tplc="D1486B16">
      <w:start w:val="1"/>
      <w:numFmt w:val="upperRoman"/>
      <w:lvlText w:val="%1."/>
      <w:lvlJc w:val="right"/>
      <w:pPr>
        <w:ind w:left="720" w:hanging="360"/>
      </w:pPr>
      <w:rPr>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A10C58"/>
    <w:multiLevelType w:val="multilevel"/>
    <w:tmpl w:val="300A6312"/>
    <w:lvl w:ilvl="0">
      <w:start w:val="1"/>
      <w:numFmt w:val="upperRoman"/>
      <w:lvlText w:val="%1."/>
      <w:lvlJc w:val="left"/>
      <w:pPr>
        <w:ind w:left="1080" w:hanging="720"/>
      </w:pPr>
      <w:rPr>
        <w:b w:val="0"/>
        <w:bCs/>
        <w:sz w:val="24"/>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4412606">
    <w:abstractNumId w:val="1"/>
  </w:num>
  <w:num w:numId="2" w16cid:durableId="620963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21"/>
    <w:rsid w:val="00020203"/>
    <w:rsid w:val="00075A0B"/>
    <w:rsid w:val="00080F46"/>
    <w:rsid w:val="00084B57"/>
    <w:rsid w:val="00095A23"/>
    <w:rsid w:val="000F6481"/>
    <w:rsid w:val="001108E6"/>
    <w:rsid w:val="00137955"/>
    <w:rsid w:val="001550D7"/>
    <w:rsid w:val="001672EE"/>
    <w:rsid w:val="001952D4"/>
    <w:rsid w:val="001E2612"/>
    <w:rsid w:val="001F6191"/>
    <w:rsid w:val="002379DB"/>
    <w:rsid w:val="002527CD"/>
    <w:rsid w:val="0025784F"/>
    <w:rsid w:val="002765CA"/>
    <w:rsid w:val="003102B2"/>
    <w:rsid w:val="00344E40"/>
    <w:rsid w:val="004052A5"/>
    <w:rsid w:val="004A4016"/>
    <w:rsid w:val="005466C0"/>
    <w:rsid w:val="005906CE"/>
    <w:rsid w:val="005A32AE"/>
    <w:rsid w:val="005C52BB"/>
    <w:rsid w:val="0060712C"/>
    <w:rsid w:val="00621203"/>
    <w:rsid w:val="00670D83"/>
    <w:rsid w:val="0067403E"/>
    <w:rsid w:val="0069685E"/>
    <w:rsid w:val="00712CFA"/>
    <w:rsid w:val="00731F50"/>
    <w:rsid w:val="00751B73"/>
    <w:rsid w:val="00763319"/>
    <w:rsid w:val="0078548D"/>
    <w:rsid w:val="00797D33"/>
    <w:rsid w:val="00797E8A"/>
    <w:rsid w:val="007A0E98"/>
    <w:rsid w:val="007B3CFF"/>
    <w:rsid w:val="007E35C2"/>
    <w:rsid w:val="007E371A"/>
    <w:rsid w:val="00821AE7"/>
    <w:rsid w:val="008321B9"/>
    <w:rsid w:val="0087709E"/>
    <w:rsid w:val="00877114"/>
    <w:rsid w:val="00897B1B"/>
    <w:rsid w:val="008A2DA0"/>
    <w:rsid w:val="008B5F28"/>
    <w:rsid w:val="008C42B4"/>
    <w:rsid w:val="008D7FA1"/>
    <w:rsid w:val="00952D5E"/>
    <w:rsid w:val="00975367"/>
    <w:rsid w:val="00985B1C"/>
    <w:rsid w:val="009A3344"/>
    <w:rsid w:val="009C774F"/>
    <w:rsid w:val="00A15B90"/>
    <w:rsid w:val="00A32105"/>
    <w:rsid w:val="00A3794A"/>
    <w:rsid w:val="00A9060C"/>
    <w:rsid w:val="00AA6C91"/>
    <w:rsid w:val="00AE0DA8"/>
    <w:rsid w:val="00B215BC"/>
    <w:rsid w:val="00B447B9"/>
    <w:rsid w:val="00B7528C"/>
    <w:rsid w:val="00B844AD"/>
    <w:rsid w:val="00BE2973"/>
    <w:rsid w:val="00C54300"/>
    <w:rsid w:val="00C7266C"/>
    <w:rsid w:val="00CA5BAF"/>
    <w:rsid w:val="00D059D5"/>
    <w:rsid w:val="00D12DFD"/>
    <w:rsid w:val="00D64949"/>
    <w:rsid w:val="00D74D3D"/>
    <w:rsid w:val="00D8690A"/>
    <w:rsid w:val="00DA09EB"/>
    <w:rsid w:val="00DC545B"/>
    <w:rsid w:val="00E17221"/>
    <w:rsid w:val="00E27D3C"/>
    <w:rsid w:val="00E43334"/>
    <w:rsid w:val="00E44BB5"/>
    <w:rsid w:val="00E544AA"/>
    <w:rsid w:val="00E63CC1"/>
    <w:rsid w:val="00EA722E"/>
    <w:rsid w:val="00EB63A3"/>
    <w:rsid w:val="00EC49CC"/>
    <w:rsid w:val="00EE3B68"/>
    <w:rsid w:val="00F067AC"/>
    <w:rsid w:val="00F22A49"/>
    <w:rsid w:val="00F35925"/>
    <w:rsid w:val="00F67E55"/>
    <w:rsid w:val="00F95169"/>
    <w:rsid w:val="00FA67F4"/>
    <w:rsid w:val="00FB4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C7FED3"/>
  <w15:chartTrackingRefBased/>
  <w15:docId w15:val="{4A3A7154-DA9E-4DEF-893F-D640C3113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2BB"/>
    <w:rPr>
      <w:rFonts w:ascii="Book Antiqua" w:hAnsi="Book Antiqua"/>
    </w:rPr>
  </w:style>
  <w:style w:type="paragraph" w:styleId="Heading1">
    <w:name w:val="heading 1"/>
    <w:basedOn w:val="Normal"/>
    <w:next w:val="Normal"/>
    <w:link w:val="Heading1Char"/>
    <w:uiPriority w:val="9"/>
    <w:qFormat/>
    <w:rsid w:val="005C52BB"/>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5C52BB"/>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821AE7"/>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E1722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2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1722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722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722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722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qFormat/>
    <w:rsid w:val="005C52BB"/>
    <w:pPr>
      <w:tabs>
        <w:tab w:val="right" w:leader="dot" w:pos="9016"/>
      </w:tabs>
      <w:spacing w:after="100"/>
      <w:ind w:left="240"/>
    </w:pPr>
    <w:rPr>
      <w:szCs w:val="28"/>
    </w:rPr>
  </w:style>
  <w:style w:type="paragraph" w:styleId="Subtitle">
    <w:name w:val="Subtitle"/>
    <w:basedOn w:val="Normal"/>
    <w:next w:val="Normal"/>
    <w:link w:val="SubtitleChar"/>
    <w:uiPriority w:val="11"/>
    <w:qFormat/>
    <w:rsid w:val="005C52BB"/>
    <w:pPr>
      <w:numPr>
        <w:ilvl w:val="1"/>
      </w:numPr>
      <w:spacing w:line="240" w:lineRule="auto"/>
      <w:jc w:val="center"/>
    </w:pPr>
    <w:rPr>
      <w:rFonts w:eastAsiaTheme="majorEastAsia" w:cstheme="majorBidi"/>
      <w:b/>
      <w:spacing w:val="15"/>
      <w:sz w:val="28"/>
      <w:szCs w:val="28"/>
    </w:rPr>
  </w:style>
  <w:style w:type="character" w:customStyle="1" w:styleId="SubtitleChar">
    <w:name w:val="Subtitle Char"/>
    <w:basedOn w:val="DefaultParagraphFont"/>
    <w:link w:val="Subtitle"/>
    <w:uiPriority w:val="11"/>
    <w:rsid w:val="005C52BB"/>
    <w:rPr>
      <w:rFonts w:ascii="Book Antiqua" w:eastAsiaTheme="majorEastAsia" w:hAnsi="Book Antiqua" w:cstheme="majorBidi"/>
      <w:b/>
      <w:spacing w:val="15"/>
      <w:sz w:val="28"/>
      <w:szCs w:val="28"/>
    </w:rPr>
  </w:style>
  <w:style w:type="character" w:customStyle="1" w:styleId="Heading2Char">
    <w:name w:val="Heading 2 Char"/>
    <w:basedOn w:val="DefaultParagraphFont"/>
    <w:link w:val="Heading2"/>
    <w:uiPriority w:val="9"/>
    <w:rsid w:val="005C52BB"/>
    <w:rPr>
      <w:rFonts w:ascii="Book Antiqua" w:eastAsiaTheme="majorEastAsia" w:hAnsi="Book Antiqua" w:cstheme="majorBidi"/>
      <w:b/>
      <w:szCs w:val="32"/>
    </w:rPr>
  </w:style>
  <w:style w:type="paragraph" w:customStyle="1" w:styleId="SectionTitle">
    <w:name w:val="Section Title"/>
    <w:basedOn w:val="Normal"/>
    <w:link w:val="SectionTitleChar"/>
    <w:qFormat/>
    <w:rsid w:val="005C52BB"/>
    <w:pPr>
      <w:jc w:val="center"/>
    </w:pPr>
    <w:rPr>
      <w:b/>
      <w:bCs/>
      <w:sz w:val="28"/>
      <w:szCs w:val="28"/>
    </w:rPr>
  </w:style>
  <w:style w:type="character" w:customStyle="1" w:styleId="SectionTitleChar">
    <w:name w:val="Section Title Char"/>
    <w:basedOn w:val="DefaultParagraphFont"/>
    <w:link w:val="SectionTitle"/>
    <w:rsid w:val="005C52BB"/>
    <w:rPr>
      <w:rFonts w:ascii="Book Antiqua" w:hAnsi="Book Antiqua"/>
      <w:b/>
      <w:bCs/>
      <w:sz w:val="28"/>
      <w:szCs w:val="28"/>
    </w:rPr>
  </w:style>
  <w:style w:type="character" w:customStyle="1" w:styleId="Heading1Char">
    <w:name w:val="Heading 1 Char"/>
    <w:basedOn w:val="DefaultParagraphFont"/>
    <w:link w:val="Heading1"/>
    <w:uiPriority w:val="9"/>
    <w:rsid w:val="005C52BB"/>
    <w:rPr>
      <w:rFonts w:ascii="Book Antiqua" w:eastAsiaTheme="majorEastAsia" w:hAnsi="Book Antiqua" w:cstheme="majorBidi"/>
      <w:b/>
      <w:sz w:val="28"/>
      <w:szCs w:val="40"/>
    </w:rPr>
  </w:style>
  <w:style w:type="paragraph" w:styleId="Title">
    <w:name w:val="Title"/>
    <w:basedOn w:val="Normal"/>
    <w:next w:val="Normal"/>
    <w:link w:val="TitleChar"/>
    <w:uiPriority w:val="10"/>
    <w:qFormat/>
    <w:rsid w:val="005C52BB"/>
    <w:pPr>
      <w:spacing w:after="80"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5C52BB"/>
    <w:rPr>
      <w:rFonts w:ascii="Book Antiqua" w:eastAsiaTheme="majorEastAsia" w:hAnsi="Book Antiqua" w:cstheme="majorBidi"/>
      <w:b/>
      <w:spacing w:val="-10"/>
      <w:kern w:val="28"/>
      <w:sz w:val="32"/>
      <w:szCs w:val="56"/>
    </w:rPr>
  </w:style>
  <w:style w:type="character" w:customStyle="1" w:styleId="Heading3Char">
    <w:name w:val="Heading 3 Char"/>
    <w:basedOn w:val="DefaultParagraphFont"/>
    <w:link w:val="Heading3"/>
    <w:uiPriority w:val="9"/>
    <w:rsid w:val="00821AE7"/>
    <w:rPr>
      <w:rFonts w:ascii="Book Antiqua" w:eastAsiaTheme="majorEastAsia" w:hAnsi="Book Antiqua" w:cstheme="majorBidi"/>
      <w:b/>
      <w:szCs w:val="28"/>
    </w:rPr>
  </w:style>
  <w:style w:type="character" w:customStyle="1" w:styleId="Heading4Char">
    <w:name w:val="Heading 4 Char"/>
    <w:basedOn w:val="DefaultParagraphFont"/>
    <w:link w:val="Heading4"/>
    <w:uiPriority w:val="9"/>
    <w:semiHidden/>
    <w:rsid w:val="00E17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21"/>
    <w:rPr>
      <w:rFonts w:eastAsiaTheme="majorEastAsia" w:cstheme="majorBidi"/>
      <w:color w:val="272727" w:themeColor="text1" w:themeTint="D8"/>
    </w:rPr>
  </w:style>
  <w:style w:type="paragraph" w:styleId="Quote">
    <w:name w:val="Quote"/>
    <w:basedOn w:val="Normal"/>
    <w:next w:val="Normal"/>
    <w:link w:val="QuoteChar"/>
    <w:uiPriority w:val="29"/>
    <w:qFormat/>
    <w:rsid w:val="00E17221"/>
    <w:pPr>
      <w:spacing w:before="160"/>
      <w:jc w:val="center"/>
    </w:pPr>
    <w:rPr>
      <w:i/>
      <w:iCs/>
      <w:color w:val="404040" w:themeColor="text1" w:themeTint="BF"/>
    </w:rPr>
  </w:style>
  <w:style w:type="character" w:customStyle="1" w:styleId="QuoteChar">
    <w:name w:val="Quote Char"/>
    <w:basedOn w:val="DefaultParagraphFont"/>
    <w:link w:val="Quote"/>
    <w:uiPriority w:val="29"/>
    <w:rsid w:val="00E17221"/>
    <w:rPr>
      <w:rFonts w:ascii="Book Antiqua" w:hAnsi="Book Antiqua"/>
      <w:i/>
      <w:iCs/>
      <w:color w:val="404040" w:themeColor="text1" w:themeTint="BF"/>
    </w:rPr>
  </w:style>
  <w:style w:type="paragraph" w:styleId="ListParagraph">
    <w:name w:val="List Paragraph"/>
    <w:basedOn w:val="Normal"/>
    <w:uiPriority w:val="34"/>
    <w:qFormat/>
    <w:rsid w:val="00E17221"/>
    <w:pPr>
      <w:ind w:left="720"/>
      <w:contextualSpacing/>
    </w:pPr>
  </w:style>
  <w:style w:type="character" w:styleId="IntenseEmphasis">
    <w:name w:val="Intense Emphasis"/>
    <w:basedOn w:val="DefaultParagraphFont"/>
    <w:uiPriority w:val="21"/>
    <w:qFormat/>
    <w:rsid w:val="00E17221"/>
    <w:rPr>
      <w:i/>
      <w:iCs/>
      <w:color w:val="0F4761" w:themeColor="accent1" w:themeShade="BF"/>
    </w:rPr>
  </w:style>
  <w:style w:type="paragraph" w:styleId="IntenseQuote">
    <w:name w:val="Intense Quote"/>
    <w:basedOn w:val="Normal"/>
    <w:next w:val="Normal"/>
    <w:link w:val="IntenseQuoteChar"/>
    <w:uiPriority w:val="30"/>
    <w:qFormat/>
    <w:rsid w:val="00E17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21"/>
    <w:rPr>
      <w:rFonts w:ascii="Book Antiqua" w:hAnsi="Book Antiqua"/>
      <w:i/>
      <w:iCs/>
      <w:color w:val="0F4761" w:themeColor="accent1" w:themeShade="BF"/>
    </w:rPr>
  </w:style>
  <w:style w:type="character" w:styleId="IntenseReference">
    <w:name w:val="Intense Reference"/>
    <w:basedOn w:val="DefaultParagraphFont"/>
    <w:uiPriority w:val="32"/>
    <w:qFormat/>
    <w:rsid w:val="00E17221"/>
    <w:rPr>
      <w:b/>
      <w:bCs/>
      <w:smallCaps/>
      <w:color w:val="0F4761" w:themeColor="accent1" w:themeShade="BF"/>
      <w:spacing w:val="5"/>
    </w:rPr>
  </w:style>
  <w:style w:type="paragraph" w:styleId="NoSpacing">
    <w:name w:val="No Spacing"/>
    <w:uiPriority w:val="1"/>
    <w:qFormat/>
    <w:rsid w:val="00D74D3D"/>
    <w:pPr>
      <w:spacing w:after="0" w:line="240" w:lineRule="auto"/>
    </w:pPr>
    <w:rPr>
      <w:rFonts w:ascii="Book Antiqua" w:hAnsi="Book Antiqua"/>
    </w:rPr>
  </w:style>
  <w:style w:type="paragraph" w:styleId="FootnoteText">
    <w:name w:val="footnote text"/>
    <w:basedOn w:val="Normal"/>
    <w:link w:val="FootnoteTextChar"/>
    <w:uiPriority w:val="99"/>
    <w:semiHidden/>
    <w:unhideWhenUsed/>
    <w:rsid w:val="00797D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7D33"/>
    <w:rPr>
      <w:rFonts w:ascii="Book Antiqua" w:hAnsi="Book Antiqua"/>
      <w:sz w:val="20"/>
      <w:szCs w:val="20"/>
    </w:rPr>
  </w:style>
  <w:style w:type="character" w:styleId="FootnoteReference">
    <w:name w:val="footnote reference"/>
    <w:basedOn w:val="DefaultParagraphFont"/>
    <w:uiPriority w:val="99"/>
    <w:semiHidden/>
    <w:unhideWhenUsed/>
    <w:rsid w:val="00797D33"/>
    <w:rPr>
      <w:vertAlign w:val="superscript"/>
    </w:rPr>
  </w:style>
  <w:style w:type="character" w:styleId="Hyperlink">
    <w:name w:val="Hyperlink"/>
    <w:basedOn w:val="DefaultParagraphFont"/>
    <w:uiPriority w:val="99"/>
    <w:unhideWhenUsed/>
    <w:rsid w:val="00344E40"/>
    <w:rPr>
      <w:color w:val="467886" w:themeColor="hyperlink"/>
      <w:u w:val="single"/>
    </w:rPr>
  </w:style>
  <w:style w:type="character" w:styleId="UnresolvedMention">
    <w:name w:val="Unresolved Mention"/>
    <w:basedOn w:val="DefaultParagraphFont"/>
    <w:uiPriority w:val="99"/>
    <w:semiHidden/>
    <w:unhideWhenUsed/>
    <w:rsid w:val="00344E40"/>
    <w:rPr>
      <w:color w:val="605E5C"/>
      <w:shd w:val="clear" w:color="auto" w:fill="E1DFDD"/>
    </w:rPr>
  </w:style>
  <w:style w:type="paragraph" w:styleId="EndnoteText">
    <w:name w:val="endnote text"/>
    <w:basedOn w:val="Normal"/>
    <w:link w:val="EndnoteTextChar"/>
    <w:uiPriority w:val="99"/>
    <w:semiHidden/>
    <w:unhideWhenUsed/>
    <w:rsid w:val="008D7FA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D7FA1"/>
    <w:rPr>
      <w:rFonts w:ascii="Book Antiqua" w:hAnsi="Book Antiqua"/>
      <w:sz w:val="20"/>
      <w:szCs w:val="20"/>
    </w:rPr>
  </w:style>
  <w:style w:type="character" w:styleId="EndnoteReference">
    <w:name w:val="endnote reference"/>
    <w:basedOn w:val="DefaultParagraphFont"/>
    <w:uiPriority w:val="99"/>
    <w:semiHidden/>
    <w:unhideWhenUsed/>
    <w:rsid w:val="008D7F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find-and-update.company-information.service.gov.uk/company/03648492"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ind-and-update.company-information.service.gov.uk/company/036484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340</TotalTime>
  <Pages>5</Pages>
  <Words>958</Words>
  <Characters>4553</Characters>
  <Application>Microsoft Office Word</Application>
  <DocSecurity>0</DocSecurity>
  <Lines>91</Lines>
  <Paragraphs>24</Paragraphs>
  <ScaleCrop>false</ScaleCrop>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Law</dc:creator>
  <cp:keywords/>
  <dc:description/>
  <cp:lastModifiedBy>Isaac Law</cp:lastModifiedBy>
  <cp:revision>89</cp:revision>
  <dcterms:created xsi:type="dcterms:W3CDTF">2024-05-19T16:46:00Z</dcterms:created>
  <dcterms:modified xsi:type="dcterms:W3CDTF">2024-05-19T22:58:00Z</dcterms:modified>
</cp:coreProperties>
</file>