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D381A" w14:textId="77777777" w:rsidR="00035CD5" w:rsidRDefault="00035CD5" w:rsidP="00063CAB">
      <w:pPr>
        <w:jc w:val="center"/>
        <w:rPr>
          <w:b/>
          <w:bCs/>
          <w:sz w:val="36"/>
          <w:szCs w:val="32"/>
        </w:rPr>
      </w:pPr>
    </w:p>
    <w:p w14:paraId="12F10126" w14:textId="77777777" w:rsidR="00035CD5" w:rsidRDefault="00035CD5" w:rsidP="00063CAB">
      <w:pPr>
        <w:jc w:val="center"/>
        <w:rPr>
          <w:b/>
          <w:bCs/>
          <w:sz w:val="36"/>
          <w:szCs w:val="32"/>
        </w:rPr>
      </w:pPr>
    </w:p>
    <w:p w14:paraId="36E09FA8" w14:textId="77777777" w:rsidR="00035CD5" w:rsidRDefault="00035CD5" w:rsidP="00063CAB">
      <w:pPr>
        <w:jc w:val="center"/>
        <w:rPr>
          <w:b/>
          <w:bCs/>
          <w:sz w:val="36"/>
          <w:szCs w:val="32"/>
        </w:rPr>
      </w:pPr>
    </w:p>
    <w:p w14:paraId="1D7C0580" w14:textId="42C5BC96" w:rsidR="00035CD5" w:rsidRDefault="00BA74AB" w:rsidP="00063CAB">
      <w:pPr>
        <w:jc w:val="center"/>
        <w:rPr>
          <w:b/>
          <w:bCs/>
          <w:sz w:val="36"/>
          <w:szCs w:val="32"/>
        </w:rPr>
      </w:pPr>
      <w:r>
        <w:rPr>
          <w:b/>
          <w:bCs/>
          <w:sz w:val="36"/>
          <w:szCs w:val="32"/>
        </w:rPr>
        <w:t xml:space="preserve">Children, </w:t>
      </w:r>
      <w:r w:rsidR="00035CD5">
        <w:rPr>
          <w:b/>
          <w:bCs/>
          <w:sz w:val="36"/>
          <w:szCs w:val="32"/>
        </w:rPr>
        <w:t>Health and Social Care</w:t>
      </w:r>
    </w:p>
    <w:p w14:paraId="47B44A33" w14:textId="48933803" w:rsidR="00063CAB" w:rsidRPr="008772A5" w:rsidRDefault="009E141B" w:rsidP="00063CAB">
      <w:pPr>
        <w:jc w:val="center"/>
        <w:rPr>
          <w:sz w:val="28"/>
          <w:szCs w:val="24"/>
        </w:rPr>
      </w:pPr>
      <w:r>
        <w:rPr>
          <w:sz w:val="28"/>
          <w:szCs w:val="24"/>
        </w:rPr>
        <w:t xml:space="preserve">Presentation and </w:t>
      </w:r>
      <w:r w:rsidR="00063CAB" w:rsidRPr="008772A5">
        <w:rPr>
          <w:sz w:val="28"/>
          <w:szCs w:val="24"/>
        </w:rPr>
        <w:t>Supporting Paper</w:t>
      </w:r>
    </w:p>
    <w:p w14:paraId="12AB1CC1" w14:textId="497AC645" w:rsidR="008772A5" w:rsidRDefault="008772A5" w:rsidP="00063CAB">
      <w:pPr>
        <w:jc w:val="center"/>
        <w:rPr>
          <w:b/>
          <w:bCs/>
          <w:sz w:val="28"/>
          <w:szCs w:val="24"/>
        </w:rPr>
      </w:pPr>
    </w:p>
    <w:p w14:paraId="5E23098F" w14:textId="0132A9CA" w:rsidR="008772A5" w:rsidRDefault="008772A5" w:rsidP="008772A5">
      <w:pPr>
        <w:ind w:left="2160"/>
        <w:rPr>
          <w:rFonts w:cs="Arial"/>
          <w:b/>
          <w:bCs/>
          <w:sz w:val="40"/>
          <w:szCs w:val="40"/>
        </w:rPr>
      </w:pPr>
      <w:r w:rsidRPr="003F49F9">
        <w:rPr>
          <w:rFonts w:cs="Arial"/>
          <w:b/>
          <w:bCs/>
          <w:sz w:val="40"/>
          <w:szCs w:val="40"/>
        </w:rPr>
        <w:t>Awla Semakula 1912740</w:t>
      </w:r>
    </w:p>
    <w:p w14:paraId="2957459C" w14:textId="556923FA" w:rsidR="00035CD5" w:rsidRPr="008772A5" w:rsidRDefault="008772A5" w:rsidP="008772A5">
      <w:pPr>
        <w:ind w:left="2160"/>
        <w:jc w:val="left"/>
        <w:rPr>
          <w:rFonts w:cs="Arial"/>
          <w:b/>
          <w:bCs/>
          <w:sz w:val="40"/>
          <w:szCs w:val="40"/>
        </w:rPr>
      </w:pPr>
      <w:r>
        <w:rPr>
          <w:b/>
          <w:bCs/>
          <w:sz w:val="28"/>
          <w:szCs w:val="24"/>
        </w:rPr>
        <w:t xml:space="preserve">                  </w:t>
      </w:r>
      <w:r w:rsidR="00035CD5">
        <w:rPr>
          <w:b/>
          <w:bCs/>
          <w:sz w:val="28"/>
          <w:szCs w:val="24"/>
        </w:rPr>
        <w:t>BMHP5004</w:t>
      </w:r>
    </w:p>
    <w:p w14:paraId="14C1306E" w14:textId="77777777" w:rsidR="00B63CFB" w:rsidRDefault="00B63CFB">
      <w:pPr>
        <w:spacing w:line="259" w:lineRule="auto"/>
        <w:jc w:val="left"/>
        <w:rPr>
          <w:b/>
          <w:bCs/>
        </w:rPr>
      </w:pPr>
      <w:r>
        <w:rPr>
          <w:b/>
          <w:bCs/>
        </w:rPr>
        <w:br w:type="page"/>
      </w:r>
    </w:p>
    <w:sdt>
      <w:sdtPr>
        <w:rPr>
          <w:rFonts w:ascii="Times New Roman" w:eastAsiaTheme="minorHAnsi" w:hAnsi="Times New Roman" w:cstheme="minorBidi"/>
          <w:color w:val="auto"/>
          <w:sz w:val="24"/>
          <w:szCs w:val="22"/>
          <w:lang w:val="en-IN"/>
        </w:rPr>
        <w:id w:val="-1948456897"/>
        <w:docPartObj>
          <w:docPartGallery w:val="Table of Contents"/>
          <w:docPartUnique/>
        </w:docPartObj>
      </w:sdtPr>
      <w:sdtEndPr>
        <w:rPr>
          <w:b/>
          <w:bCs/>
          <w:noProof/>
        </w:rPr>
      </w:sdtEndPr>
      <w:sdtContent>
        <w:p w14:paraId="16A2AB84" w14:textId="5B9A34F7" w:rsidR="00B63CFB" w:rsidRDefault="00B63CFB">
          <w:pPr>
            <w:pStyle w:val="TOCHeading"/>
          </w:pPr>
          <w:r>
            <w:t>Table of Contents</w:t>
          </w:r>
        </w:p>
        <w:p w14:paraId="5BF1D603" w14:textId="77777777" w:rsidR="002A6CF4" w:rsidRDefault="00B63CFB">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0749540" w:history="1">
            <w:r w:rsidR="002A6CF4" w:rsidRPr="00CD3AFA">
              <w:rPr>
                <w:rStyle w:val="Hyperlink"/>
                <w:noProof/>
              </w:rPr>
              <w:t>Introduction</w:t>
            </w:r>
            <w:r w:rsidR="002A6CF4">
              <w:rPr>
                <w:noProof/>
                <w:webHidden/>
              </w:rPr>
              <w:tab/>
            </w:r>
            <w:r w:rsidR="002A6CF4">
              <w:rPr>
                <w:noProof/>
                <w:webHidden/>
              </w:rPr>
              <w:fldChar w:fldCharType="begin"/>
            </w:r>
            <w:r w:rsidR="002A6CF4">
              <w:rPr>
                <w:noProof/>
                <w:webHidden/>
              </w:rPr>
              <w:instrText xml:space="preserve"> PAGEREF _Toc100749540 \h </w:instrText>
            </w:r>
            <w:r w:rsidR="002A6CF4">
              <w:rPr>
                <w:noProof/>
                <w:webHidden/>
              </w:rPr>
            </w:r>
            <w:r w:rsidR="002A6CF4">
              <w:rPr>
                <w:noProof/>
                <w:webHidden/>
              </w:rPr>
              <w:fldChar w:fldCharType="separate"/>
            </w:r>
            <w:r w:rsidR="002A6CF4">
              <w:rPr>
                <w:noProof/>
                <w:webHidden/>
              </w:rPr>
              <w:t>3</w:t>
            </w:r>
            <w:r w:rsidR="002A6CF4">
              <w:rPr>
                <w:noProof/>
                <w:webHidden/>
              </w:rPr>
              <w:fldChar w:fldCharType="end"/>
            </w:r>
          </w:hyperlink>
        </w:p>
        <w:p w14:paraId="67AC1B7C" w14:textId="77777777" w:rsidR="002A6CF4" w:rsidRDefault="0079085D">
          <w:pPr>
            <w:pStyle w:val="TOC1"/>
            <w:tabs>
              <w:tab w:val="right" w:leader="dot" w:pos="9016"/>
            </w:tabs>
            <w:rPr>
              <w:rFonts w:asciiTheme="minorHAnsi" w:eastAsiaTheme="minorEastAsia" w:hAnsiTheme="minorHAnsi"/>
              <w:noProof/>
              <w:sz w:val="22"/>
              <w:lang w:eastAsia="en-IN"/>
            </w:rPr>
          </w:pPr>
          <w:hyperlink w:anchor="_Toc100749541" w:history="1">
            <w:r w:rsidR="002A6CF4" w:rsidRPr="00CD3AFA">
              <w:rPr>
                <w:rStyle w:val="Hyperlink"/>
                <w:noProof/>
              </w:rPr>
              <w:t>Main Body</w:t>
            </w:r>
            <w:r w:rsidR="002A6CF4">
              <w:rPr>
                <w:noProof/>
                <w:webHidden/>
              </w:rPr>
              <w:tab/>
            </w:r>
            <w:r w:rsidR="002A6CF4">
              <w:rPr>
                <w:noProof/>
                <w:webHidden/>
              </w:rPr>
              <w:fldChar w:fldCharType="begin"/>
            </w:r>
            <w:r w:rsidR="002A6CF4">
              <w:rPr>
                <w:noProof/>
                <w:webHidden/>
              </w:rPr>
              <w:instrText xml:space="preserve"> PAGEREF _Toc100749541 \h </w:instrText>
            </w:r>
            <w:r w:rsidR="002A6CF4">
              <w:rPr>
                <w:noProof/>
                <w:webHidden/>
              </w:rPr>
            </w:r>
            <w:r w:rsidR="002A6CF4">
              <w:rPr>
                <w:noProof/>
                <w:webHidden/>
              </w:rPr>
              <w:fldChar w:fldCharType="separate"/>
            </w:r>
            <w:r w:rsidR="002A6CF4">
              <w:rPr>
                <w:noProof/>
                <w:webHidden/>
              </w:rPr>
              <w:t>3</w:t>
            </w:r>
            <w:r w:rsidR="002A6CF4">
              <w:rPr>
                <w:noProof/>
                <w:webHidden/>
              </w:rPr>
              <w:fldChar w:fldCharType="end"/>
            </w:r>
          </w:hyperlink>
        </w:p>
        <w:p w14:paraId="50A7618D" w14:textId="77777777" w:rsidR="002A6CF4" w:rsidRDefault="0079085D" w:rsidP="00BF4D29">
          <w:pPr>
            <w:pStyle w:val="TOC2"/>
            <w:tabs>
              <w:tab w:val="right" w:leader="dot" w:pos="9016"/>
            </w:tabs>
            <w:ind w:left="0"/>
            <w:rPr>
              <w:rFonts w:asciiTheme="minorHAnsi" w:eastAsiaTheme="minorEastAsia" w:hAnsiTheme="minorHAnsi"/>
              <w:noProof/>
              <w:sz w:val="22"/>
              <w:lang w:eastAsia="en-IN"/>
            </w:rPr>
          </w:pPr>
          <w:hyperlink w:anchor="_Toc100749542" w:history="1">
            <w:r w:rsidR="002A6CF4" w:rsidRPr="00CD3AFA">
              <w:rPr>
                <w:rStyle w:val="Hyperlink"/>
                <w:noProof/>
              </w:rPr>
              <w:t>Specific issues and vulnerabilities – risk factors</w:t>
            </w:r>
            <w:r w:rsidR="002A6CF4">
              <w:rPr>
                <w:noProof/>
                <w:webHidden/>
              </w:rPr>
              <w:tab/>
            </w:r>
            <w:r w:rsidR="002A6CF4">
              <w:rPr>
                <w:noProof/>
                <w:webHidden/>
              </w:rPr>
              <w:fldChar w:fldCharType="begin"/>
            </w:r>
            <w:r w:rsidR="002A6CF4">
              <w:rPr>
                <w:noProof/>
                <w:webHidden/>
              </w:rPr>
              <w:instrText xml:space="preserve"> PAGEREF _Toc100749542 \h </w:instrText>
            </w:r>
            <w:r w:rsidR="002A6CF4">
              <w:rPr>
                <w:noProof/>
                <w:webHidden/>
              </w:rPr>
            </w:r>
            <w:r w:rsidR="002A6CF4">
              <w:rPr>
                <w:noProof/>
                <w:webHidden/>
              </w:rPr>
              <w:fldChar w:fldCharType="separate"/>
            </w:r>
            <w:r w:rsidR="002A6CF4">
              <w:rPr>
                <w:noProof/>
                <w:webHidden/>
              </w:rPr>
              <w:t>3</w:t>
            </w:r>
            <w:r w:rsidR="002A6CF4">
              <w:rPr>
                <w:noProof/>
                <w:webHidden/>
              </w:rPr>
              <w:fldChar w:fldCharType="end"/>
            </w:r>
          </w:hyperlink>
        </w:p>
        <w:p w14:paraId="40564194" w14:textId="77777777" w:rsidR="002A6CF4" w:rsidRDefault="0079085D" w:rsidP="00BF4D29">
          <w:pPr>
            <w:pStyle w:val="TOC2"/>
            <w:tabs>
              <w:tab w:val="right" w:leader="dot" w:pos="9016"/>
            </w:tabs>
            <w:ind w:left="0"/>
            <w:rPr>
              <w:rFonts w:asciiTheme="minorHAnsi" w:eastAsiaTheme="minorEastAsia" w:hAnsiTheme="minorHAnsi"/>
              <w:noProof/>
              <w:sz w:val="22"/>
              <w:lang w:eastAsia="en-IN"/>
            </w:rPr>
          </w:pPr>
          <w:hyperlink w:anchor="_Toc100749543" w:history="1">
            <w:r w:rsidR="002A6CF4" w:rsidRPr="00CD3AFA">
              <w:rPr>
                <w:rStyle w:val="Hyperlink"/>
                <w:noProof/>
              </w:rPr>
              <w:t>Intervention and agency's role</w:t>
            </w:r>
            <w:r w:rsidR="002A6CF4">
              <w:rPr>
                <w:noProof/>
                <w:webHidden/>
              </w:rPr>
              <w:tab/>
            </w:r>
            <w:r w:rsidR="002A6CF4">
              <w:rPr>
                <w:noProof/>
                <w:webHidden/>
              </w:rPr>
              <w:fldChar w:fldCharType="begin"/>
            </w:r>
            <w:r w:rsidR="002A6CF4">
              <w:rPr>
                <w:noProof/>
                <w:webHidden/>
              </w:rPr>
              <w:instrText xml:space="preserve"> PAGEREF _Toc100749543 \h </w:instrText>
            </w:r>
            <w:r w:rsidR="002A6CF4">
              <w:rPr>
                <w:noProof/>
                <w:webHidden/>
              </w:rPr>
            </w:r>
            <w:r w:rsidR="002A6CF4">
              <w:rPr>
                <w:noProof/>
                <w:webHidden/>
              </w:rPr>
              <w:fldChar w:fldCharType="separate"/>
            </w:r>
            <w:r w:rsidR="002A6CF4">
              <w:rPr>
                <w:noProof/>
                <w:webHidden/>
              </w:rPr>
              <w:t>4</w:t>
            </w:r>
            <w:r w:rsidR="002A6CF4">
              <w:rPr>
                <w:noProof/>
                <w:webHidden/>
              </w:rPr>
              <w:fldChar w:fldCharType="end"/>
            </w:r>
          </w:hyperlink>
        </w:p>
        <w:p w14:paraId="481E9F0F" w14:textId="77777777" w:rsidR="002A6CF4" w:rsidRDefault="0079085D" w:rsidP="00BF4D29">
          <w:pPr>
            <w:pStyle w:val="TOC2"/>
            <w:tabs>
              <w:tab w:val="right" w:leader="dot" w:pos="9016"/>
            </w:tabs>
            <w:ind w:left="0"/>
            <w:rPr>
              <w:rFonts w:asciiTheme="minorHAnsi" w:eastAsiaTheme="minorEastAsia" w:hAnsiTheme="minorHAnsi"/>
              <w:noProof/>
              <w:sz w:val="22"/>
              <w:lang w:eastAsia="en-IN"/>
            </w:rPr>
          </w:pPr>
          <w:hyperlink w:anchor="_Toc100749544" w:history="1">
            <w:r w:rsidR="002A6CF4" w:rsidRPr="00CD3AFA">
              <w:rPr>
                <w:rStyle w:val="Hyperlink"/>
                <w:noProof/>
              </w:rPr>
              <w:t>Policies and evaluation of the response from agencies</w:t>
            </w:r>
            <w:r w:rsidR="002A6CF4">
              <w:rPr>
                <w:noProof/>
                <w:webHidden/>
              </w:rPr>
              <w:tab/>
            </w:r>
            <w:r w:rsidR="002A6CF4">
              <w:rPr>
                <w:noProof/>
                <w:webHidden/>
              </w:rPr>
              <w:fldChar w:fldCharType="begin"/>
            </w:r>
            <w:r w:rsidR="002A6CF4">
              <w:rPr>
                <w:noProof/>
                <w:webHidden/>
              </w:rPr>
              <w:instrText xml:space="preserve"> PAGEREF _Toc100749544 \h </w:instrText>
            </w:r>
            <w:r w:rsidR="002A6CF4">
              <w:rPr>
                <w:noProof/>
                <w:webHidden/>
              </w:rPr>
            </w:r>
            <w:r w:rsidR="002A6CF4">
              <w:rPr>
                <w:noProof/>
                <w:webHidden/>
              </w:rPr>
              <w:fldChar w:fldCharType="separate"/>
            </w:r>
            <w:r w:rsidR="002A6CF4">
              <w:rPr>
                <w:noProof/>
                <w:webHidden/>
              </w:rPr>
              <w:t>4</w:t>
            </w:r>
            <w:r w:rsidR="002A6CF4">
              <w:rPr>
                <w:noProof/>
                <w:webHidden/>
              </w:rPr>
              <w:fldChar w:fldCharType="end"/>
            </w:r>
          </w:hyperlink>
        </w:p>
        <w:p w14:paraId="59C8E98D" w14:textId="77777777" w:rsidR="002A6CF4" w:rsidRDefault="0079085D">
          <w:pPr>
            <w:pStyle w:val="TOC1"/>
            <w:tabs>
              <w:tab w:val="right" w:leader="dot" w:pos="9016"/>
            </w:tabs>
            <w:rPr>
              <w:rFonts w:asciiTheme="minorHAnsi" w:eastAsiaTheme="minorEastAsia" w:hAnsiTheme="minorHAnsi"/>
              <w:noProof/>
              <w:sz w:val="22"/>
              <w:lang w:eastAsia="en-IN"/>
            </w:rPr>
          </w:pPr>
          <w:hyperlink w:anchor="_Toc100749545" w:history="1">
            <w:r w:rsidR="002A6CF4" w:rsidRPr="00CD3AFA">
              <w:rPr>
                <w:rStyle w:val="Hyperlink"/>
                <w:noProof/>
              </w:rPr>
              <w:t>Conclusion</w:t>
            </w:r>
            <w:r w:rsidR="002A6CF4">
              <w:rPr>
                <w:noProof/>
                <w:webHidden/>
              </w:rPr>
              <w:tab/>
            </w:r>
            <w:r w:rsidR="002A6CF4">
              <w:rPr>
                <w:noProof/>
                <w:webHidden/>
              </w:rPr>
              <w:fldChar w:fldCharType="begin"/>
            </w:r>
            <w:r w:rsidR="002A6CF4">
              <w:rPr>
                <w:noProof/>
                <w:webHidden/>
              </w:rPr>
              <w:instrText xml:space="preserve"> PAGEREF _Toc100749545 \h </w:instrText>
            </w:r>
            <w:r w:rsidR="002A6CF4">
              <w:rPr>
                <w:noProof/>
                <w:webHidden/>
              </w:rPr>
            </w:r>
            <w:r w:rsidR="002A6CF4">
              <w:rPr>
                <w:noProof/>
                <w:webHidden/>
              </w:rPr>
              <w:fldChar w:fldCharType="separate"/>
            </w:r>
            <w:r w:rsidR="002A6CF4">
              <w:rPr>
                <w:noProof/>
                <w:webHidden/>
              </w:rPr>
              <w:t>5</w:t>
            </w:r>
            <w:r w:rsidR="002A6CF4">
              <w:rPr>
                <w:noProof/>
                <w:webHidden/>
              </w:rPr>
              <w:fldChar w:fldCharType="end"/>
            </w:r>
          </w:hyperlink>
        </w:p>
        <w:p w14:paraId="0BB49DAB" w14:textId="34D2FF9D" w:rsidR="002A6CF4" w:rsidRDefault="0079085D">
          <w:pPr>
            <w:pStyle w:val="TOC1"/>
            <w:tabs>
              <w:tab w:val="right" w:leader="dot" w:pos="9016"/>
            </w:tabs>
            <w:rPr>
              <w:noProof/>
            </w:rPr>
          </w:pPr>
          <w:hyperlink w:anchor="_Toc100749546" w:history="1">
            <w:r w:rsidR="002A6CF4" w:rsidRPr="00CD3AFA">
              <w:rPr>
                <w:rStyle w:val="Hyperlink"/>
                <w:noProof/>
              </w:rPr>
              <w:t>References</w:t>
            </w:r>
            <w:r w:rsidR="002A6CF4">
              <w:rPr>
                <w:noProof/>
                <w:webHidden/>
              </w:rPr>
              <w:tab/>
            </w:r>
            <w:r w:rsidR="002A6CF4">
              <w:rPr>
                <w:noProof/>
                <w:webHidden/>
              </w:rPr>
              <w:fldChar w:fldCharType="begin"/>
            </w:r>
            <w:r w:rsidR="002A6CF4">
              <w:rPr>
                <w:noProof/>
                <w:webHidden/>
              </w:rPr>
              <w:instrText xml:space="preserve"> PAGEREF _Toc100749546 \h </w:instrText>
            </w:r>
            <w:r w:rsidR="002A6CF4">
              <w:rPr>
                <w:noProof/>
                <w:webHidden/>
              </w:rPr>
            </w:r>
            <w:r w:rsidR="002A6CF4">
              <w:rPr>
                <w:noProof/>
                <w:webHidden/>
              </w:rPr>
              <w:fldChar w:fldCharType="separate"/>
            </w:r>
            <w:r w:rsidR="002A6CF4">
              <w:rPr>
                <w:noProof/>
                <w:webHidden/>
              </w:rPr>
              <w:t>6</w:t>
            </w:r>
            <w:r w:rsidR="002A6CF4">
              <w:rPr>
                <w:noProof/>
                <w:webHidden/>
              </w:rPr>
              <w:fldChar w:fldCharType="end"/>
            </w:r>
          </w:hyperlink>
        </w:p>
        <w:p w14:paraId="1DA4EB9A" w14:textId="69572E86" w:rsidR="001F72DF" w:rsidRPr="001F72DF" w:rsidRDefault="00BF4D29" w:rsidP="001F72DF">
          <w:r>
            <w:t>Presentation………………………………………………………………………………….7/8</w:t>
          </w:r>
        </w:p>
        <w:p w14:paraId="799A9B06" w14:textId="29C73DCA" w:rsidR="00B63CFB" w:rsidRDefault="00B63CFB">
          <w:r>
            <w:rPr>
              <w:b/>
              <w:bCs/>
              <w:noProof/>
            </w:rPr>
            <w:fldChar w:fldCharType="end"/>
          </w:r>
        </w:p>
      </w:sdtContent>
    </w:sdt>
    <w:p w14:paraId="5AD41E56" w14:textId="77777777" w:rsidR="00063CAB" w:rsidRDefault="00063CAB" w:rsidP="00B63CFB"/>
    <w:p w14:paraId="4C3AB2F3" w14:textId="77777777" w:rsidR="00063CAB" w:rsidRDefault="00063CAB">
      <w:pPr>
        <w:spacing w:line="259" w:lineRule="auto"/>
        <w:jc w:val="left"/>
        <w:rPr>
          <w:b/>
          <w:bCs/>
        </w:rPr>
      </w:pPr>
      <w:r>
        <w:rPr>
          <w:b/>
          <w:bCs/>
        </w:rPr>
        <w:br w:type="page"/>
      </w:r>
    </w:p>
    <w:p w14:paraId="26B2BE53" w14:textId="1E9CCBBA" w:rsidR="00063CAB" w:rsidRDefault="00063CAB" w:rsidP="00110342">
      <w:pPr>
        <w:pStyle w:val="Heading1"/>
      </w:pPr>
      <w:bookmarkStart w:id="0" w:name="_Toc100749540"/>
      <w:r>
        <w:lastRenderedPageBreak/>
        <w:t>Introduction</w:t>
      </w:r>
      <w:bookmarkEnd w:id="0"/>
    </w:p>
    <w:p w14:paraId="10E91989" w14:textId="552A61CC" w:rsidR="00A3158D" w:rsidRPr="00A3158D" w:rsidRDefault="00A3158D" w:rsidP="00A3158D">
      <w:r>
        <w:t>The case study depicts the situation of a troubled family</w:t>
      </w:r>
      <w:r w:rsidR="003662B2">
        <w:t xml:space="preserve"> in Portsmouth, UK</w:t>
      </w:r>
      <w:r w:rsidR="00EE4D55">
        <w:t>,</w:t>
      </w:r>
      <w:r w:rsidR="003662B2">
        <w:t xml:space="preserve"> wherein a single mother is living with her three children. </w:t>
      </w:r>
      <w:r w:rsidR="00EE4D55">
        <w:t>T</w:t>
      </w:r>
      <w:r w:rsidR="003662B2">
        <w:t xml:space="preserve">he family is having issues maintaining the daily tasks because </w:t>
      </w:r>
      <w:r w:rsidR="00FF192B">
        <w:t>of the mother</w:t>
      </w:r>
      <w:r w:rsidR="00246E16">
        <w:t>'</w:t>
      </w:r>
      <w:r w:rsidR="00FF192B">
        <w:t>s persistent condition of mental illness. In addition to this, the depiction of the requirement for specific intervention in order to repair the mental status of the mother</w:t>
      </w:r>
      <w:r w:rsidR="009A0939">
        <w:t>, who is currently suffering from anxiety</w:t>
      </w:r>
      <w:sdt>
        <w:sdtPr>
          <w:id w:val="1389461762"/>
          <w:citation/>
        </w:sdtPr>
        <w:sdtEndPr/>
        <w:sdtContent>
          <w:r w:rsidR="00454CF0">
            <w:fldChar w:fldCharType="begin"/>
          </w:r>
          <w:r w:rsidR="00454CF0">
            <w:instrText xml:space="preserve"> CITATION Gov221 \l 16393 </w:instrText>
          </w:r>
          <w:r w:rsidR="00454CF0">
            <w:fldChar w:fldCharType="separate"/>
          </w:r>
          <w:r w:rsidR="002A6CF4">
            <w:rPr>
              <w:noProof/>
            </w:rPr>
            <w:t xml:space="preserve"> </w:t>
          </w:r>
          <w:r w:rsidR="002A6CF4" w:rsidRPr="002A6CF4">
            <w:rPr>
              <w:noProof/>
            </w:rPr>
            <w:t>(Gov.uk, 2022)</w:t>
          </w:r>
          <w:r w:rsidR="00454CF0">
            <w:fldChar w:fldCharType="end"/>
          </w:r>
        </w:sdtContent>
      </w:sdt>
      <w:r w:rsidR="009A0939">
        <w:t xml:space="preserve">. The report denotes the specific vulnerabilities and risk factors that are linked with the case and eventually affect the overall health and economic condition of the family. Furthermore, the report also focuses on the intervention and policies that </w:t>
      </w:r>
      <w:r w:rsidR="007D4DED">
        <w:t xml:space="preserve">help the agencies to focus on plans for redressal of issues for the patient in the case study. </w:t>
      </w:r>
    </w:p>
    <w:p w14:paraId="06D358E8" w14:textId="278A0171" w:rsidR="00063CAB" w:rsidRDefault="00063CAB" w:rsidP="00110342">
      <w:pPr>
        <w:pStyle w:val="Heading1"/>
      </w:pPr>
      <w:bookmarkStart w:id="1" w:name="_Toc100749541"/>
      <w:r>
        <w:t>Main Body</w:t>
      </w:r>
      <w:bookmarkEnd w:id="1"/>
    </w:p>
    <w:p w14:paraId="7466181A" w14:textId="7E4D36F8" w:rsidR="00110342" w:rsidRDefault="00DD6869" w:rsidP="00DD6869">
      <w:pPr>
        <w:pStyle w:val="Heading2"/>
      </w:pPr>
      <w:bookmarkStart w:id="2" w:name="_Toc100749542"/>
      <w:r>
        <w:t>Specific issues and vulnerabilities – risk factors</w:t>
      </w:r>
      <w:bookmarkEnd w:id="2"/>
    </w:p>
    <w:p w14:paraId="0BE5385D" w14:textId="4C04A756" w:rsidR="00C1411C" w:rsidRDefault="00E40623" w:rsidP="00C1411C">
      <w:r w:rsidRPr="00E40623">
        <w:t xml:space="preserve">Risk factors are referred to </w:t>
      </w:r>
      <w:r w:rsidR="00EE4D55">
        <w:t xml:space="preserve">as </w:t>
      </w:r>
      <w:r w:rsidRPr="00E40623">
        <w:t>the determinants which tend to increase the risk associated with a specific disease</w:t>
      </w:r>
      <w:sdt>
        <w:sdtPr>
          <w:id w:val="-1641182002"/>
          <w:citation/>
        </w:sdtPr>
        <w:sdtEndPr/>
        <w:sdtContent>
          <w:r w:rsidR="00454CF0">
            <w:fldChar w:fldCharType="begin"/>
          </w:r>
          <w:r w:rsidR="00454CF0">
            <w:instrText xml:space="preserve"> CITATION Har192 \l 16393 </w:instrText>
          </w:r>
          <w:r w:rsidR="00454CF0">
            <w:fldChar w:fldCharType="separate"/>
          </w:r>
          <w:r w:rsidR="002A6CF4">
            <w:rPr>
              <w:noProof/>
            </w:rPr>
            <w:t xml:space="preserve"> </w:t>
          </w:r>
          <w:r w:rsidR="002A6CF4" w:rsidRPr="002A6CF4">
            <w:rPr>
              <w:noProof/>
            </w:rPr>
            <w:t>(Hart Abney, et al., 2019)</w:t>
          </w:r>
          <w:r w:rsidR="00454CF0">
            <w:fldChar w:fldCharType="end"/>
          </w:r>
        </w:sdtContent>
      </w:sdt>
      <w:r w:rsidRPr="00E40623">
        <w:t xml:space="preserve">. The risk factors associated with the case study </w:t>
      </w:r>
      <w:r w:rsidR="00EE4D55">
        <w:t>are</w:t>
      </w:r>
      <w:r w:rsidRPr="00E40623">
        <w:t xml:space="preserve"> directly linked </w:t>
      </w:r>
      <w:r w:rsidR="00EE4D55">
        <w:t>to</w:t>
      </w:r>
      <w:r w:rsidRPr="00E40623">
        <w:t xml:space="preserve"> </w:t>
      </w:r>
      <w:r w:rsidR="00EE4D55">
        <w:t xml:space="preserve">the </w:t>
      </w:r>
      <w:r w:rsidRPr="00E40623">
        <w:t xml:space="preserve">reduction of </w:t>
      </w:r>
      <w:r w:rsidR="00EE4D55">
        <w:t xml:space="preserve">the </w:t>
      </w:r>
      <w:r w:rsidRPr="00E40623">
        <w:t xml:space="preserve">mental capacity </w:t>
      </w:r>
      <w:r w:rsidR="00EE4D55">
        <w:t>of</w:t>
      </w:r>
      <w:r w:rsidRPr="00E40623">
        <w:t xml:space="preserve"> the patient having a significant deterioration of the condition in mental health. In association with the specific issues identified according to the case study is </w:t>
      </w:r>
      <w:r w:rsidR="00EE4D55">
        <w:t>the</w:t>
      </w:r>
      <w:r w:rsidRPr="00E40623">
        <w:t xml:space="preserve"> poor mental health condition of the single mother and </w:t>
      </w:r>
      <w:r w:rsidR="00EE4D55">
        <w:t xml:space="preserve">the </w:t>
      </w:r>
      <w:r w:rsidRPr="00E40623">
        <w:t>impacted wellbeing levels of the patient. In association with this</w:t>
      </w:r>
      <w:r w:rsidR="00EE4D55">
        <w:t>,</w:t>
      </w:r>
      <w:r w:rsidRPr="00E40623">
        <w:t xml:space="preserve"> the higher levels of anxiety and stress</w:t>
      </w:r>
      <w:r w:rsidR="00EE4D55">
        <w:t>,</w:t>
      </w:r>
      <w:r w:rsidRPr="00E40623">
        <w:t xml:space="preserve"> as depicted in the case study</w:t>
      </w:r>
      <w:r w:rsidR="00EE4D55">
        <w:t>,</w:t>
      </w:r>
      <w:r w:rsidRPr="00E40623">
        <w:t xml:space="preserve"> directly reduce the condition of </w:t>
      </w:r>
      <w:r w:rsidR="00EE4D55">
        <w:t xml:space="preserve">the </w:t>
      </w:r>
      <w:r w:rsidRPr="00E40623">
        <w:t xml:space="preserve">mental </w:t>
      </w:r>
      <w:r w:rsidR="00EE4D55">
        <w:t>h</w:t>
      </w:r>
      <w:r w:rsidRPr="00E40623">
        <w:t xml:space="preserve">ealth </w:t>
      </w:r>
      <w:r w:rsidR="00EE4D55">
        <w:t>of</w:t>
      </w:r>
      <w:r w:rsidRPr="00E40623">
        <w:t xml:space="preserve"> the patient</w:t>
      </w:r>
      <w:sdt>
        <w:sdtPr>
          <w:id w:val="-261145039"/>
          <w:citation/>
        </w:sdtPr>
        <w:sdtEndPr/>
        <w:sdtContent>
          <w:r w:rsidR="00454CF0">
            <w:fldChar w:fldCharType="begin"/>
          </w:r>
          <w:r w:rsidR="00454CF0">
            <w:instrText xml:space="preserve"> CITATION Bac18 \l 16393 </w:instrText>
          </w:r>
          <w:r w:rsidR="00454CF0">
            <w:fldChar w:fldCharType="separate"/>
          </w:r>
          <w:r w:rsidR="002A6CF4">
            <w:rPr>
              <w:noProof/>
            </w:rPr>
            <w:t xml:space="preserve"> </w:t>
          </w:r>
          <w:r w:rsidR="002A6CF4" w:rsidRPr="002A6CF4">
            <w:rPr>
              <w:noProof/>
            </w:rPr>
            <w:t>(Bach-Mortensen, et al., 2018)</w:t>
          </w:r>
          <w:r w:rsidR="00454CF0">
            <w:fldChar w:fldCharType="end"/>
          </w:r>
        </w:sdtContent>
      </w:sdt>
      <w:r w:rsidRPr="00E40623">
        <w:t>. The situation is away poor economic condition</w:t>
      </w:r>
      <w:r w:rsidR="00EE4D55">
        <w:t>s</w:t>
      </w:r>
      <w:r w:rsidRPr="00E40623">
        <w:t xml:space="preserve"> which ha</w:t>
      </w:r>
      <w:r w:rsidR="00EE4D55">
        <w:t>ve</w:t>
      </w:r>
      <w:r w:rsidRPr="00E40623">
        <w:t xml:space="preserve"> further increased the level of hardship for the family. The conditions of health ha</w:t>
      </w:r>
      <w:r w:rsidR="00EE4D55">
        <w:t>ve</w:t>
      </w:r>
      <w:r w:rsidRPr="00E40623">
        <w:t xml:space="preserve"> persistently reduced</w:t>
      </w:r>
      <w:r w:rsidR="00EE4D55">
        <w:t>,</w:t>
      </w:r>
      <w:r w:rsidRPr="00E40623">
        <w:t xml:space="preserve"> leading towards the arousal of a situation where the stress factors </w:t>
      </w:r>
      <w:r w:rsidR="00EE4D55">
        <w:t>in coping</w:t>
      </w:r>
      <w:r w:rsidRPr="00E40623">
        <w:t xml:space="preserve"> with daily life activities ha</w:t>
      </w:r>
      <w:r w:rsidR="00EE4D55">
        <w:t>ve</w:t>
      </w:r>
      <w:r w:rsidRPr="00E40623">
        <w:t xml:space="preserve"> also increased subsequently.</w:t>
      </w:r>
    </w:p>
    <w:p w14:paraId="2641616F" w14:textId="77777777" w:rsidR="00F1037D" w:rsidRDefault="00E40623" w:rsidP="00F1037D">
      <w:pPr>
        <w:keepNext/>
        <w:jc w:val="center"/>
      </w:pPr>
      <w:r>
        <w:rPr>
          <w:noProof/>
          <w:lang w:eastAsia="en-IN"/>
        </w:rPr>
        <w:drawing>
          <wp:inline distT="0" distB="0" distL="0" distR="0" wp14:anchorId="648AD164" wp14:editId="3A5CDF8A">
            <wp:extent cx="3648075" cy="1950544"/>
            <wp:effectExtent l="0" t="0" r="0" b="0"/>
            <wp:docPr id="1" name="Picture 1" descr="WHO guidelines on Social Determinants of Health - Equipo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O guidelines on Social Determinants of Health - Equipo Healt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52424" cy="1952870"/>
                    </a:xfrm>
                    <a:prstGeom prst="rect">
                      <a:avLst/>
                    </a:prstGeom>
                    <a:noFill/>
                    <a:ln>
                      <a:noFill/>
                    </a:ln>
                  </pic:spPr>
                </pic:pic>
              </a:graphicData>
            </a:graphic>
          </wp:inline>
        </w:drawing>
      </w:r>
    </w:p>
    <w:p w14:paraId="5CCA7669" w14:textId="3E0987FB" w:rsidR="00E40623" w:rsidRDefault="00F1037D" w:rsidP="00F1037D">
      <w:pPr>
        <w:pStyle w:val="Caption"/>
        <w:jc w:val="center"/>
      </w:pPr>
      <w:r>
        <w:t xml:space="preserve">Figure </w:t>
      </w:r>
      <w:r w:rsidR="0079085D">
        <w:fldChar w:fldCharType="begin"/>
      </w:r>
      <w:r w:rsidR="0079085D">
        <w:instrText xml:space="preserve"> SEQ Figure \* ARABIC </w:instrText>
      </w:r>
      <w:r w:rsidR="0079085D">
        <w:fldChar w:fldCharType="separate"/>
      </w:r>
      <w:r>
        <w:rPr>
          <w:noProof/>
        </w:rPr>
        <w:t>1</w:t>
      </w:r>
      <w:r w:rsidR="0079085D">
        <w:rPr>
          <w:noProof/>
        </w:rPr>
        <w:fldChar w:fldCharType="end"/>
      </w:r>
      <w:r>
        <w:t xml:space="preserve">: Social Determinants of Health; Source: </w:t>
      </w:r>
      <w:sdt>
        <w:sdtPr>
          <w:id w:val="929928285"/>
          <w:citation/>
        </w:sdtPr>
        <w:sdtEndPr/>
        <w:sdtContent>
          <w:r w:rsidR="00454CF0">
            <w:fldChar w:fldCharType="begin"/>
          </w:r>
          <w:r w:rsidR="00454CF0">
            <w:instrText xml:space="preserve"> CITATION WHO215 \l 16393 </w:instrText>
          </w:r>
          <w:r w:rsidR="00454CF0">
            <w:fldChar w:fldCharType="separate"/>
          </w:r>
          <w:r w:rsidR="002A6CF4" w:rsidRPr="002A6CF4">
            <w:rPr>
              <w:noProof/>
            </w:rPr>
            <w:t>(WHO, 2022)</w:t>
          </w:r>
          <w:r w:rsidR="00454CF0">
            <w:fldChar w:fldCharType="end"/>
          </w:r>
        </w:sdtContent>
      </w:sdt>
    </w:p>
    <w:p w14:paraId="31382F53" w14:textId="37E8A533" w:rsidR="00E40623" w:rsidRPr="00C1411C" w:rsidRDefault="00EE4D55" w:rsidP="00E40623">
      <w:r w:rsidRPr="00EE4D55">
        <w:lastRenderedPageBreak/>
        <w:t>In order to understand the impact of negative health condition</w:t>
      </w:r>
      <w:r>
        <w:t>s,</w:t>
      </w:r>
      <w:r w:rsidRPr="00EE4D55">
        <w:t xml:space="preserve"> it is particularly a primary requirement to effectively focus on the social determinant of health which determines the capability of a family to develop their level of outcome from a social perspective</w:t>
      </w:r>
      <w:sdt>
        <w:sdtPr>
          <w:id w:val="-1310788430"/>
          <w:citation/>
        </w:sdtPr>
        <w:sdtEndPr/>
        <w:sdtContent>
          <w:r w:rsidR="00454CF0">
            <w:fldChar w:fldCharType="begin"/>
          </w:r>
          <w:r w:rsidR="00454CF0">
            <w:instrText xml:space="preserve"> CITATION Cal212 \l 16393 </w:instrText>
          </w:r>
          <w:r w:rsidR="00454CF0">
            <w:fldChar w:fldCharType="separate"/>
          </w:r>
          <w:r w:rsidR="002A6CF4">
            <w:rPr>
              <w:noProof/>
            </w:rPr>
            <w:t xml:space="preserve"> </w:t>
          </w:r>
          <w:r w:rsidR="002A6CF4" w:rsidRPr="002A6CF4">
            <w:rPr>
              <w:noProof/>
            </w:rPr>
            <w:t>(Calear, et al., 2021)</w:t>
          </w:r>
          <w:r w:rsidR="00454CF0">
            <w:fldChar w:fldCharType="end"/>
          </w:r>
        </w:sdtContent>
      </w:sdt>
      <w:r w:rsidRPr="00EE4D55">
        <w:t>. In association with this</w:t>
      </w:r>
      <w:r>
        <w:t>,</w:t>
      </w:r>
      <w:r w:rsidRPr="00EE4D55">
        <w:t xml:space="preserve"> it is also particularly needed to understand the relationship of different determinants of health with that of </w:t>
      </w:r>
      <w:r>
        <w:t xml:space="preserve">the </w:t>
      </w:r>
      <w:r w:rsidRPr="00EE4D55">
        <w:t xml:space="preserve">level of personal </w:t>
      </w:r>
      <w:r w:rsidR="00454CF0" w:rsidRPr="00EE4D55">
        <w:t>wellbeing</w:t>
      </w:r>
      <w:r w:rsidRPr="00EE4D55">
        <w:t xml:space="preserve"> for which the social determinant of health model is utilised</w:t>
      </w:r>
      <w:r>
        <w:t>, a</w:t>
      </w:r>
      <w:r w:rsidRPr="00EE4D55">
        <w:t xml:space="preserve">ccording to the </w:t>
      </w:r>
      <w:r>
        <w:t>WHO</w:t>
      </w:r>
      <w:r w:rsidRPr="00EE4D55">
        <w:t xml:space="preserve"> </w:t>
      </w:r>
      <w:r>
        <w:t>five</w:t>
      </w:r>
      <w:r w:rsidRPr="00EE4D55">
        <w:t xml:space="preserve"> factors like education</w:t>
      </w:r>
      <w:r>
        <w:t>,</w:t>
      </w:r>
      <w:r w:rsidRPr="00EE4D55">
        <w:t xml:space="preserve"> facility to adopt healthcare</w:t>
      </w:r>
      <w:r>
        <w:t>,</w:t>
      </w:r>
      <w:r w:rsidRPr="00EE4D55">
        <w:t xml:space="preserve"> economics stability</w:t>
      </w:r>
      <w:r>
        <w:t>,</w:t>
      </w:r>
      <w:r w:rsidRPr="00EE4D55">
        <w:t xml:space="preserve"> neighbourhood conditions</w:t>
      </w:r>
      <w:r>
        <w:t>,</w:t>
      </w:r>
      <w:r w:rsidRPr="00EE4D55">
        <w:t xml:space="preserve"> and the social and community service </w:t>
      </w:r>
      <w:r>
        <w:t>plays an</w:t>
      </w:r>
      <w:r w:rsidRPr="00EE4D55">
        <w:t xml:space="preserve"> important role in shaping the health status of people</w:t>
      </w:r>
      <w:sdt>
        <w:sdtPr>
          <w:id w:val="-639344453"/>
          <w:citation/>
        </w:sdtPr>
        <w:sdtEndPr/>
        <w:sdtContent>
          <w:r w:rsidR="00454CF0">
            <w:fldChar w:fldCharType="begin"/>
          </w:r>
          <w:r w:rsidR="00454CF0">
            <w:instrText xml:space="preserve"> CITATION WHO215 \l 16393 </w:instrText>
          </w:r>
          <w:r w:rsidR="00454CF0">
            <w:fldChar w:fldCharType="separate"/>
          </w:r>
          <w:r w:rsidR="002A6CF4">
            <w:rPr>
              <w:noProof/>
            </w:rPr>
            <w:t xml:space="preserve"> </w:t>
          </w:r>
          <w:r w:rsidR="002A6CF4" w:rsidRPr="002A6CF4">
            <w:rPr>
              <w:noProof/>
            </w:rPr>
            <w:t>(WHO, 2022)</w:t>
          </w:r>
          <w:r w:rsidR="00454CF0">
            <w:fldChar w:fldCharType="end"/>
          </w:r>
        </w:sdtContent>
      </w:sdt>
      <w:r w:rsidRPr="00EE4D55">
        <w:t xml:space="preserve">. In accordance </w:t>
      </w:r>
      <w:r>
        <w:t>with</w:t>
      </w:r>
      <w:r w:rsidRPr="00EE4D55">
        <w:t xml:space="preserve"> this</w:t>
      </w:r>
      <w:r>
        <w:t>,</w:t>
      </w:r>
      <w:r w:rsidRPr="00EE4D55">
        <w:t xml:space="preserve"> it is found that for the people wh</w:t>
      </w:r>
      <w:r>
        <w:t>o</w:t>
      </w:r>
      <w:r w:rsidRPr="00EE4D55">
        <w:t xml:space="preserve"> include four members family</w:t>
      </w:r>
      <w:r>
        <w:t>,</w:t>
      </w:r>
      <w:r w:rsidRPr="00EE4D55">
        <w:t xml:space="preserve"> it is found that economic stability is negatively impacted in addition to the poor health and wellbeing status. This is primarily due to the cases of anxiety in the head of the family</w:t>
      </w:r>
      <w:r>
        <w:t>,</w:t>
      </w:r>
      <w:r w:rsidRPr="00EE4D55">
        <w:t xml:space="preserve"> </w:t>
      </w:r>
      <w:r>
        <w:t>which</w:t>
      </w:r>
      <w:r w:rsidRPr="00EE4D55">
        <w:t xml:space="preserve"> is their single mother. In this context</w:t>
      </w:r>
      <w:r>
        <w:t>,</w:t>
      </w:r>
      <w:r w:rsidRPr="00EE4D55">
        <w:t xml:space="preserve"> it is particularly required that the health services department of </w:t>
      </w:r>
      <w:r w:rsidR="00454CF0" w:rsidRPr="00EE4D55">
        <w:t>Portsmouth has</w:t>
      </w:r>
      <w:r w:rsidRPr="00EE4D55">
        <w:t xml:space="preserve"> the social responsibility to deliver </w:t>
      </w:r>
      <w:r>
        <w:t xml:space="preserve">the </w:t>
      </w:r>
      <w:r w:rsidRPr="00EE4D55">
        <w:t xml:space="preserve">specific outcome in </w:t>
      </w:r>
      <w:r>
        <w:t xml:space="preserve">the </w:t>
      </w:r>
      <w:r w:rsidRPr="00EE4D55">
        <w:t xml:space="preserve">context of reviewing the health condition </w:t>
      </w:r>
      <w:r>
        <w:t>of</w:t>
      </w:r>
      <w:r w:rsidRPr="00EE4D55">
        <w:t xml:space="preserve"> the family</w:t>
      </w:r>
    </w:p>
    <w:p w14:paraId="5DD4309C" w14:textId="1E054862" w:rsidR="00DD6869" w:rsidRDefault="00DD6869" w:rsidP="00DD6869">
      <w:pPr>
        <w:pStyle w:val="Heading2"/>
      </w:pPr>
      <w:bookmarkStart w:id="3" w:name="_Toc100749543"/>
      <w:r>
        <w:t>Intervention and agency</w:t>
      </w:r>
      <w:r w:rsidR="00246E16">
        <w:t>'</w:t>
      </w:r>
      <w:r>
        <w:t>s role</w:t>
      </w:r>
      <w:bookmarkEnd w:id="3"/>
    </w:p>
    <w:p w14:paraId="146C63F4" w14:textId="68772BCC" w:rsidR="00EE4D55" w:rsidRPr="00EE4D55" w:rsidRDefault="00246E16" w:rsidP="00EE4D55">
      <w:r w:rsidRPr="00246E16">
        <w:t xml:space="preserve">In order to deliver </w:t>
      </w:r>
      <w:r>
        <w:t>a</w:t>
      </w:r>
      <w:r w:rsidRPr="00246E16">
        <w:t xml:space="preserve"> better condition of health to the family discussed in the case study</w:t>
      </w:r>
      <w:r>
        <w:t>,</w:t>
      </w:r>
      <w:r w:rsidRPr="00246E16">
        <w:t xml:space="preserve"> it is specifically required for the agencies involved in providing social care for trying out intervention plans and making significant approach</w:t>
      </w:r>
      <w:r>
        <w:t>es</w:t>
      </w:r>
      <w:r w:rsidRPr="00246E16">
        <w:t xml:space="preserve"> toward delivering those interventions in an effective way. The organisations such as </w:t>
      </w:r>
      <w:r>
        <w:t>Carers</w:t>
      </w:r>
      <w:r w:rsidRPr="00246E16">
        <w:t xml:space="preserve"> UK </w:t>
      </w:r>
      <w:r>
        <w:t>are</w:t>
      </w:r>
      <w:r w:rsidRPr="00246E16">
        <w:t xml:space="preserve"> involved in the provision of intervention and place an important role </w:t>
      </w:r>
      <w:r>
        <w:t>in</w:t>
      </w:r>
      <w:r w:rsidRPr="00246E16">
        <w:t xml:space="preserve"> the agency which delivers health conditions to the patient</w:t>
      </w:r>
      <w:sdt>
        <w:sdtPr>
          <w:id w:val="-1259904817"/>
          <w:citation/>
        </w:sdtPr>
        <w:sdtEndPr/>
        <w:sdtContent>
          <w:r w:rsidR="00454CF0">
            <w:fldChar w:fldCharType="begin"/>
          </w:r>
          <w:r w:rsidR="00454CF0">
            <w:instrText xml:space="preserve"> CITATION Car221 \l 16393 </w:instrText>
          </w:r>
          <w:r w:rsidR="00454CF0">
            <w:fldChar w:fldCharType="separate"/>
          </w:r>
          <w:r w:rsidR="002A6CF4">
            <w:rPr>
              <w:noProof/>
            </w:rPr>
            <w:t xml:space="preserve"> </w:t>
          </w:r>
          <w:r w:rsidR="002A6CF4" w:rsidRPr="002A6CF4">
            <w:rPr>
              <w:noProof/>
            </w:rPr>
            <w:t>(Carers. uk, 2022)</w:t>
          </w:r>
          <w:r w:rsidR="00454CF0">
            <w:fldChar w:fldCharType="end"/>
          </w:r>
        </w:sdtContent>
      </w:sdt>
      <w:r w:rsidRPr="00246E16">
        <w:t xml:space="preserve">. </w:t>
      </w:r>
      <w:r w:rsidR="00454CF0">
        <w:t>In such a situation,</w:t>
      </w:r>
      <w:r w:rsidRPr="00246E16">
        <w:t xml:space="preserve"> the intervention plans include counselling treatment services and other medical treatment provisions for </w:t>
      </w:r>
      <w:r>
        <w:t xml:space="preserve">the </w:t>
      </w:r>
      <w:r w:rsidRPr="00246E16">
        <w:t xml:space="preserve">betterment of </w:t>
      </w:r>
      <w:r>
        <w:t>the wellbeing</w:t>
      </w:r>
      <w:r w:rsidRPr="00246E16">
        <w:t xml:space="preserve"> status of the family members. The actions taken up by the agencies denote a successful implementation of the mental anxiety production technique and also focus on the government</w:t>
      </w:r>
      <w:r>
        <w:t>'s</w:t>
      </w:r>
      <w:r w:rsidRPr="00246E16">
        <w:t xml:space="preserve"> responsibility to take strategic measures for providing effective care to the patients without discrimination</w:t>
      </w:r>
      <w:sdt>
        <w:sdtPr>
          <w:id w:val="-92470409"/>
          <w:citation/>
        </w:sdtPr>
        <w:sdtEndPr/>
        <w:sdtContent>
          <w:r w:rsidR="008E4919">
            <w:fldChar w:fldCharType="begin"/>
          </w:r>
          <w:r w:rsidR="008E4919">
            <w:instrText xml:space="preserve"> CITATION Har192 \l 16393 </w:instrText>
          </w:r>
          <w:r w:rsidR="008E4919">
            <w:fldChar w:fldCharType="separate"/>
          </w:r>
          <w:r w:rsidR="002A6CF4">
            <w:rPr>
              <w:noProof/>
            </w:rPr>
            <w:t xml:space="preserve"> </w:t>
          </w:r>
          <w:r w:rsidR="002A6CF4" w:rsidRPr="002A6CF4">
            <w:rPr>
              <w:noProof/>
            </w:rPr>
            <w:t>(Hart Abney, et al., 2019)</w:t>
          </w:r>
          <w:r w:rsidR="008E4919">
            <w:fldChar w:fldCharType="end"/>
          </w:r>
        </w:sdtContent>
      </w:sdt>
      <w:r w:rsidRPr="00246E16">
        <w:t xml:space="preserve">. The subsequent improvement of mental wellness has a direct relation to </w:t>
      </w:r>
      <w:r>
        <w:t xml:space="preserve">the </w:t>
      </w:r>
      <w:r w:rsidRPr="00246E16">
        <w:t>enhancement of counselling services which thereby help individuals to cope with stress effectively.</w:t>
      </w:r>
      <w:r>
        <w:t xml:space="preserve"> Therefore, the interventions designed for the purpose of treatment </w:t>
      </w:r>
      <w:r w:rsidR="0078344D">
        <w:t>are</w:t>
      </w:r>
      <w:r>
        <w:t xml:space="preserve"> directly linked with </w:t>
      </w:r>
      <w:r w:rsidR="0078344D">
        <w:t xml:space="preserve">the </w:t>
      </w:r>
      <w:r>
        <w:t xml:space="preserve">reduction of the issues that are persistent </w:t>
      </w:r>
      <w:r w:rsidR="0078344D">
        <w:t>in</w:t>
      </w:r>
      <w:r>
        <w:t xml:space="preserve"> the family. </w:t>
      </w:r>
    </w:p>
    <w:p w14:paraId="56B3D724" w14:textId="1FB9A428" w:rsidR="00DD6869" w:rsidRDefault="00DD6869" w:rsidP="00DD6869">
      <w:pPr>
        <w:pStyle w:val="Heading2"/>
      </w:pPr>
      <w:bookmarkStart w:id="4" w:name="_Toc100749544"/>
      <w:r>
        <w:t>Policies and evaluation of the response from agencies</w:t>
      </w:r>
      <w:bookmarkEnd w:id="4"/>
    </w:p>
    <w:p w14:paraId="2FDB67BA" w14:textId="322A4D88" w:rsidR="0078344D" w:rsidRPr="0078344D" w:rsidRDefault="005E7411" w:rsidP="002D71BE">
      <w:r>
        <w:t xml:space="preserve">Policy designs that are developed for the regulation of intervention plans made are according to the Government regulations and aim </w:t>
      </w:r>
      <w:r w:rsidR="002D71BE">
        <w:t>at</w:t>
      </w:r>
      <w:r>
        <w:t xml:space="preserve"> </w:t>
      </w:r>
      <w:r w:rsidR="002D71BE">
        <w:t xml:space="preserve">the </w:t>
      </w:r>
      <w:r>
        <w:t xml:space="preserve">betterment of services for the people. In </w:t>
      </w:r>
      <w:r>
        <w:lastRenderedPageBreak/>
        <w:t xml:space="preserve">accordance </w:t>
      </w:r>
      <w:r w:rsidR="002D71BE">
        <w:t>with</w:t>
      </w:r>
      <w:r>
        <w:t xml:space="preserve"> this, the </w:t>
      </w:r>
      <w:r w:rsidR="002D71BE">
        <w:t>policy which determines the functionality of treatment in the case of this study is the "2010 to 2015 government policy: support for families", which acts as a basic mechanism for providing an intervention plan</w:t>
      </w:r>
      <w:sdt>
        <w:sdtPr>
          <w:id w:val="2081865663"/>
          <w:citation/>
        </w:sdtPr>
        <w:sdtEndPr/>
        <w:sdtContent>
          <w:r w:rsidR="008E4919">
            <w:fldChar w:fldCharType="begin"/>
          </w:r>
          <w:r w:rsidR="008E4919">
            <w:instrText xml:space="preserve"> CITATION Gov223 \l 16393 </w:instrText>
          </w:r>
          <w:r w:rsidR="008E4919">
            <w:fldChar w:fldCharType="separate"/>
          </w:r>
          <w:r w:rsidR="002A6CF4">
            <w:rPr>
              <w:noProof/>
            </w:rPr>
            <w:t xml:space="preserve"> </w:t>
          </w:r>
          <w:r w:rsidR="002A6CF4" w:rsidRPr="002A6CF4">
            <w:rPr>
              <w:noProof/>
            </w:rPr>
            <w:t>(Gov. uk, 2022)</w:t>
          </w:r>
          <w:r w:rsidR="008E4919">
            <w:fldChar w:fldCharType="end"/>
          </w:r>
        </w:sdtContent>
      </w:sdt>
      <w:r w:rsidR="002D71BE">
        <w:t xml:space="preserve">. The policy deliberately mentions the actions of the community and social working status, which significantly tends to relate to the impacted health condition of the patient. </w:t>
      </w:r>
      <w:r w:rsidR="00F97699">
        <w:t>"</w:t>
      </w:r>
      <w:r w:rsidR="002D71BE">
        <w:t>Working with troubled families: a guide to evidence and good practice</w:t>
      </w:r>
      <w:r w:rsidR="00F97699">
        <w:t>"</w:t>
      </w:r>
      <w:r w:rsidR="002D71BE">
        <w:t xml:space="preserve"> policy is followed across the different counties for effective services of counselling and henceforth utilises the condition of the relevant response</w:t>
      </w:r>
      <w:sdt>
        <w:sdtPr>
          <w:id w:val="223964165"/>
          <w:citation/>
        </w:sdtPr>
        <w:sdtEndPr/>
        <w:sdtContent>
          <w:r w:rsidR="008E4919">
            <w:fldChar w:fldCharType="begin"/>
          </w:r>
          <w:r w:rsidR="008E4919">
            <w:instrText xml:space="preserve"> CITATION Gov222 \l 16393 </w:instrText>
          </w:r>
          <w:r w:rsidR="008E4919">
            <w:fldChar w:fldCharType="separate"/>
          </w:r>
          <w:r w:rsidR="002A6CF4">
            <w:rPr>
              <w:noProof/>
            </w:rPr>
            <w:t xml:space="preserve"> </w:t>
          </w:r>
          <w:r w:rsidR="002A6CF4" w:rsidRPr="002A6CF4">
            <w:rPr>
              <w:noProof/>
            </w:rPr>
            <w:t>(Gov. uk, 2022)</w:t>
          </w:r>
          <w:r w:rsidR="008E4919">
            <w:fldChar w:fldCharType="end"/>
          </w:r>
        </w:sdtContent>
      </w:sdt>
      <w:r w:rsidR="002D71BE">
        <w:t xml:space="preserve">. In accordance with this, the mechanism for service provision and intervention plans are subsequently made for the improvement of the condition in </w:t>
      </w:r>
      <w:r w:rsidR="00F97699">
        <w:t xml:space="preserve">the </w:t>
      </w:r>
      <w:r w:rsidR="002D71BE">
        <w:t xml:space="preserve">case of the depicted scenario. </w:t>
      </w:r>
      <w:r w:rsidR="00F97699">
        <w:t>furthermore, there is a requirement of pertinent response from the Carers UK and the NHS body for confirmation of the provided services in focus to significantly improve the condition of the patient and her family member</w:t>
      </w:r>
      <w:r w:rsidR="008451C2">
        <w:t>'</w:t>
      </w:r>
      <w:r w:rsidR="00F97699">
        <w:t>s health</w:t>
      </w:r>
      <w:sdt>
        <w:sdtPr>
          <w:id w:val="948052404"/>
          <w:citation/>
        </w:sdtPr>
        <w:sdtEndPr/>
        <w:sdtContent>
          <w:r w:rsidR="008E4919">
            <w:fldChar w:fldCharType="begin"/>
          </w:r>
          <w:r w:rsidR="008E4919">
            <w:instrText xml:space="preserve"> CITATION Cal212 \l 16393 </w:instrText>
          </w:r>
          <w:r w:rsidR="008E4919">
            <w:fldChar w:fldCharType="separate"/>
          </w:r>
          <w:r w:rsidR="002A6CF4">
            <w:rPr>
              <w:noProof/>
            </w:rPr>
            <w:t xml:space="preserve"> </w:t>
          </w:r>
          <w:r w:rsidR="002A6CF4" w:rsidRPr="002A6CF4">
            <w:rPr>
              <w:noProof/>
            </w:rPr>
            <w:t>(Calear, et al., 2021)</w:t>
          </w:r>
          <w:r w:rsidR="008E4919">
            <w:fldChar w:fldCharType="end"/>
          </w:r>
        </w:sdtContent>
      </w:sdt>
      <w:r w:rsidR="00F97699">
        <w:t xml:space="preserve">. </w:t>
      </w:r>
      <w:r w:rsidR="000A4503">
        <w:t xml:space="preserve">In addition to this, the factors which extensively impact the levels of functionality in </w:t>
      </w:r>
      <w:r w:rsidR="008451C2">
        <w:t xml:space="preserve">the </w:t>
      </w:r>
      <w:r w:rsidR="000A4503">
        <w:t xml:space="preserve">case of the patients are directly determined by the levels of intervention linked with the troubled family. </w:t>
      </w:r>
    </w:p>
    <w:p w14:paraId="7CD131F8" w14:textId="2DB33B9C" w:rsidR="00063CAB" w:rsidRDefault="00063CAB" w:rsidP="00110342">
      <w:pPr>
        <w:pStyle w:val="Heading1"/>
      </w:pPr>
      <w:bookmarkStart w:id="5" w:name="_Toc100749545"/>
      <w:r>
        <w:t>Conclusion</w:t>
      </w:r>
      <w:bookmarkEnd w:id="5"/>
    </w:p>
    <w:p w14:paraId="5002AADC" w14:textId="4BD2CE11" w:rsidR="000245A0" w:rsidRDefault="008451C2" w:rsidP="008451C2">
      <w:r>
        <w:t xml:space="preserve">In conclusion, it is therefore achieved that the main focus for the improvement of the condition is linked with mitigating risks for the social determinant of health. In association with this, it has been concluded that the intervention plans are in accordance with the factors required for intervention and the response provided by the Carers UK </w:t>
      </w:r>
      <w:r w:rsidR="003D0175">
        <w:t>is</w:t>
      </w:r>
      <w:r>
        <w:t xml:space="preserve"> associated with the counselling services for the family members as depicted in the case study. </w:t>
      </w:r>
      <w:r w:rsidR="003D0175">
        <w:t xml:space="preserve">Furthermore, it has been concluded that there are certain policies, as mentioned, that directly impact the levels of the actions and intervention plans designed for the patient and her family members. </w:t>
      </w:r>
    </w:p>
    <w:p w14:paraId="71383D49" w14:textId="77777777" w:rsidR="000245A0" w:rsidRDefault="000245A0">
      <w:pPr>
        <w:spacing w:line="259" w:lineRule="auto"/>
        <w:jc w:val="left"/>
      </w:pPr>
      <w:r>
        <w:br w:type="page"/>
      </w:r>
    </w:p>
    <w:bookmarkStart w:id="6" w:name="_Toc100749546" w:displacedByCustomXml="next"/>
    <w:sdt>
      <w:sdtPr>
        <w:rPr>
          <w:rFonts w:ascii="Times New Roman" w:eastAsiaTheme="minorHAnsi" w:hAnsi="Times New Roman" w:cstheme="minorBidi"/>
          <w:color w:val="auto"/>
          <w:sz w:val="24"/>
          <w:szCs w:val="22"/>
        </w:rPr>
        <w:id w:val="-1117370166"/>
        <w:docPartObj>
          <w:docPartGallery w:val="Bibliographies"/>
          <w:docPartUnique/>
        </w:docPartObj>
      </w:sdtPr>
      <w:sdtEndPr/>
      <w:sdtContent>
        <w:p w14:paraId="4B50DCA2" w14:textId="01DEE2E7" w:rsidR="000245A0" w:rsidRDefault="000245A0" w:rsidP="000245A0">
          <w:pPr>
            <w:pStyle w:val="Heading1"/>
          </w:pPr>
          <w:r>
            <w:t>References</w:t>
          </w:r>
          <w:bookmarkEnd w:id="6"/>
        </w:p>
        <w:p w14:paraId="482E95B0" w14:textId="37250B41" w:rsidR="000245A0" w:rsidRDefault="000245A0" w:rsidP="000245A0">
          <w:pPr>
            <w:rPr>
              <w:noProof/>
              <w:szCs w:val="24"/>
            </w:rPr>
          </w:pPr>
          <w:r>
            <w:rPr>
              <w:noProof/>
            </w:rPr>
            <w:t xml:space="preserve">Bach-Mortensen, A., Lange, B., </w:t>
          </w:r>
          <w:r w:rsidR="002A6CF4">
            <w:rPr>
              <w:noProof/>
            </w:rPr>
            <w:t>and</w:t>
          </w:r>
          <w:r>
            <w:rPr>
              <w:noProof/>
            </w:rPr>
            <w:t xml:space="preserve"> Montgomery, P. (2018). Barriers and facilitators to implementing evidence-based interventions among third sector organisations: a systematic review. </w:t>
          </w:r>
          <w:r>
            <w:rPr>
              <w:i/>
              <w:iCs/>
              <w:noProof/>
            </w:rPr>
            <w:t>Implementation Science</w:t>
          </w:r>
          <w:r>
            <w:rPr>
              <w:noProof/>
            </w:rPr>
            <w:t>, 1-19, DOI: 10.1186/s13012-018-0789-7.</w:t>
          </w:r>
        </w:p>
        <w:p w14:paraId="3E315B3A" w14:textId="36FE5E77" w:rsidR="000245A0" w:rsidRDefault="000245A0" w:rsidP="000245A0">
          <w:pPr>
            <w:rPr>
              <w:noProof/>
            </w:rPr>
          </w:pPr>
          <w:r>
            <w:rPr>
              <w:noProof/>
            </w:rPr>
            <w:t xml:space="preserve">Calear, A., Batterham, P., Torok, M., </w:t>
          </w:r>
          <w:r w:rsidR="002A6CF4">
            <w:rPr>
              <w:noProof/>
            </w:rPr>
            <w:t xml:space="preserve">and </w:t>
          </w:r>
          <w:r>
            <w:rPr>
              <w:noProof/>
            </w:rPr>
            <w:t xml:space="preserve">McCallum, S. (2021). Help-seeking attitudes and intentions for generalised anxiety disorder in adolescents: the role of anxiety literacy and stigma. </w:t>
          </w:r>
          <w:r>
            <w:rPr>
              <w:i/>
              <w:iCs/>
              <w:noProof/>
            </w:rPr>
            <w:t>European child &amp; adolescent psychiatry</w:t>
          </w:r>
          <w:r>
            <w:rPr>
              <w:noProof/>
            </w:rPr>
            <w:t>, 56-65, ISSN: 10188827.</w:t>
          </w:r>
        </w:p>
        <w:p w14:paraId="06859531" w14:textId="77777777" w:rsidR="000245A0" w:rsidRDefault="000245A0" w:rsidP="000245A0">
          <w:pPr>
            <w:rPr>
              <w:noProof/>
            </w:rPr>
          </w:pPr>
          <w:r>
            <w:rPr>
              <w:noProof/>
            </w:rPr>
            <w:t xml:space="preserve">Carers. uk. (2022). </w:t>
          </w:r>
          <w:r>
            <w:rPr>
              <w:i/>
              <w:iCs/>
              <w:noProof/>
            </w:rPr>
            <w:t>Caring behind closed doors</w:t>
          </w:r>
          <w:r>
            <w:rPr>
              <w:noProof/>
            </w:rPr>
            <w:t>. Retrieved April 12, 2022, from https://www.carersuk.org/images/News_and_campaigns/Behind_Closed_Doors_2020/Caring_behind_closed_doors_April20_pages_web_final.pdf</w:t>
          </w:r>
        </w:p>
        <w:p w14:paraId="4DB93977" w14:textId="77777777" w:rsidR="000245A0" w:rsidRDefault="000245A0" w:rsidP="000245A0">
          <w:pPr>
            <w:rPr>
              <w:noProof/>
            </w:rPr>
          </w:pPr>
          <w:r>
            <w:rPr>
              <w:noProof/>
            </w:rPr>
            <w:t xml:space="preserve">Gov. uk. (2022). </w:t>
          </w:r>
          <w:r>
            <w:rPr>
              <w:i/>
              <w:iCs/>
              <w:noProof/>
            </w:rPr>
            <w:t>2010 to 2015 government policy: support for families</w:t>
          </w:r>
          <w:r>
            <w:rPr>
              <w:noProof/>
            </w:rPr>
            <w:t>. Retrieved April 12, 2022, from https://www.gov.uk/government/publications/2010-to-2015-government-policy-support-for-families</w:t>
          </w:r>
        </w:p>
        <w:p w14:paraId="55DE5AB4" w14:textId="77777777" w:rsidR="000245A0" w:rsidRDefault="000245A0" w:rsidP="000245A0">
          <w:pPr>
            <w:rPr>
              <w:noProof/>
            </w:rPr>
          </w:pPr>
          <w:r>
            <w:rPr>
              <w:noProof/>
            </w:rPr>
            <w:t xml:space="preserve">Gov. uk. (2022). </w:t>
          </w:r>
          <w:r>
            <w:rPr>
              <w:i/>
              <w:iCs/>
              <w:noProof/>
            </w:rPr>
            <w:t>Guidance and regulation</w:t>
          </w:r>
          <w:r>
            <w:rPr>
              <w:noProof/>
            </w:rPr>
            <w:t>. Retrieved April 12, 2022, from https://www.gov.uk/welfare/support-for-families</w:t>
          </w:r>
        </w:p>
        <w:p w14:paraId="4E4A8860" w14:textId="77777777" w:rsidR="000245A0" w:rsidRDefault="000245A0" w:rsidP="000245A0">
          <w:pPr>
            <w:rPr>
              <w:noProof/>
            </w:rPr>
          </w:pPr>
          <w:r>
            <w:rPr>
              <w:noProof/>
            </w:rPr>
            <w:t xml:space="preserve">Gov.uk. (2022). </w:t>
          </w:r>
          <w:r>
            <w:rPr>
              <w:i/>
              <w:iCs/>
              <w:noProof/>
            </w:rPr>
            <w:t>Troubled families: Portsmouth</w:t>
          </w:r>
          <w:r>
            <w:rPr>
              <w:noProof/>
            </w:rPr>
            <w:t>. Retrieved April 12, 2022, from https://www.gov.uk/government/case-studies/troubled-families-portsmouth</w:t>
          </w:r>
        </w:p>
        <w:p w14:paraId="1C5EB4AD" w14:textId="0908232E" w:rsidR="000245A0" w:rsidRDefault="000245A0" w:rsidP="000245A0">
          <w:pPr>
            <w:rPr>
              <w:noProof/>
            </w:rPr>
          </w:pPr>
          <w:r>
            <w:rPr>
              <w:noProof/>
            </w:rPr>
            <w:t xml:space="preserve">Hart Abney, B., Lusk, P., Hovermale, R., </w:t>
          </w:r>
          <w:r w:rsidR="002A6CF4">
            <w:rPr>
              <w:noProof/>
            </w:rPr>
            <w:t xml:space="preserve">and </w:t>
          </w:r>
          <w:r>
            <w:rPr>
              <w:noProof/>
            </w:rPr>
            <w:t xml:space="preserve">Melnyk, B. (2019). Decreasing depression and anxiety in college youth using the Creating Opportunities for Personal Empowerment Program (COPE). </w:t>
          </w:r>
          <w:r>
            <w:rPr>
              <w:i/>
              <w:iCs/>
              <w:noProof/>
            </w:rPr>
            <w:t>Journal of the American Psychiatric Nurses Association, 25</w:t>
          </w:r>
          <w:r>
            <w:rPr>
              <w:noProof/>
            </w:rPr>
            <w:t>(2), 12-23, DOI: 10.1177/1078390318779205.</w:t>
          </w:r>
        </w:p>
        <w:p w14:paraId="7846169A" w14:textId="3F32DA62" w:rsidR="000245A0" w:rsidRDefault="000245A0" w:rsidP="000245A0">
          <w:pPr>
            <w:rPr>
              <w:noProof/>
            </w:rPr>
          </w:pPr>
          <w:r>
            <w:rPr>
              <w:noProof/>
            </w:rPr>
            <w:t xml:space="preserve">Hofmann, S., </w:t>
          </w:r>
          <w:r w:rsidR="002A6CF4">
            <w:rPr>
              <w:noProof/>
            </w:rPr>
            <w:t xml:space="preserve">and </w:t>
          </w:r>
          <w:r>
            <w:rPr>
              <w:noProof/>
            </w:rPr>
            <w:t xml:space="preserve">Hay, A. (2018). Rethinking avoidance: Toward a balanced approach to avoidance in treating anxiety disorders. </w:t>
          </w:r>
          <w:r>
            <w:rPr>
              <w:i/>
              <w:iCs/>
              <w:noProof/>
            </w:rPr>
            <w:t>Journal of anxiety disorders</w:t>
          </w:r>
          <w:r>
            <w:rPr>
              <w:noProof/>
            </w:rPr>
            <w:t>, 14-21, DOI: 10.1016/j.janxdis.2018.03.004.</w:t>
          </w:r>
        </w:p>
        <w:p w14:paraId="33DE1645" w14:textId="77777777" w:rsidR="000245A0" w:rsidRDefault="000245A0" w:rsidP="000245A0">
          <w:pPr>
            <w:rPr>
              <w:noProof/>
            </w:rPr>
          </w:pPr>
          <w:r>
            <w:rPr>
              <w:noProof/>
            </w:rPr>
            <w:t xml:space="preserve">WHO. (2022). </w:t>
          </w:r>
          <w:r>
            <w:rPr>
              <w:i/>
              <w:iCs/>
              <w:noProof/>
            </w:rPr>
            <w:t>Social determinants of health</w:t>
          </w:r>
          <w:r>
            <w:rPr>
              <w:noProof/>
            </w:rPr>
            <w:t>. Retrieved Apr 12, 2022, from https://www.who.int/health-topics/social-determinants-of-health#tab=tab_1</w:t>
          </w:r>
        </w:p>
        <w:p w14:paraId="782D160E" w14:textId="0D06A136" w:rsidR="000245A0" w:rsidRDefault="0079085D" w:rsidP="000245A0"/>
      </w:sdtContent>
    </w:sdt>
    <w:p w14:paraId="54E76321" w14:textId="3D960C28" w:rsidR="008451C2" w:rsidRDefault="002A6D49" w:rsidP="000245A0">
      <w:r>
        <w:t xml:space="preserve"> </w:t>
      </w:r>
    </w:p>
    <w:p w14:paraId="405D284F" w14:textId="753CFB34" w:rsidR="008772A5" w:rsidRDefault="008772A5" w:rsidP="000245A0"/>
    <w:p w14:paraId="5D1C460B" w14:textId="7751A273" w:rsidR="009E141B" w:rsidRDefault="00F75054" w:rsidP="000245A0">
      <w:r w:rsidRPr="000A1A1A">
        <w:lastRenderedPageBreak/>
        <w:drawing>
          <wp:anchor distT="0" distB="0" distL="114300" distR="114300" simplePos="0" relativeHeight="251665408" behindDoc="0" locked="0" layoutInCell="1" allowOverlap="1" wp14:anchorId="68ECD0C2" wp14:editId="00D62F37">
            <wp:simplePos x="0" y="0"/>
            <wp:positionH relativeFrom="column">
              <wp:posOffset>3014980</wp:posOffset>
            </wp:positionH>
            <wp:positionV relativeFrom="paragraph">
              <wp:posOffset>5991860</wp:posOffset>
            </wp:positionV>
            <wp:extent cx="3198495" cy="2023110"/>
            <wp:effectExtent l="0" t="0" r="190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8495" cy="2023110"/>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0288" behindDoc="0" locked="0" layoutInCell="1" allowOverlap="1" wp14:anchorId="706B11F8" wp14:editId="4B991E28">
            <wp:simplePos x="0" y="0"/>
            <wp:positionH relativeFrom="column">
              <wp:posOffset>-369570</wp:posOffset>
            </wp:positionH>
            <wp:positionV relativeFrom="paragraph">
              <wp:posOffset>473</wp:posOffset>
            </wp:positionV>
            <wp:extent cx="3334528" cy="1875628"/>
            <wp:effectExtent l="0" t="0" r="0" b="444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34528" cy="1875628"/>
                    </a:xfrm>
                    <a:prstGeom prst="rect">
                      <a:avLst/>
                    </a:prstGeom>
                  </pic:spPr>
                </pic:pic>
              </a:graphicData>
            </a:graphic>
            <wp14:sizeRelH relativeFrom="page">
              <wp14:pctWidth>0</wp14:pctWidth>
            </wp14:sizeRelH>
            <wp14:sizeRelV relativeFrom="page">
              <wp14:pctHeight>0</wp14:pctHeight>
            </wp14:sizeRelV>
          </wp:anchor>
        </w:drawing>
      </w:r>
      <w:r w:rsidRPr="00D064BA">
        <w:drawing>
          <wp:anchor distT="0" distB="0" distL="114300" distR="114300" simplePos="0" relativeHeight="251663360" behindDoc="0" locked="0" layoutInCell="1" allowOverlap="1" wp14:anchorId="49FAFCA2" wp14:editId="43FB213E">
            <wp:simplePos x="0" y="0"/>
            <wp:positionH relativeFrom="column">
              <wp:posOffset>3014980</wp:posOffset>
            </wp:positionH>
            <wp:positionV relativeFrom="paragraph">
              <wp:posOffset>3968115</wp:posOffset>
            </wp:positionV>
            <wp:extent cx="3198495" cy="1917065"/>
            <wp:effectExtent l="0" t="0" r="1905" b="63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98495" cy="1917065"/>
                    </a:xfrm>
                    <a:prstGeom prst="rect">
                      <a:avLst/>
                    </a:prstGeom>
                  </pic:spPr>
                </pic:pic>
              </a:graphicData>
            </a:graphic>
            <wp14:sizeRelH relativeFrom="page">
              <wp14:pctWidth>0</wp14:pctWidth>
            </wp14:sizeRelH>
            <wp14:sizeRelV relativeFrom="page">
              <wp14:pctHeight>0</wp14:pctHeight>
            </wp14:sizeRelV>
          </wp:anchor>
        </w:drawing>
      </w:r>
      <w:r w:rsidRPr="009114BB">
        <w:drawing>
          <wp:anchor distT="0" distB="0" distL="114300" distR="114300" simplePos="0" relativeHeight="251664384" behindDoc="0" locked="0" layoutInCell="1" allowOverlap="1" wp14:anchorId="5426F301" wp14:editId="33851483">
            <wp:simplePos x="0" y="0"/>
            <wp:positionH relativeFrom="column">
              <wp:posOffset>-370205</wp:posOffset>
            </wp:positionH>
            <wp:positionV relativeFrom="paragraph">
              <wp:posOffset>5991860</wp:posOffset>
            </wp:positionV>
            <wp:extent cx="3333750" cy="2023110"/>
            <wp:effectExtent l="0" t="0" r="635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33750" cy="2023110"/>
                    </a:xfrm>
                    <a:prstGeom prst="rect">
                      <a:avLst/>
                    </a:prstGeom>
                  </pic:spPr>
                </pic:pic>
              </a:graphicData>
            </a:graphic>
            <wp14:sizeRelH relativeFrom="page">
              <wp14:pctWidth>0</wp14:pctWidth>
            </wp14:sizeRelH>
            <wp14:sizeRelV relativeFrom="page">
              <wp14:pctHeight>0</wp14:pctHeight>
            </wp14:sizeRelV>
          </wp:anchor>
        </w:drawing>
      </w:r>
      <w:r w:rsidRPr="00D064BA">
        <w:drawing>
          <wp:anchor distT="0" distB="0" distL="114300" distR="114300" simplePos="0" relativeHeight="251662336" behindDoc="0" locked="0" layoutInCell="1" allowOverlap="1" wp14:anchorId="088E417D" wp14:editId="2E1DA861">
            <wp:simplePos x="0" y="0"/>
            <wp:positionH relativeFrom="column">
              <wp:posOffset>-373380</wp:posOffset>
            </wp:positionH>
            <wp:positionV relativeFrom="paragraph">
              <wp:posOffset>3967548</wp:posOffset>
            </wp:positionV>
            <wp:extent cx="3336290" cy="1917065"/>
            <wp:effectExtent l="0" t="0" r="3810" b="63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336290" cy="1917065"/>
                    </a:xfrm>
                    <a:prstGeom prst="rect">
                      <a:avLst/>
                    </a:prstGeom>
                  </pic:spPr>
                </pic:pic>
              </a:graphicData>
            </a:graphic>
            <wp14:sizeRelH relativeFrom="page">
              <wp14:pctWidth>0</wp14:pctWidth>
            </wp14:sizeRelH>
            <wp14:sizeRelV relativeFrom="page">
              <wp14:pctHeight>0</wp14:pctHeight>
            </wp14:sizeRelV>
          </wp:anchor>
        </w:drawing>
      </w:r>
      <w:r w:rsidRPr="00D064BA">
        <w:drawing>
          <wp:anchor distT="0" distB="0" distL="114300" distR="114300" simplePos="0" relativeHeight="251661312" behindDoc="0" locked="0" layoutInCell="1" allowOverlap="1" wp14:anchorId="44B24020" wp14:editId="3C350078">
            <wp:simplePos x="0" y="0"/>
            <wp:positionH relativeFrom="column">
              <wp:posOffset>3014980</wp:posOffset>
            </wp:positionH>
            <wp:positionV relativeFrom="paragraph">
              <wp:posOffset>1935480</wp:posOffset>
            </wp:positionV>
            <wp:extent cx="3198495" cy="1935480"/>
            <wp:effectExtent l="0" t="0" r="190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198495" cy="1935480"/>
                    </a:xfrm>
                    <a:prstGeom prst="rect">
                      <a:avLst/>
                    </a:prstGeom>
                  </pic:spPr>
                </pic:pic>
              </a:graphicData>
            </a:graphic>
            <wp14:sizeRelH relativeFrom="page">
              <wp14:pctWidth>0</wp14:pctWidth>
            </wp14:sizeRelH>
            <wp14:sizeRelV relativeFrom="page">
              <wp14:pctHeight>0</wp14:pctHeight>
            </wp14:sizeRelV>
          </wp:anchor>
        </w:drawing>
      </w:r>
      <w:r w:rsidRPr="00D064BA">
        <w:drawing>
          <wp:anchor distT="0" distB="0" distL="114300" distR="114300" simplePos="0" relativeHeight="251658240" behindDoc="0" locked="0" layoutInCell="1" allowOverlap="1" wp14:anchorId="679CD903" wp14:editId="1B06288C">
            <wp:simplePos x="0" y="0"/>
            <wp:positionH relativeFrom="column">
              <wp:posOffset>-370205</wp:posOffset>
            </wp:positionH>
            <wp:positionV relativeFrom="paragraph">
              <wp:posOffset>1935480</wp:posOffset>
            </wp:positionV>
            <wp:extent cx="3333750" cy="1935480"/>
            <wp:effectExtent l="0" t="0" r="635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333750" cy="1935480"/>
                    </a:xfrm>
                    <a:prstGeom prst="rect">
                      <a:avLst/>
                    </a:prstGeom>
                  </pic:spPr>
                </pic:pic>
              </a:graphicData>
            </a:graphic>
            <wp14:sizeRelH relativeFrom="page">
              <wp14:pctWidth>0</wp14:pctWidth>
            </wp14:sizeRelH>
            <wp14:sizeRelV relativeFrom="page">
              <wp14:pctHeight>0</wp14:pctHeight>
            </wp14:sizeRelV>
          </wp:anchor>
        </w:drawing>
      </w:r>
      <w:r w:rsidRPr="00D064BA">
        <w:drawing>
          <wp:anchor distT="0" distB="0" distL="114300" distR="114300" simplePos="0" relativeHeight="251659264" behindDoc="0" locked="0" layoutInCell="1" allowOverlap="1" wp14:anchorId="6C054EF9" wp14:editId="72737052">
            <wp:simplePos x="0" y="0"/>
            <wp:positionH relativeFrom="column">
              <wp:posOffset>3014980</wp:posOffset>
            </wp:positionH>
            <wp:positionV relativeFrom="paragraph">
              <wp:posOffset>0</wp:posOffset>
            </wp:positionV>
            <wp:extent cx="3198495" cy="1875155"/>
            <wp:effectExtent l="0" t="0" r="1905" b="444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98495" cy="1875155"/>
                    </a:xfrm>
                    <a:prstGeom prst="rect">
                      <a:avLst/>
                    </a:prstGeom>
                  </pic:spPr>
                </pic:pic>
              </a:graphicData>
            </a:graphic>
            <wp14:sizeRelH relativeFrom="page">
              <wp14:pctWidth>0</wp14:pctWidth>
            </wp14:sizeRelH>
            <wp14:sizeRelV relativeFrom="page">
              <wp14:pctHeight>0</wp14:pctHeight>
            </wp14:sizeRelV>
          </wp:anchor>
        </w:drawing>
      </w:r>
      <w:r w:rsidR="00D064BA" w:rsidRPr="00D064BA">
        <w:rPr>
          <w:noProof/>
        </w:rPr>
        <w:t xml:space="preserve"> </w:t>
      </w:r>
    </w:p>
    <w:p w14:paraId="4EACD410" w14:textId="5DB68667" w:rsidR="009E141B" w:rsidRDefault="009E141B" w:rsidP="000245A0"/>
    <w:p w14:paraId="3FF7D00B" w14:textId="2143298F" w:rsidR="009E141B" w:rsidRDefault="00F75054" w:rsidP="000245A0">
      <w:r w:rsidRPr="000A1A1A">
        <w:lastRenderedPageBreak/>
        <w:drawing>
          <wp:anchor distT="0" distB="0" distL="114300" distR="114300" simplePos="0" relativeHeight="251666432" behindDoc="0" locked="0" layoutInCell="1" allowOverlap="1" wp14:anchorId="2F5A8986" wp14:editId="5CB09B60">
            <wp:simplePos x="0" y="0"/>
            <wp:positionH relativeFrom="column">
              <wp:posOffset>-603250</wp:posOffset>
            </wp:positionH>
            <wp:positionV relativeFrom="paragraph">
              <wp:posOffset>217</wp:posOffset>
            </wp:positionV>
            <wp:extent cx="3521075" cy="1980565"/>
            <wp:effectExtent l="0" t="0" r="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521075" cy="1980565"/>
                    </a:xfrm>
                    <a:prstGeom prst="rect">
                      <a:avLst/>
                    </a:prstGeom>
                  </pic:spPr>
                </pic:pic>
              </a:graphicData>
            </a:graphic>
            <wp14:sizeRelH relativeFrom="page">
              <wp14:pctWidth>0</wp14:pctWidth>
            </wp14:sizeRelH>
            <wp14:sizeRelV relativeFrom="page">
              <wp14:pctHeight>0</wp14:pctHeight>
            </wp14:sizeRelV>
          </wp:anchor>
        </w:drawing>
      </w:r>
      <w:r w:rsidRPr="000A1A1A">
        <w:drawing>
          <wp:anchor distT="0" distB="0" distL="114300" distR="114300" simplePos="0" relativeHeight="251668480" behindDoc="0" locked="0" layoutInCell="1" allowOverlap="1" wp14:anchorId="7EE407E6" wp14:editId="1E29301B">
            <wp:simplePos x="0" y="0"/>
            <wp:positionH relativeFrom="column">
              <wp:posOffset>-603250</wp:posOffset>
            </wp:positionH>
            <wp:positionV relativeFrom="paragraph">
              <wp:posOffset>2048808</wp:posOffset>
            </wp:positionV>
            <wp:extent cx="3521075" cy="1984375"/>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521075" cy="1984375"/>
                    </a:xfrm>
                    <a:prstGeom prst="rect">
                      <a:avLst/>
                    </a:prstGeom>
                  </pic:spPr>
                </pic:pic>
              </a:graphicData>
            </a:graphic>
            <wp14:sizeRelH relativeFrom="page">
              <wp14:pctWidth>0</wp14:pctWidth>
            </wp14:sizeRelH>
            <wp14:sizeRelV relativeFrom="page">
              <wp14:pctHeight>0</wp14:pctHeight>
            </wp14:sizeRelV>
          </wp:anchor>
        </w:drawing>
      </w:r>
      <w:r w:rsidRPr="000A1A1A">
        <w:drawing>
          <wp:anchor distT="0" distB="0" distL="114300" distR="114300" simplePos="0" relativeHeight="251669504" behindDoc="0" locked="0" layoutInCell="1" allowOverlap="1" wp14:anchorId="251C5698" wp14:editId="0D13C1ED">
            <wp:simplePos x="0" y="0"/>
            <wp:positionH relativeFrom="column">
              <wp:posOffset>3004820</wp:posOffset>
            </wp:positionH>
            <wp:positionV relativeFrom="paragraph">
              <wp:posOffset>230</wp:posOffset>
            </wp:positionV>
            <wp:extent cx="3521075" cy="1980565"/>
            <wp:effectExtent l="0" t="0" r="0" b="63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521075" cy="1980565"/>
                    </a:xfrm>
                    <a:prstGeom prst="rect">
                      <a:avLst/>
                    </a:prstGeom>
                  </pic:spPr>
                </pic:pic>
              </a:graphicData>
            </a:graphic>
            <wp14:sizeRelH relativeFrom="page">
              <wp14:pctWidth>0</wp14:pctWidth>
            </wp14:sizeRelH>
            <wp14:sizeRelV relativeFrom="page">
              <wp14:pctHeight>0</wp14:pctHeight>
            </wp14:sizeRelV>
          </wp:anchor>
        </w:drawing>
      </w:r>
    </w:p>
    <w:p w14:paraId="7461D6EE" w14:textId="5E95E6FE" w:rsidR="009E141B" w:rsidRDefault="009E141B" w:rsidP="000245A0"/>
    <w:p w14:paraId="77867A0A" w14:textId="1BC89957" w:rsidR="009E141B" w:rsidRDefault="009E141B" w:rsidP="000245A0"/>
    <w:p w14:paraId="42453611" w14:textId="4ED489D1" w:rsidR="008772A5" w:rsidRDefault="008772A5" w:rsidP="000245A0"/>
    <w:p w14:paraId="24B6D6DA" w14:textId="2FBDA19C" w:rsidR="008772A5" w:rsidRDefault="008772A5" w:rsidP="000245A0"/>
    <w:p w14:paraId="124A6201" w14:textId="1B84090E" w:rsidR="000A1A1A" w:rsidRDefault="00F75054" w:rsidP="000245A0">
      <w:r w:rsidRPr="000A1A1A">
        <w:drawing>
          <wp:anchor distT="0" distB="0" distL="114300" distR="114300" simplePos="0" relativeHeight="251667456" behindDoc="0" locked="0" layoutInCell="1" allowOverlap="1" wp14:anchorId="71A58FEA" wp14:editId="6DE1808F">
            <wp:simplePos x="0" y="0"/>
            <wp:positionH relativeFrom="column">
              <wp:posOffset>9376</wp:posOffset>
            </wp:positionH>
            <wp:positionV relativeFrom="paragraph">
              <wp:posOffset>417830</wp:posOffset>
            </wp:positionV>
            <wp:extent cx="5667375" cy="2961005"/>
            <wp:effectExtent l="0" t="0" r="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667375" cy="2961005"/>
                    </a:xfrm>
                    <a:prstGeom prst="rect">
                      <a:avLst/>
                    </a:prstGeom>
                  </pic:spPr>
                </pic:pic>
              </a:graphicData>
            </a:graphic>
            <wp14:sizeRelH relativeFrom="page">
              <wp14:pctWidth>0</wp14:pctWidth>
            </wp14:sizeRelH>
            <wp14:sizeRelV relativeFrom="page">
              <wp14:pctHeight>0</wp14:pctHeight>
            </wp14:sizeRelV>
          </wp:anchor>
        </w:drawing>
      </w:r>
    </w:p>
    <w:p w14:paraId="2B64E7D7" w14:textId="43D69E4F" w:rsidR="000A1A1A" w:rsidRPr="008451C2" w:rsidRDefault="00F75054" w:rsidP="000245A0">
      <w:r w:rsidRPr="00F75054">
        <w:drawing>
          <wp:anchor distT="0" distB="0" distL="114300" distR="114300" simplePos="0" relativeHeight="251670528" behindDoc="0" locked="0" layoutInCell="1" allowOverlap="1" wp14:anchorId="2EA3726F" wp14:editId="6D4DB983">
            <wp:simplePos x="0" y="0"/>
            <wp:positionH relativeFrom="column">
              <wp:posOffset>1371600</wp:posOffset>
            </wp:positionH>
            <wp:positionV relativeFrom="paragraph">
              <wp:posOffset>3181067</wp:posOffset>
            </wp:positionV>
            <wp:extent cx="2684780" cy="1509395"/>
            <wp:effectExtent l="0" t="0" r="0" b="1905"/>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684780" cy="1509395"/>
                    </a:xfrm>
                    <a:prstGeom prst="rect">
                      <a:avLst/>
                    </a:prstGeom>
                  </pic:spPr>
                </pic:pic>
              </a:graphicData>
            </a:graphic>
            <wp14:sizeRelH relativeFrom="page">
              <wp14:pctWidth>0</wp14:pctWidth>
            </wp14:sizeRelH>
            <wp14:sizeRelV relativeFrom="page">
              <wp14:pctHeight>0</wp14:pctHeight>
            </wp14:sizeRelV>
          </wp:anchor>
        </w:drawing>
      </w:r>
    </w:p>
    <w:sectPr w:rsidR="000A1A1A" w:rsidRPr="008451C2">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B80BF" w14:textId="77777777" w:rsidR="0079085D" w:rsidRDefault="0079085D" w:rsidP="004522D9">
      <w:pPr>
        <w:spacing w:after="0" w:line="240" w:lineRule="auto"/>
      </w:pPr>
      <w:r>
        <w:separator/>
      </w:r>
    </w:p>
  </w:endnote>
  <w:endnote w:type="continuationSeparator" w:id="0">
    <w:p w14:paraId="25CCAC29" w14:textId="77777777" w:rsidR="0079085D" w:rsidRDefault="0079085D" w:rsidP="00452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F56432" w14:textId="77777777" w:rsidR="004522D9" w:rsidRDefault="004522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971218"/>
      <w:docPartObj>
        <w:docPartGallery w:val="Page Numbers (Bottom of Page)"/>
        <w:docPartUnique/>
      </w:docPartObj>
    </w:sdtPr>
    <w:sdtEndPr>
      <w:rPr>
        <w:noProof/>
      </w:rPr>
    </w:sdtEndPr>
    <w:sdtContent>
      <w:p w14:paraId="082C68D4" w14:textId="5D2D90EE" w:rsidR="004522D9" w:rsidRDefault="004522D9">
        <w:pPr>
          <w:pStyle w:val="Footer"/>
          <w:jc w:val="right"/>
        </w:pPr>
        <w:r>
          <w:fldChar w:fldCharType="begin"/>
        </w:r>
        <w:r>
          <w:instrText xml:space="preserve"> PAGE   \* MERGEFORMAT </w:instrText>
        </w:r>
        <w:r>
          <w:fldChar w:fldCharType="separate"/>
        </w:r>
        <w:r w:rsidR="002A6CF4">
          <w:rPr>
            <w:noProof/>
          </w:rPr>
          <w:t>2</w:t>
        </w:r>
        <w:r>
          <w:rPr>
            <w:noProof/>
          </w:rPr>
          <w:fldChar w:fldCharType="end"/>
        </w:r>
      </w:p>
    </w:sdtContent>
  </w:sdt>
  <w:p w14:paraId="1A53D04A" w14:textId="77777777" w:rsidR="004522D9" w:rsidRDefault="004522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C8237" w14:textId="77777777" w:rsidR="004522D9" w:rsidRDefault="004522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1EE034" w14:textId="77777777" w:rsidR="0079085D" w:rsidRDefault="0079085D" w:rsidP="004522D9">
      <w:pPr>
        <w:spacing w:after="0" w:line="240" w:lineRule="auto"/>
      </w:pPr>
      <w:r>
        <w:separator/>
      </w:r>
    </w:p>
  </w:footnote>
  <w:footnote w:type="continuationSeparator" w:id="0">
    <w:p w14:paraId="6624B7A3" w14:textId="77777777" w:rsidR="0079085D" w:rsidRDefault="0079085D" w:rsidP="00452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BAF3E" w14:textId="77777777" w:rsidR="004522D9" w:rsidRDefault="004522D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E70ABE" w14:textId="77777777" w:rsidR="004522D9" w:rsidRDefault="004522D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5E7580" w14:textId="77777777" w:rsidR="004522D9" w:rsidRDefault="004522D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E2MLIwMDCwtDAzsDBQ0lEKTi0uzszPAykwqgUA+UDnXSwAAAA="/>
  </w:docVars>
  <w:rsids>
    <w:rsidRoot w:val="00A22B2C"/>
    <w:rsid w:val="000245A0"/>
    <w:rsid w:val="00035CD5"/>
    <w:rsid w:val="00063CAB"/>
    <w:rsid w:val="000A1A1A"/>
    <w:rsid w:val="000A4503"/>
    <w:rsid w:val="00110342"/>
    <w:rsid w:val="0013704D"/>
    <w:rsid w:val="001F4389"/>
    <w:rsid w:val="001F72DF"/>
    <w:rsid w:val="00202930"/>
    <w:rsid w:val="00246E16"/>
    <w:rsid w:val="002A6CF4"/>
    <w:rsid w:val="002A6D49"/>
    <w:rsid w:val="002D71BE"/>
    <w:rsid w:val="003662B2"/>
    <w:rsid w:val="0037183E"/>
    <w:rsid w:val="003D0175"/>
    <w:rsid w:val="004522D9"/>
    <w:rsid w:val="00454CF0"/>
    <w:rsid w:val="005E7411"/>
    <w:rsid w:val="0078344D"/>
    <w:rsid w:val="0079085D"/>
    <w:rsid w:val="007D4DED"/>
    <w:rsid w:val="007F4578"/>
    <w:rsid w:val="008451C2"/>
    <w:rsid w:val="008772A5"/>
    <w:rsid w:val="008E4919"/>
    <w:rsid w:val="009114BB"/>
    <w:rsid w:val="009A0939"/>
    <w:rsid w:val="009E141B"/>
    <w:rsid w:val="00A22B2C"/>
    <w:rsid w:val="00A23A49"/>
    <w:rsid w:val="00A3158D"/>
    <w:rsid w:val="00B26441"/>
    <w:rsid w:val="00B36297"/>
    <w:rsid w:val="00B63CFB"/>
    <w:rsid w:val="00BA74AB"/>
    <w:rsid w:val="00BF4D29"/>
    <w:rsid w:val="00C1411C"/>
    <w:rsid w:val="00D064BA"/>
    <w:rsid w:val="00D1551A"/>
    <w:rsid w:val="00DD6869"/>
    <w:rsid w:val="00DF6B5B"/>
    <w:rsid w:val="00E00490"/>
    <w:rsid w:val="00E40623"/>
    <w:rsid w:val="00EE4D55"/>
    <w:rsid w:val="00F1037D"/>
    <w:rsid w:val="00F64658"/>
    <w:rsid w:val="00F75054"/>
    <w:rsid w:val="00F97699"/>
    <w:rsid w:val="00FF192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F01DB"/>
  <w15:chartTrackingRefBased/>
  <w15:docId w15:val="{10CEE26A-3C29-4641-A01A-79A5ACE48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93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110342"/>
    <w:pPr>
      <w:keepNext/>
      <w:keepLines/>
      <w:spacing w:before="240" w:after="0"/>
      <w:outlineLvl w:val="0"/>
    </w:pPr>
    <w:rPr>
      <w:rFonts w:asciiTheme="majorHAnsi" w:eastAsiaTheme="majorEastAsia" w:hAnsiTheme="majorHAnsi" w:cstheme="majorBidi"/>
      <w:color w:val="2F5496" w:themeColor="accent1" w:themeShade="BF"/>
      <w:sz w:val="28"/>
      <w:szCs w:val="32"/>
    </w:rPr>
  </w:style>
  <w:style w:type="paragraph" w:styleId="Heading2">
    <w:name w:val="heading 2"/>
    <w:basedOn w:val="Normal"/>
    <w:next w:val="Normal"/>
    <w:link w:val="Heading2Char"/>
    <w:uiPriority w:val="9"/>
    <w:unhideWhenUsed/>
    <w:qFormat/>
    <w:rsid w:val="00DD686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0342"/>
    <w:rPr>
      <w:rFonts w:asciiTheme="majorHAnsi" w:eastAsiaTheme="majorEastAsia" w:hAnsiTheme="majorHAnsi" w:cstheme="majorBidi"/>
      <w:color w:val="2F5496" w:themeColor="accent1" w:themeShade="BF"/>
      <w:sz w:val="28"/>
      <w:szCs w:val="32"/>
    </w:rPr>
  </w:style>
  <w:style w:type="character" w:customStyle="1" w:styleId="Heading2Char">
    <w:name w:val="Heading 2 Char"/>
    <w:basedOn w:val="DefaultParagraphFont"/>
    <w:link w:val="Heading2"/>
    <w:uiPriority w:val="9"/>
    <w:rsid w:val="00DD6869"/>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F1037D"/>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245A0"/>
  </w:style>
  <w:style w:type="paragraph" w:styleId="TOCHeading">
    <w:name w:val="TOC Heading"/>
    <w:basedOn w:val="Heading1"/>
    <w:next w:val="Normal"/>
    <w:uiPriority w:val="39"/>
    <w:unhideWhenUsed/>
    <w:qFormat/>
    <w:rsid w:val="00B63CFB"/>
    <w:pPr>
      <w:spacing w:line="259" w:lineRule="auto"/>
      <w:jc w:val="left"/>
      <w:outlineLvl w:val="9"/>
    </w:pPr>
    <w:rPr>
      <w:sz w:val="32"/>
      <w:lang w:val="en-US"/>
    </w:rPr>
  </w:style>
  <w:style w:type="paragraph" w:styleId="TOC1">
    <w:name w:val="toc 1"/>
    <w:basedOn w:val="Normal"/>
    <w:next w:val="Normal"/>
    <w:autoRedefine/>
    <w:uiPriority w:val="39"/>
    <w:unhideWhenUsed/>
    <w:rsid w:val="00B63CFB"/>
    <w:pPr>
      <w:spacing w:after="100"/>
    </w:pPr>
  </w:style>
  <w:style w:type="paragraph" w:styleId="TOC2">
    <w:name w:val="toc 2"/>
    <w:basedOn w:val="Normal"/>
    <w:next w:val="Normal"/>
    <w:autoRedefine/>
    <w:uiPriority w:val="39"/>
    <w:unhideWhenUsed/>
    <w:rsid w:val="00B63CFB"/>
    <w:pPr>
      <w:spacing w:after="100"/>
      <w:ind w:left="240"/>
    </w:pPr>
  </w:style>
  <w:style w:type="character" w:styleId="Hyperlink">
    <w:name w:val="Hyperlink"/>
    <w:basedOn w:val="DefaultParagraphFont"/>
    <w:uiPriority w:val="99"/>
    <w:unhideWhenUsed/>
    <w:rsid w:val="00B63CFB"/>
    <w:rPr>
      <w:color w:val="0563C1" w:themeColor="hyperlink"/>
      <w:u w:val="single"/>
    </w:rPr>
  </w:style>
  <w:style w:type="paragraph" w:styleId="Header">
    <w:name w:val="header"/>
    <w:basedOn w:val="Normal"/>
    <w:link w:val="HeaderChar"/>
    <w:uiPriority w:val="99"/>
    <w:unhideWhenUsed/>
    <w:rsid w:val="00452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2D9"/>
    <w:rPr>
      <w:rFonts w:ascii="Times New Roman" w:hAnsi="Times New Roman"/>
      <w:sz w:val="24"/>
    </w:rPr>
  </w:style>
  <w:style w:type="paragraph" w:styleId="Footer">
    <w:name w:val="footer"/>
    <w:basedOn w:val="Normal"/>
    <w:link w:val="FooterChar"/>
    <w:uiPriority w:val="99"/>
    <w:unhideWhenUsed/>
    <w:rsid w:val="00452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2D9"/>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35456">
      <w:bodyDiv w:val="1"/>
      <w:marLeft w:val="0"/>
      <w:marRight w:val="0"/>
      <w:marTop w:val="0"/>
      <w:marBottom w:val="0"/>
      <w:divBdr>
        <w:top w:val="none" w:sz="0" w:space="0" w:color="auto"/>
        <w:left w:val="none" w:sz="0" w:space="0" w:color="auto"/>
        <w:bottom w:val="none" w:sz="0" w:space="0" w:color="auto"/>
        <w:right w:val="none" w:sz="0" w:space="0" w:color="auto"/>
      </w:divBdr>
    </w:div>
    <w:div w:id="10689475">
      <w:bodyDiv w:val="1"/>
      <w:marLeft w:val="0"/>
      <w:marRight w:val="0"/>
      <w:marTop w:val="0"/>
      <w:marBottom w:val="0"/>
      <w:divBdr>
        <w:top w:val="none" w:sz="0" w:space="0" w:color="auto"/>
        <w:left w:val="none" w:sz="0" w:space="0" w:color="auto"/>
        <w:bottom w:val="none" w:sz="0" w:space="0" w:color="auto"/>
        <w:right w:val="none" w:sz="0" w:space="0" w:color="auto"/>
      </w:divBdr>
    </w:div>
    <w:div w:id="61107185">
      <w:bodyDiv w:val="1"/>
      <w:marLeft w:val="0"/>
      <w:marRight w:val="0"/>
      <w:marTop w:val="0"/>
      <w:marBottom w:val="0"/>
      <w:divBdr>
        <w:top w:val="none" w:sz="0" w:space="0" w:color="auto"/>
        <w:left w:val="none" w:sz="0" w:space="0" w:color="auto"/>
        <w:bottom w:val="none" w:sz="0" w:space="0" w:color="auto"/>
        <w:right w:val="none" w:sz="0" w:space="0" w:color="auto"/>
      </w:divBdr>
    </w:div>
    <w:div w:id="79642797">
      <w:bodyDiv w:val="1"/>
      <w:marLeft w:val="0"/>
      <w:marRight w:val="0"/>
      <w:marTop w:val="0"/>
      <w:marBottom w:val="0"/>
      <w:divBdr>
        <w:top w:val="none" w:sz="0" w:space="0" w:color="auto"/>
        <w:left w:val="none" w:sz="0" w:space="0" w:color="auto"/>
        <w:bottom w:val="none" w:sz="0" w:space="0" w:color="auto"/>
        <w:right w:val="none" w:sz="0" w:space="0" w:color="auto"/>
      </w:divBdr>
    </w:div>
    <w:div w:id="90665607">
      <w:bodyDiv w:val="1"/>
      <w:marLeft w:val="0"/>
      <w:marRight w:val="0"/>
      <w:marTop w:val="0"/>
      <w:marBottom w:val="0"/>
      <w:divBdr>
        <w:top w:val="none" w:sz="0" w:space="0" w:color="auto"/>
        <w:left w:val="none" w:sz="0" w:space="0" w:color="auto"/>
        <w:bottom w:val="none" w:sz="0" w:space="0" w:color="auto"/>
        <w:right w:val="none" w:sz="0" w:space="0" w:color="auto"/>
      </w:divBdr>
    </w:div>
    <w:div w:id="118257677">
      <w:bodyDiv w:val="1"/>
      <w:marLeft w:val="0"/>
      <w:marRight w:val="0"/>
      <w:marTop w:val="0"/>
      <w:marBottom w:val="0"/>
      <w:divBdr>
        <w:top w:val="none" w:sz="0" w:space="0" w:color="auto"/>
        <w:left w:val="none" w:sz="0" w:space="0" w:color="auto"/>
        <w:bottom w:val="none" w:sz="0" w:space="0" w:color="auto"/>
        <w:right w:val="none" w:sz="0" w:space="0" w:color="auto"/>
      </w:divBdr>
    </w:div>
    <w:div w:id="235213408">
      <w:bodyDiv w:val="1"/>
      <w:marLeft w:val="0"/>
      <w:marRight w:val="0"/>
      <w:marTop w:val="0"/>
      <w:marBottom w:val="0"/>
      <w:divBdr>
        <w:top w:val="none" w:sz="0" w:space="0" w:color="auto"/>
        <w:left w:val="none" w:sz="0" w:space="0" w:color="auto"/>
        <w:bottom w:val="none" w:sz="0" w:space="0" w:color="auto"/>
        <w:right w:val="none" w:sz="0" w:space="0" w:color="auto"/>
      </w:divBdr>
    </w:div>
    <w:div w:id="256208314">
      <w:bodyDiv w:val="1"/>
      <w:marLeft w:val="0"/>
      <w:marRight w:val="0"/>
      <w:marTop w:val="0"/>
      <w:marBottom w:val="0"/>
      <w:divBdr>
        <w:top w:val="none" w:sz="0" w:space="0" w:color="auto"/>
        <w:left w:val="none" w:sz="0" w:space="0" w:color="auto"/>
        <w:bottom w:val="none" w:sz="0" w:space="0" w:color="auto"/>
        <w:right w:val="none" w:sz="0" w:space="0" w:color="auto"/>
      </w:divBdr>
    </w:div>
    <w:div w:id="316764467">
      <w:bodyDiv w:val="1"/>
      <w:marLeft w:val="0"/>
      <w:marRight w:val="0"/>
      <w:marTop w:val="0"/>
      <w:marBottom w:val="0"/>
      <w:divBdr>
        <w:top w:val="none" w:sz="0" w:space="0" w:color="auto"/>
        <w:left w:val="none" w:sz="0" w:space="0" w:color="auto"/>
        <w:bottom w:val="none" w:sz="0" w:space="0" w:color="auto"/>
        <w:right w:val="none" w:sz="0" w:space="0" w:color="auto"/>
      </w:divBdr>
    </w:div>
    <w:div w:id="371616700">
      <w:bodyDiv w:val="1"/>
      <w:marLeft w:val="0"/>
      <w:marRight w:val="0"/>
      <w:marTop w:val="0"/>
      <w:marBottom w:val="0"/>
      <w:divBdr>
        <w:top w:val="none" w:sz="0" w:space="0" w:color="auto"/>
        <w:left w:val="none" w:sz="0" w:space="0" w:color="auto"/>
        <w:bottom w:val="none" w:sz="0" w:space="0" w:color="auto"/>
        <w:right w:val="none" w:sz="0" w:space="0" w:color="auto"/>
      </w:divBdr>
    </w:div>
    <w:div w:id="407314822">
      <w:bodyDiv w:val="1"/>
      <w:marLeft w:val="0"/>
      <w:marRight w:val="0"/>
      <w:marTop w:val="0"/>
      <w:marBottom w:val="0"/>
      <w:divBdr>
        <w:top w:val="none" w:sz="0" w:space="0" w:color="auto"/>
        <w:left w:val="none" w:sz="0" w:space="0" w:color="auto"/>
        <w:bottom w:val="none" w:sz="0" w:space="0" w:color="auto"/>
        <w:right w:val="none" w:sz="0" w:space="0" w:color="auto"/>
      </w:divBdr>
    </w:div>
    <w:div w:id="436869806">
      <w:bodyDiv w:val="1"/>
      <w:marLeft w:val="0"/>
      <w:marRight w:val="0"/>
      <w:marTop w:val="0"/>
      <w:marBottom w:val="0"/>
      <w:divBdr>
        <w:top w:val="none" w:sz="0" w:space="0" w:color="auto"/>
        <w:left w:val="none" w:sz="0" w:space="0" w:color="auto"/>
        <w:bottom w:val="none" w:sz="0" w:space="0" w:color="auto"/>
        <w:right w:val="none" w:sz="0" w:space="0" w:color="auto"/>
      </w:divBdr>
    </w:div>
    <w:div w:id="471215925">
      <w:bodyDiv w:val="1"/>
      <w:marLeft w:val="0"/>
      <w:marRight w:val="0"/>
      <w:marTop w:val="0"/>
      <w:marBottom w:val="0"/>
      <w:divBdr>
        <w:top w:val="none" w:sz="0" w:space="0" w:color="auto"/>
        <w:left w:val="none" w:sz="0" w:space="0" w:color="auto"/>
        <w:bottom w:val="none" w:sz="0" w:space="0" w:color="auto"/>
        <w:right w:val="none" w:sz="0" w:space="0" w:color="auto"/>
      </w:divBdr>
    </w:div>
    <w:div w:id="491334275">
      <w:bodyDiv w:val="1"/>
      <w:marLeft w:val="0"/>
      <w:marRight w:val="0"/>
      <w:marTop w:val="0"/>
      <w:marBottom w:val="0"/>
      <w:divBdr>
        <w:top w:val="none" w:sz="0" w:space="0" w:color="auto"/>
        <w:left w:val="none" w:sz="0" w:space="0" w:color="auto"/>
        <w:bottom w:val="none" w:sz="0" w:space="0" w:color="auto"/>
        <w:right w:val="none" w:sz="0" w:space="0" w:color="auto"/>
      </w:divBdr>
    </w:div>
    <w:div w:id="498808822">
      <w:bodyDiv w:val="1"/>
      <w:marLeft w:val="0"/>
      <w:marRight w:val="0"/>
      <w:marTop w:val="0"/>
      <w:marBottom w:val="0"/>
      <w:divBdr>
        <w:top w:val="none" w:sz="0" w:space="0" w:color="auto"/>
        <w:left w:val="none" w:sz="0" w:space="0" w:color="auto"/>
        <w:bottom w:val="none" w:sz="0" w:space="0" w:color="auto"/>
        <w:right w:val="none" w:sz="0" w:space="0" w:color="auto"/>
      </w:divBdr>
    </w:div>
    <w:div w:id="574047658">
      <w:bodyDiv w:val="1"/>
      <w:marLeft w:val="0"/>
      <w:marRight w:val="0"/>
      <w:marTop w:val="0"/>
      <w:marBottom w:val="0"/>
      <w:divBdr>
        <w:top w:val="none" w:sz="0" w:space="0" w:color="auto"/>
        <w:left w:val="none" w:sz="0" w:space="0" w:color="auto"/>
        <w:bottom w:val="none" w:sz="0" w:space="0" w:color="auto"/>
        <w:right w:val="none" w:sz="0" w:space="0" w:color="auto"/>
      </w:divBdr>
    </w:div>
    <w:div w:id="575476329">
      <w:bodyDiv w:val="1"/>
      <w:marLeft w:val="0"/>
      <w:marRight w:val="0"/>
      <w:marTop w:val="0"/>
      <w:marBottom w:val="0"/>
      <w:divBdr>
        <w:top w:val="none" w:sz="0" w:space="0" w:color="auto"/>
        <w:left w:val="none" w:sz="0" w:space="0" w:color="auto"/>
        <w:bottom w:val="none" w:sz="0" w:space="0" w:color="auto"/>
        <w:right w:val="none" w:sz="0" w:space="0" w:color="auto"/>
      </w:divBdr>
    </w:div>
    <w:div w:id="586960427">
      <w:bodyDiv w:val="1"/>
      <w:marLeft w:val="0"/>
      <w:marRight w:val="0"/>
      <w:marTop w:val="0"/>
      <w:marBottom w:val="0"/>
      <w:divBdr>
        <w:top w:val="none" w:sz="0" w:space="0" w:color="auto"/>
        <w:left w:val="none" w:sz="0" w:space="0" w:color="auto"/>
        <w:bottom w:val="none" w:sz="0" w:space="0" w:color="auto"/>
        <w:right w:val="none" w:sz="0" w:space="0" w:color="auto"/>
      </w:divBdr>
    </w:div>
    <w:div w:id="598492408">
      <w:bodyDiv w:val="1"/>
      <w:marLeft w:val="0"/>
      <w:marRight w:val="0"/>
      <w:marTop w:val="0"/>
      <w:marBottom w:val="0"/>
      <w:divBdr>
        <w:top w:val="none" w:sz="0" w:space="0" w:color="auto"/>
        <w:left w:val="none" w:sz="0" w:space="0" w:color="auto"/>
        <w:bottom w:val="none" w:sz="0" w:space="0" w:color="auto"/>
        <w:right w:val="none" w:sz="0" w:space="0" w:color="auto"/>
      </w:divBdr>
    </w:div>
    <w:div w:id="628168440">
      <w:bodyDiv w:val="1"/>
      <w:marLeft w:val="0"/>
      <w:marRight w:val="0"/>
      <w:marTop w:val="0"/>
      <w:marBottom w:val="0"/>
      <w:divBdr>
        <w:top w:val="none" w:sz="0" w:space="0" w:color="auto"/>
        <w:left w:val="none" w:sz="0" w:space="0" w:color="auto"/>
        <w:bottom w:val="none" w:sz="0" w:space="0" w:color="auto"/>
        <w:right w:val="none" w:sz="0" w:space="0" w:color="auto"/>
      </w:divBdr>
    </w:div>
    <w:div w:id="654450659">
      <w:bodyDiv w:val="1"/>
      <w:marLeft w:val="0"/>
      <w:marRight w:val="0"/>
      <w:marTop w:val="0"/>
      <w:marBottom w:val="0"/>
      <w:divBdr>
        <w:top w:val="none" w:sz="0" w:space="0" w:color="auto"/>
        <w:left w:val="none" w:sz="0" w:space="0" w:color="auto"/>
        <w:bottom w:val="none" w:sz="0" w:space="0" w:color="auto"/>
        <w:right w:val="none" w:sz="0" w:space="0" w:color="auto"/>
      </w:divBdr>
    </w:div>
    <w:div w:id="668675588">
      <w:bodyDiv w:val="1"/>
      <w:marLeft w:val="0"/>
      <w:marRight w:val="0"/>
      <w:marTop w:val="0"/>
      <w:marBottom w:val="0"/>
      <w:divBdr>
        <w:top w:val="none" w:sz="0" w:space="0" w:color="auto"/>
        <w:left w:val="none" w:sz="0" w:space="0" w:color="auto"/>
        <w:bottom w:val="none" w:sz="0" w:space="0" w:color="auto"/>
        <w:right w:val="none" w:sz="0" w:space="0" w:color="auto"/>
      </w:divBdr>
    </w:div>
    <w:div w:id="692531429">
      <w:bodyDiv w:val="1"/>
      <w:marLeft w:val="0"/>
      <w:marRight w:val="0"/>
      <w:marTop w:val="0"/>
      <w:marBottom w:val="0"/>
      <w:divBdr>
        <w:top w:val="none" w:sz="0" w:space="0" w:color="auto"/>
        <w:left w:val="none" w:sz="0" w:space="0" w:color="auto"/>
        <w:bottom w:val="none" w:sz="0" w:space="0" w:color="auto"/>
        <w:right w:val="none" w:sz="0" w:space="0" w:color="auto"/>
      </w:divBdr>
    </w:div>
    <w:div w:id="707607905">
      <w:bodyDiv w:val="1"/>
      <w:marLeft w:val="0"/>
      <w:marRight w:val="0"/>
      <w:marTop w:val="0"/>
      <w:marBottom w:val="0"/>
      <w:divBdr>
        <w:top w:val="none" w:sz="0" w:space="0" w:color="auto"/>
        <w:left w:val="none" w:sz="0" w:space="0" w:color="auto"/>
        <w:bottom w:val="none" w:sz="0" w:space="0" w:color="auto"/>
        <w:right w:val="none" w:sz="0" w:space="0" w:color="auto"/>
      </w:divBdr>
    </w:div>
    <w:div w:id="769861706">
      <w:bodyDiv w:val="1"/>
      <w:marLeft w:val="0"/>
      <w:marRight w:val="0"/>
      <w:marTop w:val="0"/>
      <w:marBottom w:val="0"/>
      <w:divBdr>
        <w:top w:val="none" w:sz="0" w:space="0" w:color="auto"/>
        <w:left w:val="none" w:sz="0" w:space="0" w:color="auto"/>
        <w:bottom w:val="none" w:sz="0" w:space="0" w:color="auto"/>
        <w:right w:val="none" w:sz="0" w:space="0" w:color="auto"/>
      </w:divBdr>
    </w:div>
    <w:div w:id="772896467">
      <w:bodyDiv w:val="1"/>
      <w:marLeft w:val="0"/>
      <w:marRight w:val="0"/>
      <w:marTop w:val="0"/>
      <w:marBottom w:val="0"/>
      <w:divBdr>
        <w:top w:val="none" w:sz="0" w:space="0" w:color="auto"/>
        <w:left w:val="none" w:sz="0" w:space="0" w:color="auto"/>
        <w:bottom w:val="none" w:sz="0" w:space="0" w:color="auto"/>
        <w:right w:val="none" w:sz="0" w:space="0" w:color="auto"/>
      </w:divBdr>
    </w:div>
    <w:div w:id="829174882">
      <w:bodyDiv w:val="1"/>
      <w:marLeft w:val="0"/>
      <w:marRight w:val="0"/>
      <w:marTop w:val="0"/>
      <w:marBottom w:val="0"/>
      <w:divBdr>
        <w:top w:val="none" w:sz="0" w:space="0" w:color="auto"/>
        <w:left w:val="none" w:sz="0" w:space="0" w:color="auto"/>
        <w:bottom w:val="none" w:sz="0" w:space="0" w:color="auto"/>
        <w:right w:val="none" w:sz="0" w:space="0" w:color="auto"/>
      </w:divBdr>
    </w:div>
    <w:div w:id="870342101">
      <w:bodyDiv w:val="1"/>
      <w:marLeft w:val="0"/>
      <w:marRight w:val="0"/>
      <w:marTop w:val="0"/>
      <w:marBottom w:val="0"/>
      <w:divBdr>
        <w:top w:val="none" w:sz="0" w:space="0" w:color="auto"/>
        <w:left w:val="none" w:sz="0" w:space="0" w:color="auto"/>
        <w:bottom w:val="none" w:sz="0" w:space="0" w:color="auto"/>
        <w:right w:val="none" w:sz="0" w:space="0" w:color="auto"/>
      </w:divBdr>
    </w:div>
    <w:div w:id="878589852">
      <w:bodyDiv w:val="1"/>
      <w:marLeft w:val="0"/>
      <w:marRight w:val="0"/>
      <w:marTop w:val="0"/>
      <w:marBottom w:val="0"/>
      <w:divBdr>
        <w:top w:val="none" w:sz="0" w:space="0" w:color="auto"/>
        <w:left w:val="none" w:sz="0" w:space="0" w:color="auto"/>
        <w:bottom w:val="none" w:sz="0" w:space="0" w:color="auto"/>
        <w:right w:val="none" w:sz="0" w:space="0" w:color="auto"/>
      </w:divBdr>
    </w:div>
    <w:div w:id="879441266">
      <w:bodyDiv w:val="1"/>
      <w:marLeft w:val="0"/>
      <w:marRight w:val="0"/>
      <w:marTop w:val="0"/>
      <w:marBottom w:val="0"/>
      <w:divBdr>
        <w:top w:val="none" w:sz="0" w:space="0" w:color="auto"/>
        <w:left w:val="none" w:sz="0" w:space="0" w:color="auto"/>
        <w:bottom w:val="none" w:sz="0" w:space="0" w:color="auto"/>
        <w:right w:val="none" w:sz="0" w:space="0" w:color="auto"/>
      </w:divBdr>
    </w:div>
    <w:div w:id="905846428">
      <w:bodyDiv w:val="1"/>
      <w:marLeft w:val="0"/>
      <w:marRight w:val="0"/>
      <w:marTop w:val="0"/>
      <w:marBottom w:val="0"/>
      <w:divBdr>
        <w:top w:val="none" w:sz="0" w:space="0" w:color="auto"/>
        <w:left w:val="none" w:sz="0" w:space="0" w:color="auto"/>
        <w:bottom w:val="none" w:sz="0" w:space="0" w:color="auto"/>
        <w:right w:val="none" w:sz="0" w:space="0" w:color="auto"/>
      </w:divBdr>
    </w:div>
    <w:div w:id="906720429">
      <w:bodyDiv w:val="1"/>
      <w:marLeft w:val="0"/>
      <w:marRight w:val="0"/>
      <w:marTop w:val="0"/>
      <w:marBottom w:val="0"/>
      <w:divBdr>
        <w:top w:val="none" w:sz="0" w:space="0" w:color="auto"/>
        <w:left w:val="none" w:sz="0" w:space="0" w:color="auto"/>
        <w:bottom w:val="none" w:sz="0" w:space="0" w:color="auto"/>
        <w:right w:val="none" w:sz="0" w:space="0" w:color="auto"/>
      </w:divBdr>
    </w:div>
    <w:div w:id="955910675">
      <w:bodyDiv w:val="1"/>
      <w:marLeft w:val="0"/>
      <w:marRight w:val="0"/>
      <w:marTop w:val="0"/>
      <w:marBottom w:val="0"/>
      <w:divBdr>
        <w:top w:val="none" w:sz="0" w:space="0" w:color="auto"/>
        <w:left w:val="none" w:sz="0" w:space="0" w:color="auto"/>
        <w:bottom w:val="none" w:sz="0" w:space="0" w:color="auto"/>
        <w:right w:val="none" w:sz="0" w:space="0" w:color="auto"/>
      </w:divBdr>
    </w:div>
    <w:div w:id="993219612">
      <w:bodyDiv w:val="1"/>
      <w:marLeft w:val="0"/>
      <w:marRight w:val="0"/>
      <w:marTop w:val="0"/>
      <w:marBottom w:val="0"/>
      <w:divBdr>
        <w:top w:val="none" w:sz="0" w:space="0" w:color="auto"/>
        <w:left w:val="none" w:sz="0" w:space="0" w:color="auto"/>
        <w:bottom w:val="none" w:sz="0" w:space="0" w:color="auto"/>
        <w:right w:val="none" w:sz="0" w:space="0" w:color="auto"/>
      </w:divBdr>
    </w:div>
    <w:div w:id="1016153493">
      <w:bodyDiv w:val="1"/>
      <w:marLeft w:val="0"/>
      <w:marRight w:val="0"/>
      <w:marTop w:val="0"/>
      <w:marBottom w:val="0"/>
      <w:divBdr>
        <w:top w:val="none" w:sz="0" w:space="0" w:color="auto"/>
        <w:left w:val="none" w:sz="0" w:space="0" w:color="auto"/>
        <w:bottom w:val="none" w:sz="0" w:space="0" w:color="auto"/>
        <w:right w:val="none" w:sz="0" w:space="0" w:color="auto"/>
      </w:divBdr>
    </w:div>
    <w:div w:id="1076974166">
      <w:bodyDiv w:val="1"/>
      <w:marLeft w:val="0"/>
      <w:marRight w:val="0"/>
      <w:marTop w:val="0"/>
      <w:marBottom w:val="0"/>
      <w:divBdr>
        <w:top w:val="none" w:sz="0" w:space="0" w:color="auto"/>
        <w:left w:val="none" w:sz="0" w:space="0" w:color="auto"/>
        <w:bottom w:val="none" w:sz="0" w:space="0" w:color="auto"/>
        <w:right w:val="none" w:sz="0" w:space="0" w:color="auto"/>
      </w:divBdr>
    </w:div>
    <w:div w:id="1160543727">
      <w:bodyDiv w:val="1"/>
      <w:marLeft w:val="0"/>
      <w:marRight w:val="0"/>
      <w:marTop w:val="0"/>
      <w:marBottom w:val="0"/>
      <w:divBdr>
        <w:top w:val="none" w:sz="0" w:space="0" w:color="auto"/>
        <w:left w:val="none" w:sz="0" w:space="0" w:color="auto"/>
        <w:bottom w:val="none" w:sz="0" w:space="0" w:color="auto"/>
        <w:right w:val="none" w:sz="0" w:space="0" w:color="auto"/>
      </w:divBdr>
    </w:div>
    <w:div w:id="1215462055">
      <w:bodyDiv w:val="1"/>
      <w:marLeft w:val="0"/>
      <w:marRight w:val="0"/>
      <w:marTop w:val="0"/>
      <w:marBottom w:val="0"/>
      <w:divBdr>
        <w:top w:val="none" w:sz="0" w:space="0" w:color="auto"/>
        <w:left w:val="none" w:sz="0" w:space="0" w:color="auto"/>
        <w:bottom w:val="none" w:sz="0" w:space="0" w:color="auto"/>
        <w:right w:val="none" w:sz="0" w:space="0" w:color="auto"/>
      </w:divBdr>
    </w:div>
    <w:div w:id="1227378321">
      <w:bodyDiv w:val="1"/>
      <w:marLeft w:val="0"/>
      <w:marRight w:val="0"/>
      <w:marTop w:val="0"/>
      <w:marBottom w:val="0"/>
      <w:divBdr>
        <w:top w:val="none" w:sz="0" w:space="0" w:color="auto"/>
        <w:left w:val="none" w:sz="0" w:space="0" w:color="auto"/>
        <w:bottom w:val="none" w:sz="0" w:space="0" w:color="auto"/>
        <w:right w:val="none" w:sz="0" w:space="0" w:color="auto"/>
      </w:divBdr>
    </w:div>
    <w:div w:id="1279607159">
      <w:bodyDiv w:val="1"/>
      <w:marLeft w:val="0"/>
      <w:marRight w:val="0"/>
      <w:marTop w:val="0"/>
      <w:marBottom w:val="0"/>
      <w:divBdr>
        <w:top w:val="none" w:sz="0" w:space="0" w:color="auto"/>
        <w:left w:val="none" w:sz="0" w:space="0" w:color="auto"/>
        <w:bottom w:val="none" w:sz="0" w:space="0" w:color="auto"/>
        <w:right w:val="none" w:sz="0" w:space="0" w:color="auto"/>
      </w:divBdr>
    </w:div>
    <w:div w:id="1346440898">
      <w:bodyDiv w:val="1"/>
      <w:marLeft w:val="0"/>
      <w:marRight w:val="0"/>
      <w:marTop w:val="0"/>
      <w:marBottom w:val="0"/>
      <w:divBdr>
        <w:top w:val="none" w:sz="0" w:space="0" w:color="auto"/>
        <w:left w:val="none" w:sz="0" w:space="0" w:color="auto"/>
        <w:bottom w:val="none" w:sz="0" w:space="0" w:color="auto"/>
        <w:right w:val="none" w:sz="0" w:space="0" w:color="auto"/>
      </w:divBdr>
    </w:div>
    <w:div w:id="1378550718">
      <w:bodyDiv w:val="1"/>
      <w:marLeft w:val="0"/>
      <w:marRight w:val="0"/>
      <w:marTop w:val="0"/>
      <w:marBottom w:val="0"/>
      <w:divBdr>
        <w:top w:val="none" w:sz="0" w:space="0" w:color="auto"/>
        <w:left w:val="none" w:sz="0" w:space="0" w:color="auto"/>
        <w:bottom w:val="none" w:sz="0" w:space="0" w:color="auto"/>
        <w:right w:val="none" w:sz="0" w:space="0" w:color="auto"/>
      </w:divBdr>
    </w:div>
    <w:div w:id="1398238220">
      <w:bodyDiv w:val="1"/>
      <w:marLeft w:val="0"/>
      <w:marRight w:val="0"/>
      <w:marTop w:val="0"/>
      <w:marBottom w:val="0"/>
      <w:divBdr>
        <w:top w:val="none" w:sz="0" w:space="0" w:color="auto"/>
        <w:left w:val="none" w:sz="0" w:space="0" w:color="auto"/>
        <w:bottom w:val="none" w:sz="0" w:space="0" w:color="auto"/>
        <w:right w:val="none" w:sz="0" w:space="0" w:color="auto"/>
      </w:divBdr>
    </w:div>
    <w:div w:id="1407266767">
      <w:bodyDiv w:val="1"/>
      <w:marLeft w:val="0"/>
      <w:marRight w:val="0"/>
      <w:marTop w:val="0"/>
      <w:marBottom w:val="0"/>
      <w:divBdr>
        <w:top w:val="none" w:sz="0" w:space="0" w:color="auto"/>
        <w:left w:val="none" w:sz="0" w:space="0" w:color="auto"/>
        <w:bottom w:val="none" w:sz="0" w:space="0" w:color="auto"/>
        <w:right w:val="none" w:sz="0" w:space="0" w:color="auto"/>
      </w:divBdr>
    </w:div>
    <w:div w:id="1421485843">
      <w:bodyDiv w:val="1"/>
      <w:marLeft w:val="0"/>
      <w:marRight w:val="0"/>
      <w:marTop w:val="0"/>
      <w:marBottom w:val="0"/>
      <w:divBdr>
        <w:top w:val="none" w:sz="0" w:space="0" w:color="auto"/>
        <w:left w:val="none" w:sz="0" w:space="0" w:color="auto"/>
        <w:bottom w:val="none" w:sz="0" w:space="0" w:color="auto"/>
        <w:right w:val="none" w:sz="0" w:space="0" w:color="auto"/>
      </w:divBdr>
    </w:div>
    <w:div w:id="1423603916">
      <w:bodyDiv w:val="1"/>
      <w:marLeft w:val="0"/>
      <w:marRight w:val="0"/>
      <w:marTop w:val="0"/>
      <w:marBottom w:val="0"/>
      <w:divBdr>
        <w:top w:val="none" w:sz="0" w:space="0" w:color="auto"/>
        <w:left w:val="none" w:sz="0" w:space="0" w:color="auto"/>
        <w:bottom w:val="none" w:sz="0" w:space="0" w:color="auto"/>
        <w:right w:val="none" w:sz="0" w:space="0" w:color="auto"/>
      </w:divBdr>
    </w:div>
    <w:div w:id="1446122270">
      <w:bodyDiv w:val="1"/>
      <w:marLeft w:val="0"/>
      <w:marRight w:val="0"/>
      <w:marTop w:val="0"/>
      <w:marBottom w:val="0"/>
      <w:divBdr>
        <w:top w:val="none" w:sz="0" w:space="0" w:color="auto"/>
        <w:left w:val="none" w:sz="0" w:space="0" w:color="auto"/>
        <w:bottom w:val="none" w:sz="0" w:space="0" w:color="auto"/>
        <w:right w:val="none" w:sz="0" w:space="0" w:color="auto"/>
      </w:divBdr>
    </w:div>
    <w:div w:id="1489129031">
      <w:bodyDiv w:val="1"/>
      <w:marLeft w:val="0"/>
      <w:marRight w:val="0"/>
      <w:marTop w:val="0"/>
      <w:marBottom w:val="0"/>
      <w:divBdr>
        <w:top w:val="none" w:sz="0" w:space="0" w:color="auto"/>
        <w:left w:val="none" w:sz="0" w:space="0" w:color="auto"/>
        <w:bottom w:val="none" w:sz="0" w:space="0" w:color="auto"/>
        <w:right w:val="none" w:sz="0" w:space="0" w:color="auto"/>
      </w:divBdr>
    </w:div>
    <w:div w:id="1499689145">
      <w:bodyDiv w:val="1"/>
      <w:marLeft w:val="0"/>
      <w:marRight w:val="0"/>
      <w:marTop w:val="0"/>
      <w:marBottom w:val="0"/>
      <w:divBdr>
        <w:top w:val="none" w:sz="0" w:space="0" w:color="auto"/>
        <w:left w:val="none" w:sz="0" w:space="0" w:color="auto"/>
        <w:bottom w:val="none" w:sz="0" w:space="0" w:color="auto"/>
        <w:right w:val="none" w:sz="0" w:space="0" w:color="auto"/>
      </w:divBdr>
    </w:div>
    <w:div w:id="1601985090">
      <w:bodyDiv w:val="1"/>
      <w:marLeft w:val="0"/>
      <w:marRight w:val="0"/>
      <w:marTop w:val="0"/>
      <w:marBottom w:val="0"/>
      <w:divBdr>
        <w:top w:val="none" w:sz="0" w:space="0" w:color="auto"/>
        <w:left w:val="none" w:sz="0" w:space="0" w:color="auto"/>
        <w:bottom w:val="none" w:sz="0" w:space="0" w:color="auto"/>
        <w:right w:val="none" w:sz="0" w:space="0" w:color="auto"/>
      </w:divBdr>
    </w:div>
    <w:div w:id="1606881650">
      <w:bodyDiv w:val="1"/>
      <w:marLeft w:val="0"/>
      <w:marRight w:val="0"/>
      <w:marTop w:val="0"/>
      <w:marBottom w:val="0"/>
      <w:divBdr>
        <w:top w:val="none" w:sz="0" w:space="0" w:color="auto"/>
        <w:left w:val="none" w:sz="0" w:space="0" w:color="auto"/>
        <w:bottom w:val="none" w:sz="0" w:space="0" w:color="auto"/>
        <w:right w:val="none" w:sz="0" w:space="0" w:color="auto"/>
      </w:divBdr>
    </w:div>
    <w:div w:id="1610968537">
      <w:bodyDiv w:val="1"/>
      <w:marLeft w:val="0"/>
      <w:marRight w:val="0"/>
      <w:marTop w:val="0"/>
      <w:marBottom w:val="0"/>
      <w:divBdr>
        <w:top w:val="none" w:sz="0" w:space="0" w:color="auto"/>
        <w:left w:val="none" w:sz="0" w:space="0" w:color="auto"/>
        <w:bottom w:val="none" w:sz="0" w:space="0" w:color="auto"/>
        <w:right w:val="none" w:sz="0" w:space="0" w:color="auto"/>
      </w:divBdr>
    </w:div>
    <w:div w:id="1632785835">
      <w:bodyDiv w:val="1"/>
      <w:marLeft w:val="0"/>
      <w:marRight w:val="0"/>
      <w:marTop w:val="0"/>
      <w:marBottom w:val="0"/>
      <w:divBdr>
        <w:top w:val="none" w:sz="0" w:space="0" w:color="auto"/>
        <w:left w:val="none" w:sz="0" w:space="0" w:color="auto"/>
        <w:bottom w:val="none" w:sz="0" w:space="0" w:color="auto"/>
        <w:right w:val="none" w:sz="0" w:space="0" w:color="auto"/>
      </w:divBdr>
    </w:div>
    <w:div w:id="1641767481">
      <w:bodyDiv w:val="1"/>
      <w:marLeft w:val="0"/>
      <w:marRight w:val="0"/>
      <w:marTop w:val="0"/>
      <w:marBottom w:val="0"/>
      <w:divBdr>
        <w:top w:val="none" w:sz="0" w:space="0" w:color="auto"/>
        <w:left w:val="none" w:sz="0" w:space="0" w:color="auto"/>
        <w:bottom w:val="none" w:sz="0" w:space="0" w:color="auto"/>
        <w:right w:val="none" w:sz="0" w:space="0" w:color="auto"/>
      </w:divBdr>
    </w:div>
    <w:div w:id="1674382680">
      <w:bodyDiv w:val="1"/>
      <w:marLeft w:val="0"/>
      <w:marRight w:val="0"/>
      <w:marTop w:val="0"/>
      <w:marBottom w:val="0"/>
      <w:divBdr>
        <w:top w:val="none" w:sz="0" w:space="0" w:color="auto"/>
        <w:left w:val="none" w:sz="0" w:space="0" w:color="auto"/>
        <w:bottom w:val="none" w:sz="0" w:space="0" w:color="auto"/>
        <w:right w:val="none" w:sz="0" w:space="0" w:color="auto"/>
      </w:divBdr>
    </w:div>
    <w:div w:id="1696224550">
      <w:bodyDiv w:val="1"/>
      <w:marLeft w:val="0"/>
      <w:marRight w:val="0"/>
      <w:marTop w:val="0"/>
      <w:marBottom w:val="0"/>
      <w:divBdr>
        <w:top w:val="none" w:sz="0" w:space="0" w:color="auto"/>
        <w:left w:val="none" w:sz="0" w:space="0" w:color="auto"/>
        <w:bottom w:val="none" w:sz="0" w:space="0" w:color="auto"/>
        <w:right w:val="none" w:sz="0" w:space="0" w:color="auto"/>
      </w:divBdr>
    </w:div>
    <w:div w:id="1699040035">
      <w:bodyDiv w:val="1"/>
      <w:marLeft w:val="0"/>
      <w:marRight w:val="0"/>
      <w:marTop w:val="0"/>
      <w:marBottom w:val="0"/>
      <w:divBdr>
        <w:top w:val="none" w:sz="0" w:space="0" w:color="auto"/>
        <w:left w:val="none" w:sz="0" w:space="0" w:color="auto"/>
        <w:bottom w:val="none" w:sz="0" w:space="0" w:color="auto"/>
        <w:right w:val="none" w:sz="0" w:space="0" w:color="auto"/>
      </w:divBdr>
    </w:div>
    <w:div w:id="1783651763">
      <w:bodyDiv w:val="1"/>
      <w:marLeft w:val="0"/>
      <w:marRight w:val="0"/>
      <w:marTop w:val="0"/>
      <w:marBottom w:val="0"/>
      <w:divBdr>
        <w:top w:val="none" w:sz="0" w:space="0" w:color="auto"/>
        <w:left w:val="none" w:sz="0" w:space="0" w:color="auto"/>
        <w:bottom w:val="none" w:sz="0" w:space="0" w:color="auto"/>
        <w:right w:val="none" w:sz="0" w:space="0" w:color="auto"/>
      </w:divBdr>
    </w:div>
    <w:div w:id="1849446557">
      <w:bodyDiv w:val="1"/>
      <w:marLeft w:val="0"/>
      <w:marRight w:val="0"/>
      <w:marTop w:val="0"/>
      <w:marBottom w:val="0"/>
      <w:divBdr>
        <w:top w:val="none" w:sz="0" w:space="0" w:color="auto"/>
        <w:left w:val="none" w:sz="0" w:space="0" w:color="auto"/>
        <w:bottom w:val="none" w:sz="0" w:space="0" w:color="auto"/>
        <w:right w:val="none" w:sz="0" w:space="0" w:color="auto"/>
      </w:divBdr>
    </w:div>
    <w:div w:id="1899319371">
      <w:bodyDiv w:val="1"/>
      <w:marLeft w:val="0"/>
      <w:marRight w:val="0"/>
      <w:marTop w:val="0"/>
      <w:marBottom w:val="0"/>
      <w:divBdr>
        <w:top w:val="none" w:sz="0" w:space="0" w:color="auto"/>
        <w:left w:val="none" w:sz="0" w:space="0" w:color="auto"/>
        <w:bottom w:val="none" w:sz="0" w:space="0" w:color="auto"/>
        <w:right w:val="none" w:sz="0" w:space="0" w:color="auto"/>
      </w:divBdr>
    </w:div>
    <w:div w:id="1938364969">
      <w:bodyDiv w:val="1"/>
      <w:marLeft w:val="0"/>
      <w:marRight w:val="0"/>
      <w:marTop w:val="0"/>
      <w:marBottom w:val="0"/>
      <w:divBdr>
        <w:top w:val="none" w:sz="0" w:space="0" w:color="auto"/>
        <w:left w:val="none" w:sz="0" w:space="0" w:color="auto"/>
        <w:bottom w:val="none" w:sz="0" w:space="0" w:color="auto"/>
        <w:right w:val="none" w:sz="0" w:space="0" w:color="auto"/>
      </w:divBdr>
    </w:div>
    <w:div w:id="1957902595">
      <w:bodyDiv w:val="1"/>
      <w:marLeft w:val="0"/>
      <w:marRight w:val="0"/>
      <w:marTop w:val="0"/>
      <w:marBottom w:val="0"/>
      <w:divBdr>
        <w:top w:val="none" w:sz="0" w:space="0" w:color="auto"/>
        <w:left w:val="none" w:sz="0" w:space="0" w:color="auto"/>
        <w:bottom w:val="none" w:sz="0" w:space="0" w:color="auto"/>
        <w:right w:val="none" w:sz="0" w:space="0" w:color="auto"/>
      </w:divBdr>
    </w:div>
    <w:div w:id="1965575895">
      <w:bodyDiv w:val="1"/>
      <w:marLeft w:val="0"/>
      <w:marRight w:val="0"/>
      <w:marTop w:val="0"/>
      <w:marBottom w:val="0"/>
      <w:divBdr>
        <w:top w:val="none" w:sz="0" w:space="0" w:color="auto"/>
        <w:left w:val="none" w:sz="0" w:space="0" w:color="auto"/>
        <w:bottom w:val="none" w:sz="0" w:space="0" w:color="auto"/>
        <w:right w:val="none" w:sz="0" w:space="0" w:color="auto"/>
      </w:divBdr>
    </w:div>
    <w:div w:id="1975986666">
      <w:bodyDiv w:val="1"/>
      <w:marLeft w:val="0"/>
      <w:marRight w:val="0"/>
      <w:marTop w:val="0"/>
      <w:marBottom w:val="0"/>
      <w:divBdr>
        <w:top w:val="none" w:sz="0" w:space="0" w:color="auto"/>
        <w:left w:val="none" w:sz="0" w:space="0" w:color="auto"/>
        <w:bottom w:val="none" w:sz="0" w:space="0" w:color="auto"/>
        <w:right w:val="none" w:sz="0" w:space="0" w:color="auto"/>
      </w:divBdr>
    </w:div>
    <w:div w:id="1989093529">
      <w:bodyDiv w:val="1"/>
      <w:marLeft w:val="0"/>
      <w:marRight w:val="0"/>
      <w:marTop w:val="0"/>
      <w:marBottom w:val="0"/>
      <w:divBdr>
        <w:top w:val="none" w:sz="0" w:space="0" w:color="auto"/>
        <w:left w:val="none" w:sz="0" w:space="0" w:color="auto"/>
        <w:bottom w:val="none" w:sz="0" w:space="0" w:color="auto"/>
        <w:right w:val="none" w:sz="0" w:space="0" w:color="auto"/>
      </w:divBdr>
    </w:div>
    <w:div w:id="2020505158">
      <w:bodyDiv w:val="1"/>
      <w:marLeft w:val="0"/>
      <w:marRight w:val="0"/>
      <w:marTop w:val="0"/>
      <w:marBottom w:val="0"/>
      <w:divBdr>
        <w:top w:val="none" w:sz="0" w:space="0" w:color="auto"/>
        <w:left w:val="none" w:sz="0" w:space="0" w:color="auto"/>
        <w:bottom w:val="none" w:sz="0" w:space="0" w:color="auto"/>
        <w:right w:val="none" w:sz="0" w:space="0" w:color="auto"/>
      </w:divBdr>
    </w:div>
    <w:div w:id="2077245165">
      <w:bodyDiv w:val="1"/>
      <w:marLeft w:val="0"/>
      <w:marRight w:val="0"/>
      <w:marTop w:val="0"/>
      <w:marBottom w:val="0"/>
      <w:divBdr>
        <w:top w:val="none" w:sz="0" w:space="0" w:color="auto"/>
        <w:left w:val="none" w:sz="0" w:space="0" w:color="auto"/>
        <w:bottom w:val="none" w:sz="0" w:space="0" w:color="auto"/>
        <w:right w:val="none" w:sz="0" w:space="0" w:color="auto"/>
      </w:divBdr>
    </w:div>
    <w:div w:id="2104643734">
      <w:bodyDiv w:val="1"/>
      <w:marLeft w:val="0"/>
      <w:marRight w:val="0"/>
      <w:marTop w:val="0"/>
      <w:marBottom w:val="0"/>
      <w:divBdr>
        <w:top w:val="none" w:sz="0" w:space="0" w:color="auto"/>
        <w:left w:val="none" w:sz="0" w:space="0" w:color="auto"/>
        <w:bottom w:val="none" w:sz="0" w:space="0" w:color="auto"/>
        <w:right w:val="none" w:sz="0" w:space="0" w:color="auto"/>
      </w:divBdr>
    </w:div>
    <w:div w:id="2108117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eader" Target="header3.xml"/><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image" Target="media/image13.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Bac18</b:Tag>
    <b:SourceType>JournalArticle</b:SourceType>
    <b:Guid>{39278C8A-EAD3-4B56-821C-CC3CF16A232C}</b:Guid>
    <b:Title>Barriers and facilitators to implementing evidence-based interventions among third sector organisations: a systematic review</b:Title>
    <b:Year>2018</b:Year>
    <b:Author>
      <b:Author>
        <b:NameList>
          <b:Person>
            <b:Last>Bach-Mortensen</b:Last>
            <b:First>A.M.</b:First>
          </b:Person>
          <b:Person>
            <b:Last>Lange</b:Last>
            <b:First>B.C.</b:First>
          </b:Person>
          <b:Person>
            <b:Last>Montgomery</b:Last>
            <b:First>P</b:First>
          </b:Person>
        </b:NameList>
      </b:Author>
    </b:Author>
    <b:JournalName>Implementation Science</b:JournalName>
    <b:Pages>1-19, DOI: 10.1186/s13012-018-0789-7</b:Pages>
    <b:RefOrder>3</b:RefOrder>
  </b:Source>
  <b:Source>
    <b:Tag>Cal212</b:Tag>
    <b:SourceType>JournalArticle</b:SourceType>
    <b:Guid>{C64E6C57-F3A6-4203-A998-553A35550ED0}</b:Guid>
    <b:Author>
      <b:Author>
        <b:NameList>
          <b:Person>
            <b:Last>Calear</b:Last>
            <b:First>A.L.</b:First>
          </b:Person>
          <b:Person>
            <b:Last>Batterham</b:Last>
            <b:First>P.J.</b:First>
          </b:Person>
          <b:Person>
            <b:Last>Torok</b:Last>
            <b:First>M.</b:First>
          </b:Person>
          <b:Person>
            <b:Last>McCallum</b:Last>
            <b:First>S</b:First>
          </b:Person>
        </b:NameList>
      </b:Author>
    </b:Author>
    <b:Title>Help-seeking attitudes and intentions for generalised anxiety disorder in adolescents: the role of anxiety literacy and stigma</b:Title>
    <b:JournalName>European child &amp; adolescent psychiatry</b:JournalName>
    <b:Year>2021</b:Year>
    <b:Pages>56-65, ISSN: 10188827</b:Pages>
    <b:RefOrder>5</b:RefOrder>
  </b:Source>
  <b:Source>
    <b:Tag>Car221</b:Tag>
    <b:SourceType>InternetSite</b:SourceType>
    <b:Guid>{09A8917B-27F1-4EB6-B5BE-3DC53CB27944}</b:Guid>
    <b:Author>
      <b:Author>
        <b:Corporate>Carers. uk</b:Corporate>
      </b:Author>
    </b:Author>
    <b:Title>Caring behind closed doors</b:Title>
    <b:Year>2022</b:Year>
    <b:YearAccessed>2022</b:YearAccessed>
    <b:MonthAccessed>April</b:MonthAccessed>
    <b:DayAccessed>12</b:DayAccessed>
    <b:URL>https://www.carersuk.org/images/News_and_campaigns/Behind_Closed_Doors_2020/Caring_behind_closed_doors_April20_pages_web_final.pdf</b:URL>
    <b:RefOrder>6</b:RefOrder>
  </b:Source>
  <b:Source>
    <b:Tag>Gov223</b:Tag>
    <b:SourceType>InternetSite</b:SourceType>
    <b:Guid>{190D1F57-93EC-484A-9219-BCA31DFB74C0}</b:Guid>
    <b:Author>
      <b:Author>
        <b:Corporate>Gov. uk</b:Corporate>
      </b:Author>
    </b:Author>
    <b:Title>2010 to 2015 government policy: support for families</b:Title>
    <b:Year>2022</b:Year>
    <b:YearAccessed>2022</b:YearAccessed>
    <b:MonthAccessed>April</b:MonthAccessed>
    <b:DayAccessed>12</b:DayAccessed>
    <b:URL>https://www.gov.uk/government/publications/2010-to-2015-government-policy-support-for-families</b:URL>
    <b:RefOrder>7</b:RefOrder>
  </b:Source>
  <b:Source>
    <b:Tag>Gov222</b:Tag>
    <b:SourceType>InternetSite</b:SourceType>
    <b:Guid>{73D8B2E9-6D94-4CF6-86E3-C48D8BD7A8D9}</b:Guid>
    <b:Author>
      <b:Author>
        <b:Corporate>Gov. uk</b:Corporate>
      </b:Author>
    </b:Author>
    <b:Title>Guidance and regulation</b:Title>
    <b:Year>2022</b:Year>
    <b:YearAccessed>2022</b:YearAccessed>
    <b:MonthAccessed>April</b:MonthAccessed>
    <b:DayAccessed>12</b:DayAccessed>
    <b:URL>https://www.gov.uk/welfare/support-for-families</b:URL>
    <b:RefOrder>8</b:RefOrder>
  </b:Source>
  <b:Source>
    <b:Tag>Gov221</b:Tag>
    <b:SourceType>InternetSite</b:SourceType>
    <b:Guid>{E5C9246A-B9B9-4A5A-99B9-218DF0AC0DBC}</b:Guid>
    <b:Author>
      <b:Author>
        <b:Corporate>Gov.uk</b:Corporate>
      </b:Author>
    </b:Author>
    <b:Title>Troubled families: Portsmouth</b:Title>
    <b:Year>2022</b:Year>
    <b:YearAccessed>2022</b:YearAccessed>
    <b:MonthAccessed>April</b:MonthAccessed>
    <b:DayAccessed>12</b:DayAccessed>
    <b:URL>https://www.gov.uk/government/case-studies/troubled-families-portsmouth</b:URL>
    <b:RefOrder>1</b:RefOrder>
  </b:Source>
  <b:Source>
    <b:Tag>Har192</b:Tag>
    <b:SourceType>JournalArticle</b:SourceType>
    <b:Guid>{F2F558F3-C37E-43DC-B46D-440054C5D22D}</b:Guid>
    <b:Author>
      <b:Author>
        <b:NameList>
          <b:Person>
            <b:Last>Hart Abney</b:Last>
            <b:First>B.G.</b:First>
          </b:Person>
          <b:Person>
            <b:Last>Lusk</b:Last>
            <b:First>P.</b:First>
          </b:Person>
          <b:Person>
            <b:Last>Hovermale</b:Last>
            <b:First>R.</b:First>
          </b:Person>
          <b:Person>
            <b:Last>Melnyk</b:Last>
            <b:First>B.M</b:First>
          </b:Person>
        </b:NameList>
      </b:Author>
    </b:Author>
    <b:Title>Decreasing depression and anxiety in college youth using the Creating Opportunities for Personal Empowerment Program (COPE)</b:Title>
    <b:JournalName>Journal of the American Psychiatric Nurses Association</b:JournalName>
    <b:Year>2019</b:Year>
    <b:Pages>12-23, DOI: 10.1177/1078390318779205</b:Pages>
    <b:Volume>25</b:Volume>
    <b:Issue>2</b:Issue>
    <b:RefOrder>2</b:RefOrder>
  </b:Source>
  <b:Source>
    <b:Tag>WHO215</b:Tag>
    <b:SourceType>InternetSite</b:SourceType>
    <b:Guid>{90304E7A-8716-479E-8D3A-3C7BBBBC9984}</b:Guid>
    <b:Author>
      <b:Author>
        <b:Corporate>WHO</b:Corporate>
      </b:Author>
    </b:Author>
    <b:Title>Social determinants of health</b:Title>
    <b:Year>2022</b:Year>
    <b:YearAccessed>2022</b:YearAccessed>
    <b:MonthAccessed>Apr</b:MonthAccessed>
    <b:DayAccessed>12</b:DayAccessed>
    <b:URL>https://www.who.int/health-topics/social-determinants-of-health#tab=tab_1</b:URL>
    <b:RefOrder>4</b:RefOrder>
  </b:Source>
  <b:Source>
    <b:Tag>Hof18</b:Tag>
    <b:SourceType>JournalArticle</b:SourceType>
    <b:Guid>{D44F07C9-C2AA-4279-8869-D83F00B58556}</b:Guid>
    <b:Author>
      <b:Author>
        <b:NameList>
          <b:Person>
            <b:Last>Hofmann</b:Last>
            <b:First>S.G.</b:First>
          </b:Person>
          <b:Person>
            <b:Last>Hay</b:Last>
            <b:First>A.C</b:First>
          </b:Person>
        </b:NameList>
      </b:Author>
    </b:Author>
    <b:Title>Rethinking avoidance: Toward a balanced approach to avoidance in treating anxiety disorders</b:Title>
    <b:JournalName>Journal of anxiety disorders</b:JournalName>
    <b:Year>2018</b:Year>
    <b:Pages>14-21, DOI: 10.1016/j.janxdis.2018.03.004</b:Pages>
    <b:RefOrder>9</b:RefOrder>
  </b:Source>
</b:Sources>
</file>

<file path=customXml/itemProps1.xml><?xml version="1.0" encoding="utf-8"?>
<ds:datastoreItem xmlns:ds="http://schemas.openxmlformats.org/officeDocument/2006/customXml" ds:itemID="{E2E208DC-FA04-4877-9A5D-7053EFE88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1468</Words>
  <Characters>8371</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awlasemakula@gmail.com</cp:lastModifiedBy>
  <cp:revision>2</cp:revision>
  <dcterms:created xsi:type="dcterms:W3CDTF">2022-04-21T12:56:00Z</dcterms:created>
  <dcterms:modified xsi:type="dcterms:W3CDTF">2022-04-21T12:56:00Z</dcterms:modified>
</cp:coreProperties>
</file>