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000000">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000000">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000000">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tcPr>
          <w:p w14:paraId="4C983A78" w14:textId="1CF5F427" w:rsidR="00B77573" w:rsidRDefault="00B17DA9" w:rsidP="7930396C">
            <w:pPr>
              <w:rPr>
                <w:rFonts w:cs="Arial"/>
                <w:sz w:val="22"/>
                <w:szCs w:val="22"/>
                <w:lang w:val="en-US" w:eastAsia="zh-CN"/>
              </w:rPr>
            </w:pPr>
            <w:r>
              <w:rPr>
                <w:rFonts w:cs="Arial"/>
                <w:sz w:val="22"/>
                <w:szCs w:val="22"/>
                <w:lang w:val="en-US" w:eastAsia="zh-Hans"/>
              </w:rPr>
              <w:t>Huang</w:t>
            </w:r>
            <w:r>
              <w:rPr>
                <w:rFonts w:cs="Arial"/>
                <w:sz w:val="22"/>
                <w:szCs w:val="22"/>
                <w:lang w:val="en-US" w:eastAsia="zh-CN"/>
              </w:rPr>
              <w:t xml:space="preserve"> </w:t>
            </w:r>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000000">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tcPr>
          <w:p w14:paraId="0982AFDA" w14:textId="22A44EBE" w:rsidR="00B77573" w:rsidRDefault="00B17DA9" w:rsidP="7930396C">
            <w:pPr>
              <w:rPr>
                <w:rFonts w:cs="Arial"/>
                <w:sz w:val="22"/>
                <w:szCs w:val="22"/>
                <w:lang w:val="en-US" w:eastAsia="zh-Hans"/>
              </w:rPr>
            </w:pPr>
            <w:r>
              <w:rPr>
                <w:rFonts w:cs="Arial"/>
                <w:sz w:val="22"/>
                <w:szCs w:val="22"/>
                <w:lang w:val="en-US" w:eastAsia="zh-CN"/>
              </w:rPr>
              <w:t>Jiaying</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000000">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tcPr>
          <w:p w14:paraId="75CFB1E4" w14:textId="120483CA" w:rsidR="00B77573" w:rsidRDefault="00886A01">
            <w:pPr>
              <w:rPr>
                <w:rFonts w:cs="Arial"/>
                <w:sz w:val="22"/>
                <w:szCs w:val="22"/>
                <w:lang w:eastAsia="zh-CN"/>
              </w:rPr>
            </w:pPr>
            <w:r w:rsidRPr="00886A01">
              <w:rPr>
                <w:rFonts w:cs="Arial"/>
                <w:sz w:val="22"/>
                <w:szCs w:val="22"/>
                <w:lang w:eastAsia="zh-CN"/>
              </w:rPr>
              <w:t>2214948</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tcPr>
          <w:p w14:paraId="45A727F7" w14:textId="6CE3153C" w:rsidR="00B77573" w:rsidRDefault="00545678">
            <w:pPr>
              <w:rPr>
                <w:rFonts w:cs="Arial"/>
                <w:sz w:val="22"/>
                <w:szCs w:val="22"/>
                <w:lang w:eastAsia="zh-Hans"/>
              </w:rPr>
            </w:pPr>
            <w:r>
              <w:rPr>
                <w:rFonts w:cs="Arial"/>
                <w:sz w:val="22"/>
                <w:szCs w:val="22"/>
              </w:rPr>
              <w:t>WISA</w:t>
            </w: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tcPr>
          <w:p w14:paraId="1AF91D2A" w14:textId="77777777" w:rsidR="00B77573" w:rsidRDefault="00B77573">
            <w:pPr>
              <w:rPr>
                <w:rFonts w:cs="Arial"/>
                <w:sz w:val="22"/>
                <w:szCs w:val="22"/>
              </w:rPr>
            </w:pPr>
          </w:p>
        </w:tc>
      </w:tr>
      <w:tr w:rsidR="00545678" w14:paraId="567B8265" w14:textId="77777777" w:rsidTr="7930396C">
        <w:tc>
          <w:tcPr>
            <w:tcW w:w="2055" w:type="dxa"/>
            <w:shd w:val="clear" w:color="auto" w:fill="F2F2F2" w:themeFill="background1" w:themeFillShade="F2"/>
          </w:tcPr>
          <w:p w14:paraId="7DD8280F" w14:textId="77777777" w:rsidR="00545678" w:rsidRDefault="00545678" w:rsidP="00545678">
            <w:pPr>
              <w:rPr>
                <w:rFonts w:cs="Arial"/>
                <w:sz w:val="22"/>
                <w:szCs w:val="22"/>
              </w:rPr>
            </w:pPr>
            <w:r>
              <w:rPr>
                <w:rFonts w:cs="Arial"/>
                <w:sz w:val="22"/>
                <w:szCs w:val="22"/>
              </w:rPr>
              <w:t>Start Date</w:t>
            </w:r>
          </w:p>
        </w:tc>
        <w:tc>
          <w:tcPr>
            <w:tcW w:w="2056" w:type="dxa"/>
            <w:shd w:val="clear" w:color="auto" w:fill="FFFFFF" w:themeFill="background1"/>
          </w:tcPr>
          <w:p w14:paraId="6885D0B7" w14:textId="3A48E256" w:rsidR="00545678" w:rsidRDefault="00545678" w:rsidP="00545678">
            <w:pPr>
              <w:rPr>
                <w:rFonts w:cs="Arial"/>
                <w:sz w:val="22"/>
                <w:szCs w:val="22"/>
                <w:lang w:eastAsia="zh-CN"/>
              </w:rPr>
            </w:pPr>
            <w:r>
              <w:rPr>
                <w:rFonts w:cs="Arial" w:hint="eastAsia"/>
                <w:sz w:val="22"/>
                <w:szCs w:val="22"/>
                <w:lang w:eastAsia="zh-CN"/>
              </w:rPr>
              <w:t>2024.10</w:t>
            </w:r>
          </w:p>
        </w:tc>
        <w:tc>
          <w:tcPr>
            <w:tcW w:w="2835" w:type="dxa"/>
            <w:shd w:val="clear" w:color="auto" w:fill="F2F2F2" w:themeFill="background1" w:themeFillShade="F2"/>
          </w:tcPr>
          <w:p w14:paraId="70A4F3B0" w14:textId="25FED596" w:rsidR="00545678" w:rsidRDefault="00545678" w:rsidP="00545678">
            <w:pPr>
              <w:rPr>
                <w:rFonts w:cs="Arial"/>
                <w:sz w:val="22"/>
                <w:szCs w:val="22"/>
              </w:rPr>
            </w:pPr>
            <w:r>
              <w:rPr>
                <w:rFonts w:cs="Arial"/>
                <w:sz w:val="22"/>
                <w:szCs w:val="22"/>
              </w:rPr>
              <w:t>End Date</w:t>
            </w:r>
          </w:p>
        </w:tc>
        <w:tc>
          <w:tcPr>
            <w:tcW w:w="2835" w:type="dxa"/>
          </w:tcPr>
          <w:p w14:paraId="0325A6C5" w14:textId="68DC11EF" w:rsidR="00545678" w:rsidRPr="004D5C32" w:rsidRDefault="00545678" w:rsidP="00545678">
            <w:pPr>
              <w:rPr>
                <w:rFonts w:cs="Arial"/>
                <w:sz w:val="22"/>
                <w:szCs w:val="22"/>
                <w:lang w:val="en-US" w:eastAsia="zh-CN"/>
              </w:rPr>
            </w:pPr>
            <w:r>
              <w:rPr>
                <w:rFonts w:cs="Arial"/>
                <w:sz w:val="22"/>
                <w:szCs w:val="22"/>
              </w:rPr>
              <w:t>202</w:t>
            </w:r>
            <w:r>
              <w:rPr>
                <w:rFonts w:cs="Arial" w:hint="eastAsia"/>
                <w:sz w:val="22"/>
                <w:szCs w:val="22"/>
                <w:lang w:eastAsia="zh-CN"/>
              </w:rPr>
              <w:t>7.09</w:t>
            </w: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000000">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tcPr>
          <w:p w14:paraId="111F828B" w14:textId="77777777" w:rsidR="00B77573" w:rsidRDefault="00000000">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tcPr>
          <w:p w14:paraId="00DFCF3D" w14:textId="1D7241F3" w:rsidR="00B77573" w:rsidRDefault="00000000">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ED6189">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tc>
          <w:tcPr>
            <w:tcW w:w="1623" w:type="dxa"/>
            <w:shd w:val="clear" w:color="auto" w:fill="F2F2F2" w:themeFill="background1" w:themeFillShade="F2"/>
          </w:tcPr>
          <w:p w14:paraId="0C2EE508" w14:textId="77777777" w:rsidR="00B77573" w:rsidRDefault="00000000">
            <w:pPr>
              <w:rPr>
                <w:rFonts w:cs="Arial"/>
                <w:sz w:val="22"/>
                <w:szCs w:val="22"/>
              </w:rPr>
            </w:pPr>
            <w:r>
              <w:rPr>
                <w:rFonts w:cs="Arial"/>
                <w:sz w:val="22"/>
                <w:szCs w:val="22"/>
              </w:rPr>
              <w:t>PhD</w:t>
            </w:r>
          </w:p>
          <w:p w14:paraId="7E150CDA" w14:textId="77777777" w:rsidR="00B77573" w:rsidRDefault="00000000">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000000">
            <w:pPr>
              <w:rPr>
                <w:rFonts w:cs="Arial"/>
                <w:sz w:val="22"/>
                <w:szCs w:val="22"/>
              </w:rPr>
            </w:pPr>
            <w:r>
              <w:rPr>
                <w:rFonts w:cs="Arial"/>
                <w:sz w:val="22"/>
                <w:szCs w:val="22"/>
              </w:rPr>
              <w:t xml:space="preserve">PhD </w:t>
            </w:r>
          </w:p>
          <w:p w14:paraId="3D202538" w14:textId="77777777" w:rsidR="00B77573" w:rsidRDefault="00000000">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000000">
            <w:pPr>
              <w:rPr>
                <w:rFonts w:cs="Arial"/>
                <w:sz w:val="22"/>
                <w:szCs w:val="22"/>
              </w:rPr>
            </w:pPr>
            <w:r>
              <w:rPr>
                <w:rFonts w:cs="Arial"/>
                <w:sz w:val="22"/>
                <w:szCs w:val="22"/>
              </w:rPr>
              <w:t xml:space="preserve">PhD by </w:t>
            </w:r>
          </w:p>
          <w:p w14:paraId="6D11D54E" w14:textId="77777777" w:rsidR="00B77573" w:rsidRDefault="00000000">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000000">
            <w:pPr>
              <w:rPr>
                <w:rFonts w:cs="Arial"/>
                <w:sz w:val="22"/>
                <w:szCs w:val="22"/>
              </w:rPr>
            </w:pPr>
            <w:r>
              <w:rPr>
                <w:rFonts w:cs="Arial"/>
                <w:sz w:val="22"/>
                <w:szCs w:val="22"/>
              </w:rPr>
              <w:t>Professional Doctorate</w:t>
            </w:r>
          </w:p>
          <w:p w14:paraId="5338E6CC" w14:textId="77777777" w:rsidR="00B77573" w:rsidRDefault="00000000">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000000">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000000">
            <w:pPr>
              <w:rPr>
                <w:rFonts w:cs="Arial"/>
                <w:sz w:val="22"/>
                <w:szCs w:val="22"/>
              </w:rPr>
            </w:pPr>
            <w:r>
              <w:rPr>
                <w:rFonts w:cs="Arial"/>
                <w:sz w:val="22"/>
                <w:szCs w:val="22"/>
              </w:rPr>
              <w:t>MPhil</w:t>
            </w:r>
          </w:p>
          <w:p w14:paraId="112C0192" w14:textId="77777777" w:rsidR="00B77573" w:rsidRDefault="00000000">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77777777" w:rsidR="00B77573" w:rsidRDefault="00000000">
                <w:pPr>
                  <w:jc w:val="center"/>
                  <w:rPr>
                    <w:rFonts w:cs="Arial"/>
                    <w:sz w:val="22"/>
                    <w:szCs w:val="22"/>
                  </w:rPr>
                </w:pPr>
                <w:r>
                  <w:rPr>
                    <w:rFonts w:ascii="MS Gothic" w:eastAsia="MS Gothic" w:hAnsi="MS Gothic" w:cs="Arial"/>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3F741F1A" w:rsidR="00B77573" w:rsidRDefault="00ED6189">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000000">
                <w:pPr>
                  <w:jc w:val="center"/>
                  <w:rPr>
                    <w:rFonts w:cs="Arial"/>
                    <w:sz w:val="22"/>
                    <w:szCs w:val="22"/>
                  </w:rPr>
                </w:pPr>
                <w:r>
                  <w:rPr>
                    <w:rFonts w:ascii="MS Gothic" w:eastAsia="MS Gothic" w:hAnsi="MS Gothic" w:cs="Arial"/>
                    <w:sz w:val="22"/>
                    <w:szCs w:val="22"/>
                  </w:rPr>
                  <w:t>☐</w:t>
                </w:r>
              </w:p>
            </w:tc>
          </w:sdtContent>
        </w:sdt>
      </w:tr>
      <w:tr w:rsidR="00B77573" w14:paraId="002C30E3" w14:textId="77777777">
        <w:tc>
          <w:tcPr>
            <w:tcW w:w="1623" w:type="dxa"/>
            <w:shd w:val="clear" w:color="auto" w:fill="D9D9D9" w:themeFill="background1" w:themeFillShade="D9"/>
          </w:tcPr>
          <w:p w14:paraId="5015986A" w14:textId="77777777" w:rsidR="00B77573" w:rsidRDefault="00000000">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000000">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000000">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000000">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000000">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000000">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000000">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000000">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270A07EC" w14:textId="5E0A076E" w:rsidR="00B77573" w:rsidRDefault="00497D60">
            <w:pPr>
              <w:rPr>
                <w:rFonts w:cs="Arial"/>
                <w:sz w:val="22"/>
                <w:szCs w:val="22"/>
              </w:rPr>
            </w:pPr>
            <w:r>
              <w:t xml:space="preserve">Embodied Interaction and Transmedia Narratives: A </w:t>
            </w:r>
            <w:proofErr w:type="spellStart"/>
            <w:r>
              <w:t>Metadesign</w:t>
            </w:r>
            <w:proofErr w:type="spellEnd"/>
            <w:r>
              <w:t xml:space="preserve"> Perspective on the Digital Re-creation of the Cantonese Lion Dance</w:t>
            </w: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Default="00000000">
            <w:pPr>
              <w:rPr>
                <w:rFonts w:cs="Arial"/>
                <w:sz w:val="22"/>
                <w:szCs w:val="22"/>
              </w:rPr>
            </w:pPr>
            <w:r>
              <w:rPr>
                <w:rFonts w:cs="Arial"/>
                <w:sz w:val="22"/>
                <w:szCs w:val="22"/>
              </w:rPr>
              <w:t xml:space="preserve"> </w:t>
            </w:r>
          </w:p>
          <w:p w14:paraId="1C9B2173" w14:textId="77777777" w:rsidR="00B77573" w:rsidRDefault="00000000">
            <w:pPr>
              <w:rPr>
                <w:rFonts w:cs="Arial"/>
                <w:sz w:val="22"/>
                <w:szCs w:val="22"/>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14:paraId="3F5B4463" w14:textId="77777777">
        <w:trPr>
          <w:trHeight w:val="397"/>
        </w:trPr>
        <w:tc>
          <w:tcPr>
            <w:tcW w:w="9781" w:type="dxa"/>
            <w:vAlign w:val="center"/>
          </w:tcPr>
          <w:p w14:paraId="12589138" w14:textId="77777777" w:rsidR="0089429A" w:rsidRDefault="0089429A" w:rsidP="0089429A">
            <w:pPr>
              <w:pStyle w:val="ae"/>
              <w:rPr>
                <w:rFonts w:ascii="宋体" w:hAnsi="宋体"/>
                <w:lang w:eastAsia="zh-CN"/>
              </w:rPr>
            </w:pPr>
            <w:r>
              <w:t xml:space="preserve">In the digital age, the preservation and transmission of intangible cultural heritage (ICH) face not only unprecedented challenges but also new opportunities for transformation. Traditional practices such as the Guangdong Lion Dance, deeply rooted in regional identity and collective memory, are increasingly distanced from younger generations due to shifting lifestyles, fragmented attention spans, and evolving aesthetic preferences (Xu &amp; Wei, 2022). While previous research has primarily focused on the static representation of heritage—through archival documentation, museum exhibitions, and visual reproduction (Smith &amp; Akagawa, 2009)—there remains a </w:t>
            </w:r>
            <w:r>
              <w:lastRenderedPageBreak/>
              <w:t>significant gap in dynamic and participatory approaches that allow living traditions to adapt to contemporary social contexts.</w:t>
            </w:r>
          </w:p>
          <w:p w14:paraId="6AC7C2A5" w14:textId="77777777" w:rsidR="0089429A" w:rsidRDefault="0089429A" w:rsidP="0089429A">
            <w:pPr>
              <w:pStyle w:val="ae"/>
            </w:pPr>
            <w:r>
              <w:t>This study addresses that gap by exploring how emerging digital technologies, particularly AI-assisted content generation and AR-based embodied interaction, can enable the digital re-creation of lion dance culture in ways that resonate with Gen Z audiences. As digital natives, Gen Z’s cultural participation is characterized by visual-driven communication, multisensory immersion, and participatory co-creation (Deloitte, 2022; UNESCO, 2023). To respond to these expectations, this research proposes a design framework that integrates embodied interaction and transmedia storytelling to create multi-layered, user-</w:t>
            </w:r>
            <w:proofErr w:type="spellStart"/>
            <w:r>
              <w:t>centered</w:t>
            </w:r>
            <w:proofErr w:type="spellEnd"/>
            <w:r>
              <w:t xml:space="preserve"> cultural experiences.</w:t>
            </w:r>
          </w:p>
          <w:p w14:paraId="0C8321B7" w14:textId="77777777" w:rsidR="0089429A" w:rsidRDefault="0089429A" w:rsidP="0089429A">
            <w:pPr>
              <w:pStyle w:val="ae"/>
            </w:pPr>
            <w:r>
              <w:t xml:space="preserve">The framework combines embodied interaction, transmedia storytelling, and </w:t>
            </w:r>
            <w:proofErr w:type="spellStart"/>
            <w:r>
              <w:t>metadesign</w:t>
            </w:r>
            <w:proofErr w:type="spellEnd"/>
            <w:r>
              <w:t xml:space="preserve"> into a coherent system. Embodied interaction emphasizes the role of the body in shaping cultural understanding (Lakoff &amp; Johnson, 1999; Varela, Thompson &amp; Rosch, 1991) and informs the design of AR-based motion-tracking games and interactive gestures, enabling users to “dance” with the lion virtually (Hou &amp; Kenderdine, 2022). Transmedia storytelling extends lion dance narratives across multiple digital channels, including AI-generated videos, AR emoji customization, digital red envelopes, and mini-games, allowing cultural meaning to unfold across interconnected platforms (Jenkins, 2006; Scolari, 2009). </w:t>
            </w:r>
            <w:proofErr w:type="spellStart"/>
            <w:r>
              <w:t>Metadesign</w:t>
            </w:r>
            <w:proofErr w:type="spellEnd"/>
            <w:r>
              <w:t xml:space="preserve"> shifts design from a top-down, designer-driven approach to an open, co-creative system where users can generate their own emojis, actions, and blessings, thereby actively contributing to cultural regeneration (</w:t>
            </w:r>
            <w:proofErr w:type="spellStart"/>
            <w:r>
              <w:t>Giaccardi</w:t>
            </w:r>
            <w:proofErr w:type="spellEnd"/>
            <w:r>
              <w:t xml:space="preserve">, 2003; Fischer &amp; </w:t>
            </w:r>
            <w:proofErr w:type="spellStart"/>
            <w:r>
              <w:t>Giaccardi</w:t>
            </w:r>
            <w:proofErr w:type="spellEnd"/>
            <w:r>
              <w:t>, 2006). Together, these perspectives establish a systemic framework that balances embodied cultural experience, narrative expansion, and participatory co-creation.</w:t>
            </w:r>
          </w:p>
          <w:p w14:paraId="7826D35F" w14:textId="77777777" w:rsidR="001D71EA" w:rsidRDefault="0089429A" w:rsidP="00802DD0">
            <w:pPr>
              <w:pStyle w:val="ae"/>
              <w:rPr>
                <w:lang w:eastAsia="zh-CN"/>
              </w:rPr>
            </w:pPr>
            <w:r>
              <w:t xml:space="preserve">By integrating these approaches, the study revitalizes the Guangdong Lion Dance within digital environments and redefines the way cultural heritage is understood and </w:t>
            </w:r>
            <w:proofErr w:type="gramStart"/>
            <w:r>
              <w:t>experienced—shifting</w:t>
            </w:r>
            <w:proofErr w:type="gramEnd"/>
            <w:r>
              <w:t xml:space="preserve"> from passive observation to active participation, and from one-way dissemination to multi-directional interaction and emotional resonance (Champion, 2015; </w:t>
            </w:r>
            <w:proofErr w:type="spellStart"/>
            <w:r>
              <w:t>Radianti</w:t>
            </w:r>
            <w:proofErr w:type="spellEnd"/>
            <w:r>
              <w:t xml:space="preserve"> et al., 2020). Furthermore, it proposes a scalable and theoretically grounded model for digital cultural re-creation that transforms traditional cultural symbols into playable, co-creatable, and shareable forms of digital cultural expression (</w:t>
            </w:r>
            <w:proofErr w:type="spellStart"/>
            <w:r>
              <w:t>Pietroni</w:t>
            </w:r>
            <w:proofErr w:type="spellEnd"/>
            <w:r>
              <w:t xml:space="preserve">, 2025; Ribeiro et al., 2024). This model not only addresses Gen Z’s demand for diverse aesthetics and immersive experiences but also fosters the regeneration of lion dance heritage within digital environments. Ultimately, it contributes both practical strategies for ICH revitalization and theoretical insights into the intersection of design research, cultural regeneration, and digital heritage studies (Hall, 1997; </w:t>
            </w:r>
            <w:proofErr w:type="spellStart"/>
            <w:r>
              <w:t>Couldry</w:t>
            </w:r>
            <w:proofErr w:type="spellEnd"/>
            <w:r>
              <w:t>, 2010).</w:t>
            </w:r>
          </w:p>
          <w:p w14:paraId="48A00E8E" w14:textId="6DD388D3" w:rsidR="0089429A" w:rsidRPr="0089429A" w:rsidRDefault="0089429A" w:rsidP="00802DD0">
            <w:pPr>
              <w:pStyle w:val="ae"/>
              <w:rPr>
                <w:lang w:eastAsia="zh-CN"/>
              </w:rPr>
            </w:pP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000000">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1FFF4921" w14:textId="77777777" w:rsidR="00BE40EE" w:rsidRDefault="00BE40EE" w:rsidP="00BE40EE">
            <w:pPr>
              <w:pStyle w:val="ae"/>
              <w:rPr>
                <w:lang w:eastAsia="zh-CN"/>
              </w:rPr>
            </w:pPr>
            <w:r>
              <w:rPr>
                <w:rStyle w:val="af"/>
              </w:rPr>
              <w:t>Aims</w:t>
            </w:r>
          </w:p>
          <w:p w14:paraId="3C6C2CFF" w14:textId="437FFC4F" w:rsidR="00BE40EE" w:rsidRDefault="00BE40EE" w:rsidP="00BE40EE">
            <w:pPr>
              <w:pStyle w:val="ae"/>
            </w:pPr>
            <w:r>
              <w:t xml:space="preserve">This research aims to explore how emerging digital technologies can enable the re-creation and re-presentation of the Guangdong Lion Dance within the context of the digital age. By integrating </w:t>
            </w:r>
            <w:proofErr w:type="spellStart"/>
            <w:r>
              <w:t>metadesign</w:t>
            </w:r>
            <w:proofErr w:type="spellEnd"/>
            <w:r>
              <w:t>, embodied interaction, and transmedia storytelling, the study seeks to develop an innovative design framework that not only revitalizes the cultural vitality of the lion dance but also redefines how intangible cultural heritage (ICH) is experienced, disseminated, and co-created.</w:t>
            </w:r>
          </w:p>
          <w:p w14:paraId="1D06FEB1" w14:textId="77777777" w:rsidR="00BE40EE" w:rsidRDefault="00BE40EE" w:rsidP="00BE40EE">
            <w:pPr>
              <w:pStyle w:val="ae"/>
            </w:pPr>
            <w:r>
              <w:lastRenderedPageBreak/>
              <w:t>The research aspires to contribute both practical strategies and theoretical insights to the fields of design research, digital heritage, and cultural regeneration by addressing three pressing challenges in ICH dissemination:</w:t>
            </w:r>
          </w:p>
          <w:p w14:paraId="30658DCA" w14:textId="77777777" w:rsidR="00BE40EE" w:rsidRDefault="00BE40EE" w:rsidP="00BE40EE">
            <w:pPr>
              <w:pStyle w:val="ae"/>
              <w:numPr>
                <w:ilvl w:val="0"/>
                <w:numId w:val="7"/>
              </w:numPr>
            </w:pPr>
            <w:r>
              <w:rPr>
                <w:rStyle w:val="af"/>
              </w:rPr>
              <w:t>Superficial Symbolization</w:t>
            </w:r>
            <w:r>
              <w:t xml:space="preserve"> – Many digital heritage projects remain at the level of visual replication or symbolic display, neglecting the embodied and ritual dimensions that are essential to ICH practices (</w:t>
            </w:r>
            <w:proofErr w:type="spellStart"/>
            <w:r>
              <w:t>Radianti</w:t>
            </w:r>
            <w:proofErr w:type="spellEnd"/>
            <w:r>
              <w:t xml:space="preserve"> et al., 2020; </w:t>
            </w:r>
            <w:proofErr w:type="spellStart"/>
            <w:r>
              <w:t>Pietroni</w:t>
            </w:r>
            <w:proofErr w:type="spellEnd"/>
            <w:r>
              <w:t>, 2025).</w:t>
            </w:r>
          </w:p>
          <w:p w14:paraId="42FD4EC8" w14:textId="77777777" w:rsidR="00BE40EE" w:rsidRDefault="00BE40EE" w:rsidP="00BE40EE">
            <w:pPr>
              <w:pStyle w:val="ae"/>
              <w:numPr>
                <w:ilvl w:val="0"/>
                <w:numId w:val="7"/>
              </w:numPr>
            </w:pPr>
            <w:r>
              <w:rPr>
                <w:rStyle w:val="af"/>
              </w:rPr>
              <w:t>Fragmented Narratives</w:t>
            </w:r>
            <w:r>
              <w:t xml:space="preserve"> – Cross-platform dissemination often lacks narrative coherence, leading to fragmented meanings and contextual drift that weaken cultural continuity (Jenkins, 2006; </w:t>
            </w:r>
            <w:proofErr w:type="spellStart"/>
            <w:r>
              <w:t>Papagiannakis</w:t>
            </w:r>
            <w:proofErr w:type="spellEnd"/>
            <w:r>
              <w:t xml:space="preserve"> et al., 2024).</w:t>
            </w:r>
          </w:p>
          <w:p w14:paraId="0AC424AD" w14:textId="77777777" w:rsidR="00BE40EE" w:rsidRDefault="00BE40EE" w:rsidP="00BE40EE">
            <w:pPr>
              <w:pStyle w:val="ae"/>
              <w:numPr>
                <w:ilvl w:val="0"/>
                <w:numId w:val="7"/>
              </w:numPr>
            </w:pPr>
            <w:r>
              <w:rPr>
                <w:rStyle w:val="af"/>
              </w:rPr>
              <w:t>Limited Embodied Engagement</w:t>
            </w:r>
            <w:r>
              <w:t xml:space="preserve"> – Most projects adopt presentation-driven models with passive audiences, overlooking co-creation and embodied participation that could strengthen intergenerational connection (Hou &amp; Kenderdine, 2022).</w:t>
            </w:r>
          </w:p>
          <w:p w14:paraId="21BFC868" w14:textId="77777777" w:rsidR="00BE40EE" w:rsidRDefault="00BE40EE" w:rsidP="00BE40EE">
            <w:pPr>
              <w:pStyle w:val="ae"/>
            </w:pPr>
            <w:r>
              <w:t>According to Deloitte (2022), more than 70% of Gen Z audiences prefer interactive, co-created digital experiences, while a UNESCO (2023) report emphasizes the growing demand among digital natives for immersive technologies such as AR and VR in accessing heritage. These findings highlight the urgency of adapting ICH dissemination to contemporary expectations. Through the design of an AI- and AR-driven digital IP system, this study envisions a participatory cultural ecosystem that resonates with Gen Z users while supporting the sustainable transmission and innovative regeneration of traditional culture.</w:t>
            </w:r>
          </w:p>
          <w:p w14:paraId="40A37BA5" w14:textId="77777777" w:rsidR="00BE40EE" w:rsidRDefault="00BE40EE" w:rsidP="00BE40EE">
            <w:pPr>
              <w:pStyle w:val="ae"/>
              <w:rPr>
                <w:lang w:eastAsia="zh-CN"/>
              </w:rPr>
            </w:pPr>
            <w:r>
              <w:rPr>
                <w:rStyle w:val="af"/>
              </w:rPr>
              <w:t>Objectives</w:t>
            </w:r>
          </w:p>
          <w:p w14:paraId="5578032A" w14:textId="7FE99FC6" w:rsidR="00BE40EE" w:rsidRDefault="00BE40EE" w:rsidP="00BE40EE">
            <w:pPr>
              <w:pStyle w:val="ae"/>
            </w:pPr>
            <w:r>
              <w:t>To achieve these aims, the research will pursue the following objectives:</w:t>
            </w:r>
          </w:p>
          <w:p w14:paraId="781E43BD" w14:textId="77777777" w:rsidR="00BE40EE" w:rsidRDefault="00BE40EE" w:rsidP="00BE40EE">
            <w:pPr>
              <w:pStyle w:val="ae"/>
              <w:numPr>
                <w:ilvl w:val="0"/>
                <w:numId w:val="8"/>
              </w:numPr>
            </w:pPr>
            <w:r>
              <w:rPr>
                <w:rStyle w:val="af"/>
              </w:rPr>
              <w:t xml:space="preserve">Develop a </w:t>
            </w:r>
            <w:proofErr w:type="spellStart"/>
            <w:r>
              <w:rPr>
                <w:rStyle w:val="af"/>
              </w:rPr>
              <w:t>metadesign</w:t>
            </w:r>
            <w:proofErr w:type="spellEnd"/>
            <w:r>
              <w:rPr>
                <w:rStyle w:val="af"/>
              </w:rPr>
              <w:t>-driven framework</w:t>
            </w:r>
            <w:r>
              <w:t>: Shift from a top-down, designer-</w:t>
            </w:r>
            <w:proofErr w:type="spellStart"/>
            <w:r>
              <w:t>centered</w:t>
            </w:r>
            <w:proofErr w:type="spellEnd"/>
            <w:r>
              <w:t xml:space="preserve"> model to an open, co-creative platform where users contribute to cultural regeneration through interaction and content creation.</w:t>
            </w:r>
          </w:p>
          <w:p w14:paraId="3C198F90" w14:textId="77777777" w:rsidR="00BE40EE" w:rsidRDefault="00BE40EE" w:rsidP="00BE40EE">
            <w:pPr>
              <w:pStyle w:val="ae"/>
              <w:numPr>
                <w:ilvl w:val="0"/>
                <w:numId w:val="8"/>
              </w:numPr>
            </w:pPr>
            <w:r>
              <w:rPr>
                <w:rStyle w:val="af"/>
              </w:rPr>
              <w:t>Integrate embodied interaction into cultural experiences</w:t>
            </w:r>
            <w:r>
              <w:t>: Design AR-based motion-tracking activities and dynamic emoji systems that allow users to “dance” with digital lions, enabling bodily engagement and multi-sensory immersion.</w:t>
            </w:r>
          </w:p>
          <w:p w14:paraId="3BA5625A" w14:textId="77777777" w:rsidR="00BE40EE" w:rsidRDefault="00BE40EE" w:rsidP="00BE40EE">
            <w:pPr>
              <w:pStyle w:val="ae"/>
              <w:numPr>
                <w:ilvl w:val="0"/>
                <w:numId w:val="8"/>
              </w:numPr>
            </w:pPr>
            <w:r>
              <w:rPr>
                <w:rStyle w:val="af"/>
              </w:rPr>
              <w:t>Apply transmedia storytelling for narrative expansion</w:t>
            </w:r>
            <w:r>
              <w:t>: Create interconnected digital outputs—including AI-generated zodiac-inspired lion IP characters, dynamic video content, AR-customized emojis, digital red envelopes, and interactive mini-games—to extend lion dance narratives across platforms.</w:t>
            </w:r>
          </w:p>
          <w:p w14:paraId="52BAE4C5" w14:textId="77777777" w:rsidR="00BE40EE" w:rsidRDefault="00BE40EE" w:rsidP="00BE40EE">
            <w:pPr>
              <w:pStyle w:val="ae"/>
              <w:numPr>
                <w:ilvl w:val="0"/>
                <w:numId w:val="8"/>
              </w:numPr>
            </w:pPr>
            <w:r>
              <w:rPr>
                <w:rStyle w:val="af"/>
              </w:rPr>
              <w:t>Engage Gen Z users through participatory co-creation</w:t>
            </w:r>
            <w:r>
              <w:t>: Conduct user research to understand Gen Z’s aesthetic preferences and interaction habits, designing opportunities for user-generated cultural expressions.</w:t>
            </w:r>
          </w:p>
          <w:p w14:paraId="66E73DBE" w14:textId="77777777" w:rsidR="00BE40EE" w:rsidRDefault="00BE40EE" w:rsidP="00BE40EE">
            <w:pPr>
              <w:pStyle w:val="ae"/>
              <w:numPr>
                <w:ilvl w:val="0"/>
                <w:numId w:val="8"/>
              </w:numPr>
            </w:pPr>
            <w:r>
              <w:rPr>
                <w:rStyle w:val="af"/>
              </w:rPr>
              <w:t>Evaluate cultural and experiential impact</w:t>
            </w:r>
            <w:r>
              <w:t>: Investigate how the proposed system enhances emotional resonance, fosters cultural identity, and supports the sustainable transmission of ICH.</w:t>
            </w:r>
          </w:p>
          <w:p w14:paraId="50389C9B" w14:textId="77777777" w:rsidR="00BE40EE" w:rsidRPr="00BE40EE" w:rsidRDefault="00BE40EE" w:rsidP="00BE40EE">
            <w:pPr>
              <w:rPr>
                <w:rFonts w:ascii="Times New Roman" w:hAnsi="Times New Roman"/>
                <w:sz w:val="24"/>
                <w:szCs w:val="24"/>
              </w:rPr>
            </w:pPr>
            <w:r w:rsidRPr="00BE40EE">
              <w:rPr>
                <w:rFonts w:ascii="Times New Roman" w:hAnsi="Times New Roman"/>
                <w:sz w:val="24"/>
                <w:szCs w:val="24"/>
              </w:rPr>
              <w:t xml:space="preserve">Through the integration of these objectives, the study not only establishes a scalable model for the digital re-creation of the Guangdong Lion Dance but also generates new theoretical insights into how design research, cultural regeneration, and digital heritage can be systematically connected. This dual contribution demonstrates originality at the level of methodology as well as practice, </w:t>
            </w:r>
            <w:r w:rsidRPr="00BE40EE">
              <w:rPr>
                <w:rFonts w:ascii="Times New Roman" w:hAnsi="Times New Roman"/>
                <w:sz w:val="24"/>
                <w:szCs w:val="24"/>
              </w:rPr>
              <w:lastRenderedPageBreak/>
              <w:t>positioning the research as a significant step toward rethinking how intangible cultural heritage can be sustained and innovated in the digital era.</w:t>
            </w:r>
          </w:p>
          <w:p w14:paraId="3BB14681" w14:textId="719BA2A7" w:rsidR="001D71EA" w:rsidRPr="00BE40EE" w:rsidRDefault="001D71EA" w:rsidP="00BE40EE">
            <w:pPr>
              <w:pStyle w:val="ListParagraph1"/>
              <w:autoSpaceDE w:val="0"/>
              <w:autoSpaceDN w:val="0"/>
              <w:adjustRightInd w:val="0"/>
              <w:ind w:left="0"/>
              <w:contextualSpacing/>
              <w:rPr>
                <w:rFonts w:cs="Arial"/>
                <w:sz w:val="22"/>
                <w:szCs w:val="22"/>
                <w:lang w:val="en-US"/>
              </w:rPr>
            </w:pP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rPr>
            </w:pPr>
          </w:p>
          <w:p w14:paraId="02EF8E0E" w14:textId="77777777" w:rsidR="00B77573" w:rsidRDefault="00000000">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2BF0F110" w14:textId="77777777" w:rsidR="00B77573" w:rsidRDefault="00B77573">
            <w:pPr>
              <w:rPr>
                <w:rFonts w:cs="Arial"/>
                <w:sz w:val="22"/>
                <w:szCs w:val="22"/>
                <w:lang w:eastAsia="zh-CN"/>
              </w:rPr>
            </w:pPr>
          </w:p>
          <w:tbl>
            <w:tblPr>
              <w:tblStyle w:val="af4"/>
              <w:tblW w:w="0" w:type="auto"/>
              <w:tblLayout w:type="fixed"/>
              <w:tblLook w:val="04A0" w:firstRow="1" w:lastRow="0" w:firstColumn="1" w:lastColumn="0" w:noHBand="0" w:noVBand="1"/>
            </w:tblPr>
            <w:tblGrid>
              <w:gridCol w:w="4777"/>
              <w:gridCol w:w="4778"/>
            </w:tblGrid>
            <w:tr w:rsidR="00B77573" w14:paraId="1D921BFD" w14:textId="77777777">
              <w:tc>
                <w:tcPr>
                  <w:tcW w:w="4777" w:type="dxa"/>
                </w:tcPr>
                <w:p w14:paraId="555CBE44" w14:textId="77777777" w:rsidR="00B77573" w:rsidRDefault="00000000">
                  <w:pPr>
                    <w:rPr>
                      <w:rFonts w:cs="Arial"/>
                      <w:sz w:val="22"/>
                      <w:szCs w:val="22"/>
                    </w:rPr>
                  </w:pPr>
                  <w:r>
                    <w:rPr>
                      <w:rFonts w:cs="Arial"/>
                      <w:sz w:val="22"/>
                      <w:szCs w:val="22"/>
                    </w:rPr>
                    <w:t>Planned Development (e.g. submission of form, completion of chapter, submission of thesis)</w:t>
                  </w:r>
                </w:p>
              </w:tc>
              <w:tc>
                <w:tcPr>
                  <w:tcW w:w="4778" w:type="dxa"/>
                </w:tcPr>
                <w:p w14:paraId="61FC0D2B" w14:textId="77777777" w:rsidR="00B77573" w:rsidRDefault="00000000">
                  <w:pPr>
                    <w:rPr>
                      <w:rFonts w:cs="Arial"/>
                      <w:sz w:val="22"/>
                      <w:szCs w:val="22"/>
                    </w:rPr>
                  </w:pPr>
                  <w:r>
                    <w:rPr>
                      <w:rFonts w:cs="Arial"/>
                      <w:sz w:val="22"/>
                      <w:szCs w:val="22"/>
                    </w:rPr>
                    <w:t>Target Date</w:t>
                  </w:r>
                </w:p>
              </w:tc>
            </w:tr>
            <w:tr w:rsidR="007B4ECD" w14:paraId="3E5FE193" w14:textId="77777777" w:rsidTr="00381FDF">
              <w:tc>
                <w:tcPr>
                  <w:tcW w:w="4777" w:type="dxa"/>
                  <w:vAlign w:val="center"/>
                </w:tcPr>
                <w:p w14:paraId="09488BEF" w14:textId="031AF9A7" w:rsidR="007B4ECD" w:rsidRDefault="007B4ECD" w:rsidP="007B4ECD">
                  <w:pPr>
                    <w:rPr>
                      <w:rFonts w:cs="Arial"/>
                      <w:sz w:val="22"/>
                      <w:szCs w:val="22"/>
                    </w:rPr>
                  </w:pPr>
                  <w:r>
                    <w:rPr>
                      <w:rFonts w:ascii="DengXian" w:eastAsia="DengXian" w:hAnsi="DengXian" w:hint="eastAsia"/>
                      <w:color w:val="000000"/>
                    </w:rPr>
                    <w:t>Submit full research proposal; confirm title and research framework.</w:t>
                  </w:r>
                </w:p>
              </w:tc>
              <w:tc>
                <w:tcPr>
                  <w:tcW w:w="4778" w:type="dxa"/>
                  <w:vAlign w:val="center"/>
                </w:tcPr>
                <w:p w14:paraId="3F2D0D31" w14:textId="142D62F4" w:rsidR="007B4ECD" w:rsidRPr="007B4ECD" w:rsidRDefault="007B4ECD" w:rsidP="007B4ECD">
                  <w:pPr>
                    <w:rPr>
                      <w:rFonts w:cs="Arial"/>
                      <w:sz w:val="22"/>
                      <w:szCs w:val="22"/>
                    </w:rPr>
                  </w:pPr>
                  <w:r w:rsidRPr="007B4ECD">
                    <w:rPr>
                      <w:rFonts w:ascii="DengXian" w:eastAsia="DengXian" w:hAnsi="DengXian" w:hint="eastAsia"/>
                      <w:color w:val="000000"/>
                    </w:rPr>
                    <w:t>Sep 2025</w:t>
                  </w:r>
                </w:p>
              </w:tc>
            </w:tr>
            <w:tr w:rsidR="007B4ECD" w14:paraId="1C3B5F93" w14:textId="77777777" w:rsidTr="00381FDF">
              <w:tc>
                <w:tcPr>
                  <w:tcW w:w="4777" w:type="dxa"/>
                  <w:vAlign w:val="center"/>
                </w:tcPr>
                <w:p w14:paraId="08850EF2" w14:textId="3F0428F9" w:rsidR="007B4ECD" w:rsidRDefault="007B4ECD" w:rsidP="007B4ECD">
                  <w:pPr>
                    <w:rPr>
                      <w:rFonts w:cs="Arial"/>
                      <w:sz w:val="22"/>
                      <w:szCs w:val="22"/>
                    </w:rPr>
                  </w:pPr>
                  <w:r>
                    <w:rPr>
                      <w:rFonts w:ascii="DengXian" w:eastAsia="DengXian" w:hAnsi="DengXian" w:hint="eastAsia"/>
                      <w:color w:val="000000"/>
                    </w:rPr>
                    <w:t xml:space="preserve">Conduct first-stage literature review: </w:t>
                  </w:r>
                  <w:proofErr w:type="spellStart"/>
                  <w:r>
                    <w:rPr>
                      <w:rFonts w:ascii="DengXian" w:eastAsia="DengXian" w:hAnsi="DengXian" w:hint="eastAsia"/>
                      <w:color w:val="000000"/>
                    </w:rPr>
                    <w:t>metadesign</w:t>
                  </w:r>
                  <w:proofErr w:type="spellEnd"/>
                  <w:r>
                    <w:rPr>
                      <w:rFonts w:ascii="DengXian" w:eastAsia="DengXian" w:hAnsi="DengXian" w:hint="eastAsia"/>
                      <w:color w:val="000000"/>
                    </w:rPr>
                    <w:t>, embodied interaction, transmedia storytelling, Gen Z cultural participation, and AI/AR in ICH dissemination.</w:t>
                  </w:r>
                </w:p>
              </w:tc>
              <w:tc>
                <w:tcPr>
                  <w:tcW w:w="4778" w:type="dxa"/>
                  <w:vAlign w:val="center"/>
                </w:tcPr>
                <w:p w14:paraId="739AFF27" w14:textId="59632CAA" w:rsidR="007B4ECD" w:rsidRDefault="007B4ECD" w:rsidP="007B4ECD">
                  <w:pPr>
                    <w:rPr>
                      <w:rFonts w:cs="Arial"/>
                      <w:sz w:val="22"/>
                      <w:szCs w:val="22"/>
                    </w:rPr>
                  </w:pPr>
                  <w:r>
                    <w:rPr>
                      <w:rFonts w:ascii="DengXian" w:eastAsia="DengXian" w:hAnsi="DengXian" w:hint="eastAsia"/>
                      <w:color w:val="000000"/>
                    </w:rPr>
                    <w:t>Oct 2024 – Jun 2025</w:t>
                  </w:r>
                </w:p>
              </w:tc>
            </w:tr>
            <w:tr w:rsidR="007B4ECD" w14:paraId="376DA13B" w14:textId="77777777" w:rsidTr="00381FDF">
              <w:tc>
                <w:tcPr>
                  <w:tcW w:w="4777" w:type="dxa"/>
                  <w:vAlign w:val="center"/>
                </w:tcPr>
                <w:p w14:paraId="2CCE4D2A" w14:textId="1DA4BD8A" w:rsidR="007B4ECD" w:rsidRDefault="007B4ECD" w:rsidP="007B4ECD">
                  <w:pPr>
                    <w:rPr>
                      <w:rFonts w:cs="Arial"/>
                      <w:sz w:val="22"/>
                      <w:szCs w:val="22"/>
                    </w:rPr>
                  </w:pPr>
                  <w:r>
                    <w:rPr>
                      <w:rFonts w:ascii="DengXian" w:eastAsia="DengXian" w:hAnsi="DengXian" w:hint="eastAsia"/>
                      <w:color w:val="000000"/>
                    </w:rPr>
                    <w:t>Conduct Gen Z preference survey; collect data on interactive habits and emotional expectations for cultural content.</w:t>
                  </w:r>
                </w:p>
              </w:tc>
              <w:tc>
                <w:tcPr>
                  <w:tcW w:w="4778" w:type="dxa"/>
                  <w:vAlign w:val="center"/>
                </w:tcPr>
                <w:p w14:paraId="01731808" w14:textId="4CB55418" w:rsidR="007B4ECD" w:rsidRDefault="007B4ECD" w:rsidP="007B4ECD">
                  <w:pPr>
                    <w:rPr>
                      <w:rFonts w:cs="Arial"/>
                      <w:sz w:val="22"/>
                      <w:szCs w:val="22"/>
                    </w:rPr>
                  </w:pPr>
                  <w:r>
                    <w:rPr>
                      <w:rFonts w:ascii="DengXian" w:eastAsia="DengXian" w:hAnsi="DengXian" w:hint="eastAsia"/>
                      <w:color w:val="000000"/>
                    </w:rPr>
                    <w:t>Oct – Dec 2025</w:t>
                  </w:r>
                </w:p>
              </w:tc>
            </w:tr>
            <w:tr w:rsidR="007B4ECD" w14:paraId="30DF976F" w14:textId="77777777" w:rsidTr="00381FDF">
              <w:tc>
                <w:tcPr>
                  <w:tcW w:w="4777" w:type="dxa"/>
                  <w:vAlign w:val="center"/>
                </w:tcPr>
                <w:p w14:paraId="03CF225D" w14:textId="54080BE2" w:rsidR="007B4ECD" w:rsidRDefault="007B4ECD" w:rsidP="007B4ECD">
                  <w:pPr>
                    <w:rPr>
                      <w:rFonts w:cs="Arial"/>
                      <w:sz w:val="22"/>
                      <w:szCs w:val="22"/>
                    </w:rPr>
                  </w:pPr>
                  <w:r>
                    <w:rPr>
                      <w:rFonts w:ascii="DengXian" w:eastAsia="DengXian" w:hAnsi="DengXian" w:hint="eastAsia"/>
                      <w:color w:val="000000"/>
                    </w:rPr>
                    <w:t>Design Guangdong Lion Dance IP system: zodiac-inspired lion characters, dynamic emojis, AR custom expressions, interactive narratives.</w:t>
                  </w:r>
                </w:p>
              </w:tc>
              <w:tc>
                <w:tcPr>
                  <w:tcW w:w="4778" w:type="dxa"/>
                  <w:vAlign w:val="center"/>
                </w:tcPr>
                <w:p w14:paraId="3C660521" w14:textId="6367EA7E" w:rsidR="007B4ECD" w:rsidRDefault="007B4ECD" w:rsidP="007B4ECD">
                  <w:pPr>
                    <w:rPr>
                      <w:rFonts w:cs="Arial"/>
                      <w:sz w:val="22"/>
                      <w:szCs w:val="22"/>
                    </w:rPr>
                  </w:pPr>
                  <w:r>
                    <w:rPr>
                      <w:rFonts w:ascii="DengXian" w:eastAsia="DengXian" w:hAnsi="DengXian" w:hint="eastAsia"/>
                      <w:color w:val="000000"/>
                    </w:rPr>
                    <w:t>Jan – Jun 2026</w:t>
                  </w:r>
                </w:p>
              </w:tc>
            </w:tr>
            <w:tr w:rsidR="007B4ECD" w14:paraId="42565D24" w14:textId="77777777" w:rsidTr="00381FDF">
              <w:tc>
                <w:tcPr>
                  <w:tcW w:w="4777" w:type="dxa"/>
                  <w:vAlign w:val="center"/>
                </w:tcPr>
                <w:p w14:paraId="0CC14C01" w14:textId="53BCB225" w:rsidR="007B4ECD" w:rsidRDefault="007B4ECD" w:rsidP="007B4ECD">
                  <w:pPr>
                    <w:rPr>
                      <w:rFonts w:cs="Arial"/>
                      <w:sz w:val="22"/>
                      <w:szCs w:val="22"/>
                    </w:rPr>
                  </w:pPr>
                  <w:r>
                    <w:rPr>
                      <w:rFonts w:ascii="DengXian" w:eastAsia="DengXian" w:hAnsi="DengXian" w:hint="eastAsia"/>
                      <w:color w:val="000000"/>
                    </w:rPr>
                    <w:t>Integrate AI-generated animation + AR motion-tracking; develop AR red envelopes, emoji customization, mini-games.</w:t>
                  </w:r>
                </w:p>
              </w:tc>
              <w:tc>
                <w:tcPr>
                  <w:tcW w:w="4778" w:type="dxa"/>
                  <w:vAlign w:val="center"/>
                </w:tcPr>
                <w:p w14:paraId="6E8D6B32" w14:textId="249BD272" w:rsidR="007B4ECD" w:rsidRDefault="007B4ECD" w:rsidP="007B4ECD">
                  <w:pPr>
                    <w:rPr>
                      <w:rFonts w:cs="Arial"/>
                      <w:sz w:val="22"/>
                      <w:szCs w:val="22"/>
                    </w:rPr>
                  </w:pPr>
                  <w:r>
                    <w:rPr>
                      <w:rFonts w:ascii="DengXian" w:eastAsia="DengXian" w:hAnsi="DengXian" w:hint="eastAsia"/>
                      <w:color w:val="000000"/>
                    </w:rPr>
                    <w:t>Jul – Dec 2026</w:t>
                  </w:r>
                </w:p>
              </w:tc>
            </w:tr>
            <w:tr w:rsidR="007B4ECD" w14:paraId="05F0DAE0" w14:textId="77777777" w:rsidTr="00381FDF">
              <w:tc>
                <w:tcPr>
                  <w:tcW w:w="4777" w:type="dxa"/>
                  <w:vAlign w:val="center"/>
                </w:tcPr>
                <w:p w14:paraId="31587E8A" w14:textId="0DAF91BD" w:rsidR="007B4ECD" w:rsidRDefault="007B4ECD" w:rsidP="007B4ECD">
                  <w:pPr>
                    <w:rPr>
                      <w:rFonts w:ascii="DengXian" w:eastAsia="DengXian" w:hAnsi="DengXian"/>
                      <w:color w:val="000000"/>
                      <w:lang w:eastAsia="zh-CN"/>
                    </w:rPr>
                  </w:pPr>
                  <w:r>
                    <w:rPr>
                      <w:rFonts w:ascii="DengXian" w:eastAsia="DengXian" w:hAnsi="DengXian" w:hint="eastAsia"/>
                      <w:color w:val="000000"/>
                    </w:rPr>
                    <w:t>Build cross-platform storytelling structure connecting IP, videos, AR experiences, social media engagement, and UGC.</w:t>
                  </w:r>
                </w:p>
              </w:tc>
              <w:tc>
                <w:tcPr>
                  <w:tcW w:w="4778" w:type="dxa"/>
                  <w:vAlign w:val="center"/>
                </w:tcPr>
                <w:p w14:paraId="2AFB4E20" w14:textId="521907FA"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Jan – Mar 2027</w:t>
                  </w:r>
                </w:p>
              </w:tc>
            </w:tr>
            <w:tr w:rsidR="007B4ECD" w14:paraId="2FE2D3F1" w14:textId="77777777" w:rsidTr="00F41548">
              <w:tc>
                <w:tcPr>
                  <w:tcW w:w="4777" w:type="dxa"/>
                  <w:vAlign w:val="center"/>
                </w:tcPr>
                <w:p w14:paraId="71D3F656" w14:textId="2B9A1D05" w:rsidR="007B4ECD" w:rsidRDefault="007B4ECD" w:rsidP="007B4ECD">
                  <w:pPr>
                    <w:rPr>
                      <w:rFonts w:ascii="DengXian" w:eastAsia="DengXian" w:hAnsi="DengXian"/>
                      <w:color w:val="000000"/>
                      <w:lang w:eastAsia="zh-CN"/>
                    </w:rPr>
                  </w:pPr>
                  <w:r>
                    <w:rPr>
                      <w:rFonts w:ascii="DengXian" w:eastAsia="DengXian" w:hAnsi="DengXian" w:hint="eastAsia"/>
                      <w:color w:val="000000"/>
                    </w:rPr>
                    <w:t>Conduct Gen Z user testing; evaluate usability, immersion, and emotional resonance; refine prototypes. Start preliminary data analysis in parallel.</w:t>
                  </w:r>
                </w:p>
              </w:tc>
              <w:tc>
                <w:tcPr>
                  <w:tcW w:w="4778" w:type="dxa"/>
                  <w:vAlign w:val="center"/>
                </w:tcPr>
                <w:p w14:paraId="6B9E384D" w14:textId="2553DFDB"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Apr – Jun 2027</w:t>
                  </w:r>
                </w:p>
              </w:tc>
            </w:tr>
            <w:tr w:rsidR="007B4ECD" w14:paraId="2D9B8888" w14:textId="77777777" w:rsidTr="00F41548">
              <w:tc>
                <w:tcPr>
                  <w:tcW w:w="4777" w:type="dxa"/>
                  <w:vAlign w:val="center"/>
                </w:tcPr>
                <w:p w14:paraId="3846A3DA" w14:textId="525804FC" w:rsidR="007B4ECD" w:rsidRDefault="007B4ECD" w:rsidP="007B4ECD">
                  <w:pPr>
                    <w:rPr>
                      <w:rFonts w:ascii="DengXian" w:eastAsia="DengXian" w:hAnsi="DengXian"/>
                      <w:color w:val="000000"/>
                      <w:lang w:eastAsia="zh-CN"/>
                    </w:rPr>
                  </w:pPr>
                  <w:r>
                    <w:rPr>
                      <w:rFonts w:ascii="DengXian" w:eastAsia="DengXian" w:hAnsi="DengXian" w:hint="eastAsia"/>
                      <w:color w:val="000000"/>
                    </w:rPr>
                    <w:t>Continue qualitative/quantitative data analysis; evaluate cultural engagement, participation, and identity reinforcement.</w:t>
                  </w:r>
                </w:p>
              </w:tc>
              <w:tc>
                <w:tcPr>
                  <w:tcW w:w="4778" w:type="dxa"/>
                  <w:vAlign w:val="center"/>
                </w:tcPr>
                <w:p w14:paraId="0908B1D9" w14:textId="1DBFACD4"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Apr – Jul 2027</w:t>
                  </w:r>
                </w:p>
              </w:tc>
            </w:tr>
            <w:tr w:rsidR="007B4ECD" w14:paraId="45531A23" w14:textId="77777777" w:rsidTr="00F41548">
              <w:tc>
                <w:tcPr>
                  <w:tcW w:w="4777" w:type="dxa"/>
                  <w:vAlign w:val="center"/>
                </w:tcPr>
                <w:p w14:paraId="7D205432" w14:textId="15C40BEB" w:rsidR="007B4ECD" w:rsidRDefault="007B4ECD" w:rsidP="007B4ECD">
                  <w:pPr>
                    <w:rPr>
                      <w:rFonts w:ascii="DengXian" w:eastAsia="DengXian" w:hAnsi="DengXian"/>
                      <w:color w:val="000000"/>
                      <w:lang w:eastAsia="zh-CN"/>
                    </w:rPr>
                  </w:pPr>
                  <w:r>
                    <w:rPr>
                      <w:rFonts w:ascii="DengXian" w:eastAsia="DengXian" w:hAnsi="DengXian" w:hint="eastAsia"/>
                      <w:color w:val="000000"/>
                    </w:rPr>
                    <w:t>Write chapters in parallel with research: Literature Review (2025–26), Methodology (2026), Findings &amp; Discussion (Apr–Jul 2027).</w:t>
                  </w:r>
                </w:p>
              </w:tc>
              <w:tc>
                <w:tcPr>
                  <w:tcW w:w="4778" w:type="dxa"/>
                  <w:vAlign w:val="center"/>
                </w:tcPr>
                <w:p w14:paraId="5C4B06DC" w14:textId="157E2812"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Jan 2026 – Jul 2027</w:t>
                  </w:r>
                </w:p>
              </w:tc>
            </w:tr>
            <w:tr w:rsidR="007B4ECD" w14:paraId="5D06B3C8" w14:textId="77777777" w:rsidTr="00F41548">
              <w:tc>
                <w:tcPr>
                  <w:tcW w:w="4777" w:type="dxa"/>
                  <w:vAlign w:val="center"/>
                </w:tcPr>
                <w:p w14:paraId="4D20ED7E" w14:textId="1D09FE14" w:rsidR="007B4ECD" w:rsidRDefault="007B4ECD" w:rsidP="007B4ECD">
                  <w:pPr>
                    <w:rPr>
                      <w:rFonts w:ascii="DengXian" w:eastAsia="DengXian" w:hAnsi="DengXian"/>
                      <w:color w:val="000000"/>
                      <w:lang w:eastAsia="zh-CN"/>
                    </w:rPr>
                  </w:pPr>
                  <w:r>
                    <w:rPr>
                      <w:rFonts w:ascii="DengXian" w:eastAsia="DengXian" w:hAnsi="DengXian" w:hint="eastAsia"/>
                      <w:color w:val="000000"/>
                    </w:rPr>
                    <w:t>Finalize thesis, appendices, bibliography, and submit for viva.</w:t>
                  </w:r>
                </w:p>
              </w:tc>
              <w:tc>
                <w:tcPr>
                  <w:tcW w:w="4778" w:type="dxa"/>
                  <w:vAlign w:val="center"/>
                </w:tcPr>
                <w:p w14:paraId="0343D9C9" w14:textId="23D3FD01"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Aug – Sep 2027</w:t>
                  </w:r>
                </w:p>
              </w:tc>
            </w:tr>
            <w:tr w:rsidR="007B4ECD" w14:paraId="55021B54" w14:textId="77777777" w:rsidTr="00F41548">
              <w:tc>
                <w:tcPr>
                  <w:tcW w:w="4777" w:type="dxa"/>
                  <w:vAlign w:val="center"/>
                </w:tcPr>
                <w:p w14:paraId="6193BFA9" w14:textId="23651897" w:rsidR="007B4ECD" w:rsidRDefault="007B4ECD" w:rsidP="007B4ECD">
                  <w:pPr>
                    <w:rPr>
                      <w:rFonts w:ascii="DengXian" w:eastAsia="DengXian" w:hAnsi="DengXian"/>
                      <w:color w:val="000000"/>
                      <w:lang w:eastAsia="zh-CN"/>
                    </w:rPr>
                  </w:pPr>
                  <w:r>
                    <w:rPr>
                      <w:rFonts w:ascii="DengXian" w:eastAsia="DengXian" w:hAnsi="DengXian" w:hint="eastAsia"/>
                      <w:color w:val="000000"/>
                    </w:rPr>
                    <w:t>Prepare viva presentation; finalize creative practice portfolio.</w:t>
                  </w:r>
                </w:p>
              </w:tc>
              <w:tc>
                <w:tcPr>
                  <w:tcW w:w="4778" w:type="dxa"/>
                  <w:vAlign w:val="center"/>
                </w:tcPr>
                <w:p w14:paraId="7C2C92A1" w14:textId="169DC743" w:rsidR="007B4ECD" w:rsidRPr="007B4ECD" w:rsidRDefault="007B4ECD" w:rsidP="007B4ECD">
                  <w:pPr>
                    <w:rPr>
                      <w:rFonts w:ascii="DengXian" w:eastAsia="DengXian" w:hAnsi="DengXian"/>
                      <w:color w:val="000000"/>
                    </w:rPr>
                  </w:pPr>
                  <w:r w:rsidRPr="007B4ECD">
                    <w:rPr>
                      <w:rFonts w:ascii="DengXian" w:eastAsia="DengXian" w:hAnsi="DengXian" w:hint="eastAsia"/>
                      <w:color w:val="000000"/>
                    </w:rPr>
                    <w:t>Sep 2027</w:t>
                  </w:r>
                </w:p>
              </w:tc>
            </w:tr>
          </w:tbl>
          <w:p w14:paraId="06401136" w14:textId="77777777" w:rsidR="00B77573" w:rsidRDefault="00B77573">
            <w:pPr>
              <w:rPr>
                <w:rFonts w:cs="Arial"/>
                <w:sz w:val="22"/>
                <w:szCs w:val="22"/>
              </w:rPr>
            </w:pPr>
          </w:p>
          <w:p w14:paraId="62E10401" w14:textId="77777777" w:rsidR="00B77573" w:rsidRDefault="00B77573">
            <w:pPr>
              <w:rPr>
                <w:rFonts w:cs="Arial"/>
                <w:sz w:val="22"/>
                <w:szCs w:val="22"/>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000000">
            <w:pPr>
              <w:rPr>
                <w:rFonts w:cs="Arial"/>
                <w:sz w:val="22"/>
                <w:szCs w:val="22"/>
              </w:rPr>
            </w:pPr>
            <w:r>
              <w:rPr>
                <w:rFonts w:cs="Arial"/>
                <w:sz w:val="22"/>
                <w:szCs w:val="22"/>
              </w:rPr>
              <w:t>Proposed methodology (approx. 500 words):</w:t>
            </w:r>
          </w:p>
        </w:tc>
      </w:tr>
      <w:tr w:rsidR="00B77573" w14:paraId="61D1B7FC" w14:textId="77777777">
        <w:trPr>
          <w:trHeight w:val="397"/>
        </w:trPr>
        <w:tc>
          <w:tcPr>
            <w:tcW w:w="9781" w:type="dxa"/>
            <w:vAlign w:val="center"/>
          </w:tcPr>
          <w:p w14:paraId="03DC4B26" w14:textId="77777777" w:rsidR="00B712CA" w:rsidRDefault="00B712CA" w:rsidP="00B712CA">
            <w:pPr>
              <w:pStyle w:val="ae"/>
              <w:rPr>
                <w:rFonts w:ascii="宋体" w:hAnsi="宋体"/>
                <w:lang w:eastAsia="zh-CN"/>
              </w:rPr>
            </w:pPr>
            <w:r>
              <w:t xml:space="preserve">This study adopts a </w:t>
            </w:r>
            <w:r>
              <w:rPr>
                <w:rStyle w:val="af"/>
              </w:rPr>
              <w:t>qualitative, practice-informed research design</w:t>
            </w:r>
            <w:r>
              <w:t xml:space="preserve"> situated within a </w:t>
            </w:r>
            <w:r>
              <w:rPr>
                <w:rStyle w:val="af"/>
              </w:rPr>
              <w:t>constructivist–pragmatist paradigm</w:t>
            </w:r>
            <w:r>
              <w:t xml:space="preserve">. The methodology integrates </w:t>
            </w:r>
            <w:r>
              <w:rPr>
                <w:rStyle w:val="af"/>
              </w:rPr>
              <w:t>interpretive phenomenology, narrative inquiry, visual ethnography, multi-case comparative research, embodied ethnography, and participatory observation</w:t>
            </w:r>
            <w:r>
              <w:t xml:space="preserve">. This multi-layered design enables the study to </w:t>
            </w:r>
            <w:r>
              <w:lastRenderedPageBreak/>
              <w:t>explore how Guangdong Lion Dance, as intangible cultural heritage (ICH), is digitally re-created, narrated, and experienced by Gen Z audiences across platforms.</w:t>
            </w:r>
          </w:p>
          <w:p w14:paraId="353BB00C" w14:textId="77777777" w:rsidR="00B712CA" w:rsidRPr="00B712CA" w:rsidRDefault="00B712CA" w:rsidP="00B712CA">
            <w:pPr>
              <w:pStyle w:val="3"/>
              <w:rPr>
                <w:sz w:val="24"/>
                <w:szCs w:val="24"/>
              </w:rPr>
            </w:pPr>
            <w:r w:rsidRPr="00B712CA">
              <w:rPr>
                <w:sz w:val="24"/>
                <w:szCs w:val="24"/>
              </w:rPr>
              <w:t>Disciplinary Orientation</w:t>
            </w:r>
          </w:p>
          <w:p w14:paraId="4DDD7B86" w14:textId="77777777" w:rsidR="00B712CA" w:rsidRDefault="00B712CA" w:rsidP="00B712CA">
            <w:pPr>
              <w:pStyle w:val="ae"/>
            </w:pPr>
            <w:r>
              <w:t xml:space="preserve">The study is design-led and interdisciplinary, drawing from cultural studies, design research, and digital heritage. </w:t>
            </w:r>
            <w:r>
              <w:rPr>
                <w:rStyle w:val="af"/>
              </w:rPr>
              <w:t>Interpretive phenomenology</w:t>
            </w:r>
            <w:r>
              <w:t xml:space="preserve"> provides a foundation for analysing embodied, lived experiences and their interpretation in digital contexts. </w:t>
            </w:r>
            <w:r>
              <w:rPr>
                <w:rStyle w:val="af"/>
              </w:rPr>
              <w:t>Narrative inquiry</w:t>
            </w:r>
            <w:r>
              <w:t xml:space="preserve"> treats stories as the unit of analysis, enabling investigation of how lion dance and related ICH are “re-told” across media, shaping identity and cultural regeneration.</w:t>
            </w:r>
          </w:p>
          <w:p w14:paraId="44D8A23D" w14:textId="77777777" w:rsidR="00B712CA" w:rsidRPr="00B712CA" w:rsidRDefault="00B712CA" w:rsidP="00B712CA">
            <w:pPr>
              <w:pStyle w:val="3"/>
              <w:rPr>
                <w:sz w:val="24"/>
                <w:szCs w:val="24"/>
              </w:rPr>
            </w:pPr>
            <w:r w:rsidRPr="00B712CA">
              <w:rPr>
                <w:sz w:val="24"/>
                <w:szCs w:val="24"/>
              </w:rPr>
              <w:t>Methods of Inquiry</w:t>
            </w:r>
          </w:p>
          <w:p w14:paraId="45D4E0D7" w14:textId="77777777" w:rsidR="00B712CA" w:rsidRDefault="00B712CA" w:rsidP="00B712CA">
            <w:pPr>
              <w:pStyle w:val="ae"/>
            </w:pPr>
            <w:r>
              <w:t>The research combines several methods to achieve its aims:</w:t>
            </w:r>
          </w:p>
          <w:p w14:paraId="12C27A6A" w14:textId="77777777" w:rsidR="00B712CA" w:rsidRDefault="00B712CA" w:rsidP="00B712CA">
            <w:pPr>
              <w:pStyle w:val="ae"/>
              <w:numPr>
                <w:ilvl w:val="0"/>
                <w:numId w:val="9"/>
              </w:numPr>
            </w:pPr>
            <w:r>
              <w:rPr>
                <w:rStyle w:val="af"/>
              </w:rPr>
              <w:t>Literature and online research</w:t>
            </w:r>
            <w:r>
              <w:t>: A systematic review of scholarship and policy documents will map debates on ICH digitalisation, embodied interaction, and transmedia storytelling, identifying theoretical and practical gaps.</w:t>
            </w:r>
          </w:p>
          <w:p w14:paraId="49DEF3F9" w14:textId="77777777" w:rsidR="00B712CA" w:rsidRDefault="00B712CA" w:rsidP="00B712CA">
            <w:pPr>
              <w:pStyle w:val="ae"/>
              <w:numPr>
                <w:ilvl w:val="0"/>
                <w:numId w:val="9"/>
              </w:numPr>
            </w:pPr>
            <w:r>
              <w:rPr>
                <w:rStyle w:val="af"/>
              </w:rPr>
              <w:t>Multi-case and cross-platform comparison</w:t>
            </w:r>
            <w:r>
              <w:t>: Guangdong Lion Dance projects (e.g., digital lion dance prototypes, Cantonese opera AR installations) will serve as core cases, supplemented by additional ICH digital projects from other regions in China or internationally. This comparative approach enhances representativeness and highlights similarities and divergences in narrative design and user participation.</w:t>
            </w:r>
          </w:p>
          <w:p w14:paraId="09426B88" w14:textId="77777777" w:rsidR="00B712CA" w:rsidRDefault="00B712CA" w:rsidP="00B712CA">
            <w:pPr>
              <w:pStyle w:val="ae"/>
              <w:numPr>
                <w:ilvl w:val="0"/>
                <w:numId w:val="9"/>
              </w:numPr>
            </w:pPr>
            <w:r>
              <w:rPr>
                <w:rStyle w:val="af"/>
              </w:rPr>
              <w:t>Visual ethnography</w:t>
            </w:r>
            <w:r>
              <w:t xml:space="preserve">: </w:t>
            </w:r>
            <w:proofErr w:type="gramStart"/>
            <w:r>
              <w:t>Short</w:t>
            </w:r>
            <w:proofErr w:type="gramEnd"/>
            <w:r>
              <w:t xml:space="preserve"> videos, livestreams, digital artefacts, and user-generated content will be collected and coded to trace symbolic motifs, narrative migration, and multimodal storytelling across platforms.</w:t>
            </w:r>
          </w:p>
          <w:p w14:paraId="5423EC3D" w14:textId="77777777" w:rsidR="00B712CA" w:rsidRDefault="00B712CA" w:rsidP="00B712CA">
            <w:pPr>
              <w:pStyle w:val="ae"/>
              <w:numPr>
                <w:ilvl w:val="0"/>
                <w:numId w:val="9"/>
              </w:numPr>
            </w:pPr>
            <w:r>
              <w:rPr>
                <w:rStyle w:val="af"/>
              </w:rPr>
              <w:t>Interpretive phenomenological inquiry</w:t>
            </w:r>
            <w:r>
              <w:t>: Prototype testing sessions will include phenomenological interviews, focusing on immersion, bodily resonance, and how participants interpret experiences in relation to cultural authenticity.</w:t>
            </w:r>
          </w:p>
          <w:p w14:paraId="012AC3F8" w14:textId="77777777" w:rsidR="00B712CA" w:rsidRDefault="00B712CA" w:rsidP="00B712CA">
            <w:pPr>
              <w:pStyle w:val="ae"/>
              <w:numPr>
                <w:ilvl w:val="0"/>
                <w:numId w:val="9"/>
              </w:numPr>
            </w:pPr>
            <w:r>
              <w:rPr>
                <w:rStyle w:val="af"/>
              </w:rPr>
              <w:t>Embodied ethnography and participatory observation</w:t>
            </w:r>
            <w:r>
              <w:t>: The researcher will participate alongside users during AR/AI trials, documenting gestures, rhythms, and spatial behaviours to understand how meaning is enacted through bodily practice.</w:t>
            </w:r>
          </w:p>
          <w:p w14:paraId="60ACB278" w14:textId="77777777" w:rsidR="00B712CA" w:rsidRPr="00B712CA" w:rsidRDefault="00B712CA" w:rsidP="00B712CA">
            <w:pPr>
              <w:pStyle w:val="3"/>
              <w:rPr>
                <w:sz w:val="24"/>
                <w:szCs w:val="24"/>
              </w:rPr>
            </w:pPr>
            <w:r w:rsidRPr="00B712CA">
              <w:rPr>
                <w:sz w:val="24"/>
                <w:szCs w:val="24"/>
              </w:rPr>
              <w:t>Data Analysis</w:t>
            </w:r>
          </w:p>
          <w:p w14:paraId="5C479A55" w14:textId="77777777" w:rsidR="00B712CA" w:rsidRDefault="00B712CA" w:rsidP="00B712CA">
            <w:pPr>
              <w:pStyle w:val="ae"/>
            </w:pPr>
            <w:r>
              <w:t xml:space="preserve">Data will be analysed using a </w:t>
            </w:r>
            <w:r>
              <w:rPr>
                <w:rStyle w:val="af"/>
              </w:rPr>
              <w:t>mixed qualitative strategy</w:t>
            </w:r>
            <w:r>
              <w:t>. Narrative and phenomenological accounts will undergo thematic and narrative analysis (</w:t>
            </w:r>
            <w:proofErr w:type="spellStart"/>
            <w:r>
              <w:t>Riessman</w:t>
            </w:r>
            <w:proofErr w:type="spellEnd"/>
            <w:r>
              <w:t xml:space="preserve">, 2008). Embodied experiences will be interpreted through hermeneutic reduction, highlighting meaning attributed to bodily interaction. Visual data and user-generated content will be coded in NVivo, focusing on multimodality and cross-platform coherence. Comparative analysis across multiple cases will generate transferable insights. </w:t>
            </w:r>
            <w:r>
              <w:rPr>
                <w:rStyle w:val="af"/>
              </w:rPr>
              <w:t>Triangulation</w:t>
            </w:r>
            <w:r>
              <w:t xml:space="preserve"> across narratives, visuals, and embodied observations, together with reflexive memos, will ensure validity and research rigor.</w:t>
            </w:r>
          </w:p>
          <w:p w14:paraId="41F89408" w14:textId="77777777" w:rsidR="00B712CA" w:rsidRPr="00B712CA" w:rsidRDefault="00B712CA" w:rsidP="00B712CA">
            <w:pPr>
              <w:pStyle w:val="3"/>
              <w:rPr>
                <w:sz w:val="24"/>
                <w:szCs w:val="24"/>
              </w:rPr>
            </w:pPr>
            <w:r w:rsidRPr="00B712CA">
              <w:rPr>
                <w:sz w:val="24"/>
                <w:szCs w:val="24"/>
              </w:rPr>
              <w:lastRenderedPageBreak/>
              <w:t>Summary</w:t>
            </w:r>
          </w:p>
          <w:p w14:paraId="7853D8FC" w14:textId="77777777" w:rsidR="00B712CA" w:rsidRDefault="00B712CA" w:rsidP="00B712CA">
            <w:pPr>
              <w:pStyle w:val="ae"/>
            </w:pPr>
            <w:r>
              <w:t>By combining interpretive phenomenology, narrative inquiry, visual ethnography, multi-case comparison, embodied ethnography, and participatory observation, this methodology provides a robust yet flexible framework. Guangdong projects remain central, while comparative cases expand representativeness. This integrated approach addresses experiential, narrative, and visual dimensions of ICH transformation while embedding iterative cycles of interpretation and refinement.</w:t>
            </w:r>
          </w:p>
          <w:p w14:paraId="38E5C560" w14:textId="77777777" w:rsidR="00B77573" w:rsidRDefault="00B77573" w:rsidP="00B712CA">
            <w:pPr>
              <w:rPr>
                <w:rFonts w:cs="Arial"/>
                <w:sz w:val="22"/>
                <w:szCs w:val="22"/>
              </w:rPr>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000000">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10C2B252" w14:textId="77777777" w:rsidR="00066340" w:rsidRPr="00FD0F1A" w:rsidRDefault="00066340" w:rsidP="00066340">
            <w:pPr>
              <w:pStyle w:val="ae"/>
              <w:rPr>
                <w:rFonts w:ascii="宋体" w:hAnsi="宋体"/>
                <w:sz w:val="21"/>
                <w:szCs w:val="21"/>
                <w:lang w:eastAsia="zh-CN"/>
              </w:rPr>
            </w:pPr>
            <w:proofErr w:type="spellStart"/>
            <w:r w:rsidRPr="00FD0F1A">
              <w:rPr>
                <w:sz w:val="21"/>
                <w:szCs w:val="21"/>
              </w:rPr>
              <w:t>Bourriaud</w:t>
            </w:r>
            <w:proofErr w:type="spellEnd"/>
            <w:r w:rsidRPr="00FD0F1A">
              <w:rPr>
                <w:sz w:val="21"/>
                <w:szCs w:val="21"/>
              </w:rPr>
              <w:t xml:space="preserve">, N. (2002). </w:t>
            </w:r>
            <w:r w:rsidRPr="00FD0F1A">
              <w:rPr>
                <w:rStyle w:val="af5"/>
                <w:sz w:val="21"/>
                <w:szCs w:val="21"/>
              </w:rPr>
              <w:t>Relational Aesthetics</w:t>
            </w:r>
            <w:r w:rsidRPr="00FD0F1A">
              <w:rPr>
                <w:sz w:val="21"/>
                <w:szCs w:val="21"/>
              </w:rPr>
              <w:t xml:space="preserve">. Dijon: Les Presses du </w:t>
            </w:r>
            <w:proofErr w:type="spellStart"/>
            <w:r w:rsidRPr="00FD0F1A">
              <w:rPr>
                <w:sz w:val="21"/>
                <w:szCs w:val="21"/>
              </w:rPr>
              <w:t>réel</w:t>
            </w:r>
            <w:proofErr w:type="spellEnd"/>
            <w:r w:rsidRPr="00FD0F1A">
              <w:rPr>
                <w:sz w:val="21"/>
                <w:szCs w:val="21"/>
              </w:rPr>
              <w:t>.</w:t>
            </w:r>
          </w:p>
          <w:p w14:paraId="183FA5B2" w14:textId="77777777" w:rsidR="00066340" w:rsidRPr="00FD0F1A" w:rsidRDefault="00066340" w:rsidP="00066340">
            <w:pPr>
              <w:pStyle w:val="ae"/>
              <w:rPr>
                <w:sz w:val="21"/>
                <w:szCs w:val="21"/>
              </w:rPr>
            </w:pPr>
            <w:r w:rsidRPr="00FD0F1A">
              <w:rPr>
                <w:sz w:val="21"/>
                <w:szCs w:val="21"/>
              </w:rPr>
              <w:t xml:space="preserve">Champion, E. (2015). </w:t>
            </w:r>
            <w:r w:rsidRPr="00FD0F1A">
              <w:rPr>
                <w:rStyle w:val="af5"/>
                <w:sz w:val="21"/>
                <w:szCs w:val="21"/>
              </w:rPr>
              <w:t>Critical Gaming: Interactive History and Virtual Heritage</w:t>
            </w:r>
            <w:r w:rsidRPr="00FD0F1A">
              <w:rPr>
                <w:sz w:val="21"/>
                <w:szCs w:val="21"/>
              </w:rPr>
              <w:t>. London: Routledge.</w:t>
            </w:r>
          </w:p>
          <w:p w14:paraId="5CC45017" w14:textId="77777777" w:rsidR="00066340" w:rsidRPr="00FD0F1A" w:rsidRDefault="00066340" w:rsidP="00066340">
            <w:pPr>
              <w:pStyle w:val="ae"/>
              <w:rPr>
                <w:sz w:val="21"/>
                <w:szCs w:val="21"/>
              </w:rPr>
            </w:pPr>
            <w:proofErr w:type="spellStart"/>
            <w:r w:rsidRPr="00FD0F1A">
              <w:rPr>
                <w:sz w:val="21"/>
                <w:szCs w:val="21"/>
              </w:rPr>
              <w:t>Clandinin</w:t>
            </w:r>
            <w:proofErr w:type="spellEnd"/>
            <w:r w:rsidRPr="00FD0F1A">
              <w:rPr>
                <w:sz w:val="21"/>
                <w:szCs w:val="21"/>
              </w:rPr>
              <w:t xml:space="preserve">, D.J. and Connelly, F.M. (2000). </w:t>
            </w:r>
            <w:r w:rsidRPr="00FD0F1A">
              <w:rPr>
                <w:rStyle w:val="af5"/>
                <w:sz w:val="21"/>
                <w:szCs w:val="21"/>
              </w:rPr>
              <w:t>Narrative Inquiry: Experience and Story in Qualitative Research</w:t>
            </w:r>
            <w:r w:rsidRPr="00FD0F1A">
              <w:rPr>
                <w:sz w:val="21"/>
                <w:szCs w:val="21"/>
              </w:rPr>
              <w:t>. San Francisco: Jossey-Bass.</w:t>
            </w:r>
          </w:p>
          <w:p w14:paraId="7241658F" w14:textId="77777777" w:rsidR="00066340" w:rsidRPr="00FD0F1A" w:rsidRDefault="00066340" w:rsidP="00066340">
            <w:pPr>
              <w:pStyle w:val="ae"/>
              <w:rPr>
                <w:sz w:val="21"/>
                <w:szCs w:val="21"/>
              </w:rPr>
            </w:pPr>
            <w:proofErr w:type="spellStart"/>
            <w:r w:rsidRPr="00FD0F1A">
              <w:rPr>
                <w:sz w:val="21"/>
                <w:szCs w:val="21"/>
              </w:rPr>
              <w:t>Couldry</w:t>
            </w:r>
            <w:proofErr w:type="spellEnd"/>
            <w:r w:rsidRPr="00FD0F1A">
              <w:rPr>
                <w:sz w:val="21"/>
                <w:szCs w:val="21"/>
              </w:rPr>
              <w:t xml:space="preserve">, N. (2010). </w:t>
            </w:r>
            <w:r w:rsidRPr="00FD0F1A">
              <w:rPr>
                <w:rStyle w:val="af5"/>
                <w:sz w:val="21"/>
                <w:szCs w:val="21"/>
              </w:rPr>
              <w:t>Why Voice Matters: Culture and Politics After Neoliberalism</w:t>
            </w:r>
            <w:r w:rsidRPr="00FD0F1A">
              <w:rPr>
                <w:sz w:val="21"/>
                <w:szCs w:val="21"/>
              </w:rPr>
              <w:t>. London: Sage.</w:t>
            </w:r>
          </w:p>
          <w:p w14:paraId="51E20BAB" w14:textId="77777777" w:rsidR="00066340" w:rsidRPr="00FD0F1A" w:rsidRDefault="00066340" w:rsidP="00066340">
            <w:pPr>
              <w:pStyle w:val="ae"/>
              <w:rPr>
                <w:sz w:val="21"/>
                <w:szCs w:val="21"/>
              </w:rPr>
            </w:pPr>
            <w:r w:rsidRPr="00FD0F1A">
              <w:rPr>
                <w:sz w:val="21"/>
                <w:szCs w:val="21"/>
              </w:rPr>
              <w:t>Fischer, G. (2003). ‘Meta-design: Beyond user-</w:t>
            </w:r>
            <w:proofErr w:type="spellStart"/>
            <w:r w:rsidRPr="00FD0F1A">
              <w:rPr>
                <w:sz w:val="21"/>
                <w:szCs w:val="21"/>
              </w:rPr>
              <w:t>centered</w:t>
            </w:r>
            <w:proofErr w:type="spellEnd"/>
            <w:r w:rsidRPr="00FD0F1A">
              <w:rPr>
                <w:sz w:val="21"/>
                <w:szCs w:val="21"/>
              </w:rPr>
              <w:t xml:space="preserve"> and participatory design’. In: </w:t>
            </w:r>
            <w:r w:rsidRPr="00FD0F1A">
              <w:rPr>
                <w:rStyle w:val="af5"/>
                <w:sz w:val="21"/>
                <w:szCs w:val="21"/>
              </w:rPr>
              <w:t>Proceedings of HCI International 2003</w:t>
            </w:r>
            <w:r w:rsidRPr="00FD0F1A">
              <w:rPr>
                <w:sz w:val="21"/>
                <w:szCs w:val="21"/>
              </w:rPr>
              <w:t>. Crete: Lawrence Erlbaum Associates, pp. 88–92.</w:t>
            </w:r>
          </w:p>
          <w:p w14:paraId="67E68E8A" w14:textId="77777777" w:rsidR="00066340" w:rsidRPr="00FD0F1A" w:rsidRDefault="00066340" w:rsidP="00066340">
            <w:pPr>
              <w:pStyle w:val="ae"/>
              <w:rPr>
                <w:sz w:val="21"/>
                <w:szCs w:val="21"/>
              </w:rPr>
            </w:pPr>
            <w:proofErr w:type="spellStart"/>
            <w:r w:rsidRPr="00FD0F1A">
              <w:rPr>
                <w:sz w:val="21"/>
                <w:szCs w:val="21"/>
              </w:rPr>
              <w:t>Giaccardi</w:t>
            </w:r>
            <w:proofErr w:type="spellEnd"/>
            <w:r w:rsidRPr="00FD0F1A">
              <w:rPr>
                <w:sz w:val="21"/>
                <w:szCs w:val="21"/>
              </w:rPr>
              <w:t>, E. (2005). ‘</w:t>
            </w:r>
            <w:proofErr w:type="spellStart"/>
            <w:r w:rsidRPr="00FD0F1A">
              <w:rPr>
                <w:sz w:val="21"/>
                <w:szCs w:val="21"/>
              </w:rPr>
              <w:t>Metadesign</w:t>
            </w:r>
            <w:proofErr w:type="spellEnd"/>
            <w:r w:rsidRPr="00FD0F1A">
              <w:rPr>
                <w:sz w:val="21"/>
                <w:szCs w:val="21"/>
              </w:rPr>
              <w:t xml:space="preserve"> as an emergent design culture’. </w:t>
            </w:r>
            <w:r w:rsidRPr="00FD0F1A">
              <w:rPr>
                <w:rStyle w:val="af5"/>
                <w:sz w:val="21"/>
                <w:szCs w:val="21"/>
              </w:rPr>
              <w:t>Leonardo</w:t>
            </w:r>
            <w:r w:rsidRPr="00FD0F1A">
              <w:rPr>
                <w:sz w:val="21"/>
                <w:szCs w:val="21"/>
              </w:rPr>
              <w:t>, 38(4), pp. 342–349.</w:t>
            </w:r>
          </w:p>
          <w:p w14:paraId="12F721CC" w14:textId="77777777" w:rsidR="00066340" w:rsidRPr="00FD0F1A" w:rsidRDefault="00066340" w:rsidP="00066340">
            <w:pPr>
              <w:pStyle w:val="ae"/>
              <w:rPr>
                <w:sz w:val="21"/>
                <w:szCs w:val="21"/>
              </w:rPr>
            </w:pPr>
            <w:r w:rsidRPr="00FD0F1A">
              <w:rPr>
                <w:sz w:val="21"/>
                <w:szCs w:val="21"/>
              </w:rPr>
              <w:t xml:space="preserve">Ginsburg, F. (2000). ‘Shooting back: From ethnographic film to indigenous media’. In: Ginsburg, F., Abu-Lughod, L. and Larkin, B. (eds.) </w:t>
            </w:r>
            <w:r w:rsidRPr="00FD0F1A">
              <w:rPr>
                <w:rStyle w:val="af5"/>
                <w:sz w:val="21"/>
                <w:szCs w:val="21"/>
              </w:rPr>
              <w:t>Media Worlds: Anthropology on New Terrain</w:t>
            </w:r>
            <w:r w:rsidRPr="00FD0F1A">
              <w:rPr>
                <w:sz w:val="21"/>
                <w:szCs w:val="21"/>
              </w:rPr>
              <w:t>. Berkeley: University of California Press, pp. 39–56.</w:t>
            </w:r>
          </w:p>
          <w:p w14:paraId="2DD84489" w14:textId="77777777" w:rsidR="00066340" w:rsidRPr="00FD0F1A" w:rsidRDefault="00066340" w:rsidP="00066340">
            <w:pPr>
              <w:pStyle w:val="ae"/>
              <w:rPr>
                <w:sz w:val="21"/>
                <w:szCs w:val="21"/>
              </w:rPr>
            </w:pPr>
            <w:r w:rsidRPr="00FD0F1A">
              <w:rPr>
                <w:sz w:val="21"/>
                <w:szCs w:val="21"/>
              </w:rPr>
              <w:t xml:space="preserve">Hall, S. (1997). </w:t>
            </w:r>
            <w:r w:rsidRPr="00FD0F1A">
              <w:rPr>
                <w:rStyle w:val="af5"/>
                <w:sz w:val="21"/>
                <w:szCs w:val="21"/>
              </w:rPr>
              <w:t>Representation: Cultural Representations and Signifying Practices</w:t>
            </w:r>
            <w:r w:rsidRPr="00FD0F1A">
              <w:rPr>
                <w:sz w:val="21"/>
                <w:szCs w:val="21"/>
              </w:rPr>
              <w:t>. London: Sage.</w:t>
            </w:r>
          </w:p>
          <w:p w14:paraId="5CCA02CD" w14:textId="77777777" w:rsidR="00066340" w:rsidRPr="00FD0F1A" w:rsidRDefault="00066340" w:rsidP="00066340">
            <w:pPr>
              <w:pStyle w:val="ae"/>
              <w:rPr>
                <w:sz w:val="21"/>
                <w:szCs w:val="21"/>
              </w:rPr>
            </w:pPr>
            <w:r w:rsidRPr="00FD0F1A">
              <w:rPr>
                <w:sz w:val="21"/>
                <w:szCs w:val="21"/>
              </w:rPr>
              <w:t xml:space="preserve">Hou, M. and Kenderdine, S. (2022). ‘Multisensory encounters: Designing embodied interfaces for living heritage’. </w:t>
            </w:r>
            <w:r w:rsidRPr="00FD0F1A">
              <w:rPr>
                <w:rStyle w:val="af5"/>
                <w:sz w:val="21"/>
                <w:szCs w:val="21"/>
              </w:rPr>
              <w:t>Curator: The Museum Journal</w:t>
            </w:r>
            <w:r w:rsidRPr="00FD0F1A">
              <w:rPr>
                <w:sz w:val="21"/>
                <w:szCs w:val="21"/>
              </w:rPr>
              <w:t>, 65(1), pp. 103–122.</w:t>
            </w:r>
          </w:p>
          <w:p w14:paraId="4CDA53CE" w14:textId="77777777" w:rsidR="00066340" w:rsidRPr="00FD0F1A" w:rsidRDefault="00066340" w:rsidP="00066340">
            <w:pPr>
              <w:pStyle w:val="ae"/>
              <w:rPr>
                <w:sz w:val="21"/>
                <w:szCs w:val="21"/>
              </w:rPr>
            </w:pPr>
            <w:r w:rsidRPr="00FD0F1A">
              <w:rPr>
                <w:sz w:val="21"/>
                <w:szCs w:val="21"/>
              </w:rPr>
              <w:t xml:space="preserve">Jenkins, H. (2006). </w:t>
            </w:r>
            <w:r w:rsidRPr="00FD0F1A">
              <w:rPr>
                <w:rStyle w:val="af5"/>
                <w:sz w:val="21"/>
                <w:szCs w:val="21"/>
              </w:rPr>
              <w:t>Convergence Culture: Where Old and New Media Collide</w:t>
            </w:r>
            <w:r w:rsidRPr="00FD0F1A">
              <w:rPr>
                <w:sz w:val="21"/>
                <w:szCs w:val="21"/>
              </w:rPr>
              <w:t>. New York: New York University Press.</w:t>
            </w:r>
          </w:p>
          <w:p w14:paraId="6ECDDDCD" w14:textId="77777777" w:rsidR="00066340" w:rsidRPr="00FD0F1A" w:rsidRDefault="00066340" w:rsidP="00066340">
            <w:pPr>
              <w:pStyle w:val="ae"/>
              <w:rPr>
                <w:sz w:val="21"/>
                <w:szCs w:val="21"/>
              </w:rPr>
            </w:pPr>
            <w:r w:rsidRPr="00FD0F1A">
              <w:rPr>
                <w:sz w:val="21"/>
                <w:szCs w:val="21"/>
              </w:rPr>
              <w:t xml:space="preserve">Kalay, Y.E., Kvan, T. and Affleck, J. (2008). </w:t>
            </w:r>
            <w:r w:rsidRPr="00FD0F1A">
              <w:rPr>
                <w:rStyle w:val="af5"/>
                <w:sz w:val="21"/>
                <w:szCs w:val="21"/>
              </w:rPr>
              <w:t>New Heritage: New Media and Cultural Heritage</w:t>
            </w:r>
            <w:r w:rsidRPr="00FD0F1A">
              <w:rPr>
                <w:sz w:val="21"/>
                <w:szCs w:val="21"/>
              </w:rPr>
              <w:t>. London: Routledge.</w:t>
            </w:r>
          </w:p>
          <w:p w14:paraId="6AC2E4C0" w14:textId="77777777" w:rsidR="00066340" w:rsidRPr="00FD0F1A" w:rsidRDefault="00066340" w:rsidP="00066340">
            <w:pPr>
              <w:pStyle w:val="ae"/>
              <w:rPr>
                <w:sz w:val="21"/>
                <w:szCs w:val="21"/>
              </w:rPr>
            </w:pPr>
            <w:r w:rsidRPr="00FD0F1A">
              <w:rPr>
                <w:sz w:val="21"/>
                <w:szCs w:val="21"/>
              </w:rPr>
              <w:t xml:space="preserve">Lakoff, G. and Johnson, M. (1999). </w:t>
            </w:r>
            <w:r w:rsidRPr="00FD0F1A">
              <w:rPr>
                <w:rStyle w:val="af5"/>
                <w:sz w:val="21"/>
                <w:szCs w:val="21"/>
              </w:rPr>
              <w:t>Philosophy in the Flesh: The Embodied Mind and Its Challenge to Western Thought</w:t>
            </w:r>
            <w:r w:rsidRPr="00FD0F1A">
              <w:rPr>
                <w:sz w:val="21"/>
                <w:szCs w:val="21"/>
              </w:rPr>
              <w:t>. New York: Basic Books.</w:t>
            </w:r>
          </w:p>
          <w:p w14:paraId="51CE8D83" w14:textId="77777777" w:rsidR="00066340" w:rsidRPr="00FD0F1A" w:rsidRDefault="00066340" w:rsidP="00066340">
            <w:pPr>
              <w:pStyle w:val="ae"/>
              <w:rPr>
                <w:sz w:val="21"/>
                <w:szCs w:val="21"/>
              </w:rPr>
            </w:pPr>
            <w:r w:rsidRPr="00FD0F1A">
              <w:rPr>
                <w:sz w:val="21"/>
                <w:szCs w:val="21"/>
              </w:rPr>
              <w:t xml:space="preserve">Niedenthal, P.M. (2007). ‘Embodying emotion’. </w:t>
            </w:r>
            <w:r w:rsidRPr="00FD0F1A">
              <w:rPr>
                <w:rStyle w:val="af5"/>
                <w:sz w:val="21"/>
                <w:szCs w:val="21"/>
              </w:rPr>
              <w:t>Science</w:t>
            </w:r>
            <w:r w:rsidRPr="00FD0F1A">
              <w:rPr>
                <w:sz w:val="21"/>
                <w:szCs w:val="21"/>
              </w:rPr>
              <w:t>, 316(5827), pp. 1002–1005.</w:t>
            </w:r>
          </w:p>
          <w:p w14:paraId="7C17CCC7" w14:textId="77777777" w:rsidR="00066340" w:rsidRPr="00FD0F1A" w:rsidRDefault="00066340" w:rsidP="00066340">
            <w:pPr>
              <w:pStyle w:val="ae"/>
              <w:rPr>
                <w:sz w:val="21"/>
                <w:szCs w:val="21"/>
              </w:rPr>
            </w:pPr>
            <w:proofErr w:type="spellStart"/>
            <w:r w:rsidRPr="00FD0F1A">
              <w:rPr>
                <w:sz w:val="21"/>
                <w:szCs w:val="21"/>
              </w:rPr>
              <w:t>Papagiannakis</w:t>
            </w:r>
            <w:proofErr w:type="spellEnd"/>
            <w:r w:rsidRPr="00FD0F1A">
              <w:rPr>
                <w:sz w:val="21"/>
                <w:szCs w:val="21"/>
              </w:rPr>
              <w:t xml:space="preserve">, G., Singh, G. and </w:t>
            </w:r>
            <w:proofErr w:type="spellStart"/>
            <w:r w:rsidRPr="00FD0F1A">
              <w:rPr>
                <w:sz w:val="21"/>
                <w:szCs w:val="21"/>
              </w:rPr>
              <w:t>Magnenat</w:t>
            </w:r>
            <w:proofErr w:type="spellEnd"/>
            <w:r w:rsidRPr="00FD0F1A">
              <w:rPr>
                <w:sz w:val="21"/>
                <w:szCs w:val="21"/>
              </w:rPr>
              <w:t xml:space="preserve">-Thalmann, N. (2024). ‘Mixed reality, gamified presence, and storytelling for virtual </w:t>
            </w:r>
            <w:proofErr w:type="gramStart"/>
            <w:r w:rsidRPr="00FD0F1A">
              <w:rPr>
                <w:sz w:val="21"/>
                <w:szCs w:val="21"/>
              </w:rPr>
              <w:t>museums’</w:t>
            </w:r>
            <w:proofErr w:type="gramEnd"/>
            <w:r w:rsidRPr="00FD0F1A">
              <w:rPr>
                <w:sz w:val="21"/>
                <w:szCs w:val="21"/>
              </w:rPr>
              <w:t xml:space="preserve">. </w:t>
            </w:r>
            <w:r w:rsidRPr="00FD0F1A">
              <w:rPr>
                <w:rStyle w:val="af5"/>
                <w:sz w:val="21"/>
                <w:szCs w:val="21"/>
              </w:rPr>
              <w:t>Digital Applications in Archaeology and Cultural Heritage</w:t>
            </w:r>
            <w:r w:rsidRPr="00FD0F1A">
              <w:rPr>
                <w:sz w:val="21"/>
                <w:szCs w:val="21"/>
              </w:rPr>
              <w:t>, 25, Article 100412.</w:t>
            </w:r>
          </w:p>
          <w:p w14:paraId="3817E79A" w14:textId="77777777" w:rsidR="00066340" w:rsidRPr="00FD0F1A" w:rsidRDefault="00066340" w:rsidP="00066340">
            <w:pPr>
              <w:pStyle w:val="ae"/>
              <w:rPr>
                <w:sz w:val="21"/>
                <w:szCs w:val="21"/>
              </w:rPr>
            </w:pPr>
            <w:r w:rsidRPr="00FD0F1A">
              <w:rPr>
                <w:sz w:val="21"/>
                <w:szCs w:val="21"/>
              </w:rPr>
              <w:lastRenderedPageBreak/>
              <w:t xml:space="preserve">Pietroni, E. (2025). ‘Embodied virtual museums: Towards multisensory narration for cultural heritage’. </w:t>
            </w:r>
            <w:r w:rsidRPr="00FD0F1A">
              <w:rPr>
                <w:rStyle w:val="af5"/>
                <w:sz w:val="21"/>
                <w:szCs w:val="21"/>
              </w:rPr>
              <w:t>Journal of Cultural Heritage</w:t>
            </w:r>
            <w:r w:rsidRPr="00FD0F1A">
              <w:rPr>
                <w:sz w:val="21"/>
                <w:szCs w:val="21"/>
              </w:rPr>
              <w:t>, 66, pp. 13–29 (</w:t>
            </w:r>
            <w:r w:rsidRPr="00FD0F1A">
              <w:rPr>
                <w:rStyle w:val="af5"/>
                <w:sz w:val="21"/>
                <w:szCs w:val="21"/>
              </w:rPr>
              <w:t>in press</w:t>
            </w:r>
            <w:r w:rsidRPr="00FD0F1A">
              <w:rPr>
                <w:sz w:val="21"/>
                <w:szCs w:val="21"/>
              </w:rPr>
              <w:t>).</w:t>
            </w:r>
          </w:p>
          <w:p w14:paraId="081CDBC9" w14:textId="77777777" w:rsidR="00066340" w:rsidRPr="00FD0F1A" w:rsidRDefault="00066340" w:rsidP="00066340">
            <w:pPr>
              <w:pStyle w:val="ae"/>
              <w:rPr>
                <w:sz w:val="21"/>
                <w:szCs w:val="21"/>
              </w:rPr>
            </w:pPr>
            <w:r w:rsidRPr="00FD0F1A">
              <w:rPr>
                <w:sz w:val="21"/>
                <w:szCs w:val="21"/>
              </w:rPr>
              <w:t xml:space="preserve">Pink, S. (2013). </w:t>
            </w:r>
            <w:r w:rsidRPr="00FD0F1A">
              <w:rPr>
                <w:rStyle w:val="af5"/>
                <w:sz w:val="21"/>
                <w:szCs w:val="21"/>
              </w:rPr>
              <w:t>Doing Visual Ethnography</w:t>
            </w:r>
            <w:r w:rsidRPr="00FD0F1A">
              <w:rPr>
                <w:sz w:val="21"/>
                <w:szCs w:val="21"/>
              </w:rPr>
              <w:t>. 3rd ed. London: Sage.</w:t>
            </w:r>
          </w:p>
          <w:p w14:paraId="56286384" w14:textId="77777777" w:rsidR="00066340" w:rsidRPr="00FD0F1A" w:rsidRDefault="00066340" w:rsidP="00066340">
            <w:pPr>
              <w:pStyle w:val="ae"/>
              <w:rPr>
                <w:sz w:val="21"/>
                <w:szCs w:val="21"/>
              </w:rPr>
            </w:pPr>
            <w:proofErr w:type="spellStart"/>
            <w:r w:rsidRPr="00FD0F1A">
              <w:rPr>
                <w:sz w:val="21"/>
                <w:szCs w:val="21"/>
              </w:rPr>
              <w:t>Radianti</w:t>
            </w:r>
            <w:proofErr w:type="spellEnd"/>
            <w:r w:rsidRPr="00FD0F1A">
              <w:rPr>
                <w:sz w:val="21"/>
                <w:szCs w:val="21"/>
              </w:rPr>
              <w:t xml:space="preserve">, J., Majchrzak, T.A., Fromm, J. and </w:t>
            </w:r>
            <w:proofErr w:type="spellStart"/>
            <w:r w:rsidRPr="00FD0F1A">
              <w:rPr>
                <w:sz w:val="21"/>
                <w:szCs w:val="21"/>
              </w:rPr>
              <w:t>Wohlgenannt</w:t>
            </w:r>
            <w:proofErr w:type="spellEnd"/>
            <w:r w:rsidRPr="00FD0F1A">
              <w:rPr>
                <w:sz w:val="21"/>
                <w:szCs w:val="21"/>
              </w:rPr>
              <w:t xml:space="preserve">, I. (2020). ‘A systematic review of immersive virtual reality applications for higher education: Design elements, lessons learned, and research agenda’. </w:t>
            </w:r>
            <w:r w:rsidRPr="00FD0F1A">
              <w:rPr>
                <w:rStyle w:val="af5"/>
                <w:sz w:val="21"/>
                <w:szCs w:val="21"/>
              </w:rPr>
              <w:t>Computers &amp; Education</w:t>
            </w:r>
            <w:r w:rsidRPr="00FD0F1A">
              <w:rPr>
                <w:sz w:val="21"/>
                <w:szCs w:val="21"/>
              </w:rPr>
              <w:t>, 147, Article 103778.</w:t>
            </w:r>
          </w:p>
          <w:p w14:paraId="667EB351" w14:textId="77777777" w:rsidR="00066340" w:rsidRPr="00FD0F1A" w:rsidRDefault="00066340" w:rsidP="00066340">
            <w:pPr>
              <w:pStyle w:val="ae"/>
              <w:rPr>
                <w:sz w:val="21"/>
                <w:szCs w:val="21"/>
              </w:rPr>
            </w:pPr>
            <w:r w:rsidRPr="00FD0F1A">
              <w:rPr>
                <w:sz w:val="21"/>
                <w:szCs w:val="21"/>
              </w:rPr>
              <w:t xml:space="preserve">Ribeiro, C., Papachristos, N. and Silva, R. (2024). ‘Augmented reality and co-creation in intangible cultural heritage dissemination’. </w:t>
            </w:r>
            <w:r w:rsidRPr="00FD0F1A">
              <w:rPr>
                <w:rStyle w:val="af5"/>
                <w:sz w:val="21"/>
                <w:szCs w:val="21"/>
              </w:rPr>
              <w:t>Journal on Computing and Cultural Heritage</w:t>
            </w:r>
            <w:r w:rsidRPr="00FD0F1A">
              <w:rPr>
                <w:sz w:val="21"/>
                <w:szCs w:val="21"/>
              </w:rPr>
              <w:t>, 17(1), Article 11.</w:t>
            </w:r>
          </w:p>
          <w:p w14:paraId="25B207A3" w14:textId="77777777" w:rsidR="00066340" w:rsidRPr="00FD0F1A" w:rsidRDefault="00066340" w:rsidP="00066340">
            <w:pPr>
              <w:pStyle w:val="ae"/>
              <w:rPr>
                <w:sz w:val="21"/>
                <w:szCs w:val="21"/>
              </w:rPr>
            </w:pPr>
            <w:proofErr w:type="spellStart"/>
            <w:r w:rsidRPr="00FD0F1A">
              <w:rPr>
                <w:sz w:val="21"/>
                <w:szCs w:val="21"/>
              </w:rPr>
              <w:t>Riessman</w:t>
            </w:r>
            <w:proofErr w:type="spellEnd"/>
            <w:r w:rsidRPr="00FD0F1A">
              <w:rPr>
                <w:sz w:val="21"/>
                <w:szCs w:val="21"/>
              </w:rPr>
              <w:t xml:space="preserve">, C.K. (2008). </w:t>
            </w:r>
            <w:r w:rsidRPr="00FD0F1A">
              <w:rPr>
                <w:rStyle w:val="af5"/>
                <w:sz w:val="21"/>
                <w:szCs w:val="21"/>
              </w:rPr>
              <w:t>Narrative Methods for the Human Sciences</w:t>
            </w:r>
            <w:r w:rsidRPr="00FD0F1A">
              <w:rPr>
                <w:sz w:val="21"/>
                <w:szCs w:val="21"/>
              </w:rPr>
              <w:t>. Los Angeles: Sage.</w:t>
            </w:r>
          </w:p>
          <w:p w14:paraId="39DBD08E" w14:textId="77777777" w:rsidR="00066340" w:rsidRPr="00FD0F1A" w:rsidRDefault="00066340" w:rsidP="00066340">
            <w:pPr>
              <w:pStyle w:val="ae"/>
              <w:rPr>
                <w:sz w:val="21"/>
                <w:szCs w:val="21"/>
              </w:rPr>
            </w:pPr>
            <w:r w:rsidRPr="00FD0F1A">
              <w:rPr>
                <w:sz w:val="21"/>
                <w:szCs w:val="21"/>
              </w:rPr>
              <w:t xml:space="preserve">Scolari, C.A. (2009). ‘Transmedia storytelling: Implicit consumers, narrative worlds, and branding in contemporary media production’. </w:t>
            </w:r>
            <w:r w:rsidRPr="00FD0F1A">
              <w:rPr>
                <w:rStyle w:val="af5"/>
                <w:sz w:val="21"/>
                <w:szCs w:val="21"/>
              </w:rPr>
              <w:t>International Journal of Communication</w:t>
            </w:r>
            <w:r w:rsidRPr="00FD0F1A">
              <w:rPr>
                <w:sz w:val="21"/>
                <w:szCs w:val="21"/>
              </w:rPr>
              <w:t>, 3, pp. 586–606.</w:t>
            </w:r>
          </w:p>
          <w:p w14:paraId="40DCB758" w14:textId="77777777" w:rsidR="00066340" w:rsidRPr="00FD0F1A" w:rsidRDefault="00066340" w:rsidP="00066340">
            <w:pPr>
              <w:pStyle w:val="ae"/>
              <w:rPr>
                <w:sz w:val="21"/>
                <w:szCs w:val="21"/>
              </w:rPr>
            </w:pPr>
            <w:r w:rsidRPr="00FD0F1A">
              <w:rPr>
                <w:sz w:val="21"/>
                <w:szCs w:val="21"/>
              </w:rPr>
              <w:t xml:space="preserve">Smith, L. (2006). </w:t>
            </w:r>
            <w:r w:rsidRPr="00FD0F1A">
              <w:rPr>
                <w:rStyle w:val="af5"/>
                <w:sz w:val="21"/>
                <w:szCs w:val="21"/>
              </w:rPr>
              <w:t>Uses of Heritage</w:t>
            </w:r>
            <w:r w:rsidRPr="00FD0F1A">
              <w:rPr>
                <w:sz w:val="21"/>
                <w:szCs w:val="21"/>
              </w:rPr>
              <w:t>. London: Routledge.</w:t>
            </w:r>
          </w:p>
          <w:p w14:paraId="6E728A0D" w14:textId="77777777" w:rsidR="00066340" w:rsidRPr="00FD0F1A" w:rsidRDefault="00066340" w:rsidP="00066340">
            <w:pPr>
              <w:pStyle w:val="ae"/>
              <w:rPr>
                <w:sz w:val="21"/>
                <w:szCs w:val="21"/>
              </w:rPr>
            </w:pPr>
            <w:r w:rsidRPr="00FD0F1A">
              <w:rPr>
                <w:sz w:val="21"/>
                <w:szCs w:val="21"/>
              </w:rPr>
              <w:t xml:space="preserve">Smith, L. and Akagawa, N. (eds.) (2009). </w:t>
            </w:r>
            <w:r w:rsidRPr="00FD0F1A">
              <w:rPr>
                <w:rStyle w:val="af5"/>
                <w:sz w:val="21"/>
                <w:szCs w:val="21"/>
              </w:rPr>
              <w:t>Intangible Heritage</w:t>
            </w:r>
            <w:r w:rsidRPr="00FD0F1A">
              <w:rPr>
                <w:sz w:val="21"/>
                <w:szCs w:val="21"/>
              </w:rPr>
              <w:t>. London: Routledge.</w:t>
            </w:r>
          </w:p>
          <w:p w14:paraId="3B2701D2" w14:textId="77777777" w:rsidR="00066340" w:rsidRPr="00FD0F1A" w:rsidRDefault="00066340" w:rsidP="00066340">
            <w:pPr>
              <w:pStyle w:val="ae"/>
              <w:rPr>
                <w:sz w:val="21"/>
                <w:szCs w:val="21"/>
              </w:rPr>
            </w:pPr>
            <w:r w:rsidRPr="00FD0F1A">
              <w:rPr>
                <w:sz w:val="21"/>
                <w:szCs w:val="21"/>
              </w:rPr>
              <w:t xml:space="preserve">Sun, M., Zhang, Y. and Liu, H. (2024). ‘Virtual restoration of Dunhuang murals: Design strategies for immersive heritage experience’. </w:t>
            </w:r>
            <w:r w:rsidRPr="00FD0F1A">
              <w:rPr>
                <w:rStyle w:val="af5"/>
                <w:sz w:val="21"/>
                <w:szCs w:val="21"/>
              </w:rPr>
              <w:t>International Journal of Heritage Studies</w:t>
            </w:r>
            <w:r w:rsidRPr="00FD0F1A">
              <w:rPr>
                <w:sz w:val="21"/>
                <w:szCs w:val="21"/>
              </w:rPr>
              <w:t>, 30(1), pp. 79–95.</w:t>
            </w:r>
          </w:p>
          <w:p w14:paraId="627D9ABF" w14:textId="77777777" w:rsidR="00066340" w:rsidRPr="00FD0F1A" w:rsidRDefault="00066340" w:rsidP="00066340">
            <w:pPr>
              <w:pStyle w:val="ae"/>
              <w:rPr>
                <w:sz w:val="21"/>
                <w:szCs w:val="21"/>
              </w:rPr>
            </w:pPr>
            <w:r w:rsidRPr="00FD0F1A">
              <w:rPr>
                <w:sz w:val="21"/>
                <w:szCs w:val="21"/>
              </w:rPr>
              <w:t xml:space="preserve">UNESCO (2003). </w:t>
            </w:r>
            <w:r w:rsidRPr="00FD0F1A">
              <w:rPr>
                <w:rStyle w:val="af5"/>
                <w:sz w:val="21"/>
                <w:szCs w:val="21"/>
              </w:rPr>
              <w:t>Convention for the Safeguarding of the Intangible Cultural Heritage</w:t>
            </w:r>
            <w:r w:rsidRPr="00FD0F1A">
              <w:rPr>
                <w:sz w:val="21"/>
                <w:szCs w:val="21"/>
              </w:rPr>
              <w:t>. Paris: UNESCO.</w:t>
            </w:r>
          </w:p>
          <w:p w14:paraId="07A679D7" w14:textId="77777777" w:rsidR="00066340" w:rsidRPr="00FD0F1A" w:rsidRDefault="00066340" w:rsidP="00066340">
            <w:pPr>
              <w:pStyle w:val="ae"/>
              <w:rPr>
                <w:sz w:val="21"/>
                <w:szCs w:val="21"/>
              </w:rPr>
            </w:pPr>
            <w:r w:rsidRPr="00FD0F1A">
              <w:rPr>
                <w:sz w:val="21"/>
                <w:szCs w:val="21"/>
              </w:rPr>
              <w:t xml:space="preserve">UNESCO (2023). </w:t>
            </w:r>
            <w:r w:rsidRPr="00FD0F1A">
              <w:rPr>
                <w:rStyle w:val="af5"/>
                <w:sz w:val="21"/>
                <w:szCs w:val="21"/>
              </w:rPr>
              <w:t>Embracing Digital Heritage: Trends, Challenges and Opportunities</w:t>
            </w:r>
            <w:r w:rsidRPr="00FD0F1A">
              <w:rPr>
                <w:sz w:val="21"/>
                <w:szCs w:val="21"/>
              </w:rPr>
              <w:t>. Paris: UNESCO. Available at: https://unesdoc.unesco.org/ (Accessed: 10 September 2025).</w:t>
            </w:r>
          </w:p>
          <w:p w14:paraId="189CE887" w14:textId="77777777" w:rsidR="00066340" w:rsidRPr="00FD0F1A" w:rsidRDefault="00066340" w:rsidP="00066340">
            <w:pPr>
              <w:pStyle w:val="ae"/>
              <w:rPr>
                <w:sz w:val="21"/>
                <w:szCs w:val="21"/>
              </w:rPr>
            </w:pPr>
            <w:r w:rsidRPr="00FD0F1A">
              <w:rPr>
                <w:sz w:val="21"/>
                <w:szCs w:val="21"/>
              </w:rPr>
              <w:t xml:space="preserve">Varela, F.J., Thompson, E. and Rosch, E. (1991). </w:t>
            </w:r>
            <w:r w:rsidRPr="00FD0F1A">
              <w:rPr>
                <w:rStyle w:val="af5"/>
                <w:sz w:val="21"/>
                <w:szCs w:val="21"/>
              </w:rPr>
              <w:t>The Embodied Mind: Cognitive Science and Human Experience</w:t>
            </w:r>
            <w:r w:rsidRPr="00FD0F1A">
              <w:rPr>
                <w:sz w:val="21"/>
                <w:szCs w:val="21"/>
              </w:rPr>
              <w:t>. Cambridge, MA: MIT Press.</w:t>
            </w:r>
          </w:p>
          <w:p w14:paraId="56913817" w14:textId="77777777" w:rsidR="00066340" w:rsidRPr="00FD0F1A" w:rsidRDefault="00066340" w:rsidP="00066340">
            <w:pPr>
              <w:pStyle w:val="ae"/>
              <w:rPr>
                <w:sz w:val="21"/>
                <w:szCs w:val="21"/>
              </w:rPr>
            </w:pPr>
            <w:r w:rsidRPr="00FD0F1A">
              <w:rPr>
                <w:sz w:val="21"/>
                <w:szCs w:val="21"/>
              </w:rPr>
              <w:t xml:space="preserve">Xu, M. and Wei, J. (2022). ‘Cultural symbolism and media </w:t>
            </w:r>
            <w:proofErr w:type="spellStart"/>
            <w:r w:rsidRPr="00FD0F1A">
              <w:rPr>
                <w:sz w:val="21"/>
                <w:szCs w:val="21"/>
              </w:rPr>
              <w:t>recontextualisation</w:t>
            </w:r>
            <w:proofErr w:type="spellEnd"/>
            <w:r w:rsidRPr="00FD0F1A">
              <w:rPr>
                <w:sz w:val="21"/>
                <w:szCs w:val="21"/>
              </w:rPr>
              <w:t xml:space="preserve"> in intangible heritage tourism: A design framework’. </w:t>
            </w:r>
            <w:r w:rsidRPr="00FD0F1A">
              <w:rPr>
                <w:rStyle w:val="af5"/>
                <w:sz w:val="21"/>
                <w:szCs w:val="21"/>
              </w:rPr>
              <w:t>Heritage &amp; Society</w:t>
            </w:r>
            <w:r w:rsidRPr="00FD0F1A">
              <w:rPr>
                <w:sz w:val="21"/>
                <w:szCs w:val="21"/>
              </w:rPr>
              <w:t>, 15(2), pp. 115–134.</w:t>
            </w:r>
          </w:p>
          <w:p w14:paraId="1C21BB46" w14:textId="77777777" w:rsidR="00066340" w:rsidRPr="00FD0F1A" w:rsidRDefault="00066340" w:rsidP="00066340">
            <w:pPr>
              <w:pStyle w:val="ae"/>
              <w:rPr>
                <w:sz w:val="21"/>
                <w:szCs w:val="21"/>
              </w:rPr>
            </w:pPr>
            <w:r w:rsidRPr="00FD0F1A">
              <w:rPr>
                <w:sz w:val="21"/>
                <w:szCs w:val="21"/>
              </w:rPr>
              <w:t xml:space="preserve">Yan, J. (2024). ‘Reviving heritage through AR performance: The case of Cantonese opera in TikTok’. </w:t>
            </w:r>
            <w:r w:rsidRPr="00FD0F1A">
              <w:rPr>
                <w:rStyle w:val="af5"/>
                <w:sz w:val="21"/>
                <w:szCs w:val="21"/>
              </w:rPr>
              <w:t>International Journal of Heritage and Culture</w:t>
            </w:r>
            <w:r w:rsidRPr="00FD0F1A">
              <w:rPr>
                <w:sz w:val="21"/>
                <w:szCs w:val="21"/>
              </w:rPr>
              <w:t>, 6(2), pp. 145–160.</w:t>
            </w:r>
          </w:p>
          <w:p w14:paraId="551A3C01" w14:textId="77777777" w:rsidR="00066340" w:rsidRPr="00FD0F1A" w:rsidRDefault="00066340" w:rsidP="00066340">
            <w:pPr>
              <w:pStyle w:val="ae"/>
              <w:rPr>
                <w:sz w:val="21"/>
                <w:szCs w:val="21"/>
              </w:rPr>
            </w:pPr>
            <w:r w:rsidRPr="00FD0F1A">
              <w:rPr>
                <w:sz w:val="21"/>
                <w:szCs w:val="21"/>
              </w:rPr>
              <w:t xml:space="preserve">Zhang, Y., Li, H. and Wu, T. (2021). ‘From symbol to spectacle: Cultural flattening in commercialised ICH </w:t>
            </w:r>
            <w:proofErr w:type="gramStart"/>
            <w:r w:rsidRPr="00FD0F1A">
              <w:rPr>
                <w:sz w:val="21"/>
                <w:szCs w:val="21"/>
              </w:rPr>
              <w:t>representations’</w:t>
            </w:r>
            <w:proofErr w:type="gramEnd"/>
            <w:r w:rsidRPr="00FD0F1A">
              <w:rPr>
                <w:sz w:val="21"/>
                <w:szCs w:val="21"/>
              </w:rPr>
              <w:t xml:space="preserve">. </w:t>
            </w:r>
            <w:r w:rsidRPr="00FD0F1A">
              <w:rPr>
                <w:rStyle w:val="af5"/>
                <w:sz w:val="21"/>
                <w:szCs w:val="21"/>
              </w:rPr>
              <w:t>Journal of Heritage Tourism</w:t>
            </w:r>
            <w:r w:rsidRPr="00FD0F1A">
              <w:rPr>
                <w:sz w:val="21"/>
                <w:szCs w:val="21"/>
              </w:rPr>
              <w:t>, 16(3), pp. 320–337.</w:t>
            </w:r>
          </w:p>
          <w:p w14:paraId="59AE1E73" w14:textId="77777777" w:rsidR="00B77573" w:rsidRPr="00FD0F1A" w:rsidRDefault="00066340" w:rsidP="00066340">
            <w:pPr>
              <w:pStyle w:val="ae"/>
              <w:rPr>
                <w:sz w:val="21"/>
                <w:szCs w:val="21"/>
                <w:lang w:eastAsia="zh-CN"/>
              </w:rPr>
            </w:pPr>
            <w:r w:rsidRPr="00FD0F1A">
              <w:rPr>
                <w:sz w:val="21"/>
                <w:szCs w:val="21"/>
              </w:rPr>
              <w:t xml:space="preserve">Zimmerman, J., Forlizzi, J. and Evenson, S. (2007). ‘Research through design as a method for interaction design research in HCI’. In: </w:t>
            </w:r>
            <w:r w:rsidRPr="00FD0F1A">
              <w:rPr>
                <w:rStyle w:val="af5"/>
                <w:sz w:val="21"/>
                <w:szCs w:val="21"/>
              </w:rPr>
              <w:t>Proceedings of the SIGCHI Conference on Human Factors in Computing Systems</w:t>
            </w:r>
            <w:r w:rsidRPr="00FD0F1A">
              <w:rPr>
                <w:sz w:val="21"/>
                <w:szCs w:val="21"/>
              </w:rPr>
              <w:t>. New York: ACM Press, pp. 493–502.</w:t>
            </w:r>
          </w:p>
          <w:p w14:paraId="415FA2B8" w14:textId="07A0B93C" w:rsidR="00066340" w:rsidRPr="00FD0F1A" w:rsidRDefault="00066340" w:rsidP="00066340">
            <w:pPr>
              <w:pStyle w:val="ae"/>
              <w:rPr>
                <w:sz w:val="21"/>
                <w:szCs w:val="21"/>
                <w:lang w:eastAsia="zh-CN"/>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000000">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5110A35D" w14:textId="77777777" w:rsidR="00B712CA" w:rsidRDefault="00B712CA" w:rsidP="00B712CA">
            <w:pPr>
              <w:pStyle w:val="ae"/>
              <w:rPr>
                <w:rFonts w:ascii="宋体" w:hAnsi="宋体"/>
                <w:lang w:eastAsia="zh-CN"/>
              </w:rPr>
            </w:pPr>
            <w:r>
              <w:t xml:space="preserve">The research will draw primarily on facilities provided by the university, including library collections, academic databases (JSTOR, Scopus, Web of Science), and software for qualitative and visual analysis such as </w:t>
            </w:r>
            <w:r>
              <w:rPr>
                <w:rStyle w:val="af"/>
              </w:rPr>
              <w:t>NVivo</w:t>
            </w:r>
            <w:r>
              <w:t xml:space="preserve"> (thematic and narrative coding), </w:t>
            </w:r>
            <w:r>
              <w:rPr>
                <w:rStyle w:val="af"/>
              </w:rPr>
              <w:t>EndNote/Zotero</w:t>
            </w:r>
            <w:r>
              <w:t xml:space="preserve"> (reference management), and </w:t>
            </w:r>
            <w:r>
              <w:rPr>
                <w:rStyle w:val="af"/>
              </w:rPr>
              <w:t>Adobe Creative Suite</w:t>
            </w:r>
            <w:r>
              <w:t xml:space="preserve"> (visual ethnography and video analysis). Computing </w:t>
            </w:r>
            <w:r>
              <w:lastRenderedPageBreak/>
              <w:t xml:space="preserve">resources with </w:t>
            </w:r>
            <w:r>
              <w:rPr>
                <w:rStyle w:val="af"/>
              </w:rPr>
              <w:t>AI/ML capacity</w:t>
            </w:r>
            <w:r>
              <w:t xml:space="preserve"> (e.g., GPU workstations) will support AI-assisted content generation and multimodal data processing.</w:t>
            </w:r>
          </w:p>
          <w:p w14:paraId="0657FA8F" w14:textId="77777777" w:rsidR="00B712CA" w:rsidRDefault="00B712CA" w:rsidP="00B712CA">
            <w:pPr>
              <w:pStyle w:val="ae"/>
            </w:pPr>
            <w:r>
              <w:t xml:space="preserve">For practice-based components, access to </w:t>
            </w:r>
            <w:r>
              <w:rPr>
                <w:rStyle w:val="af"/>
              </w:rPr>
              <w:t>digital media laboratories and design studios</w:t>
            </w:r>
            <w:r>
              <w:t xml:space="preserve"> will be required to develop and test prototypes. Occasional use of </w:t>
            </w:r>
            <w:r>
              <w:rPr>
                <w:rStyle w:val="af"/>
              </w:rPr>
              <w:t>AR/VR equipment</w:t>
            </w:r>
            <w:r>
              <w:t xml:space="preserve"> (e.g., Oculus, HoloLens) and </w:t>
            </w:r>
            <w:r>
              <w:rPr>
                <w:rStyle w:val="af"/>
              </w:rPr>
              <w:t>motion-tracking devices</w:t>
            </w:r>
            <w:r>
              <w:t xml:space="preserve"> will support embodied ethnography and user testing of immersive experiences.</w:t>
            </w:r>
          </w:p>
          <w:p w14:paraId="4BEEBEE9" w14:textId="1075AA55" w:rsidR="00B77573" w:rsidRPr="00B712CA" w:rsidRDefault="00B712CA" w:rsidP="00B712CA">
            <w:pPr>
              <w:pStyle w:val="ae"/>
              <w:rPr>
                <w:lang w:eastAsia="zh-CN"/>
              </w:rPr>
            </w:pPr>
            <w:r>
              <w:t xml:space="preserve">In addition, the project anticipates conducting </w:t>
            </w:r>
            <w:r>
              <w:rPr>
                <w:rStyle w:val="af"/>
              </w:rPr>
              <w:t>regional fieldwork in Guangdong</w:t>
            </w:r>
            <w:r>
              <w:t>, engaging with lion dance practitioners, cultural institutions, and local communities. This will require limited support for travel, field access, and recording equipment, providing qualitative data and contextual insights that complement the digital ethnography and ensure cultural authenticity of the prototypes.</w:t>
            </w:r>
          </w:p>
          <w:p w14:paraId="211EDAAC" w14:textId="77777777" w:rsidR="00B77573" w:rsidRDefault="00B77573">
            <w:pPr>
              <w:rPr>
                <w:rFonts w:cs="Arial"/>
                <w:sz w:val="22"/>
                <w:szCs w:val="22"/>
              </w:rPr>
            </w:pP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Default="00B77573">
      <w:pPr>
        <w:rPr>
          <w:rFonts w:cs="Arial"/>
          <w:sz w:val="22"/>
          <w:szCs w:val="22"/>
        </w:rPr>
      </w:pPr>
    </w:p>
    <w:p w14:paraId="5620ED97" w14:textId="77777777" w:rsidR="00B77573" w:rsidRDefault="00000000">
      <w:pPr>
        <w:rPr>
          <w:rFonts w:cs="Arial"/>
          <w:b/>
          <w:sz w:val="22"/>
          <w:szCs w:val="22"/>
        </w:rPr>
      </w:pPr>
      <w:r>
        <w:rPr>
          <w:rFonts w:cs="Arial"/>
          <w:b/>
          <w:sz w:val="22"/>
          <w:szCs w:val="22"/>
        </w:rPr>
        <w:t>Intellectual Property IP</w:t>
      </w:r>
    </w:p>
    <w:p w14:paraId="4847AFB8" w14:textId="77777777" w:rsidR="00B77573" w:rsidRDefault="00000000">
      <w:pPr>
        <w:rPr>
          <w:rFonts w:cs="Arial"/>
          <w:b/>
          <w:sz w:val="22"/>
          <w:szCs w:val="22"/>
        </w:rPr>
      </w:pPr>
      <w:r>
        <w:rPr>
          <w:sz w:val="22"/>
        </w:rPr>
        <w:t xml:space="preserve">It is anticipated that Intellectual Property (IP) will be produced </w:t>
      </w:r>
      <w:proofErr w:type="gramStart"/>
      <w:r>
        <w:rPr>
          <w:sz w:val="22"/>
        </w:rPr>
        <w:t>as a result of</w:t>
      </w:r>
      <w:proofErr w:type="gramEnd"/>
      <w:r>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tcPr>
          <w:p w14:paraId="012CF4F9" w14:textId="77777777" w:rsidR="00B77573" w:rsidRDefault="00000000">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000000">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000000">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3FB7B2F0" w14:textId="77777777" w:rsidR="00B77573"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05586A79" w14:textId="1B571387" w:rsidR="00B77573" w:rsidRDefault="00ED6189">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000000">
            <w:pPr>
              <w:rPr>
                <w:sz w:val="22"/>
              </w:rPr>
            </w:pPr>
            <w:r>
              <w:rPr>
                <w:sz w:val="22"/>
              </w:rPr>
              <w:t xml:space="preserve">Is the research dependent upon background IP owned by: </w:t>
            </w:r>
          </w:p>
          <w:p w14:paraId="72E8DDEC" w14:textId="77777777" w:rsidR="00B77573" w:rsidRDefault="00000000">
            <w:pPr>
              <w:rPr>
                <w:rFonts w:cs="Arial"/>
                <w:sz w:val="22"/>
                <w:szCs w:val="22"/>
              </w:rPr>
            </w:pPr>
            <w:r>
              <w:rPr>
                <w:sz w:val="22"/>
              </w:rPr>
              <w:t>If so, please provide details below</w:t>
            </w:r>
          </w:p>
        </w:tc>
        <w:tc>
          <w:tcPr>
            <w:tcW w:w="1418" w:type="dxa"/>
          </w:tcPr>
          <w:p w14:paraId="6A96A3DD" w14:textId="77777777" w:rsidR="00B77573" w:rsidRDefault="00000000">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4B5C4C9C" w:rsidR="00B77573" w:rsidRDefault="00ED6189">
                <w:pPr>
                  <w:jc w:val="center"/>
                  <w:rPr>
                    <w:rFonts w:cs="Arial"/>
                    <w:sz w:val="22"/>
                    <w:szCs w:val="22"/>
                  </w:rPr>
                </w:pPr>
                <w:r>
                  <w:rPr>
                    <w:rFonts w:ascii="MS Gothic" w:eastAsia="MS Gothic" w:hAnsi="MS Gothic" w:cs="Arial" w:hint="eastAsia"/>
                    <w:sz w:val="22"/>
                    <w:szCs w:val="22"/>
                  </w:rPr>
                  <w:t>☒</w:t>
                </w:r>
              </w:p>
            </w:sdtContent>
          </w:sdt>
        </w:tc>
        <w:tc>
          <w:tcPr>
            <w:tcW w:w="1417" w:type="dxa"/>
          </w:tcPr>
          <w:p w14:paraId="5325D9CB" w14:textId="77777777" w:rsidR="00B77573" w:rsidRDefault="00000000">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Default="00000000">
                <w:pPr>
                  <w:jc w:val="center"/>
                  <w:rPr>
                    <w:rFonts w:cs="Arial"/>
                    <w:sz w:val="22"/>
                    <w:szCs w:val="22"/>
                  </w:rPr>
                </w:pPr>
                <w:r>
                  <w:rPr>
                    <w:rFonts w:ascii="MS Gothic" w:eastAsia="MS Gothic" w:hAnsi="MS Gothic" w:cs="Arial"/>
                    <w:sz w:val="22"/>
                    <w:szCs w:val="22"/>
                  </w:rPr>
                  <w:t>☐</w:t>
                </w:r>
              </w:p>
            </w:sdtContent>
          </w:sdt>
        </w:tc>
      </w:tr>
      <w:tr w:rsidR="00B77573" w14:paraId="3EE8985F" w14:textId="77777777">
        <w:trPr>
          <w:trHeight w:val="572"/>
        </w:trPr>
        <w:tc>
          <w:tcPr>
            <w:tcW w:w="9781" w:type="dxa"/>
            <w:gridSpan w:val="3"/>
          </w:tcPr>
          <w:p w14:paraId="7C2C0A06" w14:textId="77777777" w:rsidR="00B77573" w:rsidRDefault="00000000">
            <w:pPr>
              <w:rPr>
                <w:i/>
                <w:sz w:val="18"/>
                <w:szCs w:val="18"/>
              </w:rPr>
            </w:pPr>
            <w:r>
              <w:rPr>
                <w:i/>
                <w:sz w:val="18"/>
                <w:szCs w:val="18"/>
              </w:rPr>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tcPr>
          <w:p w14:paraId="7C2A5205" w14:textId="77777777" w:rsidR="00B77573" w:rsidRDefault="00000000">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000000">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000000">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000000">
            <w:pPr>
              <w:rPr>
                <w:sz w:val="22"/>
              </w:rPr>
            </w:pPr>
            <w:r>
              <w:rPr>
                <w:sz w:val="22"/>
              </w:rPr>
              <w:t xml:space="preserve">If any party other than the student is likely to be involved in the development of IP a separate IP agreement will be </w:t>
            </w:r>
            <w:proofErr w:type="gramStart"/>
            <w:r>
              <w:rPr>
                <w:sz w:val="22"/>
              </w:rPr>
              <w:t>needed</w:t>
            </w:r>
            <w:proofErr w:type="gramEnd"/>
            <w:r>
              <w:rPr>
                <w:sz w:val="22"/>
              </w:rPr>
              <w:t xml:space="preserve">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474EFA2E" w14:textId="776BA532" w:rsidR="00B77573" w:rsidRDefault="00ED6189">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tcPr>
              <w:p w14:paraId="3BE096FF" w14:textId="77777777" w:rsidR="00B77573" w:rsidRDefault="00000000">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000000">
            <w:pPr>
              <w:rPr>
                <w:sz w:val="22"/>
              </w:rPr>
            </w:pPr>
            <w:r>
              <w:rPr>
                <w:sz w:val="22"/>
              </w:rPr>
              <w:t xml:space="preserve">If there are no third parties involved in the creation of the IP the student is deemed to own the IP, </w:t>
            </w:r>
            <w:proofErr w:type="gramStart"/>
            <w:r>
              <w:rPr>
                <w:sz w:val="22"/>
              </w:rPr>
              <w:t>however</w:t>
            </w:r>
            <w:proofErr w:type="gramEnd"/>
            <w:r>
              <w:rPr>
                <w:sz w:val="22"/>
              </w:rPr>
              <w:t xml:space="preserve"> should the student wish to commercially exploit their IP and require the assistance of the University to do so, they will be required to assign their IP to the University. </w:t>
            </w:r>
            <w:hyperlink r:id="rId12"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tcPr>
          <w:p w14:paraId="26FB668C" w14:textId="50D03AC3"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ED6189">
                  <w:rPr>
                    <w:rFonts w:ascii="MS Gothic" w:eastAsia="MS Gothic" w:hAnsi="MS Gothic" w:cs="Arial" w:hint="eastAsia"/>
                    <w:sz w:val="22"/>
                    <w:szCs w:val="22"/>
                  </w:rPr>
                  <w:t>☒</w:t>
                </w:r>
              </w:sdtContent>
            </w:sdt>
          </w:p>
        </w:tc>
        <w:tc>
          <w:tcPr>
            <w:tcW w:w="1417" w:type="dxa"/>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000000">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2046"/>
              <w:gridCol w:w="6069"/>
              <w:gridCol w:w="1406"/>
            </w:tblGrid>
            <w:tr w:rsidR="00B77573"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000000">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13D2438A" w14:textId="1F3B47B2" w:rsidR="00B77573" w:rsidRDefault="00C61547">
                  <w:pPr>
                    <w:rPr>
                      <w:rFonts w:cs="Arial"/>
                      <w:sz w:val="22"/>
                      <w:szCs w:val="22"/>
                    </w:rPr>
                  </w:pPr>
                  <w:r w:rsidRPr="00734BC1">
                    <w:rPr>
                      <w:rFonts w:cs="Arial"/>
                      <w:sz w:val="22"/>
                      <w:szCs w:val="22"/>
                    </w:rPr>
                    <w:drawing>
                      <wp:inline distT="0" distB="0" distL="0" distR="0" wp14:anchorId="403A4C1C" wp14:editId="2A998334">
                        <wp:extent cx="1411356" cy="267876"/>
                        <wp:effectExtent l="0" t="0" r="0" b="0"/>
                        <wp:docPr id="4616821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82167" name=""/>
                                <pic:cNvPicPr/>
                              </pic:nvPicPr>
                              <pic:blipFill>
                                <a:blip r:embed="rId13"/>
                                <a:stretch>
                                  <a:fillRect/>
                                </a:stretch>
                              </pic:blipFill>
                              <pic:spPr>
                                <a:xfrm>
                                  <a:off x="0" y="0"/>
                                  <a:ext cx="1497167" cy="284163"/>
                                </a:xfrm>
                                <a:prstGeom prst="rect">
                                  <a:avLst/>
                                </a:prstGeom>
                              </pic:spPr>
                            </pic:pic>
                          </a:graphicData>
                        </a:graphic>
                      </wp:inline>
                    </w:drawing>
                  </w:r>
                </w:p>
              </w:tc>
              <w:tc>
                <w:tcPr>
                  <w:tcW w:w="1417" w:type="dxa"/>
                </w:tcPr>
                <w:p w14:paraId="2F6D563A" w14:textId="77777777" w:rsidR="00B77573" w:rsidRDefault="00000000">
                  <w:pPr>
                    <w:rPr>
                      <w:rFonts w:cs="Arial"/>
                      <w:sz w:val="22"/>
                      <w:szCs w:val="22"/>
                      <w:lang w:eastAsia="zh-CN"/>
                    </w:rPr>
                  </w:pPr>
                  <w:r>
                    <w:rPr>
                      <w:rFonts w:cs="Arial"/>
                      <w:sz w:val="22"/>
                      <w:szCs w:val="22"/>
                    </w:rPr>
                    <w:t>Date:</w:t>
                  </w:r>
                </w:p>
                <w:p w14:paraId="0475CA85" w14:textId="59563198" w:rsidR="00ED6189" w:rsidRDefault="00ED6189">
                  <w:pPr>
                    <w:rPr>
                      <w:rFonts w:cs="Arial"/>
                      <w:sz w:val="22"/>
                      <w:szCs w:val="22"/>
                      <w:lang w:eastAsia="zh-CN"/>
                    </w:rPr>
                  </w:pPr>
                  <w:r>
                    <w:rPr>
                      <w:rFonts w:cs="Arial" w:hint="eastAsia"/>
                      <w:sz w:val="22"/>
                      <w:szCs w:val="22"/>
                      <w:lang w:eastAsia="zh-CN"/>
                    </w:rPr>
                    <w:t>8/30/2025</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77777777" w:rsidR="00B77573" w:rsidRDefault="00B77573">
      <w:pPr>
        <w:rPr>
          <w:rFonts w:cs="Arial"/>
          <w:sz w:val="22"/>
          <w:szCs w:val="22"/>
        </w:rPr>
      </w:pPr>
    </w:p>
    <w:p w14:paraId="51057E28" w14:textId="77777777" w:rsidR="00B77573" w:rsidRDefault="00000000">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000000">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000000">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000000">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000000">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000000">
            <w:pPr>
              <w:rPr>
                <w:rFonts w:cs="Arial"/>
                <w:sz w:val="22"/>
                <w:szCs w:val="22"/>
              </w:rPr>
            </w:pPr>
            <w:r>
              <w:rPr>
                <w:rFonts w:cs="Arial"/>
                <w:sz w:val="22"/>
                <w:szCs w:val="22"/>
              </w:rPr>
              <w:t>Director of Studies</w:t>
            </w:r>
          </w:p>
        </w:tc>
        <w:tc>
          <w:tcPr>
            <w:tcW w:w="5387" w:type="dxa"/>
          </w:tcPr>
          <w:p w14:paraId="29755B6A" w14:textId="77777777" w:rsidR="00B77573" w:rsidRDefault="00000000">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000000">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000000">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000000">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000000">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4"/>
      <w:footerReference w:type="default" r:id="rId15"/>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0AD7C" w14:textId="77777777" w:rsidR="004B7D61" w:rsidRDefault="004B7D61">
      <w:r>
        <w:separator/>
      </w:r>
    </w:p>
  </w:endnote>
  <w:endnote w:type="continuationSeparator" w:id="0">
    <w:p w14:paraId="19E197B7" w14:textId="77777777" w:rsidR="004B7D61" w:rsidRDefault="004B7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000000">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000000">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EB464" w14:textId="77777777" w:rsidR="004B7D61" w:rsidRDefault="004B7D61">
      <w:r>
        <w:separator/>
      </w:r>
    </w:p>
  </w:footnote>
  <w:footnote w:type="continuationSeparator" w:id="0">
    <w:p w14:paraId="415EAF6B" w14:textId="77777777" w:rsidR="004B7D61" w:rsidRDefault="004B7D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000000">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000000">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000000">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041B"/>
    <w:multiLevelType w:val="multilevel"/>
    <w:tmpl w:val="690EA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4521936"/>
    <w:multiLevelType w:val="multilevel"/>
    <w:tmpl w:val="BB043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A44156"/>
    <w:multiLevelType w:val="multilevel"/>
    <w:tmpl w:val="730E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2"/>
  </w:num>
  <w:num w:numId="2" w16cid:durableId="596987635">
    <w:abstractNumId w:val="5"/>
  </w:num>
  <w:num w:numId="3" w16cid:durableId="387072315">
    <w:abstractNumId w:val="8"/>
  </w:num>
  <w:num w:numId="4" w16cid:durableId="490146190">
    <w:abstractNumId w:val="7"/>
  </w:num>
  <w:num w:numId="5" w16cid:durableId="554971370">
    <w:abstractNumId w:val="6"/>
  </w:num>
  <w:num w:numId="6" w16cid:durableId="1740713619">
    <w:abstractNumId w:val="1"/>
  </w:num>
  <w:num w:numId="7" w16cid:durableId="121505265">
    <w:abstractNumId w:val="3"/>
  </w:num>
  <w:num w:numId="8" w16cid:durableId="107508558">
    <w:abstractNumId w:val="4"/>
  </w:num>
  <w:num w:numId="9" w16cid:durableId="632247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embedSystemFonts/>
  <w:bordersDoNotSurroundHeader/>
  <w:bordersDoNotSurroundFooter/>
  <w:hideSpellingErrors/>
  <w:hideGrammaticalErrors/>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7225"/>
    <w:rsid w:val="00054BFD"/>
    <w:rsid w:val="00055046"/>
    <w:rsid w:val="00056718"/>
    <w:rsid w:val="00066340"/>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4802"/>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9768E"/>
    <w:rsid w:val="00497D60"/>
    <w:rsid w:val="004B251B"/>
    <w:rsid w:val="004B2A69"/>
    <w:rsid w:val="004B7D61"/>
    <w:rsid w:val="004D5C32"/>
    <w:rsid w:val="004E363A"/>
    <w:rsid w:val="004F22A4"/>
    <w:rsid w:val="00512288"/>
    <w:rsid w:val="005140FB"/>
    <w:rsid w:val="005302A6"/>
    <w:rsid w:val="005363FE"/>
    <w:rsid w:val="005419D3"/>
    <w:rsid w:val="00541CFE"/>
    <w:rsid w:val="00545678"/>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217D"/>
    <w:rsid w:val="00795C79"/>
    <w:rsid w:val="007A0692"/>
    <w:rsid w:val="007A3641"/>
    <w:rsid w:val="007B4ECD"/>
    <w:rsid w:val="007C2A63"/>
    <w:rsid w:val="007C755A"/>
    <w:rsid w:val="007E550E"/>
    <w:rsid w:val="007F6FC1"/>
    <w:rsid w:val="00802DD0"/>
    <w:rsid w:val="00802E0D"/>
    <w:rsid w:val="00816ED8"/>
    <w:rsid w:val="00820E04"/>
    <w:rsid w:val="00825E70"/>
    <w:rsid w:val="0083144B"/>
    <w:rsid w:val="00831EF8"/>
    <w:rsid w:val="00832FEA"/>
    <w:rsid w:val="008422EE"/>
    <w:rsid w:val="00855925"/>
    <w:rsid w:val="008571F8"/>
    <w:rsid w:val="00877633"/>
    <w:rsid w:val="00877A6B"/>
    <w:rsid w:val="008812C3"/>
    <w:rsid w:val="008859B3"/>
    <w:rsid w:val="0088683F"/>
    <w:rsid w:val="00886A01"/>
    <w:rsid w:val="008876C0"/>
    <w:rsid w:val="0089429A"/>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571"/>
    <w:rsid w:val="00B12AB0"/>
    <w:rsid w:val="00B17DA9"/>
    <w:rsid w:val="00B21608"/>
    <w:rsid w:val="00B273A5"/>
    <w:rsid w:val="00B3408B"/>
    <w:rsid w:val="00B65D5E"/>
    <w:rsid w:val="00B70B7E"/>
    <w:rsid w:val="00B712CA"/>
    <w:rsid w:val="00B718D3"/>
    <w:rsid w:val="00B77573"/>
    <w:rsid w:val="00B84A54"/>
    <w:rsid w:val="00B95514"/>
    <w:rsid w:val="00BB2F10"/>
    <w:rsid w:val="00BD2727"/>
    <w:rsid w:val="00BD589F"/>
    <w:rsid w:val="00BD7EF3"/>
    <w:rsid w:val="00BE24D4"/>
    <w:rsid w:val="00BE40EE"/>
    <w:rsid w:val="00BF0916"/>
    <w:rsid w:val="00C037ED"/>
    <w:rsid w:val="00C14717"/>
    <w:rsid w:val="00C31ED6"/>
    <w:rsid w:val="00C45CE3"/>
    <w:rsid w:val="00C477B6"/>
    <w:rsid w:val="00C525D4"/>
    <w:rsid w:val="00C61547"/>
    <w:rsid w:val="00C66E9A"/>
    <w:rsid w:val="00C7403C"/>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37A07"/>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D6189"/>
    <w:rsid w:val="00EE3F65"/>
    <w:rsid w:val="00EE4E91"/>
    <w:rsid w:val="00F02051"/>
    <w:rsid w:val="00F20553"/>
    <w:rsid w:val="00F26723"/>
    <w:rsid w:val="00F274DA"/>
    <w:rsid w:val="00F41F11"/>
    <w:rsid w:val="00F50670"/>
    <w:rsid w:val="00F53A1A"/>
    <w:rsid w:val="00F6356A"/>
    <w:rsid w:val="00F65BA4"/>
    <w:rsid w:val="00F65ECA"/>
    <w:rsid w:val="00F678E5"/>
    <w:rsid w:val="00F7569E"/>
    <w:rsid w:val="00F77B80"/>
    <w:rsid w:val="00F8710D"/>
    <w:rsid w:val="00F901BB"/>
    <w:rsid w:val="00F9606E"/>
    <w:rsid w:val="00FD0F1A"/>
    <w:rsid w:val="00FD60D8"/>
    <w:rsid w:val="00FD70D5"/>
    <w:rsid w:val="00FE3258"/>
    <w:rsid w:val="00FF5FBE"/>
    <w:rsid w:val="10A18646"/>
    <w:rsid w:val="3A13BD2A"/>
    <w:rsid w:val="3AFF2909"/>
    <w:rsid w:val="3FFF0FD4"/>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paragraph" w:styleId="3">
    <w:name w:val="heading 3"/>
    <w:basedOn w:val="a"/>
    <w:next w:val="a"/>
    <w:link w:val="30"/>
    <w:uiPriority w:val="9"/>
    <w:semiHidden/>
    <w:unhideWhenUsed/>
    <w:qFormat/>
    <w:rsid w:val="00B712C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character" w:customStyle="1" w:styleId="30">
    <w:name w:val="标题 3 字符"/>
    <w:basedOn w:val="a0"/>
    <w:link w:val="3"/>
    <w:uiPriority w:val="9"/>
    <w:semiHidden/>
    <w:rsid w:val="00B712CA"/>
    <w:rPr>
      <w:rFonts w:ascii="Arial" w:eastAsia="Times New Roman" w:hAnsi="Arial"/>
      <w:b/>
      <w:bCs/>
      <w:sz w:val="32"/>
      <w:szCs w:val="32"/>
      <w:lang w:eastAsia="en-GB"/>
    </w:rPr>
  </w:style>
  <w:style w:type="character" w:styleId="af5">
    <w:name w:val="Emphasis"/>
    <w:basedOn w:val="a0"/>
    <w:uiPriority w:val="20"/>
    <w:qFormat/>
    <w:rsid w:val="000663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1DE03D-6025-493D-9279-8EFE34D20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10</Pages>
  <Words>3117</Words>
  <Characters>17767</Characters>
  <Application>Microsoft Office Word</Application>
  <DocSecurity>0</DocSecurity>
  <Lines>148</Lines>
  <Paragraphs>41</Paragraphs>
  <ScaleCrop>false</ScaleCrop>
  <Company>UWTSD</Company>
  <LinksUpToDate>false</LinksUpToDate>
  <CharactersWithSpaces>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Jiaying Huang (2214948)</cp:lastModifiedBy>
  <cp:revision>25</cp:revision>
  <cp:lastPrinted>2016-11-02T17:01:00Z</cp:lastPrinted>
  <dcterms:created xsi:type="dcterms:W3CDTF">2025-08-18T10:47:00Z</dcterms:created>
  <dcterms:modified xsi:type="dcterms:W3CDTF">2025-09-05T22:25:00Z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